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15240</wp:posOffset>
            </wp:positionV>
            <wp:extent cx="704659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Kung Winston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PMV PHARMACEUTICALS,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82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PMV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PMVP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2" w:right="640" w:firstLine="2"/>
        <w:spacing w:after="0" w:line="23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COO, CFO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3340" w:type="dxa"/>
            <w:vAlign w:val="bottom"/>
            <w:gridSpan w:val="8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06/04/2021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06/04/2021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06/04/2021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02/21/2028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228,034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02/21/2028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237,412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237,412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1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reported in this Form 4 was effected pursuant to a Rule 10b5-1 trading plan adopted by the reporting person on December 29, 2020.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subject to an early exercise provision and is immediately exercisable. The underlying shares vest in accordance with the terms of the option grant.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of the shares subject to the option are vested and immediately exercisable.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held of record by the Winston Kung Irrevocable Family Trust for the benefit of the reporting person's immediate family.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Robert Ticktin,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attorney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2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6963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2021-06-07T20:45:43Z</dcterms:created>
  <dcterms:modified xsi:type="dcterms:W3CDTF">2021-06-07T20:45:43Z</dcterms:modified>
</cp:coreProperties>
</file>