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PMV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69353Y103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69353Y103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ArrowMark Colorado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3,090,093.00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3,090,093.00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3,090,093.00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5"/>
        <w:gridCol w:w="9075"/>
        <w:gridCol w:w="155"/>
      </w:tblGrid>
      <w:tr>
        <w:trPr/>
        <w:tc>
          <w:tcPr>
            <w:tcW w:w="975"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PMV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ALEXANDER PARK DRIVE,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ArrowMark Colorado Holdings, LLC</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Fillmore Street, Suite 325, Denver, Colorado 80206</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Delaware, United States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jc w:val="left"/>
              <w:rPr/>
            </w:pPr>
            <w:r>
              <w:rPr/>
              <w:t xml:space="preserve">CUSIP No.: </w:t>
            </w:r>
          </w:p>
          <w:p>
            <w:pPr>
              <w:pStyle w:val="TableContents"/>
              <w:bidi w:val="0"/>
              <w:spacing w:before="0" w:after="0"/>
              <w:jc w:val="left"/>
              <w:rPr/>
            </w:pPr>
            <w:r>
              <w:rPr/>
              <w:t>69353Y103</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3.</w:t>
            </w:r>
          </w:p>
        </w:tc>
        <w:tc>
          <w:tcPr>
            <w:tcW w:w="907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(f)</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(g)</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(h)</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(j)</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(k)</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230"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3,090,093</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5.81  %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3,090,093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3,090,093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ArrowMark Colorado Holdings,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Richard Grove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Richard Grove | Chief Compliance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3840</Characters>
  <CharactersWithSpaces>4563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