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8133d424b3.htm"/>
        <w:bookmarkStart w:id="1" w:name="ksd868133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333-283349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8142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81425" cy="76200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8"/>
        </w:rPr>
      </w:pPr>
      <w:r>
        <w:rPr>
          <w:rFonts w:ascii="Times New Roman" w:hAnsi="Times New Roman"/>
          <w:b/>
          <w:sz w:val="28"/>
        </w:rPr>
        <w:t xml:space="preserve">Up to $113,792,846.40 </w:t>
      </w:r>
    </w:p>
    <w:p>
      <w:pPr>
        <w:pStyle w:val="TextBody"/>
        <w:bidi w:val="0"/>
        <w:spacing w:before="0" w:after="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18"/>
        </w:rPr>
      </w:pPr>
      <w:r>
        <w:rPr>
          <w:rFonts w:ascii="Times New Roman" w:hAnsi="Times New Roman"/>
          <w:sz w:val="18"/>
        </w:rPr>
        <w:t xml:space="preserve">We previously entered into an Open Market Sale AgreementSM, or sales agreement, dated October 4, 2021, with Jefferies LLC, or Jefferies, relating to shares of our common stock offered by this prospectus supplement. In accordance with the terms of the sales agreement, we may offer and sell shares of our common stock having an aggregate offering price of up to $113,792,846.40 from time to time to or through Jefferies as our sales agent. We originally filed with the Securities and Exchange Commission a prospectus supplement, dated October 4, 2021, or the Prior ATM Prospectus Supplement, for the offer and sale of up to $150.0 million of shares of our common stock, from time to time through Jefferies, acting as our sales agent, pursuant to the sales agreement under the automatic shelf registration statement on Form S-3ASR (Registration Statement No. 333-260012), as amended. As of the date of this prospectus, we have issued and sold 5,149,446 shares of our common stock pursuant to the sales agreement at a weighted average exercise price of $6.97 per share, resulting in net proceeds to us of approximately $35.1 million. The common stock remaining available to be sold under the Prior ATM Prospectus Supplement as of the date of this prospectus supplement will no longer be offered and sold under the Prior ATM Prospectus Supplement, but will instead be offered and sold under this prospectus supplement. Accordingly, we may offer and shell shares of our common stock having an aggregate offering price of up to $113,792,846.40. </w:t>
      </w:r>
    </w:p>
    <w:p>
      <w:pPr>
        <w:pStyle w:val="TextBody"/>
        <w:bidi w:val="0"/>
        <w:spacing w:before="120" w:after="0"/>
        <w:jc w:val="left"/>
        <w:rPr>
          <w:rFonts w:ascii="Times New Roman" w:hAnsi="Times New Roman"/>
          <w:sz w:val="18"/>
        </w:rPr>
      </w:pPr>
      <w:r>
        <w:rPr>
          <w:rFonts w:ascii="Times New Roman" w:hAnsi="Times New Roman"/>
          <w:sz w:val="18"/>
        </w:rPr>
        <w:t xml:space="preserve">Our common stock is listed on the Nasdaq Global Select Market under the symbol PMVP. On November 26, 2024, the last reported sale price of our common stock on the Nasdaq Global Select Market was $1.59 per share. </w:t>
      </w:r>
    </w:p>
    <w:p>
      <w:pPr>
        <w:pStyle w:val="TextBody"/>
        <w:bidi w:val="0"/>
        <w:spacing w:before="120" w:after="0"/>
        <w:jc w:val="left"/>
        <w:rPr>
          <w:rFonts w:ascii="Times New Roman" w:hAnsi="Times New Roman"/>
          <w:sz w:val="18"/>
        </w:rPr>
      </w:pPr>
      <w:r>
        <w:rPr>
          <w:rFonts w:ascii="Times New Roman" w:hAnsi="Times New Roman"/>
          <w:sz w:val="18"/>
        </w:rPr>
        <w:t xml:space="preserve">Sales of our common stock, if any, under this prospectus supplement and the accompanying prospectus will be made in sales deemed to be at the market offerings as defined in Rule 415 promulgated under the Securities Act of 1933, as amended, or the Securities Act. Jefferies is not required to sell any specific number or dollar amount of securities, but will act as a sales agent using commercially reasonable efforts to sell on our behalf all of the shares of common stock requested to be sold by us, consistent with its normal trading and sales practices, on mutually agreed terms between Jefferies and us. There is no arrangement for funds to be received in any escrow, trust or similar arrangement. </w:t>
      </w:r>
    </w:p>
    <w:p>
      <w:pPr>
        <w:pStyle w:val="TextBody"/>
        <w:bidi w:val="0"/>
        <w:spacing w:before="120" w:after="0"/>
        <w:jc w:val="left"/>
        <w:rPr>
          <w:rFonts w:ascii="Times New Roman" w:hAnsi="Times New Roman"/>
          <w:sz w:val="18"/>
        </w:rPr>
      </w:pPr>
      <w:r>
        <w:rPr>
          <w:rFonts w:ascii="Times New Roman" w:hAnsi="Times New Roman"/>
          <w:sz w:val="18"/>
        </w:rPr>
        <w:t xml:space="preserve">The compensation to Jefferies for sales of common stock sold pursuant to the sales agreement will be equal to 3.0% of the gross proceeds of any shares of common stock sold under the sales agreement. See Plan of Distribution beginning on page S-10 for additional information regarding Jefferies compensation.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 </w:t>
      </w:r>
    </w:p>
    <w:p>
      <w:pPr>
        <w:pStyle w:val="TextBody"/>
        <w:bidi w:val="0"/>
        <w:spacing w:before="120" w:after="0"/>
        <w:jc w:val="left"/>
        <w:rPr>
          <w:rFonts w:ascii="Times New Roman" w:hAnsi="Times New Roman"/>
          <w:b/>
          <w:sz w:val="18"/>
        </w:rPr>
      </w:pPr>
      <w:r>
        <w:rPr>
          <w:rFonts w:ascii="Times New Roman" w:hAnsi="Times New Roman"/>
          <w:b/>
          <w:sz w:val="18"/>
        </w:rPr>
        <w:t xml:space="preserve">We are a smaller reporting company and may rely on exemptions from certain disclosure requirements that are available to smaller reporting companies, including many of the same exemptions from disclosure requirements as those that are available to emerging growth companies, such as reduced disclosure obligations regarding executive compensation in this prospectus and our periodic reports and proxy statements.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pPr>
      <w:r>
        <w:rPr>
          <w:rFonts w:ascii="Times New Roman" w:hAnsi="Times New Roman"/>
          <w:b/>
          <w:sz w:val="22"/>
        </w:rPr>
        <w:t>INVESTING IN OUR COMMON STOCK INVOLVES SIGNIFICANT RISKS. YOU SHOULD REVIEW CAREFULLY THE </w:t>
      </w:r>
      <w:hyperlink w:anchor="supptoc868133_4">
        <w:r>
          <w:rPr>
            <w:rStyle w:val="InternetLink"/>
            <w:rFonts w:ascii="Times New Roman" w:hAnsi="Times New Roman"/>
            <w:b/>
            <w:sz w:val="22"/>
          </w:rPr>
          <w:t>RISK FACTORS</w:t>
        </w:r>
      </w:hyperlink>
      <w:r>
        <w:rPr>
          <w:rFonts w:ascii="Times New Roman" w:hAnsi="Times New Roman"/>
          <w:b/>
          <w:sz w:val="22"/>
        </w:rPr>
        <w:t xml:space="preserve"> ON PAGE S-5 OF THIS PROSPECTUS SUPPLEMENT AND IN THE ACCOMPANYING PROSPECTUS AND IN THE DOCUMENTS INCORPORATED BY REFERENCE IN THIS PROSPECTUS SUPPLEMENT THAT WE HAVE FILED AND WILL FILE WITH THE SECURITIES AND EXCHANGE COMMISSION BEFORE INVESTING IN OUR COMMON STOCK. </w:t>
      </w:r>
    </w:p>
    <w:p>
      <w:pPr>
        <w:pStyle w:val="TextBody"/>
        <w:bidi w:val="0"/>
        <w:spacing w:before="12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supplement.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2"/>
        </w:rPr>
      </w:pPr>
      <w:r>
        <w:rPr>
          <w:rFonts w:ascii="Times New Roman" w:hAnsi="Times New Roman"/>
          <w:b/>
          <w:sz w:val="22"/>
        </w:rPr>
        <w:t xml:space="preserve">Jefferies </w:t>
      </w:r>
    </w:p>
    <w:p>
      <w:pPr>
        <w:pStyle w:val="TextBody"/>
        <w:bidi w:val="0"/>
        <w:spacing w:before="120" w:after="0"/>
        <w:jc w:val="center"/>
        <w:rPr>
          <w:rFonts w:ascii="Times New Roman" w:hAnsi="Times New Roman"/>
          <w:b/>
          <w:sz w:val="18"/>
        </w:rPr>
      </w:pPr>
      <w:r>
        <w:rPr>
          <w:rFonts w:ascii="Times New Roman" w:hAnsi="Times New Roman"/>
          <w:b/>
          <w:sz w:val="18"/>
        </w:rPr>
        <w:t xml:space="preserve">The date of this prospectus supplement is November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868133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868133_2">
              <w:r>
                <w:rPr>
                  <w:rStyle w:val="InternetLink"/>
                  <w:rFonts w:ascii="Times New Roman" w:hAnsi="Times New Roman"/>
                  <w:sz w:val="20"/>
                </w:rPr>
                <w:t>Prospectus Supplement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868133_3">
              <w:r>
                <w:rPr>
                  <w:rStyle w:val="InternetLink"/>
                  <w:rFonts w:ascii="Times New Roman" w:hAnsi="Times New Roman"/>
                  <w:sz w:val="20"/>
                </w:rPr>
                <w:t>The Offering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868133_4">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868133_5">
              <w:r>
                <w:rPr>
                  <w:rStyle w:val="InternetLink"/>
                  <w:rFonts w:ascii="Times New Roman" w:hAnsi="Times New Roman"/>
                  <w:sz w:val="20"/>
                </w:rPr>
                <w:t>Special 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868133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868133_8">
              <w:r>
                <w:rPr>
                  <w:rStyle w:val="InternetLink"/>
                  <w:rFonts w:ascii="Times New Roman" w:hAnsi="Times New Roman"/>
                  <w:sz w:val="20"/>
                </w:rPr>
                <w:t>Plan of Distribution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868133_9">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868133_10">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868133_11">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868133_12">
              <w:r>
                <w:rPr>
                  <w:rStyle w:val="InternetLink"/>
                  <w:rFonts w:ascii="Times New Roman" w:hAnsi="Times New Roman"/>
                  <w:sz w:val="20"/>
                </w:rPr>
                <w:t>Incorporation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4">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6">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6a">
              <w:r>
                <w:rPr>
                  <w:rStyle w:val="InternetLink"/>
                  <w:rFonts w:ascii="Times New Roman" w:hAnsi="Times New Roman"/>
                  <w:sz w:val="20"/>
                </w:rPr>
                <w:t xml:space="preserve">Description of Debt Securities </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7">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8">
              <w:r>
                <w:rPr>
                  <w:rStyle w:val="InternetLink"/>
                  <w:rFonts w:ascii="Times New Roman" w:hAnsi="Times New Roman"/>
                  <w:sz w:val="20"/>
                </w:rPr>
                <w:t>Description of Subscription Rights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9">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0">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2">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868133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supplement relates to the offering of our common stock. Before buying any of the common stock that we are offering, we urge you to carefully read this prospectus supplement, the accompanying prospectus, any free writing prospectus that we have authorized for use in connection with this offering, and the information incorporated by reference as described under the headings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in this prospectus supplement. These documents contain important information that you should consider when making your investment decision. Generally, when we refer to this prospectus, we are referring to the prospectus supplement and the accompanying prospectus combined.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describes the terms of this offering of common stock and also adds to and updates information contained in the documents incorporated by reference into this prospectus supplement. To the extent there is a conflict between the information contained in this prospectus supplement, on the one hand, and the information contained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Jefferies has not, authorized anyone to provide you with information different than or inconsistent with the information contained in or incorporated by reference into this prospectus supplement or in any free writing prospectus that we have authorized for use in connection with this offering. We and Jefferies take no responsibility for, and can provide no assurance as to the reliability of, any other information that others may give you. We are not, and Jefferies is not, making an offer to sell these securities in any jurisdiction where the offer or sale is not permitted. You should assume that the information appearing in this prospectus supplement and the documents incorporated by reference into this prospectus supplement, and in any free writing prospectus that we have authorized for use in connection with this offering, is accurate only as of the date of those respective documents, regardless of the time of delivery of those respective documents. Our business, financial condition, results of operations and prospects may have changed since those dates. You should read this prospectus supplement, the documents incorporated by reference into this prospectus supplement, and any free writing prospectus that we have authorized for use in connection with this offering, in their entirety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our common stock only in jurisdictions where offers and sales are permitted. The distribution of this prospectus supplement and the accompanying prospectus and the and the offering of the shares of our common stock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accompanying prospectus by any person in any jurisdiction in which it is unlawful for such person to make such an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868133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of our business highlights certain of the information contained elsewhere in, or incorporated by reference into, this prospectus supplement and the accompanying prospectus. This summary does not contain all of the information that may be important to you. You should carefully read this entire prospectus supplement and the accompanying prospectus, including any information incorporated by reference, which are described under the headings Where You Can Find More Information and Incorporation by Reference herein and therein. In particular, you should carefully consider the risks and uncertainties described under the heading Risk Factors in this prospectus supplement and in the accompanying prospectus, as well as those contained in the other documents incorporated by reference and any related free writing prospectus. As used in this prospectus supplement, unless the context otherwise requires, references to we, us, our, our company, and PMV refer to PMV Pharmaceuticals, Inc., a Delaware corporation, and its subsidiaries taken as a whole.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PC14586 (rezatapopt), is an orally available small molecule designed to potently and selectively correct p53 misfolding caused by a specific p53 mutation, Y220C, while sparing wild-type p53. The p53 Y220C mutation is associated with approximately 1.0% of all cancers, including breast, non-small cell lung cancer, or NSCLC, colorectal, pancreatic and ovarian cancers. PC14586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our PYNNACLE clinical trial has the potential to serve as a pivotal study. In October 2020, we were granted FDA Fast Track Designation of PC14586 for the treatment of patients with locally advanced or metastatic solid tumors that have a p53 Y220C mutation. In July 2023, we concluded our End of Phase 1 meeting with the FDA with alignment on the recommended Phase 2 dose and key elements of the single arm, Phase 2 registrational portion of the PYNNACLE study. In October 2023, we presented our updated Phase 1 clinical data for PC14586 at the 2023 AACR-NCI-EORTC International Conference on Molecular Targets and Cancer Therapeutics Meeting. We are continuing to dose patients in the pivotal Phase 2 monotherapy portion of our PYNNACLE trial, and have activated over 75% of sites globally across the U.S., Europe and Asia-Pacific.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azacytidine in patients harboring a TP53 Y220C mutation. We expect that enrollment for this Phase 1b study will begin in the first quarter of 2025. We also expect to provide interim data on the Phase 2 monotherapy registrational portion of the PYNNACLE trial by mid-2025.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in NGS panels. We believe that our precision oncology platform offers a substantial opportunity to expand the number of patients who will benefit from targeted therapies.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March 2013 under the name PJ Pharmaceuticals, Inc. In July 2013, we changed our name to PMV Pharmaceuticals, Inc. Our principal executive offices are located at 400 Alexander Park Drive, Suite 301, Princeton, New Jersey 08540. Our telephone number is (609) 642-6670. Our website address is www.pmvpharma.com. Information contained on, or that can be accessible through, our website is not a part of this prospectus supplement and the inclusion of our website address in this prospectus supplement is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the PMV Pharmaceuticals logo and other marks as trademarks in the United States and other countries. This prospectus and the documents incorporated herein may contain references to our trademarks and service marks and to those belonging to other entities. Solely for convenience, trademarks and trade names referred to in such documents, including logos, artwork and other visual displays, may appear without the ® or TM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Rule 12b-2 promulgated under the Exchange Act. We will remain a smaller reporting company until we have a non-affiliate public float in excess of $250.0 million and annual revenues in excess of $100.0 million, or a non-affiliate public float in excess of $700.0 million, each as determined on an annual basis. A smaller reporting company may take advantage of relief from some of the reporting requirements and other burdens that are otherwise applicable generally to public companies, such as reduced disclosure obligations regarding executive compensation in this prospectus and our periodic reports and proxy statement. To the extent that we take advantage of these reduced burdens, the information that we provide stockholders may be different than you might obtain from other public companies in which you hold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868133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366"/>
        <w:gridCol w:w="204"/>
        <w:gridCol w:w="6635"/>
      </w:tblGrid>
      <w:tr>
        <w:trPr/>
        <w:tc>
          <w:tcPr>
            <w:tcW w:w="33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Offered by Us</w:t>
            </w:r>
          </w:p>
        </w:tc>
        <w:tc>
          <w:tcPr>
            <w:tcW w:w="204"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Shares of our common stock having an aggregate offering price of up to $113,792,846.40.</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Outstanding After this Offering</w:t>
            </w:r>
          </w:p>
        </w:tc>
        <w:tc>
          <w:tcPr>
            <w:tcW w:w="204"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Up to 123,317,331 shares, assuming the sale of 71,567,827 shares of our common stock in this offering at an offering price of $1.59 per share, which was the closing price of our common stock on the Nasdaq Global Select Market on November 26, 2024. The actual number of shares issued will vary depending on the sales price under this offering.</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0"/>
              <w:jc w:val="left"/>
              <w:rPr>
                <w:rFonts w:ascii="Times New Roman" w:hAnsi="Times New Roman"/>
                <w:sz w:val="20"/>
              </w:rPr>
            </w:pPr>
            <w:r>
              <w:rPr>
                <w:rFonts w:ascii="Times New Roman" w:hAnsi="Times New Roman"/>
                <w:sz w:val="20"/>
              </w:rPr>
              <w:t>Plan of Distribution</w:t>
            </w:r>
          </w:p>
        </w:tc>
        <w:tc>
          <w:tcPr>
            <w:tcW w:w="204"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At the market offering that may be made from time to time through our sales agent, Jefferies. See Plan of Distribution on page S-10.</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204"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We currently anticipate that we will use any net proceeds from this offering, together with our existing cash, cash equivalents and short-term marketable securities, for general corporate purposes, which may include clinical trial and other research and development expenses, commercialization expenses, capital expenditures, working capital and general and administrative expenses, and potential acquisitions or investments in businesses, products and technologies that complement our business. See Use of Proceeds on page S-9.</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0"/>
              <w:jc w:val="left"/>
              <w:rPr>
                <w:rFonts w:ascii="Times New Roman" w:hAnsi="Times New Roman"/>
                <w:sz w:val="20"/>
              </w:rPr>
            </w:pPr>
            <w:r>
              <w:rPr>
                <w:rFonts w:ascii="Times New Roman" w:hAnsi="Times New Roman"/>
                <w:sz w:val="20"/>
              </w:rPr>
              <w:t>Risk Factors</w:t>
            </w:r>
          </w:p>
        </w:tc>
        <w:tc>
          <w:tcPr>
            <w:tcW w:w="204"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Investing in our common stock involves significant risks. You should read the Risk Factors section of this prospectus supplement and in the documents incorporated by reference in this prospectus supplement and accompanying prospectus for a discussion of factors to consider before deciding to purchase shares of our common stock.</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0"/>
              <w:jc w:val="left"/>
              <w:rPr>
                <w:rFonts w:ascii="Times New Roman" w:hAnsi="Times New Roman"/>
                <w:sz w:val="20"/>
              </w:rPr>
            </w:pPr>
            <w:r>
              <w:rPr>
                <w:rFonts w:ascii="Times New Roman" w:hAnsi="Times New Roman"/>
                <w:sz w:val="20"/>
              </w:rPr>
              <w:t>Nasdaq Global Select Market Symbol</w:t>
            </w:r>
          </w:p>
        </w:tc>
        <w:tc>
          <w:tcPr>
            <w:tcW w:w="204"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PMVP</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our shares of common stock to be outstanding after this offering is based on 51,749,504 shares of our common stock outstanding as of September 30, 2024,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8,687,507 shares of our common stock issuable upon the exercise of options outstanding as of September 30, 2024, with a weighted-average exercise price of $2.87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30,000 shares of common stock issuable upon the exercise of options that we granted after September 30, 2024 and through the date of this prospectus supplement, with a weighted-average exercise price of $1.50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4,430,682 shares of common stock reserved for future issuance under our 2020 Equity Incentive Plan as of September 30, 2024, as well as any automatic increases in the number of shares of our common stock reserved for future issuance under this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1,136,410 shares of common stock reserved for future issuance under our 2020 Employee Stock Purchase Plan as of September 30, 2024, as well as any automatic increases in the number of our common stock reserved for future issuance under this plan.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no exercise of outstanding options after September 30,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868133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making a decision to invest in our common stock, you should consider carefully the risks and uncertainties described under the heading Risk Factors contained or incorporated by reference in this prospectus supplement and the accompanying prospectus, including the risk factors incorporated by reference herein from our Annual Report on Form 10-K for the fiscal year ended December 31, 2023 and in our subsequent quarterly reports on Form 10-Q and annual reports on Form 10-K, as updated by our subsequent filings under the Securities and Exchange Act of 1934, as amended, each of which is incorporated by reference in this prospectus supplement in their entirety,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common stock.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common stock to decline, resulting in a loss of all or part of your investment. Please also read carefully the section below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will have broad discretion in the use of any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Our management will have broad discretion in the application of any net proceeds from this offering, including for any of the purposes described in the section titled </w:t>
      </w:r>
      <w:r>
        <w:rPr>
          <w:rFonts w:ascii="Times New Roman" w:hAnsi="Times New Roman"/>
          <w:i/>
          <w:sz w:val="20"/>
        </w:rPr>
        <w:t>Use of Proceeds</w:t>
      </w:r>
      <w:r>
        <w:rPr>
          <w:rFonts w:ascii="Times New Roman" w:hAnsi="Times New Roman"/>
          <w:sz w:val="20"/>
        </w:rPr>
        <w:t xml:space="preserve">, and you will be relying on the judgment of our management regarding the application of these proceeds. You will not have the opportunity, as part of your investment decision, to assess whether the net proceeds are being used appropriately. Our management might not apply the net proceeds in ways that ultimately increase or maintain the value of your investment. If we do not invest or apply any net proceeds from this offering in ways that enhance stockholder value, we may fail to achieve expected financial results, which could cause our stock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our common stock in this offering, you may incur immediate and substantial dilution in the net tangible book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in this offering may exceed the net tangible book value per share of our common stock outstanding prior to this offering. The exercise of outstanding stock options would result in further dilution of your investment.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expect to in the future offer additional shares of common stock or other securities convertible into or exchangeable for our shares of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common stock or other securities convertible into or exchangeable for our shares of common stock in future transactions may be higher or lower than the price per share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actual number of shares we will issue under the sales agreement in this offering,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Jefferies at any time throughout the term of the offering under this prospectus supplement. The number of shares that are sold by Jefferies after delivering a placement notice will fluctuate based on the market price of the shares of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or the gross proceeds to be raised in connection with those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issuances of our common stock in the public markets, or the perception of such sales,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predetermined minimum or maximum sales price. Investors may experience a decline in the value of their shares as a result of share sales made at prices lower than the prices they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 price is and may continue to be volatile and you may not be able to resell our securities at or above the price you paid.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for our common stock is volatile and may fluctuate significantly in response to a number of factors, most of which we cannot control, such as quarterly fluctuations in financial results, the timing and our ability to advance the development of our product candidates or changes in securities analysts recommendations. Each of these factors, among others, could harm your investment in our common stock and could result in your being unable to resell the common stock that you purchase at a price equal to or above the price you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868133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 prospectus, including the documents incorporated or deemed to be incorporated by reference into this prospectus supplement and the accompanying prospectus, contain forward-looking statements. All statements other than statements of historical facts contained in this prospectus supplement,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supplement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cash equivalents and marketable securities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need to raise additional funding before we can expect to generate any revenues from product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funding for our operations, when needed, including funding necessary to complete further development and commercialization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cash equivalents and marketable securities and the proceeds from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market opportunity for our product candidates and our ability to maximize those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research and development programs, preclinical studies, clinical trials and investigational new drug applications, and other regulatory submissions;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and therapeutic effects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for each of our programs including patients expected to have certain p53 mutations and the number of patients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to demonstrate safety and efficacy of our product candidates, and other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clinical development of our product candidates, including the disease areas to be evaluated;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focus of our clinical trials, and the reporting of data from those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benefits of our existing and any potential future strategic collaborations with third parties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 for a tumor-agnostic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candidates, including for additional indications that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 to rely on third parties to conduct and support preclinical and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the continued service of our key personnel and to identify, hire and then retain additional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assumptions, projections and expectations regarding future costs savings and expenses associated with the announced restructuring plan and reduction in force;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geopolitical tensions, such as the Ukraine-Russia war, the ongoing conflict between Israel and Hamas and the ongoing conflict in the Middle East, the impact of other disruptions resulting from public health epidemics, macroeconomic events such as global supply chain challenges, elevated inflation and interest rates and monetary policy changes, instability in the global banking system, or other related disruptions on our business and the execution of our clinical trials. </w:t>
            </w:r>
          </w:p>
        </w:tc>
      </w:tr>
    </w:tbl>
    <w:p>
      <w:pPr>
        <w:pStyle w:val="TextBody"/>
        <w:bidi w:val="0"/>
        <w:spacing w:before="240" w:after="0"/>
        <w:jc w:val="left"/>
        <w:rPr>
          <w:rFonts w:ascii="Times New Roman" w:hAnsi="Times New Roman"/>
          <w:sz w:val="20"/>
        </w:rPr>
      </w:pPr>
      <w:r>
        <w:rPr>
          <w:rFonts w:ascii="Times New Roman" w:hAnsi="Times New Roman"/>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w:t>
      </w:r>
      <w:r>
        <w:rPr>
          <w:rFonts w:ascii="Times New Roman" w:hAnsi="Times New Roman"/>
          <w:i/>
          <w:sz w:val="20"/>
        </w:rPr>
        <w:t>Risk Factors</w:t>
      </w:r>
      <w:r>
        <w:rPr>
          <w:rFonts w:ascii="Times New Roman" w:hAnsi="Times New Roman"/>
          <w:sz w:val="20"/>
        </w:rPr>
        <w:t xml:space="preserve"> and elsewhere in this prospectus supplement.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868133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$113,792,846.40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sales agreement with Jefferies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any net proceeds from this offering for general corporate purposes, which may include clinical trial and other research and development expenses, commercialization expenses, capital expenditures, working capital and general and administrative expenses, and potential acquisitions of or investments in businesses, products and technologies that complement our business. While we have no current agreements, commitments or understandings for any specific acquisitions of or investments in businesses, products and technologies as of the date of this prospectus supplement, we may use a portion of the net proceeds for these purposes. The amounts and timing of our actual expenditures will depend on numerous factors, including our development efforts with respect to our product candidates,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these uses, we intend to invest any net proceeds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868133_8"/>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previously entered into a sales agreement with Jefferies, under which we may offer and sell up to $113,792,846.40 of our shares of common stock from time to time through Jefferies acting as agent. The sales agreement has been incorporated by reference as an exhibit to our registration statement on Form S-3 of which this prospectus supplement forms a part. Sales of our shares of common stock, if any, under this prospectus supplement and the accompanying prospectus will be made by any method that is deemed to be an at the market offering as defined in Rule 415(a)(4)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 </w:t>
      </w:r>
    </w:p>
    <w:p>
      <w:pPr>
        <w:pStyle w:val="TextBody"/>
        <w:bidi w:val="0"/>
        <w:spacing w:before="240" w:after="0"/>
        <w:jc w:val="left"/>
        <w:rPr>
          <w:rFonts w:ascii="Times New Roman" w:hAnsi="Times New Roman"/>
          <w:sz w:val="20"/>
        </w:rPr>
      </w:pPr>
      <w:r>
        <w:rPr>
          <w:rFonts w:ascii="Times New Roman" w:hAnsi="Times New Roman"/>
          <w:sz w:val="20"/>
        </w:rPr>
        <w:t xml:space="preserve">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$450,000. The remaining sale proceeds, after deducting any other transaction fees, will equal our net proceeds from the 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provide written confirmation to us before the open on the Nasdaq Global Select Market on the day following each day on which our shares of common stock are sold under the sales agreement. Each confirmation will include the number of shares sold on that day, the aggregate gross proceeds of such sales and the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days prior notice.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material provisions of the sales agreement does not purport to be a complete statement of its terms and conditions. A copy of the sales agreement is filed as an exhibit to the registration statement of which this prospectus supplement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and the accompanying prospectus in electronic format may be made available on a website maintained by Jefferies, and Jefferies may distribute the prospectus supplement and the accompanying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868133_9"/>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our common stock offered by this prospectus supplement will be passed upon for us by Wilson Sonsini Goodrich &amp; Rosati, Professional Corporation, New York, New York. Certain members of, and investment partnerships comprised of members of, and persons associated with, Wilson Sonsini Goodrich &amp; Rosati, Professional Corporation, owns less than one percent of our common stock. Jefferies LLC is being represented in connection with this offering by Latham &amp; Watkins LLP, Menlo Park, California. </w:t>
      </w:r>
    </w:p>
    <w:p>
      <w:pPr>
        <w:pStyle w:val="TextBody"/>
        <w:bidi w:val="0"/>
        <w:spacing w:before="480" w:after="0"/>
        <w:jc w:val="center"/>
        <w:rPr>
          <w:rFonts w:ascii="Times New Roman" w:hAnsi="Times New Roman"/>
          <w:b/>
          <w:sz w:val="20"/>
        </w:rPr>
      </w:pPr>
      <w:bookmarkStart w:id="11" w:name="supptoc868133_10"/>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PMV Pharmaceuticals, Inc. appearing in PMV Pharmaceuticals, Inc.s Annual Report (Form 10-K) for the year ended December 31, 2023,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480" w:after="0"/>
        <w:jc w:val="center"/>
        <w:rPr>
          <w:rFonts w:ascii="Times New Roman" w:hAnsi="Times New Roman"/>
          <w:b/>
          <w:sz w:val="20"/>
        </w:rPr>
      </w:pPr>
      <w:bookmarkStart w:id="12" w:name="supptoc868133_11"/>
      <w:bookmarkEnd w:id="1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supplement and the inclusion of our website address in this prospectus supplement is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This prospectus supplement and the accompany prospectus are part of a registration statement that we filed with the SEC and do not contain all of the information in the registration statement. The full registration statement may be obtained from the SEC or us, as provided in the section titled </w:t>
      </w:r>
      <w:r>
        <w:rPr>
          <w:rFonts w:ascii="Times New Roman" w:hAnsi="Times New Roman"/>
          <w:i/>
          <w:sz w:val="20"/>
        </w:rPr>
        <w:t>Incorporation by Reference</w:t>
      </w:r>
      <w:r>
        <w:rPr>
          <w:rFonts w:ascii="Times New Roman" w:hAnsi="Times New Roman"/>
          <w:sz w:val="20"/>
        </w:rPr>
        <w:t xml:space="preserve">.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 </w:t>
      </w:r>
    </w:p>
    <w:p>
      <w:pPr>
        <w:pStyle w:val="TextBody"/>
        <w:bidi w:val="0"/>
        <w:spacing w:before="480" w:after="0"/>
        <w:jc w:val="center"/>
        <w:rPr>
          <w:rFonts w:ascii="Times New Roman" w:hAnsi="Times New Roman"/>
          <w:b/>
          <w:sz w:val="20"/>
        </w:rPr>
      </w:pPr>
      <w:bookmarkStart w:id="13" w:name="supptoc868133_12"/>
      <w:bookmarkEnd w:id="13"/>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rather than filed, including Items 2.02 or 7.01 of any Current Report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Form 8-K and, except as may be noted in any such Form 8-K, exhibits filed on such form that are related to such information), until the offering of the securities under this prospectus supplement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4">
              <w:r>
                <w:rPr>
                  <w:rStyle w:val="InternetLink"/>
                  <w:rFonts w:ascii="Times New Roman" w:hAnsi="Times New Roman"/>
                  <w:sz w:val="20"/>
                </w:rPr>
                <w:t>March 31, 2024</w:t>
              </w:r>
            </w:hyperlink>
            <w:r>
              <w:rPr>
                <w:rFonts w:ascii="Times New Roman" w:hAnsi="Times New Roman"/>
                <w:sz w:val="20"/>
              </w:rPr>
              <w:t xml:space="preserve">, filed with the SEC on May 9, 2024, </w:t>
            </w:r>
            <w:hyperlink r:id="rId5">
              <w:r>
                <w:rPr>
                  <w:rStyle w:val="InternetLink"/>
                  <w:rFonts w:ascii="Times New Roman" w:hAnsi="Times New Roman"/>
                  <w:sz w:val="20"/>
                </w:rPr>
                <w:t>June 30, 2024</w:t>
              </w:r>
            </w:hyperlink>
            <w:r>
              <w:rPr>
                <w:rFonts w:ascii="Times New Roman" w:hAnsi="Times New Roman"/>
                <w:sz w:val="20"/>
              </w:rPr>
              <w:t xml:space="preserve">, filed with the SEC on August 8, 2024 and </w:t>
            </w:r>
            <w:hyperlink r:id="rId6">
              <w:r>
                <w:rPr>
                  <w:rStyle w:val="InternetLink"/>
                  <w:rFonts w:ascii="Times New Roman" w:hAnsi="Times New Roman"/>
                  <w:sz w:val="20"/>
                </w:rPr>
                <w:t>September 30, 2024</w:t>
              </w:r>
            </w:hyperlink>
            <w:r>
              <w:rPr>
                <w:rFonts w:ascii="Times New Roman" w:hAnsi="Times New Roman"/>
                <w:sz w:val="20"/>
              </w:rPr>
              <w:t xml:space="preserve">, filed with the SEC on November 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5, 2024</w:t>
              </w:r>
            </w:hyperlink>
            <w:r>
              <w:rPr>
                <w:rFonts w:ascii="Times New Roman" w:hAnsi="Times New Roman"/>
                <w:sz w:val="20"/>
              </w:rPr>
              <w:t xml:space="preserve">, </w:t>
            </w:r>
            <w:hyperlink r:id="rId8">
              <w:r>
                <w:rPr>
                  <w:rStyle w:val="InternetLink"/>
                  <w:rFonts w:ascii="Times New Roman" w:hAnsi="Times New Roman"/>
                  <w:sz w:val="20"/>
                </w:rPr>
                <w:t>January  18, 2024</w:t>
              </w:r>
            </w:hyperlink>
            <w:r>
              <w:rPr>
                <w:rFonts w:ascii="Times New Roman" w:hAnsi="Times New Roman"/>
                <w:sz w:val="20"/>
              </w:rPr>
              <w:t xml:space="preserve">, </w:t>
            </w:r>
            <w:hyperlink r:id="rId9">
              <w:r>
                <w:rPr>
                  <w:rStyle w:val="InternetLink"/>
                  <w:rFonts w:ascii="Times New Roman" w:hAnsi="Times New Roman"/>
                  <w:sz w:val="20"/>
                </w:rPr>
                <w:t>June  7, 2024</w:t>
              </w:r>
            </w:hyperlink>
            <w:r>
              <w:rPr>
                <w:rFonts w:ascii="Times New Roman" w:hAnsi="Times New Roman"/>
                <w:sz w:val="20"/>
              </w:rPr>
              <w:t xml:space="preserve"> and </w:t>
            </w:r>
            <w:hyperlink r:id="rId10">
              <w:r>
                <w:rPr>
                  <w:rStyle w:val="InternetLink"/>
                  <w:rFonts w:ascii="Times New Roman" w:hAnsi="Times New Roman"/>
                  <w:sz w:val="20"/>
                </w:rPr>
                <w:t>August 8,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11">
              <w:r>
                <w:rPr>
                  <w:rStyle w:val="InternetLink"/>
                  <w:rFonts w:ascii="Times New Roman" w:hAnsi="Times New Roman"/>
                  <w:sz w:val="20"/>
                </w:rPr>
                <w:t>Schedule 14A</w:t>
              </w:r>
            </w:hyperlink>
            <w:r>
              <w:rPr>
                <w:rFonts w:ascii="Times New Roman" w:hAnsi="Times New Roman"/>
                <w:sz w:val="20"/>
              </w:rPr>
              <w:t xml:space="preserve"> (other than information furnished rather than filed) that are incorporated by reference into our Annual Report on Form 10-K for the year ended December 31, 2023, filed with the SEC on April 24,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the Registration Statement on </w:t>
            </w:r>
            <w:hyperlink r:id="rId12">
              <w:r>
                <w:rPr>
                  <w:rStyle w:val="InternetLink"/>
                  <w:rFonts w:ascii="Times New Roman" w:hAnsi="Times New Roman"/>
                  <w:sz w:val="20"/>
                </w:rPr>
                <w:t>Form 8-A</w:t>
              </w:r>
            </w:hyperlink>
            <w:r>
              <w:rPr>
                <w:rFonts w:ascii="Times New Roman" w:hAnsi="Times New Roman"/>
                <w:sz w:val="20"/>
              </w:rPr>
              <w:t xml:space="preserve"> relating thereto, filed on September  21, 2020, as updated by the description of our common stock contained in </w:t>
            </w:r>
            <w:hyperlink r:id="rId13">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2020, filed with the SEC on March 3, 2021,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PMV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400 Alexander Park Drive, Suite 301 </w:t>
      </w:r>
    </w:p>
    <w:p>
      <w:pPr>
        <w:pStyle w:val="TextBody"/>
        <w:bidi w:val="0"/>
        <w:spacing w:before="0" w:after="0"/>
        <w:jc w:val="center"/>
        <w:rPr>
          <w:rFonts w:ascii="Times New Roman" w:hAnsi="Times New Roman"/>
          <w:sz w:val="20"/>
        </w:rPr>
      </w:pPr>
      <w:r>
        <w:rPr>
          <w:rFonts w:ascii="Times New Roman" w:hAnsi="Times New Roman"/>
          <w:sz w:val="20"/>
        </w:rPr>
        <w:t xml:space="preserve">Princeton, New Jersey 08540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(609) 642-6670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81425"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3781425" cy="762000"/>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48"/>
        </w:rPr>
      </w:pPr>
      <w:r>
        <w:rPr>
          <w:rFonts w:ascii="Times New Roman" w:hAnsi="Times New Roman"/>
          <w:b/>
          <w:sz w:val="48"/>
        </w:rPr>
        <w:t xml:space="preserve">PMV Pharmaceuticals, Inc. </w:t>
      </w:r>
    </w:p>
    <w:p>
      <w:pPr>
        <w:pStyle w:val="TextBody"/>
        <w:bidi w:val="0"/>
        <w:spacing w:before="240" w:after="0"/>
        <w:jc w:val="center"/>
        <w:rPr>
          <w:rFonts w:ascii="Times New Roman" w:hAnsi="Times New Roman"/>
          <w:b/>
          <w:sz w:val="36"/>
        </w:rPr>
      </w:pPr>
      <w:r>
        <w:rPr>
          <w:rFonts w:ascii="Times New Roman" w:hAnsi="Times New Roman"/>
          <w:b/>
          <w:sz w:val="36"/>
        </w:rPr>
        <w:t xml:space="preserve">$200,000,000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covered by this prospectus may be sold by PMV Pharmaceuticals, Inc.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from time to time in one or more offerings, in amounts, at prices and on terms determined at the time of offering, of up to $200,000,000 in the aggregate.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PMVP. On November 19, 2024, the last reported sale price of our common stock on the Nasdaq Global Select Market was $1.59 per share. Each prospectus supplement will indicate whether the securities offered thereby will be listed on any securities exchange.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OUR SECURITIES INVOLVES A HIGH DEGREE OF RISK. PLEASE CAREFULLY READ THE INFORMATION UNDER THE HEADINGS </w:t>
      </w:r>
      <w:hyperlink w:anchor="toc868133_3">
        <w:r>
          <w:rPr>
            <w:rStyle w:val="InternetLink"/>
            <w:rFonts w:ascii="Times New Roman" w:hAnsi="Times New Roman"/>
            <w:b/>
            <w:sz w:val="24"/>
          </w:rPr>
          <w:t>RISK FACTORS</w:t>
        </w:r>
      </w:hyperlink>
      <w:r>
        <w:rPr>
          <w:rFonts w:ascii="Times New Roman" w:hAnsi="Times New Roman"/>
          <w:b/>
          <w:sz w:val="24"/>
        </w:rPr>
        <w:t xml:space="preserve"> BEGINNING ON PAGE 4 OF THIS PROSPECTUS AND ANY SIMILAR SECTION CONTAINED IN THE APPLICABLE PROSPECTUS SUPPLEMENT AND ITEM 1A  RISK FACTORS OF OUR MOST RECENT REPORT ON FORM 10-K OR 10-Q THAT IS INCORPORATED BY REFERENCE IN THIS PROSPECTUS BEFORE YOU INVEST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November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4">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6">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6a">
              <w:r>
                <w:rPr>
                  <w:rStyle w:val="InternetLink"/>
                  <w:rFonts w:ascii="Times New Roman" w:hAnsi="Times New Roman"/>
                  <w:sz w:val="20"/>
                </w:rPr>
                <w:t xml:space="preserve">Description of Debt Securities </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7">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8">
              <w:r>
                <w:rPr>
                  <w:rStyle w:val="InternetLink"/>
                  <w:rFonts w:ascii="Times New Roman" w:hAnsi="Times New Roman"/>
                  <w:sz w:val="20"/>
                </w:rPr>
                <w:t>Description of Subscription Rights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9">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0">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2">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68133_1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868133_1"/>
      <w:bookmarkEnd w:id="14"/>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filed with the U.S. Securities and Exchange Commission, or the SEC, under the Securities Act of 1933, as amended, or the Securities Act, using a shelf registration process. By using a shelf registration statement, we may sell securities from time to time and in one or more offerings as described in this prospectus for an aggregate offering amount of up to $200,000,000. Each time that we offer and sell securities pursuant to this prospectus,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carefully read this prospectus, the applicable prospectus supplement and any related free writing prospectus, together with the additional information described under the heading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or to make any representations other than those contained or incorporated by reference in this prospectus, the applicable prospectus supplement or in any related free writing prospectus prepared by or on behalf of us to which we have referred you. We take no responsibility for, and can provide no assurance as to the reliability of, any other information that others may give you. You should assume that the information appearing in this prospectus, the applicable prospectus supplement to this prospectus and any related free writing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materially since those dates. This prospectus and the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5" w:name="toc868133_2"/>
      <w:bookmarkEnd w:id="1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PMV Pharmaceuticals, Inc., we, our and us refer, collectively, to PMV Pharmaceuticals, Inc., a Delaware corporation, and its subsidiaries taken as a whole.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PC14586 (rezatapopt), is an orally available small molecule designed to potently and selectively correct p53 misfolding caused by a specific p53 mutation, Y220C, while sparing wild-type p53. The p53 Y220C mutation is associated with approximately 1.0% of all cancers, including breast, non-small cell lung cancer, or NSCLC, colorectal, pancreatic and ovarian cancers. PC14586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our PYNNACLE clinical trial has the potential to serve as a pivotal study. In October 2020, we were granted FDA Fast Track Designation of PC14586 for the treatment of patients with locally advanced or metastatic solid tumors that have a p53 Y220C mutation. In July 2023, we concluded our End of Phase 1 meeting with the FDA with alignment on the recommended Phase 2 dose and key elements of the single arm, Phase 2 registrational portion of the PYNNACLE study. In October 2023, we presented our updated Phase 1 clinical data for PC14586 at the 2023 AACR-NCI-EORTC International Conference on Molecular Targets and Cancer Therapeutics Meeting. We are continuing to dose patients in the pivotal Phase 2 monotherapy portion of our PYNNACLE trial, and have activated over 75% of sites globally across the U.S., Europe and Asia-Pacific.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azacytidine in patients harboring a TP53 Y220C mutation. We expect that enrollment for this Phase 1b study will begin in the first quarter of 2025. We also expect to provide interim data on the Phase 2 monotherapy registrational portion of the PYNNACLE trial by mid-2025.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better understanding of mutations that drive cancers have facilitated the development of precise, gene- and protein-specific drugs known as targeted therapies. Targeted therapies have the potential to transform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in NGS panels. We believe that our precision oncology platform offers a substantial opportunity to expand the number of patients who will benefit from targeted therapies.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March 2013 under the name PJ Pharmaceuticals, Inc. In July 2013, we changed our name to PMV Pharmaceuticals, Inc. Our principal executive offices are located at 400 Alexander Park Drive, Suite 301, Princeton, New Jersey 08540. Our telephone number is (609) 642-6670. Our website address is www.pmvpharma.com. Information contained on, or that can be accessible through, our website is not a part of this prospectus and the inclusion of our website address in this prospectus is an inactive textual reference only.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That May Be Offered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or sell common stock, preferred stock, debt securities, warrants, subscription rights, purchase contracts and units in one or more offerings and in any combination for an aggregate offering amount of up to $200,000,000. Each time securities are offered with this prospectus, we will provide a prospectus supplement that will describe the specific amounts, prices and terms of the securities being offered and the net proceeds we expect to receive from that sale.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securities may be sold to or through underwriters, dealers or agents or directly to purchasers or as otherwise set forth in the section of this prospectus captioned </w:t>
      </w:r>
      <w:r>
        <w:rPr>
          <w:rFonts w:ascii="Times New Roman" w:hAnsi="Times New Roman"/>
          <w:i/>
          <w:sz w:val="20"/>
          <w:bdr w:val="single" w:sz="8" w:space="1" w:color="000000"/>
        </w:rPr>
        <w:t>Plan of Distribution</w:t>
      </w:r>
      <w:r>
        <w:rPr>
          <w:rFonts w:ascii="Times New Roman" w:hAnsi="Times New Roman"/>
          <w:sz w:val="20"/>
          <w:bdr w:val="single" w:sz="8" w:space="1" w:color="000000"/>
        </w:rPr>
        <w:t xml:space="preserve">. Each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par value $0.00001 per share, either alone or underlying other registered securities convertible into our common stock. Holders of our common stock are entitled to receive dividends, if any, as may be declared from time to time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warrants for the purchase of common stock, preferred stock or debt securities. We may offer warrants independently or together with other securities.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Subscription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Purchase Contracts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purchase contracts, including contracts obligating holders or us to purchase from the other a specific or variable number of securities at a future date or dates.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units comprised of one or more of the other classes of securities described in this prospectus in any combination. Each unit will be issued so that the holder of the unit is also the holder of each security included in the unit.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Rule 12b-2 promulgated under the Securities Exchange Act of 1934, as amended, or the Exchange Act. We will remain a smaller reporting company until we have a non-affiliate public float in excess of $250.0 million and annual revenues in excess of $100.0 million, or a non-affiliate public float in excess of $700.0 million, each as determined on an annual basis. A smaller reporting company may take advantage of relief from some of the reporting requirements and other burdens that are otherwise applicable generally to public companies, such as reduced disclosure obligations regarding executive compensation in this prospectus and our periodic reports and proxy statement. To the extent that we take advantage of these reduced burdens, the information that we provide stockholders may be different than you might obtain from other public companies in which you hold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868133_3"/>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and any applicable free writing prospectus or appearing or incorporated by reference in this prospectus. You should also consider the risks, uncertainties and assumptions discussed under </w:t>
      </w:r>
      <w:r>
        <w:rPr>
          <w:rFonts w:ascii="Times New Roman" w:hAnsi="Times New Roman"/>
          <w:i/>
          <w:sz w:val="20"/>
        </w:rPr>
        <w:t>Part IItem 1ARisk Factors</w:t>
      </w:r>
      <w:r>
        <w:rPr>
          <w:rFonts w:ascii="Times New Roman" w:hAnsi="Times New Roman"/>
          <w:sz w:val="20"/>
        </w:rPr>
        <w:t> of our most recent Annual Report on Form 10-K and in </w:t>
      </w:r>
      <w:r>
        <w:rPr>
          <w:rFonts w:ascii="Times New Roman" w:hAnsi="Times New Roman"/>
          <w:i/>
          <w:sz w:val="20"/>
        </w:rPr>
        <w:t>Part IIItem 1ARisk Factors</w:t>
      </w:r>
      <w:r>
        <w:rPr>
          <w:rFonts w:ascii="Times New Roman" w:hAnsi="Times New Roman"/>
          <w:sz w:val="20"/>
        </w:rPr>
        <w:t xml:space="preserve"> in our most recent Quarterly Report on Form 10-Q filed subsequent to such Form 10-K or Current Reports on Form 8-K we file after the date of this prospectus,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868133_4"/>
      <w:bookmarkEnd w:id="1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each prospectus supplement and any free writing prospectus and the information incorporated by reference in this prospectus, each prospectus supplement and any free writing prospectus contain certain statements that constitute forward-looking statements within the meaning of Section 27A of the Securities Act and Section 21E of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any free writing prospectus and the documents incorporated herein and therein by reference, particularly in the sections captioned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868133_5"/>
      <w:bookmarkEnd w:id="1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our intended use for the net proceeds received from the sale of any securities. We will retain broad discretion over the use of the net proceeds to us from the sale of our securities under this prospectus. Pending our use of the net proceeds from the sale of our securities, we intend to invest the net proceeds in bank deposits, money market funds, treasury obligations, and investment-grade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868133_6"/>
      <w:bookmarkEnd w:id="19"/>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these documents have been filed with the SEC as exhibits to our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1,000,000,000 shares of common stock, par value $0.00001 per share, and 5,000,000 shares of preferred stock, par value $0.00001 per share. The number of beneficial stockholders is substantially greater than the number of stockholders of record as a large portion of our common stock is held through brokerage firms.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common stock is entitled to one vote for each share on all matters submitted to a vote of the stockholders, including the election of directors. Our stockholders do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holders of our common stock are entitled to receive dividends, if any, as may be declared from time to time by our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All of our outstanding shares of common stock are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we may issue will be fully paid and nonassessable upon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Certain Provisions of Delaware Law, Our Amended and Restated Certificate of Incorporation and Our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General Corporation Law of the State of Delaware, or DGCL, and certain provisions of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is divided into three classes, designated Class I, Class II and Class III. Each class contains an equal number of directors, as nearly as possible, consisting of one third of the total number of directors constituting the entire board of directors. The directors in each class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may only remove a director for cause by a vote of at least a majority of the voting power of the issued and outstanding capital stock of our company entitled to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only our board of directors to fill vacant directorships.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do not have the right to cumulate votes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except as otherwise required by law or subject to the terms of any series of preferred stock, special meetings of the stockholders may be called only by the chairperson of our board of directors, our Chief Executive Officer, our President or our board of directors acting pursuant to a resolution adopted by a majority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Advance Notice Procedures for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must be delivered to and received at our principal executive offices before notice of the meeting is issued by the secretary of the company, with such notice being served not less than 90 nor more than 120 days before the meeting. Although our amended and restated bylaws do not give the board of directors the power to approve or disapprove stockholder nominations of candidates to be elected at an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any action to be taken by the stockholders must be effected at a duly called annual or special meeting of stockholders and may not be effected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Amending our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may be amended or altered in any manner provided by the DGCL, except that amendment of certain provisions would require the approval of two-thirds of the voting power of our then outstanding voting securities, voting together as a single class.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at least two-thirds of the total voting power of our then outstanding voting securities, voting together as a single class. Additionally, our amended and restated certificate of incorporation provides that our bylaws may be amended, altered or repealed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but unissued shares of common stock and preferred stock will be available for future issuances without stockholder approval, except as required by the listing standards of the Nasdaq Global Select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Business Combinations with Interested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PMVP.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 and registrars address is 55 Challenger Road, 2nd Floor, Ridgefield Park, NJ 07660. The transfer agent and registrars telephone number is (800) 937-5449.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868133_6a"/>
      <w:bookmarkEnd w:id="2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 Unless the context requires otherwise, whenever we refer to an indenture, we are also referring to any supplemental indentures or forms of debt securities that specify the terms of a particular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offer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which may be sold at a discount below their stated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forms of the debt securities and whether the debt securities will be issued in the form of certificated debt securities or global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or premium or interest,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more than one trustee or a different trustee, the identity of the trustee and, if not the trustee, the identity of each security registrar, paying agent or authenticating agent with respect to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titled Global Debt Securities and Book-Entry System, below, book-entry debt securities will not be issuable in certificated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Debt Securities and 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Each global debt security representing book-entry debt securities will be deposited with, or on behalf of, the depositary, and registered in the name of the depositary or a nominee of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below),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unless otherwise provided by the terms of the applicable series of debt securities, we may be discharged from any and all obligations in respect of the debt securities of any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certain exceptions). We will be so discharged upon the irrevocable deposit with the trustee, in trust, of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or United States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this as covenant defeasance. 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will not result in a breach or violation of, or constitute a default under the indenture or any other agreement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applicable series of debt securities shall have occurred or is continuing on the date of such deposit;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868133_7"/>
      <w:bookmarkEnd w:id="21"/>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warrants to purchase debt securities, preferred stock or common stock. We may offer warrants separately or together with one or more additional warrants, debt securities, preferred stock or common stock, or any combination of those securities in the form of units, as described in the applicable prospectus supplement and any free writing prospectus. If we issue warrants as part of a unit, the applicable prospectus supplement and any free writing prospectus will specify whether those warrants may be separated from the other securities in the unit prior to the expiration date of the warrants. The applicable prospectus supplement and any free writing prospectus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debt securities, preferred stock or common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preferred stock or the number of shares of common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868133_8"/>
      <w:bookmarkEnd w:id="22"/>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subscription rights we offer, if any, will, to the extent applicable, include specific terms relating to the offering,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payable for our common stock, preferred stock, debt securities, warrants or units consisting of some or all of these securities upon the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subscription rights to be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terms of our common stock, preferred stock, debt securities, warrants or units consisting of some or all of these securities which may be purchased per each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the terms, procedures and limitations relating to the exchange and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subscription rights shall commence, and the date on which the subscription rights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may include an over-subscription privilege with respect to unsubscribed securities or an over-allotment privilege to the extent the securities are fully subscribed;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purchase arrangement which may be entered into by us in connection with the offering of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868133_9"/>
      <w:bookmarkEnd w:id="23"/>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and any free writing prospectus.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and any free writing prospectus may differ from the terms we describe below, you should rely solely on information in the applicable prospectus supplement and any free writing prospectus if that applicable summary is different from the summary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and any free writing prospectus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purchase contracts, certain terms of that series of purchase contracts will be described in the applicable prospectus supplement, including, without limitation,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securities or other property subject to the purchase contracts (which may be determined by reference to a specific formula described in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issued separately, or as a part of units each consisting of a purchase contract and one or more of our other securities, including U.S. Treasury securities, securing the holders obligations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 for us to make periodic payments to holders or vice versa, and whether the payments are unsecured or pre-funded;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obligate the holder or us to purchase or sell, or both purchase and sell, the securities subject to purchase under the purchase contract, and the nature and amount of each of those securities, or the method of determining those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prepaid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settled by delivery, or by reference or linkage to the value, performance or level of the securities subject to purchase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acceleration, cancellation, termination or other provisions relating to the settlement of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will be issued in fully registered or global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purchase contracts and any securities subject to such purchase contracts.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868133_10"/>
      <w:bookmarkEnd w:id="24"/>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868133_11"/>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our securities from time to time in one or more transactions. We may sell securities to or through underwriters, dealers, agents, remarketing firms or other third parties to directly to one or more purchasers or through a combination of any of these methods. We may issue the securities as a dividend or distribution or in a subscription rights offering to our existing securityholders, if legally permitted. In some cases, we or dealers acting with us or on behalf of us may also purchase our securities and reoffer them to the public. We may also offer and sell, or agree to deliver, our securities pursuant to, or in connection with, any option agreement or other contractual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that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supplement is delivered, we will sell such securities to the dealer, as principal. The dealer may then resell such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that they may enter into with us to indemnification by us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and other persons acting as agents will not have any responsibility in respect of the validity or performance of delayed delivery contracts.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868133_12"/>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on behalf of PMV Pharmaceuticals, Inc. will be passed upon for us by Wilson Sonsini Goodrich &amp; Rosati, Professional Corporation, New York, New York. Certain members of, and investment partnerships comprised of members of, and persons associated with, Wilson Sonsini Goodrich &amp; Rosati, Professional Corporation own less than one percent of our common stock.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27" w:name="toc868133_13"/>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PMV Pharmaceuticals, Inc. appearing in PMV Pharmaceuticals, Inc.s Annual Report (Form 10-K) for the year ended December 31, 2023,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480" w:after="0"/>
        <w:jc w:val="center"/>
        <w:rPr>
          <w:rFonts w:ascii="Times New Roman" w:hAnsi="Times New Roman"/>
          <w:b/>
          <w:sz w:val="20"/>
        </w:rPr>
      </w:pPr>
      <w:bookmarkStart w:id="28" w:name="toc868133_14"/>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and the inclusion of our website address in this prospectus is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480" w:after="0"/>
        <w:jc w:val="center"/>
        <w:rPr>
          <w:rFonts w:ascii="Times New Roman" w:hAnsi="Times New Roman"/>
          <w:b/>
          <w:sz w:val="20"/>
        </w:rPr>
      </w:pPr>
      <w:bookmarkStart w:id="29" w:name="toc868133_15"/>
      <w:bookmarkEnd w:id="29"/>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rather than filed, including Items 2.02 or 7.01 of any Current Report on Form 8-K and, except as may be noted in any such Form 8-K, exhibits filed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form that are related to such information), until the offering of the securities under the registration statement of which this prospectus forms a part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16">
              <w:r>
                <w:rPr>
                  <w:rStyle w:val="InternetLink"/>
                  <w:rFonts w:ascii="Times New Roman" w:hAnsi="Times New Roman"/>
                  <w:sz w:val="20"/>
                </w:rPr>
                <w:t>March 31, 2024</w:t>
              </w:r>
            </w:hyperlink>
            <w:r>
              <w:rPr>
                <w:rFonts w:ascii="Times New Roman" w:hAnsi="Times New Roman"/>
                <w:sz w:val="20"/>
              </w:rPr>
              <w:t xml:space="preserve">, filed with the SEC on May 9, 2024, </w:t>
            </w:r>
            <w:hyperlink r:id="rId17">
              <w:r>
                <w:rPr>
                  <w:rStyle w:val="InternetLink"/>
                  <w:rFonts w:ascii="Times New Roman" w:hAnsi="Times New Roman"/>
                  <w:sz w:val="20"/>
                </w:rPr>
                <w:t>June 30, 2024</w:t>
              </w:r>
            </w:hyperlink>
            <w:r>
              <w:rPr>
                <w:rFonts w:ascii="Times New Roman" w:hAnsi="Times New Roman"/>
                <w:sz w:val="20"/>
              </w:rPr>
              <w:t xml:space="preserve">, filed with the SEC on August 8, 2024 and </w:t>
            </w:r>
            <w:hyperlink r:id="rId18">
              <w:r>
                <w:rPr>
                  <w:rStyle w:val="InternetLink"/>
                  <w:rFonts w:ascii="Times New Roman" w:hAnsi="Times New Roman"/>
                  <w:sz w:val="20"/>
                </w:rPr>
                <w:t>September 30, 2024</w:t>
              </w:r>
            </w:hyperlink>
            <w:r>
              <w:rPr>
                <w:rFonts w:ascii="Times New Roman" w:hAnsi="Times New Roman"/>
                <w:sz w:val="20"/>
              </w:rPr>
              <w:t xml:space="preserve">, filed with the SEC on November 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9">
              <w:r>
                <w:rPr>
                  <w:rStyle w:val="InternetLink"/>
                  <w:rFonts w:ascii="Times New Roman" w:hAnsi="Times New Roman"/>
                  <w:sz w:val="20"/>
                </w:rPr>
                <w:t>January 5, 2024</w:t>
              </w:r>
            </w:hyperlink>
            <w:r>
              <w:rPr>
                <w:rFonts w:ascii="Times New Roman" w:hAnsi="Times New Roman"/>
                <w:sz w:val="20"/>
              </w:rPr>
              <w:t xml:space="preserve">, </w:t>
            </w:r>
            <w:hyperlink r:id="rId20">
              <w:r>
                <w:rPr>
                  <w:rStyle w:val="InternetLink"/>
                  <w:rFonts w:ascii="Times New Roman" w:hAnsi="Times New Roman"/>
                  <w:sz w:val="20"/>
                </w:rPr>
                <w:t>January  18, 2024</w:t>
              </w:r>
            </w:hyperlink>
            <w:r>
              <w:rPr>
                <w:rFonts w:ascii="Times New Roman" w:hAnsi="Times New Roman"/>
                <w:sz w:val="20"/>
              </w:rPr>
              <w:t xml:space="preserve">, </w:t>
            </w:r>
            <w:hyperlink r:id="rId21">
              <w:r>
                <w:rPr>
                  <w:rStyle w:val="InternetLink"/>
                  <w:rFonts w:ascii="Times New Roman" w:hAnsi="Times New Roman"/>
                  <w:sz w:val="20"/>
                </w:rPr>
                <w:t>June  7, 2024</w:t>
              </w:r>
            </w:hyperlink>
            <w:r>
              <w:rPr>
                <w:rFonts w:ascii="Times New Roman" w:hAnsi="Times New Roman"/>
                <w:sz w:val="20"/>
              </w:rPr>
              <w:t xml:space="preserve"> and </w:t>
            </w:r>
            <w:hyperlink r:id="rId22">
              <w:r>
                <w:rPr>
                  <w:rStyle w:val="InternetLink"/>
                  <w:rFonts w:ascii="Times New Roman" w:hAnsi="Times New Roman"/>
                  <w:sz w:val="20"/>
                </w:rPr>
                <w:t>August 8,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23">
              <w:r>
                <w:rPr>
                  <w:rStyle w:val="InternetLink"/>
                  <w:rFonts w:ascii="Times New Roman" w:hAnsi="Times New Roman"/>
                  <w:sz w:val="20"/>
                </w:rPr>
                <w:t>Schedule 14A</w:t>
              </w:r>
            </w:hyperlink>
            <w:r>
              <w:rPr>
                <w:rFonts w:ascii="Times New Roman" w:hAnsi="Times New Roman"/>
                <w:sz w:val="20"/>
              </w:rPr>
              <w:t xml:space="preserve"> (other than information furnished rather than filed) that are incorporated by reference into our Annual Report on Form 10-K for the year ended December 31, 2023, filed with the SEC on April 24,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the Registration Statement on </w:t>
            </w:r>
            <w:hyperlink r:id="rId24">
              <w:r>
                <w:rPr>
                  <w:rStyle w:val="InternetLink"/>
                  <w:rFonts w:ascii="Times New Roman" w:hAnsi="Times New Roman"/>
                  <w:sz w:val="20"/>
                </w:rPr>
                <w:t>Form 8-A</w:t>
              </w:r>
            </w:hyperlink>
            <w:r>
              <w:rPr>
                <w:rFonts w:ascii="Times New Roman" w:hAnsi="Times New Roman"/>
                <w:sz w:val="20"/>
              </w:rPr>
              <w:t xml:space="preserve"> relating thereto, filed on September  21, 2020, as updated by the description of our common stock contained in </w:t>
            </w:r>
            <w:hyperlink r:id="rId25">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2020, filed with the SEC on March 3, 2021,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PMV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400 Alexander Park Drive, Suite 301 </w:t>
      </w:r>
    </w:p>
    <w:p>
      <w:pPr>
        <w:pStyle w:val="TextBody"/>
        <w:bidi w:val="0"/>
        <w:spacing w:before="0" w:after="0"/>
        <w:jc w:val="center"/>
        <w:rPr>
          <w:rFonts w:ascii="Times New Roman" w:hAnsi="Times New Roman"/>
          <w:sz w:val="20"/>
        </w:rPr>
      </w:pPr>
      <w:r>
        <w:rPr>
          <w:rFonts w:ascii="Times New Roman" w:hAnsi="Times New Roman"/>
          <w:sz w:val="20"/>
        </w:rPr>
        <w:t xml:space="preserve">Princeton, New Jersey 08540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(609) 642-6670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81425" cy="76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3781425" cy="7620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2"/>
        </w:rPr>
      </w:pPr>
      <w:r>
        <w:rPr>
          <w:rFonts w:ascii="Times New Roman" w:hAnsi="Times New Roman"/>
          <w:b/>
          <w:sz w:val="32"/>
        </w:rPr>
        <w:t xml:space="preserve">Up to $113,792,846.40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0" w:after="0"/>
        <w:jc w:val="center"/>
        <w:rPr>
          <w:rFonts w:ascii="Times New Roman" w:hAnsi="Times New Roman"/>
          <w:b/>
          <w:sz w:val="28"/>
        </w:rPr>
      </w:pPr>
      <w:r>
        <w:rPr>
          <w:rFonts w:ascii="Times New Roman" w:hAnsi="Times New Roman"/>
          <w:b/>
          <w:sz w:val="28"/>
        </w:rPr>
        <w:t xml:space="preserve">Jefferies </w:t>
      </w:r>
    </w:p>
    <w:p>
      <w:pPr>
        <w:pStyle w:val="TextBody"/>
        <w:bidi w:val="0"/>
        <w:spacing w:before="0" w:after="0"/>
        <w:jc w:val="left"/>
        <w:rPr/>
      </w:pPr>
      <w:r>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November 27,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99382/000095017024023062/pmvp-20231231.htm" TargetMode="External"/><Relationship Id="rId4" Type="http://schemas.openxmlformats.org/officeDocument/2006/relationships/hyperlink" Target="http://www.sec.gov/Archives/edgar/data/../../../ix?doc=/Archives/edgar/data/1699382/000095017024056295/pmvp-20240331.htm" TargetMode="External"/><Relationship Id="rId5" Type="http://schemas.openxmlformats.org/officeDocument/2006/relationships/hyperlink" Target="http://www.sec.gov/Archives/edgar/data/../../../ix?doc=/Archives/edgar/data/1699382/000095017024093343/pmvp-20240630.htm" TargetMode="External"/><Relationship Id="rId6" Type="http://schemas.openxmlformats.org/officeDocument/2006/relationships/hyperlink" Target="http://www.sec.gov/Archives/edgar/data/../../../ix?doc=/Archives/edgar/data/1699382/000095017024122817/pmvp-20240930.htm" TargetMode="External"/><Relationship Id="rId7" Type="http://schemas.openxmlformats.org/officeDocument/2006/relationships/hyperlink" Target="http://www.sec.gov/Archives/edgar/data/../../../ix?doc=/Archives/edgar/data/1699382/000119312524003348/d104934d8k.htm" TargetMode="External"/><Relationship Id="rId8" Type="http://schemas.openxmlformats.org/officeDocument/2006/relationships/hyperlink" Target="http://www.sec.gov/Archives/edgar/data/../../../ix?doc=/Archives/edgar/data/1699382/000119312524010177/d695291d8k.htm" TargetMode="External"/><Relationship Id="rId9" Type="http://schemas.openxmlformats.org/officeDocument/2006/relationships/hyperlink" Target="http://www.sec.gov/Archives/edgar/data/../../../ix?doc=/Archives/edgar/data/1699382/000119312524156745/d850099d8k.htm" TargetMode="External"/><Relationship Id="rId10" Type="http://schemas.openxmlformats.org/officeDocument/2006/relationships/hyperlink" Target="http://www.sec.gov/Archives/edgar/data/../../../ix?doc=/Archives/edgar/data/1699382/000095017024093345/pmvp-20240805.htm" TargetMode="External"/><Relationship Id="rId11" Type="http://schemas.openxmlformats.org/officeDocument/2006/relationships/hyperlink" Target="http://www.sec.gov/Archives/edgar/data/1699382/000114036124021596/ny20019030x1_def14a.htm" TargetMode="External"/><Relationship Id="rId12" Type="http://schemas.openxmlformats.org/officeDocument/2006/relationships/hyperlink" Target="http://www.sec.gov/Archives/edgar/data/1699382/000119312520250157/d14856d8a12b.htm" TargetMode="External"/><Relationship Id="rId13" Type="http://schemas.openxmlformats.org/officeDocument/2006/relationships/hyperlink" Target="http://www.sec.gov/Archives/edgar/data/1699382/000156459021010578/pmvp-ex41_260.htm" TargetMode="External"/><Relationship Id="rId14" Type="http://schemas.openxmlformats.org/officeDocument/2006/relationships/image" Target="media/image1.jpeg"/><Relationship Id="rId15" Type="http://schemas.openxmlformats.org/officeDocument/2006/relationships/hyperlink" Target="http://www.sec.gov/Archives/edgar/data/../../../ix?doc=/Archives/edgar/data/1699382/000095017024023062/pmvp-20231231.htm" TargetMode="External"/><Relationship Id="rId16" Type="http://schemas.openxmlformats.org/officeDocument/2006/relationships/hyperlink" Target="http://www.sec.gov/Archives/edgar/data/../../../ix?doc=/Archives/edgar/data/1699382/000095017024056295/pmvp-20240331.htm" TargetMode="External"/><Relationship Id="rId17" Type="http://schemas.openxmlformats.org/officeDocument/2006/relationships/hyperlink" Target="http://www.sec.gov/Archives/edgar/data/../../../ix?doc=/Archives/edgar/data/1699382/000095017024093343/pmvp-20240630.htm" TargetMode="External"/><Relationship Id="rId18" Type="http://schemas.openxmlformats.org/officeDocument/2006/relationships/hyperlink" Target="http://www.sec.gov/Archives/edgar/data/../../../ix?doc=/Archives/edgar/data/1699382/000095017024122817/pmvp-20240930.htm" TargetMode="External"/><Relationship Id="rId19" Type="http://schemas.openxmlformats.org/officeDocument/2006/relationships/hyperlink" Target="http://www.sec.gov/Archives/edgar/data/../../../ix?doc=/Archives/edgar/data/1699382/000119312524003348/d104934d8k.htm" TargetMode="External"/><Relationship Id="rId20" Type="http://schemas.openxmlformats.org/officeDocument/2006/relationships/hyperlink" Target="http://www.sec.gov/Archives/edgar/data/../../../ix?doc=/Archives/edgar/data/1699382/000119312524010177/d695291d8k.htm" TargetMode="External"/><Relationship Id="rId21" Type="http://schemas.openxmlformats.org/officeDocument/2006/relationships/hyperlink" Target="http://www.sec.gov/Archives/edgar/data/../../../ix?doc=/Archives/edgar/data/1699382/000119312524156745/d850099d8k.htm" TargetMode="External"/><Relationship Id="rId22" Type="http://schemas.openxmlformats.org/officeDocument/2006/relationships/hyperlink" Target="http://www.sec.gov/Archives/edgar/data/../../../ix?doc=/Archives/edgar/data/1699382/000095017024093345/pmvp-20240805.htm" TargetMode="External"/><Relationship Id="rId23" Type="http://schemas.openxmlformats.org/officeDocument/2006/relationships/hyperlink" Target="http://www.sec.gov/Archives/edgar/data/1699382/000114036124021596/ny20019030x1_def14a.htm" TargetMode="External"/><Relationship Id="rId24" Type="http://schemas.openxmlformats.org/officeDocument/2006/relationships/hyperlink" Target="http://www.sec.gov/Archives/edgar/data/1699382/000119312520250157/d14856d8a12b.htm" TargetMode="External"/><Relationship Id="rId25" Type="http://schemas.openxmlformats.org/officeDocument/2006/relationships/hyperlink" Target="http://www.sec.gov/Archives/edgar/data/1699382/000156459021010578/pmvp-ex41_260.htm" TargetMode="External"/><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22851</Words>
  <Characters>118984</Characters>
  <CharactersWithSpaces>142016</CharactersWithSpaces>
  <Paragraphs>1449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