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4"/>
          <w:szCs w:val="4"/>
          <w:color w:val="auto"/>
        </w:rPr>
        <mc:AlternateContent>
          <mc:Choice Requires="wps">
            <w:drawing>
              <wp:anchor simplePos="0" relativeHeight="251657728" behindDoc="1" locked="0" layoutInCell="0" allowOverlap="1">
                <wp:simplePos x="0" y="0"/>
                <wp:positionH relativeFrom="page">
                  <wp:posOffset>438150</wp:posOffset>
                </wp:positionH>
                <wp:positionV relativeFrom="page">
                  <wp:posOffset>461645</wp:posOffset>
                </wp:positionV>
                <wp:extent cx="68961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5pt,36.35pt" to="577.5pt,36.3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438150</wp:posOffset>
                </wp:positionH>
                <wp:positionV relativeFrom="page">
                  <wp:posOffset>473710</wp:posOffset>
                </wp:positionV>
                <wp:extent cx="68961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5pt,37.3pt" to="577.5pt,37.3pt" o:allowincell="f" strokecolor="#000000" strokeweight="0.48pt">
                <w10:wrap anchorx="page" anchory="page"/>
              </v:line>
            </w:pict>
          </mc:Fallback>
        </mc:AlternateContent>
        <w:t>c</w:t>
      </w:r>
    </w:p>
    <w:p>
      <w:pPr>
        <w:jc w:val="center"/>
        <w:spacing w:after="0" w:line="232" w:lineRule="auto"/>
        <w:rPr>
          <w:sz w:val="20"/>
          <w:szCs w:val="20"/>
          <w:color w:val="auto"/>
        </w:rPr>
      </w:pPr>
      <w:r>
        <w:rPr>
          <w:rFonts w:ascii="Times New Roman" w:cs="Times New Roman" w:eastAsia="Times New Roman" w:hAnsi="Times New Roman"/>
          <w:sz w:val="26"/>
          <w:szCs w:val="26"/>
          <w:b w:val="1"/>
          <w:bCs w:val="1"/>
          <w:color w:val="auto"/>
        </w:rPr>
        <w:t>UNITED STATES</w:t>
      </w:r>
    </w:p>
    <w:p>
      <w:pPr>
        <w:jc w:val="center"/>
        <w:spacing w:after="0" w:line="235" w:lineRule="auto"/>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2724150</wp:posOffset>
                </wp:positionH>
                <wp:positionV relativeFrom="paragraph">
                  <wp:posOffset>38735</wp:posOffset>
                </wp:positionV>
                <wp:extent cx="14097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pt,3.05pt" to="325.5pt,3.05pt" o:allowincell="f" strokecolor="#000000" strokeweight="0.4799pt"/>
            </w:pict>
          </mc:Fallback>
        </mc:AlternateConten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FORM 10-K</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
          <w:szCs w:val="4"/>
          <w:color w:val="auto"/>
        </w:rPr>
        <w:t>!</w:t>
      </w:r>
    </w:p>
    <w:p>
      <w:pPr>
        <w:spacing w:after="0" w:line="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2724150</wp:posOffset>
                </wp:positionH>
                <wp:positionV relativeFrom="paragraph">
                  <wp:posOffset>-91440</wp:posOffset>
                </wp:positionV>
                <wp:extent cx="14097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pt,-7.1999pt" to="325.5pt,-7.1999pt" o:allowincell="f" strokecolor="#000000" strokeweight="0.4799pt"/>
            </w:pict>
          </mc:Fallback>
        </mc:AlternateContent>
      </w:r>
    </w:p>
    <w:p>
      <w:pPr>
        <w:ind w:left="440" w:hanging="440"/>
        <w:spacing w:after="0"/>
        <w:tabs>
          <w:tab w:leader="none" w:pos="440" w:val="left"/>
        </w:tabs>
        <w:numPr>
          <w:ilvl w:val="0"/>
          <w:numId w:val="1"/>
        </w:numPr>
        <w:rPr>
          <w:rFonts w:ascii="Segoe UI" w:cs="Segoe UI" w:eastAsia="Segoe UI" w:hAnsi="Segoe UI"/>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53" w:lineRule="exact"/>
        <w:rPr>
          <w:rFonts w:ascii="Segoe UI" w:cs="Segoe UI" w:eastAsia="Segoe UI" w:hAnsi="Segoe UI"/>
          <w:sz w:val="18"/>
          <w:szCs w:val="18"/>
          <w:b w:val="1"/>
          <w:bCs w:val="1"/>
          <w:color w:val="auto"/>
        </w:rPr>
      </w:pPr>
    </w:p>
    <w:p>
      <w:pPr>
        <w:ind w:left="3520"/>
        <w:spacing w:after="0"/>
        <w:rPr>
          <w:rFonts w:ascii="Segoe UI" w:cs="Segoe UI" w:eastAsia="Segoe UI" w:hAnsi="Segoe UI"/>
          <w:sz w:val="18"/>
          <w:szCs w:val="18"/>
          <w:b w:val="1"/>
          <w:bCs w:val="1"/>
          <w:color w:val="auto"/>
        </w:rPr>
      </w:pPr>
      <w:r>
        <w:rPr>
          <w:rFonts w:ascii="Times New Roman" w:cs="Times New Roman" w:eastAsia="Times New Roman" w:hAnsi="Times New Roman"/>
          <w:sz w:val="20"/>
          <w:szCs w:val="20"/>
          <w:b w:val="1"/>
          <w:bCs w:val="1"/>
          <w:color w:val="auto"/>
        </w:rPr>
        <w:t>For the fiscal year ended December 31, 2024</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ind w:left="440" w:hanging="440"/>
        <w:spacing w:after="0" w:line="218" w:lineRule="auto"/>
        <w:tabs>
          <w:tab w:leader="none" w:pos="440" w:val="left"/>
        </w:tabs>
        <w:numPr>
          <w:ilvl w:val="0"/>
          <w:numId w:val="2"/>
        </w:numPr>
        <w:rPr>
          <w:rFonts w:ascii="Segoe UI" w:cs="Segoe UI" w:eastAsia="Segoe UI" w:hAnsi="Segoe UI"/>
          <w:sz w:val="4"/>
          <w:szCs w:val="4"/>
          <w:b w:val="1"/>
          <w:bCs w:val="1"/>
          <w:color w:val="auto"/>
        </w:rPr>
      </w:pPr>
      <w:r>
        <w:rPr>
          <w:rFonts w:ascii="Times New Roman" w:cs="Times New Roman" w:eastAsia="Times New Roman" w:hAnsi="Times New Roman"/>
          <w:sz w:val="4"/>
          <w:szCs w:val="4"/>
          <w:b w:val="1"/>
          <w:bCs w:val="1"/>
          <w:color w:val="auto"/>
        </w:rPr>
        <w:t>TRANSITION REPORT PURSUANT TO SECTION 13 OR 15(d) OF THE SECURITIES EXCHANGE ACT OF 1934 FOR THE</w:t>
      </w:r>
    </w:p>
    <w:p>
      <w:pPr>
        <w:spacing w:after="0" w:line="187" w:lineRule="exact"/>
        <w:rPr>
          <w:sz w:val="24"/>
          <w:szCs w:val="24"/>
          <w:color w:val="auto"/>
        </w:rPr>
      </w:pPr>
    </w:p>
    <w:p>
      <w:pPr>
        <w:ind w:left="440"/>
        <w:spacing w:after="0"/>
        <w:tabs>
          <w:tab w:leader="none" w:pos="388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001-39539</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PMV PHARMACEUTICALS, INC.</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2724150</wp:posOffset>
                </wp:positionH>
                <wp:positionV relativeFrom="paragraph">
                  <wp:posOffset>-267335</wp:posOffset>
                </wp:positionV>
                <wp:extent cx="14097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pt,-21.0499pt" to="325.5pt,-21.0499pt" o:allowincell="f" strokecolor="#000000" strokeweight="0.4799pt"/>
            </w:pict>
          </mc:Fallback>
        </mc:AlternateConten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2724150</wp:posOffset>
                </wp:positionH>
                <wp:positionV relativeFrom="paragraph">
                  <wp:posOffset>38735</wp:posOffset>
                </wp:positionV>
                <wp:extent cx="14097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pt,3.05pt" to="325.5pt,3.05pt" o:allowincell="f" strokecolor="#000000" strokeweight="0.48pt"/>
            </w:pict>
          </mc:Fallback>
        </mc:AlternateContent>
      </w:r>
    </w:p>
    <w:p>
      <w:pPr>
        <w:spacing w:after="0" w:line="70" w:lineRule="exact"/>
        <w:rPr>
          <w:sz w:val="24"/>
          <w:szCs w:val="24"/>
          <w:color w:val="auto"/>
        </w:rPr>
      </w:pPr>
    </w:p>
    <w:tbl>
      <w:tblPr>
        <w:tblLayout w:type="fixed"/>
        <w:tblInd w:w="1140" w:type="dxa"/>
        <w:tblCellMar>
          <w:top w:w="0" w:type="dxa"/>
          <w:left w:w="0" w:type="dxa"/>
          <w:bottom w:w="0" w:type="dxa"/>
          <w:right w:w="0" w:type="dxa"/>
        </w:tblCellMar>
      </w:tblPr>
      <w:tr>
        <w:trPr>
          <w:trHeight w:val="237"/>
        </w:trPr>
        <w:tc>
          <w:tcPr>
            <w:tcW w:w="4760" w:type="dxa"/>
            <w:vAlign w:val="bottom"/>
          </w:tcPr>
          <w:p>
            <w:pPr>
              <w:jc w:val="center"/>
              <w:ind w:right="1575"/>
              <w:spacing w:after="0"/>
              <w:rPr>
                <w:sz w:val="20"/>
                <w:szCs w:val="20"/>
                <w:color w:val="auto"/>
              </w:rPr>
            </w:pPr>
            <w:r>
              <w:rPr>
                <w:rFonts w:ascii="Times New Roman" w:cs="Times New Roman" w:eastAsia="Times New Roman" w:hAnsi="Times New Roman"/>
                <w:sz w:val="20"/>
                <w:szCs w:val="20"/>
                <w:b w:val="1"/>
                <w:bCs w:val="1"/>
                <w:color w:val="auto"/>
              </w:rPr>
              <w:t>Delaware</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46-3218129</w:t>
            </w:r>
          </w:p>
        </w:tc>
      </w:tr>
      <w:tr>
        <w:trPr>
          <w:trHeight w:val="161"/>
        </w:trPr>
        <w:tc>
          <w:tcPr>
            <w:tcW w:w="4760" w:type="dxa"/>
            <w:vAlign w:val="bottom"/>
          </w:tcPr>
          <w:p>
            <w:pPr>
              <w:jc w:val="center"/>
              <w:ind w:right="1575"/>
              <w:spacing w:after="0"/>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2740" w:type="dxa"/>
            <w:vAlign w:val="bottom"/>
          </w:tcPr>
          <w:p>
            <w:pPr>
              <w:jc w:val="center"/>
              <w:ind w:left="155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3"/>
        </w:trPr>
        <w:tc>
          <w:tcPr>
            <w:tcW w:w="4760" w:type="dxa"/>
            <w:vAlign w:val="bottom"/>
          </w:tcPr>
          <w:p>
            <w:pPr>
              <w:jc w:val="center"/>
              <w:ind w:right="1575"/>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2740" w:type="dxa"/>
            <w:vAlign w:val="bottom"/>
          </w:tcPr>
          <w:p>
            <w:pPr>
              <w:jc w:val="center"/>
              <w:ind w:left="155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76"/>
        </w:trPr>
        <w:tc>
          <w:tcPr>
            <w:tcW w:w="4760" w:type="dxa"/>
            <w:vAlign w:val="bottom"/>
          </w:tcPr>
          <w:p>
            <w:pPr>
              <w:jc w:val="center"/>
              <w:ind w:right="1555"/>
              <w:spacing w:after="0"/>
              <w:rPr>
                <w:sz w:val="20"/>
                <w:szCs w:val="20"/>
                <w:color w:val="auto"/>
              </w:rPr>
            </w:pPr>
            <w:r>
              <w:rPr>
                <w:rFonts w:ascii="Times New Roman" w:cs="Times New Roman" w:eastAsia="Times New Roman" w:hAnsi="Times New Roman"/>
                <w:sz w:val="20"/>
                <w:szCs w:val="20"/>
                <w:b w:val="1"/>
                <w:bCs w:val="1"/>
                <w:color w:val="auto"/>
                <w:w w:val="99"/>
              </w:rPr>
              <w:t>400 Alexander Park Drive, Suite 301</w:t>
            </w:r>
          </w:p>
        </w:tc>
        <w:tc>
          <w:tcPr>
            <w:tcW w:w="2740" w:type="dxa"/>
            <w:vAlign w:val="bottom"/>
          </w:tcPr>
          <w:p>
            <w:pPr>
              <w:spacing w:after="0"/>
              <w:rPr>
                <w:sz w:val="24"/>
                <w:szCs w:val="24"/>
                <w:color w:val="auto"/>
              </w:rPr>
            </w:pPr>
          </w:p>
        </w:tc>
      </w:tr>
      <w:tr>
        <w:trPr>
          <w:trHeight w:val="237"/>
        </w:trPr>
        <w:tc>
          <w:tcPr>
            <w:tcW w:w="4760" w:type="dxa"/>
            <w:vAlign w:val="bottom"/>
          </w:tcPr>
          <w:p>
            <w:pPr>
              <w:jc w:val="center"/>
              <w:ind w:right="1575"/>
              <w:spacing w:after="0"/>
              <w:rPr>
                <w:sz w:val="20"/>
                <w:szCs w:val="20"/>
                <w:color w:val="auto"/>
              </w:rPr>
            </w:pPr>
            <w:r>
              <w:rPr>
                <w:rFonts w:ascii="Times New Roman" w:cs="Times New Roman" w:eastAsia="Times New Roman" w:hAnsi="Times New Roman"/>
                <w:sz w:val="20"/>
                <w:szCs w:val="20"/>
                <w:b w:val="1"/>
                <w:bCs w:val="1"/>
                <w:color w:val="auto"/>
              </w:rPr>
              <w:t>Princeton, NJ</w:t>
            </w:r>
          </w:p>
        </w:tc>
        <w:tc>
          <w:tcPr>
            <w:tcW w:w="2740" w:type="dxa"/>
            <w:vAlign w:val="bottom"/>
          </w:tcPr>
          <w:p>
            <w:pPr>
              <w:jc w:val="right"/>
              <w:ind w:right="218"/>
              <w:spacing w:after="0"/>
              <w:rPr>
                <w:sz w:val="20"/>
                <w:szCs w:val="20"/>
                <w:color w:val="auto"/>
              </w:rPr>
            </w:pPr>
            <w:r>
              <w:rPr>
                <w:rFonts w:ascii="Times New Roman" w:cs="Times New Roman" w:eastAsia="Times New Roman" w:hAnsi="Times New Roman"/>
                <w:sz w:val="20"/>
                <w:szCs w:val="20"/>
                <w:b w:val="1"/>
                <w:bCs w:val="1"/>
                <w:color w:val="auto"/>
              </w:rPr>
              <w:t>08540</w:t>
            </w:r>
          </w:p>
        </w:tc>
      </w:tr>
      <w:tr>
        <w:trPr>
          <w:trHeight w:val="193"/>
        </w:trPr>
        <w:tc>
          <w:tcPr>
            <w:tcW w:w="4760" w:type="dxa"/>
            <w:vAlign w:val="bottom"/>
          </w:tcPr>
          <w:p>
            <w:pPr>
              <w:jc w:val="center"/>
              <w:ind w:right="155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40" w:type="dxa"/>
            <w:vAlign w:val="bottom"/>
          </w:tcPr>
          <w:p>
            <w:pPr>
              <w:jc w:val="center"/>
              <w:ind w:left="1558"/>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37"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0"/>
          <w:szCs w:val="20"/>
          <w:b w:val="1"/>
          <w:bCs w:val="1"/>
          <w:color w:val="auto"/>
        </w:rPr>
        <w:t>Registrant’s telephone number, including area code: (609) 642-6670</w:t>
      </w:r>
    </w:p>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2724150</wp:posOffset>
                </wp:positionH>
                <wp:positionV relativeFrom="paragraph">
                  <wp:posOffset>-113030</wp:posOffset>
                </wp:positionV>
                <wp:extent cx="14097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pt,-8.8999pt" to="325.5pt,-8.8999pt" o:allowincell="f" strokecolor="#000000" strokeweight="0.48pt"/>
            </w:pict>
          </mc:Fallback>
        </mc:AlternateConten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00" w:type="dxa"/>
            <w:vAlign w:val="bottom"/>
          </w:tcPr>
          <w:p>
            <w:pPr>
              <w:spacing w:after="0"/>
              <w:rPr>
                <w:sz w:val="16"/>
                <w:szCs w:val="16"/>
                <w:color w:val="auto"/>
              </w:rPr>
            </w:pPr>
          </w:p>
        </w:tc>
        <w:tc>
          <w:tcPr>
            <w:tcW w:w="4220" w:type="dxa"/>
            <w:vAlign w:val="bottom"/>
          </w:tcPr>
          <w:p>
            <w:pPr>
              <w:spacing w:after="0"/>
              <w:rPr>
                <w:sz w:val="16"/>
                <w:szCs w:val="16"/>
                <w:color w:val="auto"/>
              </w:rPr>
            </w:pPr>
          </w:p>
        </w:tc>
      </w:tr>
      <w:tr>
        <w:trPr>
          <w:trHeight w:val="204"/>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00" w:type="dxa"/>
            <w:vAlign w:val="bottom"/>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00" w:type="dxa"/>
            <w:vAlign w:val="bottom"/>
          </w:tcPr>
          <w:p>
            <w:pPr>
              <w:spacing w:after="0"/>
              <w:rPr>
                <w:sz w:val="17"/>
                <w:szCs w:val="17"/>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2"/>
        </w:trPr>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Common stock, par value $0.00001</w:t>
            </w:r>
          </w:p>
        </w:tc>
        <w:tc>
          <w:tcPr>
            <w:tcW w:w="10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PMVP</w:t>
            </w:r>
          </w:p>
        </w:tc>
        <w:tc>
          <w:tcPr>
            <w:tcW w:w="100" w:type="dxa"/>
            <w:vAlign w:val="bottom"/>
          </w:tcPr>
          <w:p>
            <w:pPr>
              <w:spacing w:after="0"/>
              <w:rPr>
                <w:sz w:val="17"/>
                <w:szCs w:val="17"/>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Securities registered pursuant to Section 12(g) of the Act: </w:t>
      </w:r>
      <w:r>
        <w:rPr>
          <w:rFonts w:ascii="Times New Roman" w:cs="Times New Roman" w:eastAsia="Times New Roman" w:hAnsi="Times New Roman"/>
          <w:sz w:val="15"/>
          <w:szCs w:val="15"/>
          <w:b w:val="1"/>
          <w:bCs w:val="1"/>
          <w:color w:val="auto"/>
        </w:rPr>
        <w:t>None</w:t>
      </w:r>
    </w:p>
    <w:p>
      <w:pPr>
        <w:spacing w:after="0" w:line="33" w:lineRule="exact"/>
        <w:rPr>
          <w:sz w:val="24"/>
          <w:szCs w:val="24"/>
          <w:color w:val="auto"/>
        </w:rPr>
      </w:pPr>
    </w:p>
    <w:p>
      <w:pPr>
        <w:ind w:right="2800"/>
        <w:spacing w:after="0" w:line="292" w:lineRule="auto"/>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Segoe UI" w:cs="Segoe UI" w:eastAsia="Segoe UI" w:hAnsi="Segoe UI"/>
          <w:sz w:val="15"/>
          <w:szCs w:val="15"/>
          <w:color w:val="auto"/>
        </w:rPr>
        <w:t>տ</w:t>
      </w:r>
      <w:r>
        <w:rPr>
          <w:rFonts w:ascii="Times New Roman" w:cs="Times New Roman" w:eastAsia="Times New Roman" w:hAnsi="Times New Roman"/>
          <w:sz w:val="15"/>
          <w:szCs w:val="15"/>
          <w:color w:val="auto"/>
        </w:rPr>
        <w:t xml:space="preserve"> NO </w:t>
      </w:r>
      <w:r>
        <w:rPr>
          <w:rFonts w:ascii="Segoe UI" w:cs="Segoe UI" w:eastAsia="Segoe UI" w:hAnsi="Segoe UI"/>
          <w:sz w:val="15"/>
          <w:szCs w:val="15"/>
          <w:color w:val="auto"/>
        </w:rPr>
        <w:t>ց</w:t>
      </w:r>
      <w:r>
        <w:rPr>
          <w:rFonts w:ascii="Times New Roman" w:cs="Times New Roman" w:eastAsia="Times New Roman" w:hAnsi="Times New Roman"/>
          <w:sz w:val="15"/>
          <w:szCs w:val="15"/>
          <w:color w:val="auto"/>
        </w:rPr>
        <w:t xml:space="preserve"> Indicate by check mark if the Registrant is not required to file reports pursuant to Section 13 or 15(d) of the Act. YES </w:t>
      </w:r>
      <w:r>
        <w:rPr>
          <w:rFonts w:ascii="Segoe UI" w:cs="Segoe UI" w:eastAsia="Segoe UI" w:hAnsi="Segoe UI"/>
          <w:sz w:val="15"/>
          <w:szCs w:val="15"/>
          <w:color w:val="auto"/>
        </w:rPr>
        <w:t>տ</w:t>
      </w:r>
      <w:r>
        <w:rPr>
          <w:rFonts w:ascii="Times New Roman" w:cs="Times New Roman" w:eastAsia="Times New Roman" w:hAnsi="Times New Roman"/>
          <w:sz w:val="15"/>
          <w:szCs w:val="15"/>
          <w:color w:val="auto"/>
        </w:rPr>
        <w:t xml:space="preserve"> NO </w:t>
      </w:r>
      <w:r>
        <w:rPr>
          <w:rFonts w:ascii="Segoe UI" w:cs="Segoe UI" w:eastAsia="Segoe UI" w:hAnsi="Segoe UI"/>
          <w:sz w:val="15"/>
          <w:szCs w:val="15"/>
          <w:color w:val="auto"/>
        </w:rPr>
        <w:t>ց</w:t>
      </w:r>
    </w:p>
    <w:p>
      <w:pPr>
        <w:ind w:right="80"/>
        <w:spacing w:after="0" w:line="255"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w:cs="Segoe UI" w:eastAsia="Segoe UI" w:hAnsi="Segoe UI"/>
          <w:sz w:val="15"/>
          <w:szCs w:val="15"/>
          <w:color w:val="auto"/>
        </w:rPr>
        <w:t>ց</w:t>
      </w:r>
      <w:r>
        <w:rPr>
          <w:rFonts w:ascii="Times New Roman" w:cs="Times New Roman" w:eastAsia="Times New Roman" w:hAnsi="Times New Roman"/>
          <w:sz w:val="15"/>
          <w:szCs w:val="15"/>
          <w:color w:val="auto"/>
        </w:rPr>
        <w:t xml:space="preserve"> NO </w:t>
      </w:r>
      <w:r>
        <w:rPr>
          <w:rFonts w:ascii="Segoe UI" w:cs="Segoe UI" w:eastAsia="Segoe UI" w:hAnsi="Segoe UI"/>
          <w:sz w:val="15"/>
          <w:szCs w:val="15"/>
          <w:color w:val="auto"/>
        </w:rPr>
        <w:t>տ</w:t>
      </w:r>
      <w:r>
        <w:rPr>
          <w:rFonts w:ascii="Times New Roman" w:cs="Times New Roman" w:eastAsia="Times New Roman" w:hAnsi="Times New Roman"/>
          <w:sz w:val="15"/>
          <w:szCs w:val="15"/>
          <w:color w:val="auto"/>
        </w:rPr>
        <w:t xml:space="preserve"> 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w:cs="Segoe UI" w:eastAsia="Segoe UI" w:hAnsi="Segoe UI"/>
          <w:sz w:val="15"/>
          <w:szCs w:val="15"/>
          <w:color w:val="auto"/>
        </w:rPr>
        <w:t>ց</w:t>
      </w:r>
      <w:r>
        <w:rPr>
          <w:rFonts w:ascii="Times New Roman" w:cs="Times New Roman" w:eastAsia="Times New Roman" w:hAnsi="Times New Roman"/>
          <w:sz w:val="15"/>
          <w:szCs w:val="15"/>
          <w:color w:val="auto"/>
        </w:rPr>
        <w:t xml:space="preserve"> NO </w:t>
      </w:r>
      <w:r>
        <w:rPr>
          <w:rFonts w:ascii="Segoe UI" w:cs="Segoe UI" w:eastAsia="Segoe UI" w:hAnsi="Segoe UI"/>
          <w:sz w:val="15"/>
          <w:szCs w:val="15"/>
          <w:color w:val="auto"/>
        </w:rPr>
        <w:t>տ</w:t>
      </w:r>
    </w:p>
    <w:p>
      <w:pPr>
        <w:spacing w:after="0" w:line="234"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w:t>
      </w: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60" w:type="dxa"/>
            <w:vAlign w:val="bottom"/>
          </w:tcPr>
          <w:p>
            <w:pPr>
              <w:ind w:left="100"/>
              <w:spacing w:after="0"/>
              <w:rPr>
                <w:sz w:val="20"/>
                <w:szCs w:val="20"/>
                <w:color w:val="auto"/>
              </w:rPr>
            </w:pPr>
            <w:r>
              <w:rPr>
                <w:rFonts w:ascii="Segoe UI" w:cs="Segoe UI" w:eastAsia="Segoe UI" w:hAnsi="Segoe UI"/>
                <w:sz w:val="16"/>
                <w:szCs w:val="16"/>
                <w:color w:val="auto"/>
              </w:rPr>
              <w:t>տ</w:t>
            </w:r>
          </w:p>
        </w:tc>
        <w:tc>
          <w:tcPr>
            <w:tcW w:w="5140" w:type="dxa"/>
            <w:vAlign w:val="bottom"/>
          </w:tcPr>
          <w:p>
            <w:pPr>
              <w:ind w:left="3220"/>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60"/>
              <w:spacing w:after="0"/>
              <w:rPr>
                <w:sz w:val="20"/>
                <w:szCs w:val="20"/>
                <w:color w:val="auto"/>
              </w:rPr>
            </w:pPr>
            <w:r>
              <w:rPr>
                <w:rFonts w:ascii="Segoe UI" w:cs="Segoe UI" w:eastAsia="Segoe UI" w:hAnsi="Segoe UI"/>
                <w:sz w:val="16"/>
                <w:szCs w:val="16"/>
                <w:color w:val="auto"/>
                <w:w w:val="89"/>
              </w:rPr>
              <w:t>տ</w:t>
            </w:r>
          </w:p>
        </w:tc>
      </w:tr>
      <w:tr>
        <w:trPr>
          <w:trHeight w:val="259"/>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60" w:type="dxa"/>
            <w:vAlign w:val="bottom"/>
          </w:tcPr>
          <w:p>
            <w:pPr>
              <w:ind w:left="100"/>
              <w:spacing w:after="0"/>
              <w:rPr>
                <w:sz w:val="20"/>
                <w:szCs w:val="20"/>
                <w:color w:val="auto"/>
              </w:rPr>
            </w:pPr>
            <w:r>
              <w:rPr>
                <w:rFonts w:ascii="Segoe UI" w:cs="Segoe UI" w:eastAsia="Segoe UI" w:hAnsi="Segoe UI"/>
                <w:sz w:val="16"/>
                <w:szCs w:val="16"/>
                <w:color w:val="auto"/>
              </w:rPr>
              <w:t>ց</w:t>
            </w:r>
          </w:p>
        </w:tc>
        <w:tc>
          <w:tcPr>
            <w:tcW w:w="5140" w:type="dxa"/>
            <w:vAlign w:val="bottom"/>
          </w:tcPr>
          <w:p>
            <w:pPr>
              <w:ind w:left="32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60"/>
              <w:spacing w:after="0"/>
              <w:rPr>
                <w:sz w:val="20"/>
                <w:szCs w:val="20"/>
                <w:color w:val="auto"/>
              </w:rPr>
            </w:pPr>
            <w:r>
              <w:rPr>
                <w:rFonts w:ascii="Segoe UI" w:cs="Segoe UI" w:eastAsia="Segoe UI" w:hAnsi="Segoe UI"/>
                <w:sz w:val="16"/>
                <w:szCs w:val="16"/>
                <w:color w:val="auto"/>
              </w:rPr>
              <w:t>ց</w:t>
            </w:r>
          </w:p>
        </w:tc>
      </w:tr>
      <w:tr>
        <w:trPr>
          <w:trHeight w:val="324"/>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460" w:type="dxa"/>
            <w:vAlign w:val="bottom"/>
          </w:tcPr>
          <w:p>
            <w:pPr>
              <w:ind w:left="100"/>
              <w:spacing w:after="0"/>
              <w:rPr>
                <w:sz w:val="20"/>
                <w:szCs w:val="20"/>
                <w:color w:val="auto"/>
              </w:rPr>
            </w:pPr>
            <w:r>
              <w:rPr>
                <w:rFonts w:ascii="Segoe UI" w:cs="Segoe UI" w:eastAsia="Segoe UI" w:hAnsi="Segoe UI"/>
                <w:sz w:val="16"/>
                <w:szCs w:val="16"/>
                <w:color w:val="auto"/>
              </w:rPr>
              <w:t>տ</w:t>
            </w:r>
          </w:p>
        </w:tc>
        <w:tc>
          <w:tcPr>
            <w:tcW w:w="514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ind w:right="360"/>
        <w:spacing w:after="0" w:line="255" w:lineRule="auto"/>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5"/>
          <w:szCs w:val="15"/>
          <w:color w:val="auto"/>
        </w:rPr>
        <w:t>տ</w:t>
      </w:r>
    </w:p>
    <w:p>
      <w:pPr>
        <w:spacing w:after="0" w:line="1" w:lineRule="exact"/>
        <w:rPr>
          <w:sz w:val="24"/>
          <w:szCs w:val="24"/>
          <w:color w:val="auto"/>
        </w:rPr>
      </w:pPr>
    </w:p>
    <w:p>
      <w:pPr>
        <w:ind w:right="580"/>
        <w:spacing w:after="0" w:line="256"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w:cs="Segoe UI" w:eastAsia="Segoe UI" w:hAnsi="Segoe UI"/>
          <w:sz w:val="15"/>
          <w:szCs w:val="15"/>
          <w:color w:val="auto"/>
        </w:rPr>
        <w:t>տ</w:t>
      </w:r>
    </w:p>
    <w:p>
      <w:pPr>
        <w:ind w:right="40"/>
        <w:spacing w:after="0" w:line="255" w:lineRule="auto"/>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5"/>
          <w:szCs w:val="15"/>
          <w:color w:val="auto"/>
        </w:rPr>
        <w:t>տ</w:t>
      </w:r>
    </w:p>
    <w:p>
      <w:pPr>
        <w:spacing w:after="0" w:line="1" w:lineRule="exact"/>
        <w:rPr>
          <w:sz w:val="24"/>
          <w:szCs w:val="24"/>
          <w:color w:val="auto"/>
        </w:rPr>
      </w:pPr>
    </w:p>
    <w:p>
      <w:pPr>
        <w:ind w:right="700"/>
        <w:spacing w:after="0" w:line="251" w:lineRule="auto"/>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w:cs="Segoe UI" w:eastAsia="Segoe UI" w:hAnsi="Segoe UI"/>
          <w:sz w:val="15"/>
          <w:szCs w:val="15"/>
          <w:color w:val="auto"/>
        </w:rPr>
        <w:t>տ</w:t>
      </w:r>
    </w:p>
    <w:p>
      <w:pPr>
        <w:spacing w:after="0"/>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Segoe UI" w:cs="Segoe UI" w:eastAsia="Segoe UI" w:hAnsi="Segoe UI"/>
          <w:sz w:val="15"/>
          <w:szCs w:val="15"/>
          <w:color w:val="auto"/>
        </w:rPr>
        <w:t>տ</w:t>
      </w:r>
      <w:r>
        <w:rPr>
          <w:rFonts w:ascii="Times New Roman" w:cs="Times New Roman" w:eastAsia="Times New Roman" w:hAnsi="Times New Roman"/>
          <w:sz w:val="15"/>
          <w:szCs w:val="15"/>
          <w:color w:val="auto"/>
        </w:rPr>
        <w:t xml:space="preserve"> NO </w:t>
      </w:r>
      <w:r>
        <w:rPr>
          <w:rFonts w:ascii="Segoe UI" w:cs="Segoe UI" w:eastAsia="Segoe UI" w:hAnsi="Segoe UI"/>
          <w:sz w:val="15"/>
          <w:szCs w:val="15"/>
          <w:color w:val="auto"/>
        </w:rPr>
        <w:t>ց</w:t>
      </w:r>
    </w:p>
    <w:p>
      <w:pPr>
        <w:spacing w:after="0" w:line="39" w:lineRule="exact"/>
        <w:rPr>
          <w:sz w:val="24"/>
          <w:szCs w:val="24"/>
          <w:color w:val="auto"/>
        </w:rPr>
      </w:pPr>
    </w:p>
    <w:p>
      <w:pPr>
        <w:ind w:right="80"/>
        <w:spacing w:after="0" w:line="235" w:lineRule="auto"/>
        <w:rPr>
          <w:sz w:val="20"/>
          <w:szCs w:val="20"/>
          <w:color w:val="auto"/>
        </w:rPr>
      </w:pPr>
      <w:r>
        <w:rPr>
          <w:rFonts w:ascii="Times New Roman" w:cs="Times New Roman" w:eastAsia="Times New Roman" w:hAnsi="Times New Roman"/>
          <w:sz w:val="15"/>
          <w:szCs w:val="15"/>
          <w:color w:val="auto"/>
        </w:rPr>
        <w:t>The aggregate market value of the voting and non-voting common equity held by non-affiliates of the Registrant, based on the closing price of the shares of common stock on The Nasdaq Stock Market on June 28, 2024 (the last business day of the Registrant’s most recently completed second fiscal quarter), was $81,704,068. Shares of the Registrant’s common stock held by each executive officer, director and holder of 10% or more of the outstanding common stock have been excluded because such persons may be deemed affiliates. This calculation does not reflect a determination that certain persons are affiliates of the Registrant for any other purpose.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The number of shares of Registrant’s common stock outstanding as of March 3, 2025 was 51,933,604.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DOCUMENTS INCORPORATED BY REFERENCE</w:t>
      </w:r>
    </w:p>
    <w:p>
      <w:pPr>
        <w:spacing w:after="0" w:line="33" w:lineRule="exact"/>
        <w:rPr>
          <w:sz w:val="24"/>
          <w:szCs w:val="24"/>
          <w:color w:val="auto"/>
        </w:rPr>
      </w:pPr>
    </w:p>
    <w:p>
      <w:pPr>
        <w:ind w:right="140"/>
        <w:spacing w:after="0" w:line="250" w:lineRule="auto"/>
        <w:rPr>
          <w:sz w:val="20"/>
          <w:szCs w:val="20"/>
          <w:color w:val="auto"/>
        </w:rPr>
      </w:pPr>
      <w:r>
        <w:rPr>
          <w:rFonts w:ascii="Times New Roman" w:cs="Times New Roman" w:eastAsia="Times New Roman" w:hAnsi="Times New Roman"/>
          <w:sz w:val="15"/>
          <w:szCs w:val="15"/>
          <w:color w:val="auto"/>
        </w:rPr>
        <w:t>Portions of the Registrant’s definitive Proxy Statement relating to the 2025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2024.</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42545</wp:posOffset>
                </wp:positionV>
                <wp:extent cx="68961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3.35pt" to="541.5pt,3.3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30480</wp:posOffset>
                </wp:positionV>
                <wp:extent cx="68961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2.4pt" to="541.5pt,2.4pt" o:allowincell="f" strokecolor="#000000" strokeweight="0.4799pt"/>
            </w:pict>
          </mc:Fallback>
        </mc:AlternateContent>
      </w:r>
    </w:p>
    <w:p>
      <w:pPr>
        <w:sectPr>
          <w:pgSz w:w="12240" w:h="15840" w:orient="portrait"/>
          <w:cols w:equalWidth="0" w:num="1">
            <w:col w:w="10800"/>
          </w:cols>
          <w:pgMar w:left="720" w:top="768" w:right="720" w:bottom="1440" w:gutter="0" w:footer="0" w:header="0"/>
        </w:sectPr>
      </w:pPr>
    </w:p>
    <w:bookmarkStart w:id="1" w:name="page2"/>
    <w:bookmarkEnd w:id="1"/>
    <w:p>
      <w:pPr>
        <w:spacing w:after="0" w:line="20" w:lineRule="exact"/>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p>
      <w:pPr>
        <w:ind w:left="360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95"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5522595</wp:posOffset>
                </wp:positionH>
                <wp:positionV relativeFrom="paragraph">
                  <wp:posOffset>13335</wp:posOffset>
                </wp:positionV>
                <wp:extent cx="42100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005" cy="4763"/>
                        </a:xfrm>
                        <a:prstGeom prst="line">
                          <a:avLst/>
                        </a:prstGeom>
                        <a:solidFill>
                          <a:srgbClr val="FFFFFF"/>
                        </a:solidFill>
                        <a:ln w="3047">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85pt,1.05pt" to="468pt,1.05pt" o:allowincell="f" strokecolor="#000000" strokeweight="0.2399pt"/>
            </w:pict>
          </mc:Fallback>
        </mc:AlternateContent>
        <mc:AlternateContent>
          <mc:Choice Requires="wps">
            <w:drawing>
              <wp:anchor simplePos="0" relativeHeight="251657728" behindDoc="1" locked="0" layoutInCell="0" allowOverlap="1">
                <wp:simplePos x="0" y="0"/>
                <wp:positionH relativeFrom="column">
                  <wp:posOffset>5522595</wp:posOffset>
                </wp:positionH>
                <wp:positionV relativeFrom="paragraph">
                  <wp:posOffset>19685</wp:posOffset>
                </wp:positionV>
                <wp:extent cx="42100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005" cy="4763"/>
                        </a:xfrm>
                        <a:prstGeom prst="line">
                          <a:avLst/>
                        </a:prstGeom>
                        <a:solidFill>
                          <a:srgbClr val="FFFFFF"/>
                        </a:solidFill>
                        <a:ln w="9906">
                          <a:solidFill>
                            <a:srgbClr val="FFFFFF"/>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85pt,1.55pt" to="468pt,1.55pt" o:allowincell="f" strokecolor="#FFFFFF" strokeweight="0.78pt"/>
            </w:pict>
          </mc:Fallback>
        </mc:AlternateConten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4" w:lineRule="exact"/>
        <w:rPr>
          <w:sz w:val="20"/>
          <w:szCs w:val="20"/>
          <w:color w:val="auto"/>
        </w:rPr>
      </w:pPr>
    </w:p>
    <w:p>
      <w:pPr>
        <w:ind w:left="140"/>
        <w:spacing w:after="0"/>
        <w:tabs>
          <w:tab w:leader="none" w:pos="920" w:val="left"/>
          <w:tab w:leader="dot" w:pos="9220" w:val="left"/>
        </w:tabs>
        <w:rPr>
          <w:sz w:val="20"/>
          <w:szCs w:val="20"/>
          <w:color w:val="auto"/>
        </w:rPr>
      </w:pPr>
      <w:r>
        <w:rPr>
          <w:rFonts w:ascii="Times New Roman" w:cs="Times New Roman" w:eastAsia="Times New Roman" w:hAnsi="Times New Roman"/>
          <w:sz w:val="20"/>
          <w:szCs w:val="20"/>
          <w:color w:val="auto"/>
        </w:rPr>
        <w:t>Item 1.</w:t>
        <w:tab/>
        <w:t>Business</w:t>
      </w:r>
      <w:r>
        <w:rPr>
          <w:sz w:val="20"/>
          <w:szCs w:val="20"/>
          <w:color w:val="auto"/>
        </w:rPr>
        <w:tab/>
      </w:r>
      <w:r>
        <w:rPr>
          <w:rFonts w:ascii="Times New Roman" w:cs="Times New Roman" w:eastAsia="Times New Roman" w:hAnsi="Times New Roman"/>
          <w:sz w:val="20"/>
          <w:szCs w:val="20"/>
          <w:color w:val="auto"/>
        </w:rPr>
        <w:t>1</w:t>
      </w:r>
    </w:p>
    <w:p>
      <w:pPr>
        <w:spacing w:after="0" w:line="11" w:lineRule="exact"/>
        <w:rPr>
          <w:sz w:val="20"/>
          <w:szCs w:val="20"/>
          <w:color w:val="auto"/>
        </w:rPr>
      </w:pPr>
    </w:p>
    <w:p>
      <w:pPr>
        <w:ind w:left="140"/>
        <w:spacing w:after="0"/>
        <w:tabs>
          <w:tab w:leader="dot" w:pos="9120" w:val="left"/>
        </w:tabs>
        <w:rPr>
          <w:sz w:val="20"/>
          <w:szCs w:val="20"/>
          <w:color w:val="auto"/>
        </w:rPr>
      </w:pPr>
      <w:r>
        <w:rPr>
          <w:rFonts w:ascii="Times New Roman" w:cs="Times New Roman" w:eastAsia="Times New Roman" w:hAnsi="Times New Roman"/>
          <w:sz w:val="20"/>
          <w:szCs w:val="20"/>
          <w:color w:val="auto"/>
        </w:rPr>
        <w:t>Item 1A. Risk Factors</w:t>
      </w:r>
      <w:r>
        <w:rPr>
          <w:sz w:val="20"/>
          <w:szCs w:val="20"/>
          <w:color w:val="auto"/>
        </w:rPr>
        <w:tab/>
      </w:r>
      <w:r>
        <w:rPr>
          <w:rFonts w:ascii="Times New Roman" w:cs="Times New Roman" w:eastAsia="Times New Roman" w:hAnsi="Times New Roman"/>
          <w:sz w:val="20"/>
          <w:szCs w:val="20"/>
          <w:color w:val="auto"/>
        </w:rPr>
        <w:t>25</w:t>
      </w:r>
    </w:p>
    <w:p>
      <w:pPr>
        <w:spacing w:after="0" w:line="15" w:lineRule="exact"/>
        <w:rPr>
          <w:sz w:val="20"/>
          <w:szCs w:val="20"/>
          <w:color w:val="auto"/>
        </w:rPr>
      </w:pPr>
    </w:p>
    <w:p>
      <w:pPr>
        <w:ind w:left="140"/>
        <w:spacing w:after="0"/>
        <w:tabs>
          <w:tab w:leader="dot" w:pos="9120" w:val="left"/>
        </w:tabs>
        <w:rPr>
          <w:sz w:val="20"/>
          <w:szCs w:val="20"/>
          <w:color w:val="auto"/>
        </w:rPr>
      </w:pPr>
      <w:r>
        <w:rPr>
          <w:rFonts w:ascii="Times New Roman" w:cs="Times New Roman" w:eastAsia="Times New Roman" w:hAnsi="Times New Roman"/>
          <w:sz w:val="20"/>
          <w:szCs w:val="20"/>
          <w:color w:val="auto"/>
        </w:rPr>
        <w:t>Item 1B. Unresolved Staff Comments</w:t>
      </w:r>
      <w:r>
        <w:rPr>
          <w:sz w:val="20"/>
          <w:szCs w:val="20"/>
          <w:color w:val="auto"/>
        </w:rPr>
        <w:tab/>
      </w:r>
      <w:r>
        <w:rPr>
          <w:rFonts w:ascii="Times New Roman" w:cs="Times New Roman" w:eastAsia="Times New Roman" w:hAnsi="Times New Roman"/>
          <w:sz w:val="20"/>
          <w:szCs w:val="20"/>
          <w:color w:val="auto"/>
        </w:rPr>
        <w:t>88</w:t>
      </w:r>
    </w:p>
    <w:p>
      <w:pPr>
        <w:spacing w:after="0" w:line="15" w:lineRule="exact"/>
        <w:rPr>
          <w:sz w:val="20"/>
          <w:szCs w:val="20"/>
          <w:color w:val="auto"/>
        </w:rPr>
      </w:pPr>
    </w:p>
    <w:p>
      <w:pPr>
        <w:ind w:left="140"/>
        <w:spacing w:after="0"/>
        <w:tabs>
          <w:tab w:leader="dot" w:pos="9120" w:val="left"/>
        </w:tabs>
        <w:rPr>
          <w:sz w:val="20"/>
          <w:szCs w:val="20"/>
          <w:color w:val="auto"/>
        </w:rPr>
      </w:pPr>
      <w:r>
        <w:rPr>
          <w:rFonts w:ascii="Times New Roman" w:cs="Times New Roman" w:eastAsia="Times New Roman" w:hAnsi="Times New Roman"/>
          <w:sz w:val="20"/>
          <w:szCs w:val="20"/>
          <w:color w:val="auto"/>
        </w:rPr>
        <w:t>Item 1C. Cybersecurity</w:t>
      </w:r>
      <w:r>
        <w:rPr>
          <w:sz w:val="20"/>
          <w:szCs w:val="20"/>
          <w:color w:val="auto"/>
        </w:rPr>
        <w:tab/>
      </w:r>
      <w:r>
        <w:rPr>
          <w:rFonts w:ascii="Times New Roman" w:cs="Times New Roman" w:eastAsia="Times New Roman" w:hAnsi="Times New Roman"/>
          <w:sz w:val="20"/>
          <w:szCs w:val="20"/>
          <w:color w:val="auto"/>
        </w:rPr>
        <w:t>88</w:t>
      </w:r>
    </w:p>
    <w:p>
      <w:pPr>
        <w:spacing w:after="0" w:line="15" w:lineRule="exact"/>
        <w:rPr>
          <w:sz w:val="20"/>
          <w:szCs w:val="20"/>
          <w:color w:val="auto"/>
        </w:rPr>
      </w:pPr>
    </w:p>
    <w:p>
      <w:pPr>
        <w:ind w:left="140"/>
        <w:spacing w:after="0"/>
        <w:tabs>
          <w:tab w:leader="none" w:pos="920" w:val="left"/>
          <w:tab w:leader="dot" w:pos="9120" w:val="left"/>
        </w:tabs>
        <w:rPr>
          <w:sz w:val="20"/>
          <w:szCs w:val="20"/>
          <w:color w:val="auto"/>
        </w:rPr>
      </w:pPr>
      <w:r>
        <w:rPr>
          <w:rFonts w:ascii="Times New Roman" w:cs="Times New Roman" w:eastAsia="Times New Roman" w:hAnsi="Times New Roman"/>
          <w:sz w:val="20"/>
          <w:szCs w:val="20"/>
          <w:color w:val="auto"/>
        </w:rPr>
        <w:t>Item 2.</w:t>
        <w:tab/>
        <w:t>Properties</w:t>
      </w:r>
      <w:r>
        <w:rPr>
          <w:sz w:val="20"/>
          <w:szCs w:val="20"/>
          <w:color w:val="auto"/>
        </w:rPr>
        <w:tab/>
      </w:r>
      <w:r>
        <w:rPr>
          <w:rFonts w:ascii="Times New Roman" w:cs="Times New Roman" w:eastAsia="Times New Roman" w:hAnsi="Times New Roman"/>
          <w:sz w:val="20"/>
          <w:szCs w:val="20"/>
          <w:color w:val="auto"/>
        </w:rPr>
        <w:t>89</w:t>
      </w:r>
    </w:p>
    <w:p>
      <w:pPr>
        <w:spacing w:after="0" w:line="16" w:lineRule="exact"/>
        <w:rPr>
          <w:sz w:val="20"/>
          <w:szCs w:val="20"/>
          <w:color w:val="auto"/>
        </w:rPr>
      </w:pPr>
    </w:p>
    <w:p>
      <w:pPr>
        <w:ind w:left="140"/>
        <w:spacing w:after="0"/>
        <w:tabs>
          <w:tab w:leader="none" w:pos="920" w:val="left"/>
          <w:tab w:leader="dot" w:pos="9120" w:val="left"/>
        </w:tabs>
        <w:rPr>
          <w:sz w:val="20"/>
          <w:szCs w:val="20"/>
          <w:color w:val="auto"/>
        </w:rPr>
      </w:pPr>
      <w:r>
        <w:rPr>
          <w:rFonts w:ascii="Times New Roman" w:cs="Times New Roman" w:eastAsia="Times New Roman" w:hAnsi="Times New Roman"/>
          <w:sz w:val="20"/>
          <w:szCs w:val="20"/>
          <w:color w:val="auto"/>
        </w:rPr>
        <w:t>Item 3.</w:t>
        <w:tab/>
        <w:t>Legal Proceedings</w:t>
      </w:r>
      <w:r>
        <w:rPr>
          <w:sz w:val="20"/>
          <w:szCs w:val="20"/>
          <w:color w:val="auto"/>
        </w:rPr>
        <w:tab/>
      </w:r>
      <w:r>
        <w:rPr>
          <w:rFonts w:ascii="Times New Roman" w:cs="Times New Roman" w:eastAsia="Times New Roman" w:hAnsi="Times New Roman"/>
          <w:sz w:val="20"/>
          <w:szCs w:val="20"/>
          <w:color w:val="auto"/>
        </w:rPr>
        <w:t>89</w:t>
      </w:r>
    </w:p>
    <w:p>
      <w:pPr>
        <w:spacing w:after="0" w:line="15" w:lineRule="exact"/>
        <w:rPr>
          <w:sz w:val="20"/>
          <w:szCs w:val="20"/>
          <w:color w:val="auto"/>
        </w:rPr>
      </w:pPr>
    </w:p>
    <w:p>
      <w:pPr>
        <w:ind w:left="140"/>
        <w:spacing w:after="0"/>
        <w:tabs>
          <w:tab w:leader="none" w:pos="920" w:val="left"/>
          <w:tab w:leader="dot" w:pos="9120" w:val="left"/>
        </w:tabs>
        <w:rPr>
          <w:sz w:val="20"/>
          <w:szCs w:val="20"/>
          <w:color w:val="auto"/>
        </w:rPr>
      </w:pPr>
      <w:r>
        <w:rPr>
          <w:rFonts w:ascii="Times New Roman" w:cs="Times New Roman" w:eastAsia="Times New Roman" w:hAnsi="Times New Roman"/>
          <w:sz w:val="20"/>
          <w:szCs w:val="20"/>
          <w:color w:val="auto"/>
        </w:rPr>
        <w:t>Item 4.</w:t>
        <w:tab/>
        <w:t>Reserved</w:t>
      </w:r>
      <w:r>
        <w:rPr>
          <w:sz w:val="20"/>
          <w:szCs w:val="20"/>
          <w:color w:val="auto"/>
        </w:rPr>
        <w:tab/>
      </w:r>
      <w:r>
        <w:rPr>
          <w:rFonts w:ascii="Times New Roman" w:cs="Times New Roman" w:eastAsia="Times New Roman" w:hAnsi="Times New Roman"/>
          <w:sz w:val="20"/>
          <w:szCs w:val="20"/>
          <w:color w:val="auto"/>
        </w:rPr>
        <w:t>89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45" w:lineRule="exact"/>
        <w:rPr>
          <w:sz w:val="20"/>
          <w:szCs w:val="20"/>
          <w:color w:val="auto"/>
        </w:rPr>
      </w:pPr>
    </w:p>
    <w:p>
      <w:pPr>
        <w:ind w:left="140"/>
        <w:spacing w:after="0"/>
        <w:tabs>
          <w:tab w:leader="none" w:pos="920" w:val="left"/>
        </w:tabs>
        <w:rPr>
          <w:sz w:val="20"/>
          <w:szCs w:val="20"/>
          <w:color w:val="auto"/>
        </w:rPr>
      </w:pPr>
      <w:r>
        <w:rPr>
          <w:rFonts w:ascii="Times New Roman" w:cs="Times New Roman" w:eastAsia="Times New Roman" w:hAnsi="Times New Roman"/>
          <w:sz w:val="20"/>
          <w:szCs w:val="20"/>
          <w:color w:val="auto"/>
        </w:rPr>
        <w:t>Item 5.</w:t>
        <w:tab/>
        <w:t>Market for Registrant’s Common Equity, Related Stockholder Matters and Issuer Purchases of</w:t>
      </w:r>
    </w:p>
    <w:p>
      <w:pPr>
        <w:spacing w:after="0" w:line="3" w:lineRule="exact"/>
        <w:rPr>
          <w:sz w:val="20"/>
          <w:szCs w:val="20"/>
          <w:color w:val="auto"/>
        </w:rPr>
      </w:pPr>
    </w:p>
    <w:p>
      <w:pPr>
        <w:jc w:val="right"/>
        <w:ind w:right="20"/>
        <w:spacing w:after="0"/>
        <w:tabs>
          <w:tab w:leader="dot" w:pos="180" w:val="left"/>
        </w:tabs>
        <w:rPr>
          <w:sz w:val="20"/>
          <w:szCs w:val="20"/>
          <w:color w:val="auto"/>
        </w:rPr>
      </w:pPr>
      <w:r>
        <w:rPr>
          <w:rFonts w:ascii="Times New Roman" w:cs="Times New Roman" w:eastAsia="Times New Roman" w:hAnsi="Times New Roman"/>
          <w:sz w:val="20"/>
          <w:szCs w:val="20"/>
          <w:color w:val="auto"/>
        </w:rPr>
        <w:t>Equity Securities</w:t>
      </w:r>
      <w:r>
        <w:rPr>
          <w:sz w:val="20"/>
          <w:szCs w:val="20"/>
          <w:color w:val="auto"/>
        </w:rPr>
        <w:tab/>
      </w:r>
      <w:r>
        <w:rPr>
          <w:rFonts w:ascii="Times New Roman" w:cs="Times New Roman" w:eastAsia="Times New Roman" w:hAnsi="Times New Roman"/>
          <w:sz w:val="20"/>
          <w:szCs w:val="20"/>
          <w:color w:val="auto"/>
        </w:rPr>
        <w:t>90</w:t>
      </w:r>
    </w:p>
    <w:p>
      <w:pPr>
        <w:spacing w:after="0" w:line="9" w:lineRule="exact"/>
        <w:rPr>
          <w:sz w:val="20"/>
          <w:szCs w:val="20"/>
          <w:color w:val="auto"/>
        </w:rPr>
      </w:pPr>
    </w:p>
    <w:p>
      <w:pPr>
        <w:ind w:left="140"/>
        <w:spacing w:after="0"/>
        <w:tabs>
          <w:tab w:leader="none" w:pos="920" w:val="left"/>
          <w:tab w:leader="dot" w:pos="9120" w:val="left"/>
        </w:tabs>
        <w:rPr>
          <w:sz w:val="20"/>
          <w:szCs w:val="20"/>
          <w:color w:val="auto"/>
        </w:rPr>
      </w:pPr>
      <w:r>
        <w:rPr>
          <w:rFonts w:ascii="Times New Roman" w:cs="Times New Roman" w:eastAsia="Times New Roman" w:hAnsi="Times New Roman"/>
          <w:sz w:val="20"/>
          <w:szCs w:val="20"/>
          <w:color w:val="auto"/>
        </w:rPr>
        <w:t>Item 6.</w:t>
        <w:tab/>
        <w:t>Reserved</w:t>
      </w:r>
      <w:r>
        <w:rPr>
          <w:sz w:val="20"/>
          <w:szCs w:val="20"/>
          <w:color w:val="auto"/>
        </w:rPr>
        <w:tab/>
      </w:r>
      <w:r>
        <w:rPr>
          <w:rFonts w:ascii="Times New Roman" w:cs="Times New Roman" w:eastAsia="Times New Roman" w:hAnsi="Times New Roman"/>
          <w:sz w:val="20"/>
          <w:szCs w:val="20"/>
          <w:color w:val="auto"/>
        </w:rPr>
        <w:t>90</w:t>
      </w:r>
    </w:p>
    <w:p>
      <w:pPr>
        <w:spacing w:after="0" w:line="15" w:lineRule="exact"/>
        <w:rPr>
          <w:sz w:val="20"/>
          <w:szCs w:val="20"/>
          <w:color w:val="auto"/>
        </w:rPr>
      </w:pPr>
    </w:p>
    <w:p>
      <w:pPr>
        <w:ind w:left="140"/>
        <w:spacing w:after="0"/>
        <w:tabs>
          <w:tab w:leader="none" w:pos="920" w:val="left"/>
          <w:tab w:leader="dot" w:pos="9120" w:val="left"/>
        </w:tabs>
        <w:rPr>
          <w:sz w:val="20"/>
          <w:szCs w:val="20"/>
          <w:color w:val="auto"/>
        </w:rPr>
      </w:pPr>
      <w:r>
        <w:rPr>
          <w:rFonts w:ascii="Times New Roman" w:cs="Times New Roman" w:eastAsia="Times New Roman" w:hAnsi="Times New Roman"/>
          <w:sz w:val="20"/>
          <w:szCs w:val="20"/>
          <w:color w:val="auto"/>
        </w:rPr>
        <w:t>Item 7.</w:t>
        <w:tab/>
        <w:t>Management’s Discussion and Analysis of Financial Condition and Results of Operations</w:t>
      </w:r>
      <w:r>
        <w:rPr>
          <w:sz w:val="20"/>
          <w:szCs w:val="20"/>
          <w:color w:val="auto"/>
        </w:rPr>
        <w:tab/>
      </w:r>
      <w:r>
        <w:rPr>
          <w:rFonts w:ascii="Times New Roman" w:cs="Times New Roman" w:eastAsia="Times New Roman" w:hAnsi="Times New Roman"/>
          <w:sz w:val="20"/>
          <w:szCs w:val="20"/>
          <w:color w:val="auto"/>
        </w:rPr>
        <w:t>91</w:t>
      </w:r>
    </w:p>
    <w:p>
      <w:pPr>
        <w:spacing w:after="0" w:line="15" w:lineRule="exact"/>
        <w:rPr>
          <w:sz w:val="20"/>
          <w:szCs w:val="20"/>
          <w:color w:val="auto"/>
        </w:rPr>
      </w:pPr>
    </w:p>
    <w:p>
      <w:pPr>
        <w:ind w:left="140"/>
        <w:spacing w:after="0"/>
        <w:tabs>
          <w:tab w:leader="dot" w:pos="9020" w:val="left"/>
        </w:tabs>
        <w:rPr>
          <w:sz w:val="20"/>
          <w:szCs w:val="20"/>
          <w:color w:val="auto"/>
        </w:rPr>
      </w:pPr>
      <w:r>
        <w:rPr>
          <w:rFonts w:ascii="Times New Roman" w:cs="Times New Roman" w:eastAsia="Times New Roman" w:hAnsi="Times New Roman"/>
          <w:sz w:val="20"/>
          <w:szCs w:val="20"/>
          <w:color w:val="auto"/>
        </w:rPr>
        <w:t>Item 7A. Reserved</w:t>
      </w:r>
      <w:r>
        <w:rPr>
          <w:sz w:val="20"/>
          <w:szCs w:val="20"/>
          <w:color w:val="auto"/>
        </w:rPr>
        <w:tab/>
      </w:r>
      <w:r>
        <w:rPr>
          <w:rFonts w:ascii="Times New Roman" w:cs="Times New Roman" w:eastAsia="Times New Roman" w:hAnsi="Times New Roman"/>
          <w:sz w:val="20"/>
          <w:szCs w:val="20"/>
          <w:color w:val="auto"/>
        </w:rPr>
        <w:t>100</w:t>
      </w:r>
    </w:p>
    <w:p>
      <w:pPr>
        <w:spacing w:after="0" w:line="15" w:lineRule="exact"/>
        <w:rPr>
          <w:sz w:val="20"/>
          <w:szCs w:val="20"/>
          <w:color w:val="auto"/>
        </w:rPr>
      </w:pPr>
    </w:p>
    <w:p>
      <w:pPr>
        <w:ind w:left="140"/>
        <w:spacing w:after="0"/>
        <w:tabs>
          <w:tab w:leader="none" w:pos="920" w:val="left"/>
          <w:tab w:leader="dot" w:pos="9020" w:val="left"/>
        </w:tabs>
        <w:rPr>
          <w:sz w:val="20"/>
          <w:szCs w:val="20"/>
          <w:color w:val="auto"/>
        </w:rPr>
      </w:pPr>
      <w:r>
        <w:rPr>
          <w:rFonts w:ascii="Times New Roman" w:cs="Times New Roman" w:eastAsia="Times New Roman" w:hAnsi="Times New Roman"/>
          <w:sz w:val="20"/>
          <w:szCs w:val="20"/>
          <w:color w:val="auto"/>
        </w:rPr>
        <w:t>Item 8.</w:t>
        <w:tab/>
        <w:t>Consolidated Financial Statements and Supplementary Data</w:t>
      </w:r>
      <w:r>
        <w:rPr>
          <w:sz w:val="20"/>
          <w:szCs w:val="20"/>
          <w:color w:val="auto"/>
        </w:rPr>
        <w:tab/>
      </w:r>
      <w:r>
        <w:rPr>
          <w:rFonts w:ascii="Times New Roman" w:cs="Times New Roman" w:eastAsia="Times New Roman" w:hAnsi="Times New Roman"/>
          <w:sz w:val="20"/>
          <w:szCs w:val="20"/>
          <w:color w:val="auto"/>
        </w:rPr>
        <w:t>101</w:t>
      </w:r>
    </w:p>
    <w:p>
      <w:pPr>
        <w:spacing w:after="0" w:line="16" w:lineRule="exact"/>
        <w:rPr>
          <w:sz w:val="20"/>
          <w:szCs w:val="20"/>
          <w:color w:val="auto"/>
        </w:rPr>
      </w:pPr>
    </w:p>
    <w:p>
      <w:pPr>
        <w:ind w:left="140"/>
        <w:spacing w:after="0"/>
        <w:tabs>
          <w:tab w:leader="none" w:pos="920" w:val="left"/>
          <w:tab w:leader="dot" w:pos="9020" w:val="left"/>
        </w:tabs>
        <w:rPr>
          <w:sz w:val="20"/>
          <w:szCs w:val="20"/>
          <w:color w:val="auto"/>
        </w:rPr>
      </w:pPr>
      <w:r>
        <w:rPr>
          <w:rFonts w:ascii="Times New Roman" w:cs="Times New Roman" w:eastAsia="Times New Roman" w:hAnsi="Times New Roman"/>
          <w:sz w:val="20"/>
          <w:szCs w:val="20"/>
          <w:color w:val="auto"/>
        </w:rPr>
        <w:t>Item 9.</w:t>
        <w:tab/>
        <w:t>Changes in and Disagreements With Accountants on Accounting and Financial Disclosure</w:t>
      </w:r>
      <w:r>
        <w:rPr>
          <w:sz w:val="20"/>
          <w:szCs w:val="20"/>
          <w:color w:val="auto"/>
        </w:rPr>
        <w:tab/>
      </w:r>
      <w:r>
        <w:rPr>
          <w:rFonts w:ascii="Times New Roman" w:cs="Times New Roman" w:eastAsia="Times New Roman" w:hAnsi="Times New Roman"/>
          <w:sz w:val="20"/>
          <w:szCs w:val="20"/>
          <w:color w:val="auto"/>
        </w:rPr>
        <w:t>125</w:t>
      </w:r>
    </w:p>
    <w:p>
      <w:pPr>
        <w:spacing w:after="0" w:line="15" w:lineRule="exact"/>
        <w:rPr>
          <w:sz w:val="20"/>
          <w:szCs w:val="20"/>
          <w:color w:val="auto"/>
        </w:rPr>
      </w:pPr>
    </w:p>
    <w:p>
      <w:pPr>
        <w:ind w:left="140"/>
        <w:spacing w:after="0"/>
        <w:tabs>
          <w:tab w:leader="dot" w:pos="9020" w:val="left"/>
        </w:tabs>
        <w:rPr>
          <w:sz w:val="20"/>
          <w:szCs w:val="20"/>
          <w:color w:val="auto"/>
        </w:rPr>
      </w:pPr>
      <w:r>
        <w:rPr>
          <w:rFonts w:ascii="Times New Roman" w:cs="Times New Roman" w:eastAsia="Times New Roman" w:hAnsi="Times New Roman"/>
          <w:sz w:val="20"/>
          <w:szCs w:val="20"/>
          <w:color w:val="auto"/>
        </w:rPr>
        <w:t>Item 9A. Controls and Procedures</w:t>
      </w:r>
      <w:r>
        <w:rPr>
          <w:sz w:val="20"/>
          <w:szCs w:val="20"/>
          <w:color w:val="auto"/>
        </w:rPr>
        <w:tab/>
      </w:r>
      <w:r>
        <w:rPr>
          <w:rFonts w:ascii="Times New Roman" w:cs="Times New Roman" w:eastAsia="Times New Roman" w:hAnsi="Times New Roman"/>
          <w:sz w:val="20"/>
          <w:szCs w:val="20"/>
          <w:color w:val="auto"/>
        </w:rPr>
        <w:t>125</w:t>
      </w:r>
    </w:p>
    <w:p>
      <w:pPr>
        <w:spacing w:after="0" w:line="15" w:lineRule="exact"/>
        <w:rPr>
          <w:sz w:val="20"/>
          <w:szCs w:val="20"/>
          <w:color w:val="auto"/>
        </w:rPr>
      </w:pPr>
    </w:p>
    <w:p>
      <w:pPr>
        <w:ind w:left="140"/>
        <w:spacing w:after="0"/>
        <w:tabs>
          <w:tab w:leader="dot" w:pos="9020" w:val="left"/>
        </w:tabs>
        <w:rPr>
          <w:sz w:val="20"/>
          <w:szCs w:val="20"/>
          <w:color w:val="auto"/>
        </w:rPr>
      </w:pPr>
      <w:r>
        <w:rPr>
          <w:rFonts w:ascii="Times New Roman" w:cs="Times New Roman" w:eastAsia="Times New Roman" w:hAnsi="Times New Roman"/>
          <w:sz w:val="20"/>
          <w:szCs w:val="20"/>
          <w:color w:val="auto"/>
        </w:rPr>
        <w:t>Item 9B. Other Information</w:t>
      </w:r>
      <w:r>
        <w:rPr>
          <w:sz w:val="20"/>
          <w:szCs w:val="20"/>
          <w:color w:val="auto"/>
        </w:rPr>
        <w:tab/>
      </w:r>
      <w:r>
        <w:rPr>
          <w:rFonts w:ascii="Times New Roman" w:cs="Times New Roman" w:eastAsia="Times New Roman" w:hAnsi="Times New Roman"/>
          <w:sz w:val="20"/>
          <w:szCs w:val="20"/>
          <w:color w:val="auto"/>
        </w:rPr>
        <w:t>125</w:t>
      </w:r>
    </w:p>
    <w:p>
      <w:pPr>
        <w:spacing w:after="0" w:line="15" w:lineRule="exact"/>
        <w:rPr>
          <w:sz w:val="20"/>
          <w:szCs w:val="20"/>
          <w:color w:val="auto"/>
        </w:rPr>
      </w:pPr>
    </w:p>
    <w:p>
      <w:pPr>
        <w:ind w:left="140"/>
        <w:spacing w:after="0"/>
        <w:tabs>
          <w:tab w:leader="dot" w:pos="9020" w:val="left"/>
        </w:tabs>
        <w:rPr>
          <w:sz w:val="20"/>
          <w:szCs w:val="20"/>
          <w:color w:val="auto"/>
        </w:rPr>
      </w:pPr>
      <w:r>
        <w:rPr>
          <w:rFonts w:ascii="Times New Roman" w:cs="Times New Roman" w:eastAsia="Times New Roman" w:hAnsi="Times New Roman"/>
          <w:sz w:val="20"/>
          <w:szCs w:val="20"/>
          <w:color w:val="auto"/>
        </w:rPr>
        <w:t>Item 9C. Disclosure Regarding Foreign Jurisdiction that Prevent Inspections</w:t>
      </w:r>
      <w:r>
        <w:rPr>
          <w:sz w:val="20"/>
          <w:szCs w:val="20"/>
          <w:color w:val="auto"/>
        </w:rPr>
        <w:tab/>
      </w:r>
      <w:r>
        <w:rPr>
          <w:rFonts w:ascii="Times New Roman" w:cs="Times New Roman" w:eastAsia="Times New Roman" w:hAnsi="Times New Roman"/>
          <w:sz w:val="20"/>
          <w:szCs w:val="20"/>
          <w:color w:val="auto"/>
        </w:rPr>
        <w:t>125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45" w:lineRule="exact"/>
        <w:rPr>
          <w:sz w:val="20"/>
          <w:szCs w:val="20"/>
          <w:color w:val="auto"/>
        </w:rPr>
      </w:pPr>
    </w:p>
    <w:p>
      <w:pPr>
        <w:ind w:left="140"/>
        <w:spacing w:after="0"/>
        <w:tabs>
          <w:tab w:leader="dot" w:pos="9020" w:val="left"/>
        </w:tabs>
        <w:rPr>
          <w:sz w:val="20"/>
          <w:szCs w:val="20"/>
          <w:color w:val="auto"/>
        </w:rPr>
      </w:pPr>
      <w:r>
        <w:rPr>
          <w:rFonts w:ascii="Times New Roman" w:cs="Times New Roman" w:eastAsia="Times New Roman" w:hAnsi="Times New Roman"/>
          <w:sz w:val="20"/>
          <w:szCs w:val="20"/>
          <w:color w:val="auto"/>
        </w:rPr>
        <w:t>Item 10.  Directors, Executive Officers and Corporate Governance</w:t>
      </w:r>
      <w:r>
        <w:rPr>
          <w:sz w:val="20"/>
          <w:szCs w:val="20"/>
          <w:color w:val="auto"/>
        </w:rPr>
        <w:tab/>
      </w:r>
      <w:r>
        <w:rPr>
          <w:rFonts w:ascii="Times New Roman" w:cs="Times New Roman" w:eastAsia="Times New Roman" w:hAnsi="Times New Roman"/>
          <w:sz w:val="20"/>
          <w:szCs w:val="20"/>
          <w:color w:val="auto"/>
        </w:rPr>
        <w:t>126</w:t>
      </w:r>
    </w:p>
    <w:p>
      <w:pPr>
        <w:spacing w:after="0" w:line="12" w:lineRule="exact"/>
        <w:rPr>
          <w:sz w:val="20"/>
          <w:szCs w:val="20"/>
          <w:color w:val="auto"/>
        </w:rPr>
      </w:pPr>
    </w:p>
    <w:p>
      <w:pPr>
        <w:ind w:left="140"/>
        <w:spacing w:after="0"/>
        <w:tabs>
          <w:tab w:leader="dot" w:pos="9020" w:val="left"/>
        </w:tabs>
        <w:rPr>
          <w:sz w:val="20"/>
          <w:szCs w:val="20"/>
          <w:color w:val="auto"/>
        </w:rPr>
      </w:pPr>
      <w:r>
        <w:rPr>
          <w:rFonts w:ascii="Times New Roman" w:cs="Times New Roman" w:eastAsia="Times New Roman" w:hAnsi="Times New Roman"/>
          <w:sz w:val="20"/>
          <w:szCs w:val="20"/>
          <w:color w:val="auto"/>
        </w:rPr>
        <w:t>Item 11.  Executive Compensation</w:t>
      </w:r>
      <w:r>
        <w:rPr>
          <w:sz w:val="20"/>
          <w:szCs w:val="20"/>
          <w:color w:val="auto"/>
        </w:rPr>
        <w:tab/>
      </w:r>
      <w:r>
        <w:rPr>
          <w:rFonts w:ascii="Times New Roman" w:cs="Times New Roman" w:eastAsia="Times New Roman" w:hAnsi="Times New Roman"/>
          <w:sz w:val="20"/>
          <w:szCs w:val="20"/>
          <w:color w:val="auto"/>
        </w:rPr>
        <w:t>126</w:t>
      </w:r>
    </w:p>
    <w:p>
      <w:pPr>
        <w:spacing w:after="0" w:line="1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Item 12.  Security Ownership of Certain Beneficial Owners and Management and Related Stockholder</w:t>
      </w:r>
    </w:p>
    <w:p>
      <w:pPr>
        <w:spacing w:after="0" w:line="7" w:lineRule="exact"/>
        <w:rPr>
          <w:sz w:val="20"/>
          <w:szCs w:val="20"/>
          <w:color w:val="auto"/>
        </w:rPr>
      </w:pPr>
    </w:p>
    <w:p>
      <w:pPr>
        <w:jc w:val="right"/>
        <w:ind w:right="20"/>
        <w:spacing w:after="0"/>
        <w:tabs>
          <w:tab w:leader="dot" w:pos="280" w:val="left"/>
        </w:tabs>
        <w:rPr>
          <w:sz w:val="20"/>
          <w:szCs w:val="20"/>
          <w:color w:val="auto"/>
        </w:rPr>
      </w:pPr>
      <w:r>
        <w:rPr>
          <w:rFonts w:ascii="Times New Roman" w:cs="Times New Roman" w:eastAsia="Times New Roman" w:hAnsi="Times New Roman"/>
          <w:sz w:val="20"/>
          <w:szCs w:val="20"/>
          <w:color w:val="auto"/>
        </w:rPr>
        <w:t>Matters</w:t>
      </w:r>
      <w:r>
        <w:rPr>
          <w:sz w:val="20"/>
          <w:szCs w:val="20"/>
          <w:color w:val="auto"/>
        </w:rPr>
        <w:tab/>
      </w:r>
      <w:r>
        <w:rPr>
          <w:rFonts w:ascii="Times New Roman" w:cs="Times New Roman" w:eastAsia="Times New Roman" w:hAnsi="Times New Roman"/>
          <w:sz w:val="20"/>
          <w:szCs w:val="20"/>
          <w:color w:val="auto"/>
        </w:rPr>
        <w:t>126</w:t>
      </w:r>
    </w:p>
    <w:p>
      <w:pPr>
        <w:spacing w:after="0" w:line="9" w:lineRule="exact"/>
        <w:rPr>
          <w:sz w:val="20"/>
          <w:szCs w:val="20"/>
          <w:color w:val="auto"/>
        </w:rPr>
      </w:pPr>
    </w:p>
    <w:p>
      <w:pPr>
        <w:ind w:left="140"/>
        <w:spacing w:after="0"/>
        <w:tabs>
          <w:tab w:leader="dot" w:pos="9020" w:val="left"/>
        </w:tabs>
        <w:rPr>
          <w:sz w:val="20"/>
          <w:szCs w:val="20"/>
          <w:color w:val="auto"/>
        </w:rPr>
      </w:pPr>
      <w:r>
        <w:rPr>
          <w:rFonts w:ascii="Times New Roman" w:cs="Times New Roman" w:eastAsia="Times New Roman" w:hAnsi="Times New Roman"/>
          <w:sz w:val="20"/>
          <w:szCs w:val="20"/>
          <w:color w:val="auto"/>
        </w:rPr>
        <w:t>Item 13.  Certain Relationships and Related Transactions, and Director Independence</w:t>
      </w:r>
      <w:r>
        <w:rPr>
          <w:sz w:val="20"/>
          <w:szCs w:val="20"/>
          <w:color w:val="auto"/>
        </w:rPr>
        <w:tab/>
      </w:r>
      <w:r>
        <w:rPr>
          <w:rFonts w:ascii="Times New Roman" w:cs="Times New Roman" w:eastAsia="Times New Roman" w:hAnsi="Times New Roman"/>
          <w:sz w:val="20"/>
          <w:szCs w:val="20"/>
          <w:color w:val="auto"/>
        </w:rPr>
        <w:t>126</w:t>
      </w:r>
    </w:p>
    <w:p>
      <w:pPr>
        <w:spacing w:after="0" w:line="15" w:lineRule="exact"/>
        <w:rPr>
          <w:sz w:val="20"/>
          <w:szCs w:val="20"/>
          <w:color w:val="auto"/>
        </w:rPr>
      </w:pPr>
    </w:p>
    <w:p>
      <w:pPr>
        <w:ind w:left="140"/>
        <w:spacing w:after="0"/>
        <w:tabs>
          <w:tab w:leader="dot" w:pos="9020" w:val="left"/>
        </w:tabs>
        <w:rPr>
          <w:sz w:val="20"/>
          <w:szCs w:val="20"/>
          <w:color w:val="auto"/>
        </w:rPr>
      </w:pPr>
      <w:r>
        <w:rPr>
          <w:rFonts w:ascii="Times New Roman" w:cs="Times New Roman" w:eastAsia="Times New Roman" w:hAnsi="Times New Roman"/>
          <w:sz w:val="20"/>
          <w:szCs w:val="20"/>
          <w:color w:val="auto"/>
        </w:rPr>
        <w:t>Item 14.  Principal Accounting Fees and Services</w:t>
      </w:r>
      <w:r>
        <w:rPr>
          <w:sz w:val="20"/>
          <w:szCs w:val="20"/>
          <w:color w:val="auto"/>
        </w:rPr>
        <w:tab/>
      </w:r>
      <w:r>
        <w:rPr>
          <w:rFonts w:ascii="Times New Roman" w:cs="Times New Roman" w:eastAsia="Times New Roman" w:hAnsi="Times New Roman"/>
          <w:sz w:val="20"/>
          <w:szCs w:val="20"/>
          <w:color w:val="auto"/>
        </w:rPr>
        <w:t>126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45" w:lineRule="exact"/>
        <w:rPr>
          <w:sz w:val="20"/>
          <w:szCs w:val="20"/>
          <w:color w:val="auto"/>
        </w:rPr>
      </w:pPr>
    </w:p>
    <w:p>
      <w:pPr>
        <w:ind w:left="140"/>
        <w:spacing w:after="0"/>
        <w:tabs>
          <w:tab w:leader="dot" w:pos="9020" w:val="left"/>
        </w:tabs>
        <w:rPr>
          <w:sz w:val="20"/>
          <w:szCs w:val="20"/>
          <w:color w:val="auto"/>
        </w:rPr>
      </w:pPr>
      <w:r>
        <w:rPr>
          <w:rFonts w:ascii="Times New Roman" w:cs="Times New Roman" w:eastAsia="Times New Roman" w:hAnsi="Times New Roman"/>
          <w:sz w:val="20"/>
          <w:szCs w:val="20"/>
          <w:color w:val="auto"/>
        </w:rPr>
        <w:t>Item 15.  Exhibits, Financial Statement Schedules</w:t>
      </w:r>
      <w:r>
        <w:rPr>
          <w:sz w:val="20"/>
          <w:szCs w:val="20"/>
          <w:color w:val="auto"/>
        </w:rPr>
        <w:tab/>
      </w:r>
      <w:r>
        <w:rPr>
          <w:rFonts w:ascii="Times New Roman" w:cs="Times New Roman" w:eastAsia="Times New Roman" w:hAnsi="Times New Roman"/>
          <w:sz w:val="20"/>
          <w:szCs w:val="20"/>
          <w:color w:val="auto"/>
        </w:rPr>
        <w:t>127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w:t>
      </w:r>
    </w:p>
    <w:p>
      <w:pPr>
        <w:sectPr>
          <w:pgSz w:w="12240" w:h="15840" w:orient="portrait"/>
          <w:cols w:equalWidth="0" w:num="1">
            <w:col w:w="9360"/>
          </w:cols>
          <w:pgMar w:left="1440" w:top="1416" w:right="1440" w:bottom="175"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p>
      <w:pPr>
        <w:spacing w:after="0" w:line="243"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20"/>
          <w:szCs w:val="20"/>
          <w:color w:val="auto"/>
        </w:rPr>
        <w:t>This Annual Report on Form 10-K, or Annual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Annual Report, including statements regarding our future results of operations and financial position, business strategy, development plans, and plans for our product candidates, planned preclinical studies and clinical trials, future results of clinical trials, future and expected research and development costs, regulatory strategy and approvals, timing and likelihood of success, as well as plans and objectives of management for future operations, are forward-looking statements.</w:t>
      </w:r>
    </w:p>
    <w:p>
      <w:pPr>
        <w:spacing w:after="0" w:line="203" w:lineRule="exact"/>
        <w:rPr>
          <w:sz w:val="20"/>
          <w:szCs w:val="20"/>
          <w:color w:val="auto"/>
        </w:rPr>
      </w:pPr>
    </w:p>
    <w:p>
      <w:pPr>
        <w:ind w:right="20" w:firstLine="619"/>
        <w:spacing w:after="0" w:line="252" w:lineRule="auto"/>
        <w:rPr>
          <w:sz w:val="20"/>
          <w:szCs w:val="20"/>
          <w:color w:val="auto"/>
        </w:rPr>
      </w:pPr>
      <w:r>
        <w:rPr>
          <w:rFonts w:ascii="Times New Roman" w:cs="Times New Roman" w:eastAsia="Times New Roman" w:hAnsi="Times New Roman"/>
          <w:sz w:val="20"/>
          <w:szCs w:val="20"/>
          <w:color w:val="auto"/>
        </w:rPr>
        <w:t>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Annual Report include, but are not limited to, statements about:</w:t>
      </w:r>
    </w:p>
    <w:p>
      <w:pPr>
        <w:spacing w:after="0" w:line="88" w:lineRule="exact"/>
        <w:rPr>
          <w:sz w:val="20"/>
          <w:szCs w:val="20"/>
          <w:color w:val="auto"/>
        </w:rPr>
      </w:pPr>
    </w:p>
    <w:p>
      <w:pPr>
        <w:ind w:left="900" w:hanging="281"/>
        <w:spacing w:after="0"/>
        <w:tabs>
          <w:tab w:leader="none" w:pos="90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financial performance;</w:t>
      </w:r>
    </w:p>
    <w:p>
      <w:pPr>
        <w:spacing w:after="0" w:line="133" w:lineRule="exact"/>
        <w:rPr>
          <w:rFonts w:ascii="Arial" w:cs="Arial" w:eastAsia="Arial" w:hAnsi="Arial"/>
          <w:sz w:val="20"/>
          <w:szCs w:val="20"/>
          <w:color w:val="auto"/>
        </w:rPr>
      </w:pPr>
    </w:p>
    <w:p>
      <w:pPr>
        <w:ind w:left="900" w:right="640" w:hanging="281"/>
        <w:spacing w:after="0" w:line="276" w:lineRule="auto"/>
        <w:tabs>
          <w:tab w:leader="none" w:pos="90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sufficiency of our existing cash, cash equivalents, and marketable securities to fund our future operating expenses and capital expenditure requirements;</w:t>
      </w:r>
    </w:p>
    <w:p>
      <w:pPr>
        <w:spacing w:after="0" w:line="64" w:lineRule="exact"/>
        <w:rPr>
          <w:rFonts w:ascii="Arial" w:cs="Arial" w:eastAsia="Arial" w:hAnsi="Arial"/>
          <w:sz w:val="20"/>
          <w:szCs w:val="20"/>
          <w:color w:val="auto"/>
        </w:rPr>
      </w:pPr>
    </w:p>
    <w:p>
      <w:pPr>
        <w:ind w:left="900" w:hanging="281"/>
        <w:spacing w:after="0"/>
        <w:tabs>
          <w:tab w:leader="none" w:pos="90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need to raise additional funding before we can expect to generate any revenues from product sales;</w:t>
      </w:r>
    </w:p>
    <w:p>
      <w:pPr>
        <w:spacing w:after="0" w:line="133" w:lineRule="exact"/>
        <w:rPr>
          <w:rFonts w:ascii="Arial" w:cs="Arial" w:eastAsia="Arial" w:hAnsi="Arial"/>
          <w:sz w:val="20"/>
          <w:szCs w:val="20"/>
          <w:color w:val="auto"/>
        </w:rPr>
      </w:pPr>
    </w:p>
    <w:p>
      <w:pPr>
        <w:ind w:left="900" w:right="160" w:hanging="281"/>
        <w:spacing w:after="0" w:line="276" w:lineRule="auto"/>
        <w:tabs>
          <w:tab w:leader="none" w:pos="90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additional funding for our operations, when needed, including funding necessary to complete further development and commercialization of our product candidates, if approved;</w:t>
      </w:r>
    </w:p>
    <w:p>
      <w:pPr>
        <w:spacing w:after="0" w:line="64" w:lineRule="exact"/>
        <w:rPr>
          <w:rFonts w:ascii="Arial" w:cs="Arial" w:eastAsia="Arial" w:hAnsi="Arial"/>
          <w:sz w:val="20"/>
          <w:szCs w:val="20"/>
          <w:color w:val="auto"/>
        </w:rPr>
      </w:pPr>
    </w:p>
    <w:p>
      <w:pPr>
        <w:ind w:left="900" w:right="420" w:hanging="281"/>
        <w:spacing w:after="0" w:line="276" w:lineRule="auto"/>
        <w:tabs>
          <w:tab w:leader="none" w:pos="90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accuracy of our estimates regarding expenses, future revenue, capital requirements and needs for additional financing;</w:t>
      </w:r>
    </w:p>
    <w:p>
      <w:pPr>
        <w:spacing w:after="0" w:line="64" w:lineRule="exact"/>
        <w:rPr>
          <w:rFonts w:ascii="Arial" w:cs="Arial" w:eastAsia="Arial" w:hAnsi="Arial"/>
          <w:sz w:val="20"/>
          <w:szCs w:val="20"/>
          <w:color w:val="auto"/>
        </w:rPr>
      </w:pPr>
    </w:p>
    <w:p>
      <w:pPr>
        <w:ind w:left="900" w:right="380" w:hanging="281"/>
        <w:spacing w:after="0" w:line="277" w:lineRule="auto"/>
        <w:tabs>
          <w:tab w:leader="none" w:pos="90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anticipated use of our existing cash, cash equivalents, and marketable securities and the proceeds from the ATM Program (as defined below);</w:t>
      </w:r>
    </w:p>
    <w:p>
      <w:pPr>
        <w:spacing w:after="0" w:line="62" w:lineRule="exact"/>
        <w:rPr>
          <w:rFonts w:ascii="Arial" w:cs="Arial" w:eastAsia="Arial" w:hAnsi="Arial"/>
          <w:sz w:val="20"/>
          <w:szCs w:val="20"/>
          <w:color w:val="auto"/>
        </w:rPr>
      </w:pPr>
    </w:p>
    <w:p>
      <w:pPr>
        <w:ind w:left="900" w:hanging="281"/>
        <w:spacing w:after="0"/>
        <w:tabs>
          <w:tab w:leader="none" w:pos="90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implementation of our strategic plans for our business and product candidates;</w:t>
      </w:r>
    </w:p>
    <w:p>
      <w:pPr>
        <w:spacing w:after="0" w:line="133" w:lineRule="exact"/>
        <w:rPr>
          <w:rFonts w:ascii="Arial" w:cs="Arial" w:eastAsia="Arial" w:hAnsi="Arial"/>
          <w:sz w:val="20"/>
          <w:szCs w:val="20"/>
          <w:color w:val="auto"/>
        </w:rPr>
      </w:pPr>
    </w:p>
    <w:p>
      <w:pPr>
        <w:ind w:left="900" w:right="880" w:hanging="281"/>
        <w:spacing w:after="0" w:line="277" w:lineRule="auto"/>
        <w:tabs>
          <w:tab w:leader="none" w:pos="90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size of the market opportunity for our product candidates and our ability to maximize those opportunities;</w:t>
      </w:r>
    </w:p>
    <w:p>
      <w:pPr>
        <w:spacing w:after="0" w:line="62" w:lineRule="exact"/>
        <w:rPr>
          <w:rFonts w:ascii="Arial" w:cs="Arial" w:eastAsia="Arial" w:hAnsi="Arial"/>
          <w:sz w:val="20"/>
          <w:szCs w:val="20"/>
          <w:color w:val="auto"/>
        </w:rPr>
      </w:pPr>
    </w:p>
    <w:p>
      <w:pPr>
        <w:ind w:left="900" w:right="60" w:hanging="281"/>
        <w:spacing w:after="0" w:line="305" w:lineRule="auto"/>
        <w:tabs>
          <w:tab w:leader="none" w:pos="900" w:val="left"/>
        </w:tabs>
        <w:numPr>
          <w:ilvl w:val="0"/>
          <w:numId w:val="3"/>
        </w:numPr>
        <w:rPr>
          <w:rFonts w:ascii="Arial" w:cs="Arial" w:eastAsia="Arial" w:hAnsi="Arial"/>
          <w:sz w:val="19"/>
          <w:szCs w:val="19"/>
          <w:color w:val="auto"/>
        </w:rPr>
      </w:pPr>
      <w:r>
        <w:rPr>
          <w:rFonts w:ascii="Times New Roman" w:cs="Times New Roman" w:eastAsia="Times New Roman" w:hAnsi="Times New Roman"/>
          <w:sz w:val="19"/>
          <w:szCs w:val="19"/>
          <w:color w:val="auto"/>
        </w:rPr>
        <w:t>the initiation, timing, progress and results of our research and development programs, preclinical studies, clinical trials and investigational new drug applications, or IND, and other regulatory submissions;</w:t>
      </w:r>
    </w:p>
    <w:p>
      <w:pPr>
        <w:spacing w:after="0" w:line="37" w:lineRule="exact"/>
        <w:rPr>
          <w:rFonts w:ascii="Arial" w:cs="Arial" w:eastAsia="Arial" w:hAnsi="Arial"/>
          <w:sz w:val="19"/>
          <w:szCs w:val="19"/>
          <w:color w:val="auto"/>
        </w:rPr>
      </w:pPr>
    </w:p>
    <w:p>
      <w:pPr>
        <w:ind w:left="900" w:hanging="281"/>
        <w:spacing w:after="0"/>
        <w:tabs>
          <w:tab w:leader="none" w:pos="90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beneficial characteristics, safety, efficacy and therapeutic effects of our product candidates;</w:t>
      </w:r>
    </w:p>
    <w:p>
      <w:pPr>
        <w:spacing w:after="0" w:line="133" w:lineRule="exact"/>
        <w:rPr>
          <w:rFonts w:ascii="Arial" w:cs="Arial" w:eastAsia="Arial" w:hAnsi="Arial"/>
          <w:sz w:val="20"/>
          <w:szCs w:val="20"/>
          <w:color w:val="auto"/>
        </w:rPr>
      </w:pPr>
    </w:p>
    <w:p>
      <w:pPr>
        <w:ind w:left="900" w:right="440" w:hanging="281"/>
        <w:spacing w:after="0" w:line="277" w:lineRule="auto"/>
        <w:tabs>
          <w:tab w:leader="none" w:pos="90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estimates of the number of patients for each of our programs including patients expected to have certain p53 mutations and the number of patients that will enroll in our clinical trials;</w:t>
      </w:r>
    </w:p>
    <w:p>
      <w:pPr>
        <w:spacing w:after="0" w:line="62" w:lineRule="exact"/>
        <w:rPr>
          <w:rFonts w:ascii="Arial" w:cs="Arial" w:eastAsia="Arial" w:hAnsi="Arial"/>
          <w:sz w:val="20"/>
          <w:szCs w:val="20"/>
          <w:color w:val="auto"/>
        </w:rPr>
      </w:pPr>
    </w:p>
    <w:p>
      <w:pPr>
        <w:ind w:left="900" w:right="300" w:hanging="281"/>
        <w:spacing w:after="0" w:line="277" w:lineRule="auto"/>
        <w:tabs>
          <w:tab w:leader="none" w:pos="90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of our clinical trials to demonstrate safety and efficacy of our product candidates, and other favorable results;</w:t>
      </w:r>
    </w:p>
    <w:p>
      <w:pPr>
        <w:spacing w:after="0" w:line="63" w:lineRule="exact"/>
        <w:rPr>
          <w:rFonts w:ascii="Arial" w:cs="Arial" w:eastAsia="Arial" w:hAnsi="Arial"/>
          <w:sz w:val="20"/>
          <w:szCs w:val="20"/>
          <w:color w:val="auto"/>
        </w:rPr>
      </w:pPr>
    </w:p>
    <w:p>
      <w:pPr>
        <w:ind w:left="900" w:right="80" w:hanging="281"/>
        <w:spacing w:after="0" w:line="276" w:lineRule="auto"/>
        <w:tabs>
          <w:tab w:leader="none" w:pos="90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plans relating to the clinical development of our product candidates, including the disease areas to be evaluated;</w:t>
      </w:r>
    </w:p>
    <w:p>
      <w:pPr>
        <w:spacing w:after="0" w:line="64" w:lineRule="exact"/>
        <w:rPr>
          <w:rFonts w:ascii="Arial" w:cs="Arial" w:eastAsia="Arial" w:hAnsi="Arial"/>
          <w:sz w:val="20"/>
          <w:szCs w:val="20"/>
          <w:color w:val="auto"/>
        </w:rPr>
      </w:pPr>
    </w:p>
    <w:p>
      <w:pPr>
        <w:ind w:left="900" w:hanging="281"/>
        <w:spacing w:after="0"/>
        <w:tabs>
          <w:tab w:leader="none" w:pos="90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progress and focus of our clinical trials, and the reporting of data from those trials;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and maintain regulatory approval of our product candidates;</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plans relating to commercializing our product candidates, if approved;</w:t>
      </w:r>
    </w:p>
    <w:p>
      <w:pPr>
        <w:spacing w:after="0" w:line="133" w:lineRule="exact"/>
        <w:rPr>
          <w:rFonts w:ascii="Arial" w:cs="Arial" w:eastAsia="Arial" w:hAnsi="Arial"/>
          <w:sz w:val="20"/>
          <w:szCs w:val="20"/>
          <w:color w:val="auto"/>
        </w:rPr>
      </w:pPr>
    </w:p>
    <w:p>
      <w:pPr>
        <w:jc w:val="both"/>
        <w:ind w:left="900" w:right="280" w:hanging="281"/>
        <w:spacing w:after="0" w:line="303" w:lineRule="auto"/>
        <w:tabs>
          <w:tab w:leader="none" w:pos="900" w:val="left"/>
        </w:tabs>
        <w:numPr>
          <w:ilvl w:val="0"/>
          <w:numId w:val="3"/>
        </w:numPr>
        <w:rPr>
          <w:rFonts w:ascii="Arial" w:cs="Arial" w:eastAsia="Arial" w:hAnsi="Arial"/>
          <w:sz w:val="19"/>
          <w:szCs w:val="19"/>
          <w:color w:val="auto"/>
        </w:rPr>
      </w:pPr>
      <w:r>
        <w:rPr>
          <w:rFonts w:ascii="Times New Roman" w:cs="Times New Roman" w:eastAsia="Times New Roman" w:hAnsi="Times New Roman"/>
          <w:sz w:val="19"/>
          <w:szCs w:val="19"/>
          <w:color w:val="auto"/>
        </w:rPr>
        <w:t>the expected benefits of our existing and any potential future strategic collaborations with third parties and our ability to attract collaborators with development, regulatory and commercialization expertise;</w:t>
      </w:r>
    </w:p>
    <w:p>
      <w:pPr>
        <w:spacing w:after="0" w:line="41" w:lineRule="exact"/>
        <w:rPr>
          <w:rFonts w:ascii="Arial" w:cs="Arial" w:eastAsia="Arial" w:hAnsi="Arial"/>
          <w:sz w:val="19"/>
          <w:szCs w:val="19"/>
          <w:color w:val="auto"/>
        </w:rPr>
      </w:pPr>
    </w:p>
    <w:p>
      <w:pPr>
        <w:ind w:left="900" w:hanging="281"/>
        <w:spacing w:after="0"/>
        <w:tabs>
          <w:tab w:leader="none" w:pos="90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success of competing therapies that are or may become available;</w:t>
      </w:r>
    </w:p>
    <w:p>
      <w:pPr>
        <w:spacing w:after="0" w:line="134" w:lineRule="exact"/>
        <w:rPr>
          <w:rFonts w:ascii="Arial" w:cs="Arial" w:eastAsia="Arial" w:hAnsi="Arial"/>
          <w:sz w:val="20"/>
          <w:szCs w:val="20"/>
          <w:color w:val="auto"/>
        </w:rPr>
      </w:pPr>
    </w:p>
    <w:p>
      <w:pPr>
        <w:ind w:left="900" w:right="40" w:hanging="281"/>
        <w:spacing w:after="0" w:line="276" w:lineRule="auto"/>
        <w:tabs>
          <w:tab w:leader="none" w:pos="90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or likelihood of regulatory filings and approvals, including our expectation to seek accelerated reviews or special designations, such as breakthrough therapy and orphan drug designation, for our</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w:t>
      </w:r>
    </w:p>
    <w:p>
      <w:pPr>
        <w:sectPr>
          <w:pgSz w:w="12240" w:h="15840" w:orient="portrait"/>
          <w:cols w:equalWidth="0" w:num="1">
            <w:col w:w="9360"/>
          </w:cols>
          <w:pgMar w:left="1440" w:top="1416" w:right="1440" w:bottom="175" w:gutter="0" w:footer="0" w:header="0"/>
        </w:sectPr>
      </w:pPr>
    </w:p>
    <w:bookmarkStart w:id="4" w:name="page5"/>
    <w:bookmarkEnd w:id="4"/>
    <w:p>
      <w:pPr>
        <w:ind w:left="900" w:right="140"/>
        <w:spacing w:after="0" w:line="277" w:lineRule="auto"/>
        <w:rPr>
          <w:sz w:val="20"/>
          <w:szCs w:val="20"/>
          <w:color w:val="auto"/>
        </w:rPr>
      </w:pPr>
      <w:r>
        <w:rPr>
          <w:rFonts w:ascii="Times New Roman" w:cs="Times New Roman" w:eastAsia="Times New Roman" w:hAnsi="Times New Roman"/>
          <w:sz w:val="20"/>
          <w:szCs w:val="20"/>
          <w:color w:val="auto"/>
        </w:rPr>
        <w:t>product candidates, including our intention to seek accelerated approval for rezatapopt, our lead product candidate, for a tumor-agnostic indication;</w:t>
      </w:r>
    </w:p>
    <w:p>
      <w:pPr>
        <w:spacing w:after="0" w:line="63" w:lineRule="exact"/>
        <w:rPr>
          <w:sz w:val="20"/>
          <w:szCs w:val="20"/>
          <w:color w:val="auto"/>
        </w:rPr>
      </w:pPr>
    </w:p>
    <w:p>
      <w:pPr>
        <w:ind w:left="900" w:right="100" w:hanging="281"/>
        <w:spacing w:after="0" w:line="277" w:lineRule="auto"/>
        <w:tabs>
          <w:tab w:leader="none" w:pos="90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plans relating to the further development and manufacturing of our product candidates, including for additional indications that we may pursue;</w:t>
      </w:r>
    </w:p>
    <w:p>
      <w:pPr>
        <w:spacing w:after="0" w:line="62" w:lineRule="exact"/>
        <w:rPr>
          <w:rFonts w:ascii="Arial" w:cs="Arial" w:eastAsia="Arial" w:hAnsi="Arial"/>
          <w:sz w:val="20"/>
          <w:szCs w:val="20"/>
          <w:color w:val="auto"/>
        </w:rPr>
      </w:pPr>
    </w:p>
    <w:p>
      <w:pPr>
        <w:ind w:left="900" w:hanging="281"/>
        <w:spacing w:after="0"/>
        <w:tabs>
          <w:tab w:leader="none" w:pos="90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existing regulations and regulatory developments in the United States and other jurisdictions;</w:t>
      </w:r>
    </w:p>
    <w:p>
      <w:pPr>
        <w:spacing w:after="0" w:line="133" w:lineRule="exact"/>
        <w:rPr>
          <w:rFonts w:ascii="Arial" w:cs="Arial" w:eastAsia="Arial" w:hAnsi="Arial"/>
          <w:sz w:val="20"/>
          <w:szCs w:val="20"/>
          <w:color w:val="auto"/>
        </w:rPr>
      </w:pPr>
    </w:p>
    <w:p>
      <w:pPr>
        <w:ind w:left="900" w:right="420" w:hanging="281"/>
        <w:spacing w:after="0" w:line="276" w:lineRule="auto"/>
        <w:tabs>
          <w:tab w:leader="none" w:pos="90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plans and ability to obtain or protect intellectual property rights, including extensions of existing patent terms where available;</w:t>
      </w:r>
    </w:p>
    <w:p>
      <w:pPr>
        <w:spacing w:after="0" w:line="64" w:lineRule="exact"/>
        <w:rPr>
          <w:rFonts w:ascii="Arial" w:cs="Arial" w:eastAsia="Arial" w:hAnsi="Arial"/>
          <w:sz w:val="20"/>
          <w:szCs w:val="20"/>
          <w:color w:val="auto"/>
        </w:rPr>
      </w:pPr>
    </w:p>
    <w:p>
      <w:pPr>
        <w:ind w:left="900" w:hanging="281"/>
        <w:spacing w:after="0"/>
        <w:tabs>
          <w:tab w:leader="none" w:pos="90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plans to rely on third parties to conduct and support preclinical and clinical development;</w:t>
      </w:r>
    </w:p>
    <w:p>
      <w:pPr>
        <w:spacing w:after="0" w:line="133" w:lineRule="exact"/>
        <w:rPr>
          <w:rFonts w:ascii="Arial" w:cs="Arial" w:eastAsia="Arial" w:hAnsi="Arial"/>
          <w:sz w:val="20"/>
          <w:szCs w:val="20"/>
          <w:color w:val="auto"/>
        </w:rPr>
      </w:pPr>
    </w:p>
    <w:p>
      <w:pPr>
        <w:ind w:left="900" w:right="600" w:hanging="281"/>
        <w:spacing w:after="0" w:line="276" w:lineRule="auto"/>
        <w:tabs>
          <w:tab w:leader="none" w:pos="90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retain the continued service of our key personnel and to identify, hire and then retain additional qualified personnel; and</w:t>
      </w:r>
    </w:p>
    <w:p>
      <w:pPr>
        <w:spacing w:after="0" w:line="64" w:lineRule="exact"/>
        <w:rPr>
          <w:rFonts w:ascii="Arial" w:cs="Arial" w:eastAsia="Arial" w:hAnsi="Arial"/>
          <w:sz w:val="20"/>
          <w:szCs w:val="20"/>
          <w:color w:val="auto"/>
        </w:rPr>
      </w:pPr>
    </w:p>
    <w:p>
      <w:pPr>
        <w:ind w:left="900" w:right="80" w:hanging="281"/>
        <w:spacing w:after="0" w:line="249" w:lineRule="auto"/>
        <w:tabs>
          <w:tab w:leader="none" w:pos="90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geopolitical tensions, such as the Ukraine-Russia war and the conflict in the Middle East, the impact of other disruptions resulting from public health epidemics, macroeconomic events such as global supply chain challenges, elevated inflation and interest rates and monetary policy changes, instability in the global banking system, or other related disruptions on our business and the execution of our clinical trials.</w:t>
      </w:r>
    </w:p>
    <w:p>
      <w:pPr>
        <w:spacing w:after="0" w:line="196"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9"/>
          <w:szCs w:val="19"/>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and are subject to a number of risks, uncertainties and assumptions described in the section titled “Item 1A. Risk Factors” and elsewhere in this Annual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87" w:lineRule="exact"/>
        <w:rPr>
          <w:sz w:val="20"/>
          <w:szCs w:val="20"/>
          <w:color w:val="auto"/>
        </w:rPr>
      </w:pPr>
    </w:p>
    <w:p>
      <w:pPr>
        <w:ind w:right="200" w:firstLine="619"/>
        <w:spacing w:after="0" w:line="247" w:lineRule="auto"/>
        <w:rPr>
          <w:sz w:val="20"/>
          <w:szCs w:val="20"/>
          <w:color w:val="auto"/>
        </w:rPr>
      </w:pPr>
      <w:r>
        <w:rPr>
          <w:rFonts w:ascii="Times New Roman" w:cs="Times New Roman" w:eastAsia="Times New Roman" w:hAnsi="Times New Roman"/>
          <w:sz w:val="20"/>
          <w:szCs w:val="20"/>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iii</w:t>
      </w:r>
    </w:p>
    <w:p>
      <w:pPr>
        <w:sectPr>
          <w:pgSz w:w="12240" w:h="15840" w:orient="portrait"/>
          <w:cols w:equalWidth="0" w:num="1">
            <w:col w:w="9360"/>
          </w:cols>
          <w:pgMar w:left="1440" w:top="1420" w:right="1440" w:bottom="175"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24" w:lineRule="exact"/>
        <w:rPr>
          <w:sz w:val="20"/>
          <w:szCs w:val="20"/>
          <w:color w:val="auto"/>
        </w:rPr>
      </w:pPr>
    </w:p>
    <w:p>
      <w:pPr>
        <w:ind w:right="100" w:firstLine="619"/>
        <w:spacing w:after="0" w:line="244" w:lineRule="auto"/>
        <w:rPr>
          <w:sz w:val="20"/>
          <w:szCs w:val="20"/>
          <w:color w:val="auto"/>
        </w:rPr>
      </w:pPr>
      <w:r>
        <w:rPr>
          <w:rFonts w:ascii="Times New Roman" w:cs="Times New Roman" w:eastAsia="Times New Roman" w:hAnsi="Times New Roman"/>
          <w:sz w:val="20"/>
          <w:szCs w:val="20"/>
          <w:color w:val="auto"/>
        </w:rPr>
        <w:t>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p53 mutations and other p53-related cancers.</w:t>
      </w:r>
    </w:p>
    <w:p>
      <w:pPr>
        <w:spacing w:after="0" w:line="242" w:lineRule="exact"/>
        <w:rPr>
          <w:sz w:val="20"/>
          <w:szCs w:val="20"/>
          <w:color w:val="auto"/>
        </w:rPr>
      </w:pPr>
    </w:p>
    <w:p>
      <w:pPr>
        <w:ind w:firstLine="620"/>
        <w:spacing w:after="0" w:line="241" w:lineRule="auto"/>
        <w:rPr>
          <w:sz w:val="20"/>
          <w:szCs w:val="20"/>
          <w:color w:val="auto"/>
        </w:rPr>
      </w:pPr>
      <w:r>
        <w:rPr>
          <w:rFonts w:ascii="Times New Roman" w:cs="Times New Roman" w:eastAsia="Times New Roman" w:hAnsi="Times New Roman"/>
          <w:sz w:val="20"/>
          <w:szCs w:val="20"/>
          <w:color w:val="auto"/>
        </w:rPr>
        <w:t>Our lead product candidate, rezatapopt, is an orally available small molecule designed to potently and selectively correct p53 misfolding caused by a specific p53 mutation, Y220C, while sparing wild-type p53. The p53 Y220C mutation is associated with approximately 1% of all cancers, including breast, non-small cell lung cancer, or NSCLC, colorectal, pancreatic and ovarian cancers. Rezatapopt is designed to restore the wild-type conformation by occupying the pocket created by the tyrosine to cysteine mutation in amino acid position 220. We are pursuing a tumor-agnostic development strategy and initiated a Phase 1/2 clinical trial, PYNNACLE, in October 2020. Our strategy is to seek approval under an accelerated pathway, and we believe our PYNNACLE clinical trial has the potential to serve as a pivotal study. In October 2020, we were granted U.S. Food and Drug Administration, or FDA, Fast Track designation of rezatapopt for the treatment of patients with locally advanced or metastatic solid tumors that have a p53 Y220C mutation. In July 2023, we met with the FDA at an End of Phase 1 meeting where alignment was obtained on the recommended Phase 2 dose and key elements of the single arm, Phase 2 registrational portion of the PYNNACLE study. In October 2023, we presented our updated Phase 1 clinical data for rezatapopt at the 2023 American Association for Cancer Research, or AACR, the National Cancer Institute, or NCI, and the European Organisation for Research and Treatment of Cancer, or EORTC, International Conference on Molecular Targets and Cancer Therapeutics Annual Meeting. We dosed our first patient in the pivotal Phase 2 monotherapy portion of the PYNNACLE study in the first quarter of 2024. We are continuing to dose patients in the pivotal Phase 2 monotherapy portion of our PYNNACLE trial, and have activated over 90% of sites globally across the U.S., U.K., Europe and Asia-Pacific. We also expect to provide interim data on the Phase 2 monotherapy registrational portion of the PYNNACLE trial by mid-2025. In October 2024, we discontinued enrollment in the Phase 1b combination arm of the PYNNACLE trial evaluating rezatapopt in combination with Merck and Co.’s anti-PD-1 therapy KEYTRUDA® (pembrolizumab) in patients with advanced solid tumors harboring a TP53 Y220C mutation. Additionally, we announced that we are collaborating with the MD Anderson Cancer Center, or MDACC, and the Memorial Sloan Kettering Cancer Center, or MSK, to support an investigator-initiated Phase 1b study, which is designed to assess the safety, tolerability, pharmacokinetics, and preliminary efficacy of rezatapopt monotherapy in combination with azacitidine in relapsed or refractory, or R/R, acute myeloid leukemia, or AML, and myelodysplastic syndromes, or MDS, patients harboring a TP53 Y220C mutation. MDACC dosed its first patient for this Phase 1b study in the first quarter of 2025.</w:t>
      </w:r>
    </w:p>
    <w:p>
      <w:pPr>
        <w:spacing w:after="0" w:line="215" w:lineRule="exact"/>
        <w:rPr>
          <w:sz w:val="20"/>
          <w:szCs w:val="20"/>
          <w:color w:val="auto"/>
        </w:rPr>
      </w:pPr>
    </w:p>
    <w:p>
      <w:pPr>
        <w:ind w:right="20" w:firstLine="620"/>
        <w:spacing w:after="0" w:line="244" w:lineRule="auto"/>
        <w:rPr>
          <w:sz w:val="20"/>
          <w:szCs w:val="20"/>
          <w:color w:val="auto"/>
        </w:rPr>
      </w:pPr>
      <w:r>
        <w:rPr>
          <w:rFonts w:ascii="Times New Roman" w:cs="Times New Roman" w:eastAsia="Times New Roman" w:hAnsi="Times New Roman"/>
          <w:sz w:val="20"/>
          <w:szCs w:val="20"/>
          <w:color w:val="auto"/>
        </w:rPr>
        <w:t>A better understanding of mutations that drive cancers have facilitated the development of precise, gene- and protein-specific drugs known as targeted therapies. Targeted therapies have the potential to transform treatment of some cancers by providing robust clinical benefit to patients. In many cases, clinical responses can be dramatic enough to support expedited regulatory approval of these therapies. Further, recent advancements in next-generation-sequencing, or NGS, have accelerated the development of targeted therapies. A recent study found that 75% of oncologists in the United States employ genomic sequencing. We believe p53 mutations are particularly well-suited for the evolving precision oncology paradigm, as a single mutation can cause p53 malfunction, and p53 is one of the genes commonly sequenced in NGS panels. We believe that our precision oncology platform offers a substantial opportunity to expand the number of patients who will benefit from targeted therapies.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9360"/>
          </w:cols>
          <w:pgMar w:left="1440" w:top="1416" w:right="1440" w:bottom="175"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Rezatapopt and Pipeline</w:t>
      </w:r>
    </w:p>
    <w:p>
      <w:pPr>
        <w:spacing w:after="0" w:line="243" w:lineRule="exact"/>
        <w:rPr>
          <w:sz w:val="20"/>
          <w:szCs w:val="20"/>
          <w:color w:val="auto"/>
        </w:rPr>
      </w:pPr>
    </w:p>
    <w:p>
      <w:pPr>
        <w:ind w:right="480" w:firstLine="619"/>
        <w:spacing w:after="0" w:line="278" w:lineRule="auto"/>
        <w:rPr>
          <w:sz w:val="20"/>
          <w:szCs w:val="20"/>
          <w:color w:val="auto"/>
        </w:rPr>
      </w:pPr>
      <w:r>
        <w:rPr>
          <w:rFonts w:ascii="Times New Roman" w:cs="Times New Roman" w:eastAsia="Times New Roman" w:hAnsi="Times New Roman"/>
          <w:sz w:val="20"/>
          <w:szCs w:val="20"/>
          <w:color w:val="auto"/>
        </w:rPr>
        <w:t>We are leveraging our precision oncology platform to develop a pipeline of orally available, potent and highly selective small molecule product candidates that target p53 mutations or other p53-related cancers.</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An overview of our development pipeline is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199390</wp:posOffset>
            </wp:positionV>
            <wp:extent cx="5401310" cy="2432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extLst>
                    </a:blip>
                    <a:srcRect/>
                    <a:stretch>
                      <a:fillRect/>
                    </a:stretch>
                  </pic:blipFill>
                  <pic:spPr bwMode="auto">
                    <a:xfrm>
                      <a:off x="0" y="0"/>
                      <a:ext cx="5401310" cy="2432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900" w:hanging="281"/>
        <w:spacing w:after="0"/>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Discovery, we screen compounds against biological assays to identify lead compounds.</w:t>
      </w:r>
    </w:p>
    <w:p>
      <w:pPr>
        <w:spacing w:after="0" w:line="120" w:lineRule="exact"/>
        <w:rPr>
          <w:rFonts w:ascii="Times New Roman" w:cs="Times New Roman" w:eastAsia="Times New Roman" w:hAnsi="Times New Roman"/>
          <w:sz w:val="20"/>
          <w:szCs w:val="20"/>
          <w:color w:val="auto"/>
        </w:rPr>
      </w:pPr>
    </w:p>
    <w:p>
      <w:pPr>
        <w:ind w:left="900" w:right="240" w:hanging="281"/>
        <w:spacing w:after="0" w:line="278" w:lineRule="auto"/>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Lead Optimization, we modify the lead compound to improve potency, selectivity, pharmacokinetic and toxicity parameters and physical chemical properties important for clinical development.</w:t>
      </w:r>
    </w:p>
    <w:p>
      <w:pPr>
        <w:spacing w:after="0" w:line="46" w:lineRule="exact"/>
        <w:rPr>
          <w:rFonts w:ascii="Times New Roman" w:cs="Times New Roman" w:eastAsia="Times New Roman" w:hAnsi="Times New Roman"/>
          <w:sz w:val="20"/>
          <w:szCs w:val="20"/>
          <w:color w:val="auto"/>
        </w:rPr>
      </w:pPr>
    </w:p>
    <w:p>
      <w:pPr>
        <w:ind w:left="900" w:right="160" w:hanging="281"/>
        <w:spacing w:after="0" w:line="278" w:lineRule="auto"/>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IND-Enabling Studies, we conduct preclinical studies, in accordance with Good Laboratory Practice, or GLP, required for an IND submission to the FDA.</w:t>
      </w:r>
    </w:p>
    <w:p>
      <w:pPr>
        <w:spacing w:after="0" w:line="198" w:lineRule="exact"/>
        <w:rPr>
          <w:sz w:val="20"/>
          <w:szCs w:val="20"/>
          <w:color w:val="auto"/>
        </w:rPr>
      </w:pPr>
    </w:p>
    <w:p>
      <w:pPr>
        <w:ind w:right="100" w:firstLine="619"/>
        <w:spacing w:after="0" w:line="249" w:lineRule="auto"/>
        <w:rPr>
          <w:sz w:val="20"/>
          <w:szCs w:val="20"/>
          <w:color w:val="auto"/>
        </w:rPr>
      </w:pPr>
      <w:r>
        <w:rPr>
          <w:rFonts w:ascii="Times New Roman" w:cs="Times New Roman" w:eastAsia="Times New Roman" w:hAnsi="Times New Roman"/>
          <w:sz w:val="20"/>
          <w:szCs w:val="20"/>
          <w:color w:val="auto"/>
        </w:rPr>
        <w:t>Our lead product candidate, rezatapopt, is designed to be an orally available small molecule that structurally corrects the mutant p53 protein with the Y220C mutation. The p53 Y220C mutation results from tyrosine being substituted by a cysteine at amino acid position 220 and is associated with approximately 1% of all cancers, including breast, NSCLC, colorectal, pancreatic and ovarian cancers. There are currently no products approved by the FDA that selectively target the p53 Y220C mutation.</w:t>
      </w:r>
    </w:p>
    <w:p>
      <w:pPr>
        <w:spacing w:after="0" w:line="197"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20"/>
          <w:szCs w:val="20"/>
          <w:color w:val="auto"/>
        </w:rPr>
        <w:t>Rezatapopt is designed to bind to the mutation site and structurally correct the misfolded p53 protein, while sparing wild-type p53. Our approach has yielded a highly selective product candidate, which we believe can maximize the potential therapeutic potency and minimize risk to normal functioning cells. In preclinical studies, rezatapopt has shown selective on-target activity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primarily functions in cells with the p53 Y220C mutation) and exhibited robust anti-tumor activity evidenced by potent tumor growth inhibition, or TGI, and strong tumor regression as a single agent.</w:t>
      </w:r>
    </w:p>
    <w:p>
      <w:pPr>
        <w:spacing w:after="0" w:line="200"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9"/>
          <w:szCs w:val="19"/>
          <w:color w:val="auto"/>
        </w:rPr>
        <w:t>We initiated a Phase 1/2 clinical trial, PYNNACLE, in October 2020 for our lead product candidate, rezatapopt. In October 2020, we were granted FDA Fast Track designation of rezatapopt for the treatment of patients with locally advanced or metastatic solid tumors that have a p53 Y220C mutation. In July 2023, we concluded our End of Phase 1 meeting with the FDA with alignment on the recommended Phase 2 dose and key elements of the single arm, Phase 2 registrational portion of the PYNNACLE study. In October 2023, we presented our updated Phase 1 clinical data for rezatapopt at the 2023 AACR-NCI-EORTC International Conference on Molecular Targets and Cancer Therapeutics Meeting. We dosed our first patient in the pivotal Phase 2 monotherapy portion of the PYNNACLE study in the first quarter of 2024. We also expect to provide interim data on the Phase 2 monotherapy registrational portion of the PYNNACLE trial by mid-2025. In October 2024, we discontinued enrollment in the Phase 1b combination arm of the PYNNACLE trial evaluating rezatapopt in combination with Merck and Co.’s anti-PD-1 therapy KEYTRUDA® (pembrolizumab) in patients with advanced solid tumors harboring a TP53 Y220C</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360"/>
          </w:cols>
          <w:pgMar w:left="1440" w:top="1416" w:right="1440" w:bottom="175" w:gutter="0" w:footer="0" w:header="0"/>
        </w:sectPr>
      </w:pPr>
    </w:p>
    <w:bookmarkStart w:id="8" w:name="page9"/>
    <w:bookmarkEnd w:id="8"/>
    <w:p>
      <w:pPr>
        <w:ind w:right="380"/>
        <w:spacing w:after="0" w:line="249" w:lineRule="auto"/>
        <w:rPr>
          <w:sz w:val="20"/>
          <w:szCs w:val="20"/>
          <w:color w:val="auto"/>
        </w:rPr>
      </w:pPr>
      <w:r>
        <w:rPr>
          <w:rFonts w:ascii="Times New Roman" w:cs="Times New Roman" w:eastAsia="Times New Roman" w:hAnsi="Times New Roman"/>
          <w:sz w:val="20"/>
          <w:szCs w:val="20"/>
          <w:color w:val="auto"/>
        </w:rPr>
        <w:t>mutation. Additionally, we announced that we are collaborating with the MDACC and MSK to support an investigator-initiated Phase 1b study, which is designed to assess the safety, tolerability, pharmacokinetics, and preliminary efficacy of rezatapopt monotherapy in combination with azacitidine in R/R AML and MDS patients harboring a TP53 Y220C mutation. MDACC dosed its first patient for this Phase 1b study in the first quarter of 2025.</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244" w:lineRule="exact"/>
        <w:rPr>
          <w:sz w:val="20"/>
          <w:szCs w:val="20"/>
          <w:color w:val="auto"/>
        </w:rPr>
      </w:pPr>
    </w:p>
    <w:p>
      <w:pPr>
        <w:ind w:right="20" w:firstLine="619"/>
        <w:spacing w:after="0" w:line="249" w:lineRule="auto"/>
        <w:rPr>
          <w:sz w:val="20"/>
          <w:szCs w:val="20"/>
          <w:color w:val="auto"/>
        </w:rPr>
      </w:pPr>
      <w:r>
        <w:rPr>
          <w:rFonts w:ascii="Times New Roman" w:cs="Times New Roman" w:eastAsia="Times New Roman" w:hAnsi="Times New Roman"/>
          <w:sz w:val="20"/>
          <w:szCs w:val="20"/>
          <w:color w:val="auto"/>
        </w:rPr>
        <w:t>Our vision is to become a leading precision oncology company by designing, developing and commercializing novel precision medicines for every patient with a p53-driven tumor. We believe we are well positioned to leverage our deep experience in p53 biology, precision oncology platform and foundational knowledge acquired through our lead program to bring these therapies to patients. The critical components of our strategy include:</w:t>
      </w:r>
    </w:p>
    <w:p>
      <w:pPr>
        <w:spacing w:after="0" w:line="87" w:lineRule="exact"/>
        <w:rPr>
          <w:sz w:val="20"/>
          <w:szCs w:val="20"/>
          <w:color w:val="auto"/>
        </w:rPr>
      </w:pPr>
    </w:p>
    <w:p>
      <w:pPr>
        <w:ind w:left="900" w:hanging="281"/>
        <w:spacing w:after="0" w:line="244" w:lineRule="auto"/>
        <w:tabs>
          <w:tab w:leader="none" w:pos="90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Advancing our lead product candidate, rezatapopt, as a tumor-agnostic, oral small molecule therapy for cancer patients</w:t>
      </w:r>
      <w:r>
        <w:rPr>
          <w:rFonts w:ascii="Times New Roman" w:cs="Times New Roman" w:eastAsia="Times New Roman" w:hAnsi="Times New Roman"/>
          <w:sz w:val="20"/>
          <w:szCs w:val="20"/>
          <w:color w:val="auto"/>
        </w:rPr>
        <w:t>. We have designed rezatapopt to be an orally available, tumor-agnostic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therapeutic and, if approved, we believe it could become the first agent to address the p53 Y220C mutation-defined patient population. In October 2020, we initiated a Phase 1/2 clinical trial for rezatapopt in multiple solid tumors with the p53 Y220C mutation. We are conducting our clinical trials in this genomically-defined patient population and leverage learnings from recently approved tumor-agnostic drugs to inform the clinical and regulatory pathways for rezatapopt. In October 2023, we presented our Phase 1 clinical data for rezatapopt and observed partial responses across multiple tumor types. The pivotal Phase 2 monotherapy portion of our PYNNACLE trial initiated in the first quarter of 2024, and we expect to provide interim Phase 2 data by mid-2025.</w:t>
      </w:r>
    </w:p>
    <w:p>
      <w:pPr>
        <w:spacing w:after="0" w:line="95" w:lineRule="exact"/>
        <w:rPr>
          <w:rFonts w:ascii="Arial" w:cs="Arial" w:eastAsia="Arial" w:hAnsi="Arial"/>
          <w:sz w:val="20"/>
          <w:szCs w:val="20"/>
          <w:color w:val="auto"/>
        </w:rPr>
      </w:pPr>
    </w:p>
    <w:p>
      <w:pPr>
        <w:ind w:left="900" w:right="20" w:hanging="281"/>
        <w:spacing w:after="0" w:line="257" w:lineRule="auto"/>
        <w:tabs>
          <w:tab w:leader="none" w:pos="900" w:val="left"/>
        </w:tabs>
        <w:numPr>
          <w:ilvl w:val="0"/>
          <w:numId w:val="6"/>
        </w:numPr>
        <w:rPr>
          <w:rFonts w:ascii="Arial" w:cs="Arial" w:eastAsia="Arial" w:hAnsi="Arial"/>
          <w:sz w:val="19"/>
          <w:szCs w:val="19"/>
          <w:color w:val="auto"/>
        </w:rPr>
      </w:pPr>
      <w:r>
        <w:rPr>
          <w:rFonts w:ascii="Times New Roman" w:cs="Times New Roman" w:eastAsia="Times New Roman" w:hAnsi="Times New Roman"/>
          <w:sz w:val="19"/>
          <w:szCs w:val="19"/>
          <w:b w:val="1"/>
          <w:bCs w:val="1"/>
          <w:color w:val="auto"/>
        </w:rPr>
        <w:t>Leveraging the advantages of precision medicine and our expertise in p53 biology to pursue accelerated approval of our product candidates</w:t>
      </w:r>
      <w:r>
        <w:rPr>
          <w:rFonts w:ascii="Times New Roman" w:cs="Times New Roman" w:eastAsia="Times New Roman" w:hAnsi="Times New Roman"/>
          <w:sz w:val="19"/>
          <w:szCs w:val="19"/>
          <w:color w:val="auto"/>
        </w:rPr>
        <w:t>. For our lead product candidate, rezatapopt, we 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actively working with physicians and leading clinical trial institutions to enroll patients with the p53 Y220C mutation identified via NGS in our Phase 2 clinical trial. In order to rapidly confirm mechanistic and clinical proof of concept, we utilize assays to measure target engagement and biomarkers, as well as assess clinical responses in patients. We expect this strategy, which we also plan to replicate for our other future product candidates, will enable a rapid determination of target engagement and has the potential to serve as a predictive marker of efficacy, thereby providing clear decision points for clinical development and efficient advancement of our product candidates towards approval. Based on our encouraging PYNNACLE clinical results, we plan to seek breakthrough therapy designation from the FDA for rezatapopt, which, if granted, is intended to expedite clinical development and regulatory review. We intend to maximize the benefit of our product candidates by pursuing a tumor-agnostic approach.</w:t>
      </w:r>
    </w:p>
    <w:p>
      <w:pPr>
        <w:spacing w:after="0" w:line="86" w:lineRule="exact"/>
        <w:rPr>
          <w:rFonts w:ascii="Arial" w:cs="Arial" w:eastAsia="Arial" w:hAnsi="Arial"/>
          <w:sz w:val="19"/>
          <w:szCs w:val="19"/>
          <w:color w:val="auto"/>
        </w:rPr>
      </w:pPr>
    </w:p>
    <w:p>
      <w:pPr>
        <w:ind w:left="900" w:hanging="281"/>
        <w:spacing w:after="0" w:line="243" w:lineRule="auto"/>
        <w:tabs>
          <w:tab w:leader="none" w:pos="90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Identifying and exploring combination therapy approaches for our product candidates</w:t>
      </w:r>
      <w:r>
        <w:rPr>
          <w:rFonts w:ascii="Times New Roman" w:cs="Times New Roman" w:eastAsia="Times New Roman" w:hAnsi="Times New Roman"/>
          <w:sz w:val="20"/>
          <w:szCs w:val="20"/>
          <w:color w:val="auto"/>
        </w:rPr>
        <w:t>. Though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rezatapopt has demonstrated clear and robust tumor regression as a single agent in preclinical animal models and clinical proof of concept, we believe that the mechanism of correcting the structure of mutant p53 can be complementary to other oncology therapies. Leveraging our expertise in p53 biology, chemistry and cancer pharmacology, we plan to identify and explore combination strategies with multiple cancer therapies. For example, chemotherapy and radiation therapy, approaches that result in deoxyribonucleic acid, or DNA, damage and upregulate p53 are natural candidates for combining with our product candidates. In addition, we believe that p53 plays a role in influencing the tumor microenvironment. Therefore, immune checkpoint inhibitors, such as anti-PD-1 and anti-CTLA-4 agents, could also be considered as potential combination agents for use with our product candidates. We believe that our unique expertise will enable us to prioritize therapeutic strategies and optimize outcomes for clinical studies.</w:t>
      </w:r>
    </w:p>
    <w:p>
      <w:pPr>
        <w:spacing w:after="0" w:line="99" w:lineRule="exact"/>
        <w:rPr>
          <w:rFonts w:ascii="Arial" w:cs="Arial" w:eastAsia="Arial" w:hAnsi="Arial"/>
          <w:sz w:val="20"/>
          <w:szCs w:val="20"/>
          <w:color w:val="auto"/>
        </w:rPr>
      </w:pPr>
    </w:p>
    <w:p>
      <w:pPr>
        <w:ind w:left="900" w:right="360" w:hanging="281"/>
        <w:spacing w:after="0" w:line="249" w:lineRule="auto"/>
        <w:tabs>
          <w:tab w:leader="none" w:pos="90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 xml:space="preserve">Harnessing the power of our precision oncology platform to discover and develop additional differentiated product candidates. </w:t>
      </w:r>
      <w:r>
        <w:rPr>
          <w:rFonts w:ascii="Times New Roman" w:cs="Times New Roman" w:eastAsia="Times New Roman" w:hAnsi="Times New Roman"/>
          <w:sz w:val="20"/>
          <w:szCs w:val="20"/>
          <w:color w:val="auto"/>
        </w:rPr>
        <w:t>Using our extensive in-house expertise, deep understanding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chemistry and decades of experience researching the p53 protein, we believe that we will be able to leverage and apply foundational knowledge from the advancement of rezatapopt to the discovery and development of additional product candidates.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360"/>
          </w:cols>
          <w:pgMar w:left="1440" w:top="1420" w:right="1440" w:bottom="175"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Background on Targeted Therapies</w:t>
      </w:r>
    </w:p>
    <w:p>
      <w:pPr>
        <w:spacing w:after="0" w:line="238" w:lineRule="exact"/>
        <w:rPr>
          <w:sz w:val="20"/>
          <w:szCs w:val="20"/>
          <w:color w:val="auto"/>
        </w:rPr>
      </w:pPr>
    </w:p>
    <w:p>
      <w:pPr>
        <w:ind w:right="80" w:firstLine="634"/>
        <w:spacing w:after="0" w:line="242" w:lineRule="auto"/>
        <w:rPr>
          <w:sz w:val="20"/>
          <w:szCs w:val="20"/>
          <w:color w:val="auto"/>
        </w:rPr>
      </w:pPr>
      <w:r>
        <w:rPr>
          <w:rFonts w:ascii="Times New Roman" w:cs="Times New Roman" w:eastAsia="Times New Roman" w:hAnsi="Times New Roman"/>
          <w:sz w:val="20"/>
          <w:szCs w:val="20"/>
          <w:color w:val="auto"/>
        </w:rPr>
        <w:t>Cancer is a genetic disease that results from changes in a person’s DNA that causes cells to grow and divide uncontrollably. Genes are the distinct segments in a cell’s DNA that can encode proteins with structural or functional roles in the body. Alterations in some genes can lead to the expression of mutant proteins with impaired or abnormal functions that can cause cancer. Cancer has historically been both diagnosed and treated based on a tumor’s organ site, such as the breast, lung, ovary, brain, pancreas, skin, bone or blood.</w:t>
      </w:r>
    </w:p>
    <w:p>
      <w:pPr>
        <w:spacing w:after="0" w:line="193" w:lineRule="exact"/>
        <w:rPr>
          <w:sz w:val="20"/>
          <w:szCs w:val="20"/>
          <w:color w:val="auto"/>
        </w:rPr>
      </w:pPr>
    </w:p>
    <w:p>
      <w:pPr>
        <w:ind w:right="40" w:firstLine="619"/>
        <w:spacing w:after="0" w:line="230" w:lineRule="auto"/>
        <w:rPr>
          <w:sz w:val="20"/>
          <w:szCs w:val="20"/>
          <w:color w:val="auto"/>
        </w:rPr>
      </w:pPr>
      <w:r>
        <w:rPr>
          <w:rFonts w:ascii="Times New Roman" w:cs="Times New Roman" w:eastAsia="Times New Roman" w:hAnsi="Times New Roman"/>
          <w:sz w:val="20"/>
          <w:szCs w:val="20"/>
          <w:color w:val="auto"/>
        </w:rPr>
        <w:t>Recent advances in genomic sequencing and a better understanding of the genomic alterations that drive tumor development and growth have facilitated precise, gene and protein-specific drug development, known as targeted therapies. Targeted therapies have the potential to transform treatment of some cancers by providing robust clinical benefit to patients. In notable cases, the clinical outcomes have been dramatic enough to support expedited regulatory approval of these therapies. For example, Retevmo in RET-altered NSCLC and thyroid cancers (Lilly/Loxo); Ayvakit, in platelet-derived growth factor receptor alpha exon 18 mutated advanced gastrointestinal stromal tumor, or GIST (Blueprint); Rozlytrek, in solid tumors with a neurotrophic tropomyosin receptor kinase, or NTRK, gene fusion (Roche); Vitrakvi, in solid tumors with an NTRK gene fusion (Loxo/Bayer); Zykadia, in anaplastic lymphoma kinase-positive, or ALK+, advanced NSCLC (Novartis); Zelboraf, in advanced melanoma with a BRAF V600E mutation (Roche Genentech); Xalkori, in ALK+ advanced NSCLC (Pfizer); Tagrisso, in epidermal growth factor receptor mutation-positive, or EGFR+, advanced NSCLC (AstraZeneca); Qinlock, in GIST (Deciphera); Krazati and Lumakras in KRAS G12C mutated NSCLC (Mirati and Amgen); Augtyro in ROS1 positive NSCLC tumors (Turning Point); and Bizengri in NSCLC and pancreatic tumors with a NRG1-positive gene fusion (Merus) all received approvals within five years of first dosing in humans. This time period is significantly reduced compared to conventional drug development timelines. Despite this progress, a recent analysis found that only 16% of patients with metastatic cancer have tumors with genomic profiles eligible for treatment with an approved targeted agent, which leaves a large opportunity for precision oncology.</w:t>
      </w:r>
    </w:p>
    <w:p>
      <w:pPr>
        <w:spacing w:after="0" w:line="208" w:lineRule="exact"/>
        <w:rPr>
          <w:sz w:val="20"/>
          <w:szCs w:val="20"/>
          <w:color w:val="auto"/>
        </w:rPr>
      </w:pPr>
    </w:p>
    <w:p>
      <w:pPr>
        <w:ind w:right="80" w:firstLine="619"/>
        <w:spacing w:after="0" w:line="231" w:lineRule="auto"/>
        <w:rPr>
          <w:sz w:val="20"/>
          <w:szCs w:val="20"/>
          <w:color w:val="auto"/>
        </w:rPr>
      </w:pPr>
      <w:r>
        <w:rPr>
          <w:rFonts w:ascii="Times New Roman" w:cs="Times New Roman" w:eastAsia="Times New Roman" w:hAnsi="Times New Roman"/>
          <w:sz w:val="20"/>
          <w:szCs w:val="20"/>
          <w:color w:val="auto"/>
        </w:rPr>
        <w:t>There is an emerging change in the development of targeted therapies, in that cancer is increasingly being targeted through a tumor-agnostic approach with a focus on selectively targeting a genetic or protein mutation irrespective of tumor type. For example, there are now multiple tumor-agnostic product approvals that are based on a genomic mutation that defines the disease, as opposed to the tumor type. These include the aforementioned Vitrakvi, Rozlytrek and Augtyro approvals in NTRK gene fusion-positive solid tumors as well as KEYTRUDA and Jemperli, respectively, approval in metastatic microsatellite instability-high or deficient mismatch repair solid tumors. KEYTRUDA is also approved in tumor mutational burden-high-(TMB-H) solid tumors. In addition, the combination of Taflinar and Mekinist was approved for BRAF V600E mutation positive unresectable or metastatic solid tumors (with the exception of colorectal cancer). In addition, Retevmo was approved for RET gene fusion-positive solid tumors and Enhertu was approved for HER2-Positive (IHC 3+) unresectable or metastatic solid tumors. We believe that these approvals represent a fundamental shift in the development of targeted therapies and will increasingly lead to cancer being characterized for treatment in a genomic, rather than in a tumor-specific, manner, based on a biological rationale.</w:t>
      </w:r>
    </w:p>
    <w:p>
      <w:pPr>
        <w:spacing w:after="0" w:line="203" w:lineRule="exact"/>
        <w:rPr>
          <w:sz w:val="20"/>
          <w:szCs w:val="20"/>
          <w:color w:val="auto"/>
        </w:rPr>
      </w:pPr>
    </w:p>
    <w:p>
      <w:pPr>
        <w:ind w:firstLine="619"/>
        <w:spacing w:after="0" w:line="235" w:lineRule="auto"/>
        <w:rPr>
          <w:sz w:val="20"/>
          <w:szCs w:val="20"/>
          <w:color w:val="auto"/>
        </w:rPr>
      </w:pPr>
      <w:r>
        <w:rPr>
          <w:rFonts w:ascii="Times New Roman" w:cs="Times New Roman" w:eastAsia="Times New Roman" w:hAnsi="Times New Roman"/>
          <w:sz w:val="20"/>
          <w:szCs w:val="20"/>
          <w:color w:val="auto"/>
        </w:rPr>
        <w:t>The widespread recognition that cancer is a genetic disease, as much as it is a disease defined by histology or anatomical location, has driven the increased use of genomic sequencing, which is now employed by approximately 75% of oncologists in the United States. As DNA sequencing technology advances, the availability of well-defined genomic sequencing tests increases. With the increasing number of approved targeted therapies, we believe that physicians will seek a better understanding of the underlying genetic and protein abnormalities associated with a specific type of cancer in order to determine the optimal course of treatment. Advances in genomic sequencing are leading to transformations in the discovery and development of new targeted oncology drugs.</w:t>
      </w:r>
    </w:p>
    <w:p>
      <w:pPr>
        <w:spacing w:after="0" w:line="193" w:lineRule="exact"/>
        <w:rPr>
          <w:sz w:val="20"/>
          <w:szCs w:val="20"/>
          <w:color w:val="auto"/>
        </w:rPr>
      </w:pPr>
    </w:p>
    <w:p>
      <w:pPr>
        <w:ind w:firstLine="619"/>
        <w:spacing w:after="0" w:line="235" w:lineRule="auto"/>
        <w:rPr>
          <w:sz w:val="20"/>
          <w:szCs w:val="20"/>
          <w:color w:val="auto"/>
        </w:rPr>
      </w:pPr>
      <w:r>
        <w:rPr>
          <w:rFonts w:ascii="Times New Roman" w:cs="Times New Roman" w:eastAsia="Times New Roman" w:hAnsi="Times New Roman"/>
          <w:sz w:val="20"/>
          <w:szCs w:val="20"/>
          <w:color w:val="auto"/>
        </w:rPr>
        <w:t>We believe p53 mutations are prime targets for precision oncology, as more than 50% of all human cancers contain a p53 mutation. Identifying the specific p53 gene mutation and structurally correcting the corresponding mutant p53 protein can potentially serve as a basis of treatment for these cancers. Diagnostic tests are currently used by physicians in their practice to identify patients with p53 mutations. Given the high prevalence of p53 mutations in cancers, we believe that an effective way to address p53-driven cancers is by targeting individual p53 mutations using a precision oncology approach and significantly expanding the scope of patients who can benefit from targeted therapies.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360"/>
          </w:cols>
          <w:pgMar w:left="1440" w:top="1416" w:right="1440" w:bottom="175"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Our Product Candidate and Development Programs</w:t>
      </w:r>
    </w:p>
    <w:p>
      <w:pPr>
        <w:spacing w:after="0" w:line="243" w:lineRule="exact"/>
        <w:rPr>
          <w:sz w:val="20"/>
          <w:szCs w:val="20"/>
          <w:color w:val="auto"/>
        </w:rPr>
      </w:pPr>
    </w:p>
    <w:p>
      <w:pPr>
        <w:ind w:right="100" w:firstLine="619"/>
        <w:spacing w:after="0" w:line="259" w:lineRule="auto"/>
        <w:rPr>
          <w:sz w:val="20"/>
          <w:szCs w:val="20"/>
          <w:color w:val="auto"/>
        </w:rPr>
      </w:pPr>
      <w:r>
        <w:rPr>
          <w:rFonts w:ascii="Times New Roman" w:cs="Times New Roman" w:eastAsia="Times New Roman" w:hAnsi="Times New Roman"/>
          <w:sz w:val="20"/>
          <w:szCs w:val="20"/>
          <w:color w:val="auto"/>
        </w:rPr>
        <w:t>We are leveraging our precision oncology platform to develop a pipeline of oral small molecule product candidates. We own worldwide commercial rights to all of our programs. An overview of our development pipeline is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119380</wp:posOffset>
            </wp:positionV>
            <wp:extent cx="5401310" cy="2432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extLst>
                    </a:blip>
                    <a:srcRect/>
                    <a:stretch>
                      <a:fillRect/>
                    </a:stretch>
                  </pic:blipFill>
                  <pic:spPr bwMode="auto">
                    <a:xfrm>
                      <a:off x="0" y="0"/>
                      <a:ext cx="5401310" cy="2432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900" w:hanging="281"/>
        <w:spacing w:after="0"/>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Discovery, we screen compounds against biological assays to identify lead compounds.</w:t>
      </w:r>
    </w:p>
    <w:p>
      <w:pPr>
        <w:spacing w:after="0" w:line="120" w:lineRule="exact"/>
        <w:rPr>
          <w:rFonts w:ascii="Times New Roman" w:cs="Times New Roman" w:eastAsia="Times New Roman" w:hAnsi="Times New Roman"/>
          <w:sz w:val="20"/>
          <w:szCs w:val="20"/>
          <w:color w:val="auto"/>
        </w:rPr>
      </w:pPr>
    </w:p>
    <w:p>
      <w:pPr>
        <w:ind w:left="900" w:right="240" w:hanging="281"/>
        <w:spacing w:after="0" w:line="278" w:lineRule="auto"/>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Lead Optimization, we modify the lead compound to improve potency, selectivity, pharmacokinetic and toxicity parameters and physical chemical properties important for clinical development.</w:t>
      </w:r>
    </w:p>
    <w:p>
      <w:pPr>
        <w:spacing w:after="0" w:line="46" w:lineRule="exact"/>
        <w:rPr>
          <w:rFonts w:ascii="Times New Roman" w:cs="Times New Roman" w:eastAsia="Times New Roman" w:hAnsi="Times New Roman"/>
          <w:sz w:val="20"/>
          <w:szCs w:val="20"/>
          <w:color w:val="auto"/>
        </w:rPr>
      </w:pPr>
    </w:p>
    <w:p>
      <w:pPr>
        <w:ind w:left="900" w:right="260" w:hanging="281"/>
        <w:spacing w:after="0" w:line="278" w:lineRule="auto"/>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IND-Enabling Studies, we conduct preclinical studies, in accordance with GLP required for an IND submission to the FDA.</w:t>
      </w:r>
    </w:p>
    <w:p>
      <w:pPr>
        <w:spacing w:after="0" w:line="167"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color w:val="auto"/>
        </w:rPr>
        <w:t>We expect to initially seek approval of our product candidates in most instances, including with rezatapopt, at least as a second line therapy or for patients with no satisfactory alternative treatments or where the cancer has progressed following other treatment. Subsequently, depending on the nature of the clinical data and experience with any approved products or product candidates, if any, we may pursue approval as an earlier line therapy and potentially as a first line therapy. Cancer therapies are sometimes characterized as first line, second line or third line, and the FDA customarily approves new therapies for a second line or later lines of use. When cancer is detected early enough, first line therapy is sometimes adequate to cure the cancer or prolong life without a cure. Whenever first line therapies, usually chemotherapy, antibody drugs, tumor-targeted small molecules, hormone therapy, radiation therapy, surgery or a combination of these, proves unsuccessful, second line therapies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w:t>
      </w:r>
    </w:p>
    <w:p>
      <w:pPr>
        <w:spacing w:after="0" w:line="3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Rezatapopt: A Selective Structural Corrector of p53 Y220C Mutations</w:t>
      </w:r>
    </w:p>
    <w:p>
      <w:pPr>
        <w:spacing w:after="0" w:line="120"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20"/>
          <w:szCs w:val="20"/>
          <w:color w:val="auto"/>
        </w:rPr>
        <w:t>P53 is the most widely mutated gene in human cancers. The vast majority of these mutations occur as a result of missense mutations that are found in the DNA binding domain. P53 Y220C mutations are found in approximately 1% of all cancers. This particular mutation is expressed in a large variety of solid tumors, including breast, NSCLC, colorectal, pancreatic and ovarian cancers. Our lead product candidate, rezatapopt, is designed to be an orally available small molecule that structurally corrects a p53 protein containing the Y220C mutation and restores wild-type p53 function.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360"/>
          </w:cols>
          <w:pgMar w:left="1440" w:top="1416" w:right="1440" w:bottom="175" w:gutter="0" w:footer="0" w:header="0"/>
        </w:sectPr>
      </w:pPr>
    </w:p>
    <w:bookmarkStart w:id="11" w:name="page12"/>
    <w:bookmarkEnd w:id="11"/>
    <w:p>
      <w:pPr>
        <w:ind w:right="40" w:firstLine="619"/>
        <w:spacing w:after="0" w:line="246" w:lineRule="auto"/>
        <w:rPr>
          <w:sz w:val="20"/>
          <w:szCs w:val="20"/>
          <w:color w:val="auto"/>
        </w:rPr>
      </w:pPr>
      <w:r>
        <w:rPr>
          <w:rFonts w:ascii="Times New Roman" w:cs="Times New Roman" w:eastAsia="Times New Roman" w:hAnsi="Times New Roman"/>
          <w:sz w:val="20"/>
          <w:szCs w:val="20"/>
          <w:color w:val="auto"/>
        </w:rPr>
        <w:t>Wild-type p53 in a normal cell is at low to undetectable levels, but an external insult such as UV radiation or exposure to a carcinogen results in activation and upregulation of the protein. In these instances, wild-type p53 pauses the cell-cycle to survey the integrity of the genome, and if the damage to the genome cannot be repaired, wild-type p53 induces a potent program of cell suicide or programed cell death. Given wild-type p53’s profound ability to induce cell death, it is tightly regulated in normal biology by an auto-regulatory loop with MDM2, a downstream induced target of wild-type p53 transcriptional activation. MDM2 production results in degradation of the wild-type p53 protein and re-sets the cell to normal function.</w:t>
      </w:r>
    </w:p>
    <w:p>
      <w:pPr>
        <w:spacing w:after="0" w:line="199" w:lineRule="exact"/>
        <w:rPr>
          <w:sz w:val="20"/>
          <w:szCs w:val="20"/>
          <w:color w:val="auto"/>
        </w:rPr>
      </w:pPr>
    </w:p>
    <w:p>
      <w:pPr>
        <w:ind w:right="20" w:firstLine="619"/>
        <w:spacing w:after="0" w:line="252" w:lineRule="auto"/>
        <w:rPr>
          <w:sz w:val="20"/>
          <w:szCs w:val="20"/>
          <w:color w:val="auto"/>
        </w:rPr>
      </w:pPr>
      <w:r>
        <w:rPr>
          <w:rFonts w:ascii="Times New Roman" w:cs="Times New Roman" w:eastAsia="Times New Roman" w:hAnsi="Times New Roman"/>
          <w:sz w:val="20"/>
          <w:szCs w:val="20"/>
          <w:color w:val="auto"/>
        </w:rPr>
        <w:t>In the case of a mutant p53, there is a loss of p53 wild-type tumor suppression function due to a loss of downstream wild-type p53 transcriptional activation, including MDM2 induction. A consequence of this dysregulation is the inability of the cancer cell to degrade mutant forms of p53, resulting in a profound accumulation of mutant p53 protein in the cancer cell.</w:t>
      </w:r>
    </w:p>
    <w:p>
      <w:pPr>
        <w:spacing w:after="0" w:line="230"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20"/>
          <w:szCs w:val="20"/>
          <w:color w:val="auto"/>
        </w:rPr>
        <w:t>While treatment options such as surgery, chemotherapy, radiotherapy and immuno-therapy are available for breast, NSCLC, colorectal, pancreatic and ovarian cancer, there are no approved precision oncology therapies for the subset of patients with the p53 Y220C mutation. The availability of an oral small molecule selective for the p53 Y220C mutation may offer a novel precision therapy for this population, which we believe could potentially change the treatment paradigm for such patients.</w:t>
      </w:r>
    </w:p>
    <w:p>
      <w:pPr>
        <w:spacing w:after="0" w:line="3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Clinical Development Plan of Rezatapopt</w:t>
      </w:r>
    </w:p>
    <w:p>
      <w:pPr>
        <w:spacing w:after="0" w:line="121" w:lineRule="exact"/>
        <w:rPr>
          <w:sz w:val="20"/>
          <w:szCs w:val="20"/>
          <w:color w:val="auto"/>
        </w:rPr>
      </w:pPr>
    </w:p>
    <w:p>
      <w:pPr>
        <w:ind w:right="180" w:firstLine="619"/>
        <w:spacing w:after="0" w:line="252" w:lineRule="auto"/>
        <w:rPr>
          <w:sz w:val="20"/>
          <w:szCs w:val="20"/>
          <w:color w:val="auto"/>
        </w:rPr>
      </w:pPr>
      <w:r>
        <w:rPr>
          <w:rFonts w:ascii="Times New Roman" w:cs="Times New Roman" w:eastAsia="Times New Roman" w:hAnsi="Times New Roman"/>
          <w:sz w:val="20"/>
          <w:szCs w:val="20"/>
          <w:color w:val="auto"/>
        </w:rPr>
        <w:t>We initiated a Phase 1/2 clinical trial, PYNNACLE, for rezatapopt in October 2020. In addition, we were granted FDA Fast Track designation of rezatapopt for the treatment of patients with locally advanced or metastatic solid tumors with a p53 Y220C mutation in October 2020. We dosed our first patient in this clinical trial in the fourth quarter of 2020.</w:t>
      </w:r>
    </w:p>
    <w:p>
      <w:pPr>
        <w:spacing w:after="0" w:line="223" w:lineRule="exact"/>
        <w:rPr>
          <w:sz w:val="20"/>
          <w:szCs w:val="20"/>
          <w:color w:val="auto"/>
        </w:rPr>
      </w:pPr>
    </w:p>
    <w:p>
      <w:pPr>
        <w:ind w:right="140" w:firstLine="619"/>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Phase 1 Completion. </w:t>
      </w:r>
      <w:r>
        <w:rPr>
          <w:rFonts w:ascii="Times New Roman" w:cs="Times New Roman" w:eastAsia="Times New Roman" w:hAnsi="Times New Roman"/>
          <w:sz w:val="20"/>
          <w:szCs w:val="20"/>
          <w:color w:val="auto"/>
        </w:rPr>
        <w:t>In July 2023, we concluded our End of Phase 1 meeting with the FDA with alignment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on the recommended Phase 2 dose and key elements of the single arm, Phase 2 registrational portion of the PYNNACLE study. In October 2023, we presented our updated Phase 1 clinical data for rezatapopt at the 2023 AACR-NCI-EORTC International Conference on Molecular Targets and Cancer Therapeutics Meeting.</w:t>
      </w:r>
    </w:p>
    <w:p>
      <w:pPr>
        <w:spacing w:after="0" w:line="225" w:lineRule="exact"/>
        <w:rPr>
          <w:sz w:val="20"/>
          <w:szCs w:val="20"/>
          <w:color w:val="auto"/>
        </w:rPr>
      </w:pPr>
    </w:p>
    <w:p>
      <w:pPr>
        <w:ind w:right="40" w:firstLine="619"/>
        <w:spacing w:after="0" w:line="242" w:lineRule="auto"/>
        <w:rPr>
          <w:sz w:val="20"/>
          <w:szCs w:val="20"/>
          <w:color w:val="auto"/>
        </w:rPr>
      </w:pPr>
      <w:r>
        <w:rPr>
          <w:rFonts w:ascii="Times New Roman" w:cs="Times New Roman" w:eastAsia="Times New Roman" w:hAnsi="Times New Roman"/>
          <w:sz w:val="20"/>
          <w:szCs w:val="20"/>
          <w:color w:val="auto"/>
        </w:rPr>
        <w:t>The updated Phase 1 data, as of a September 5, 2023 data cutoff date, included enrollment of 67 patients with the p53 Y220C mutation, 51 of whom had measurable disease of which 38 were also KRAS wild type. Patients in the study had a median age of 63 (range of 32-84 years of age) with a range of tumor types and were heavily pretreated with a median of three prior lines of therapy. Of these patients, 38 patients with measurable disease and were KRAS wild type, were treated in the efficacious dose range, which was defined as a dose from 1150mg QD to 1500mg BID. In the efficacious dose range, confirmed partial responses were observed per investigator assessment (RECIST v1.1) in 13 patients (34%) across multiple different tumor types including breast, endometrial, ovarian, small cell lung and prostate cancer. After the data cutoff date, a confirmed partial response was also observed in a head and neck cancer patient. Best response of stable disease, or SD, or confirmed partial response was observed in 33 of the 38 patients (87%) in the efficacious dose range. We also evaluated patients at the recommended Phase 2 dose of 2000 mg QD. Among the 16 patients treated at the recommended Phase 2 dose level, confirmed partial responses were observed per investigator assessment (RECIST v1.1) in 6 patients (38%) across multiple tumor types, including those noted above. Best response of SD or confirmed partial response was observed in 14 of the 16 patients (88%).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360"/>
          </w:cols>
          <w:pgMar w:left="1440" w:top="1420" w:right="1440" w:bottom="175"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1097280</wp:posOffset>
            </wp:positionH>
            <wp:positionV relativeFrom="page">
              <wp:posOffset>1059180</wp:posOffset>
            </wp:positionV>
            <wp:extent cx="5578475" cy="29159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extLst>
                    </a:blip>
                    <a:srcRect/>
                    <a:stretch>
                      <a:fillRect/>
                    </a:stretch>
                  </pic:blipFill>
                  <pic:spPr bwMode="auto">
                    <a:xfrm>
                      <a:off x="0" y="0"/>
                      <a:ext cx="5578475"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400" w:firstLine="619"/>
        <w:spacing w:after="0" w:line="252" w:lineRule="auto"/>
        <w:rPr>
          <w:sz w:val="20"/>
          <w:szCs w:val="20"/>
          <w:color w:val="auto"/>
        </w:rPr>
      </w:pPr>
      <w:r>
        <w:rPr>
          <w:rFonts w:ascii="Times New Roman" w:cs="Times New Roman" w:eastAsia="Times New Roman" w:hAnsi="Times New Roman"/>
          <w:sz w:val="20"/>
          <w:szCs w:val="20"/>
          <w:color w:val="auto"/>
        </w:rPr>
        <w:t>Rezatapopt was observed to be generally well-tolerated (across 67 patients treated with rezatapopt monotherapy as of September 5, 2023). The majority of adverse events were mild or moderate (Grade 1 or 2) in severity with the most frequent adverse events being nausea, vomiting, aspartate transaminase, or AST,/alanine transaminase, or ALT, increase, anemia, blood creatinine increase and fatigue.</w:t>
      </w:r>
    </w:p>
    <w:p>
      <w:pPr>
        <w:spacing w:after="0" w:line="223"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Phase 2 and Combination Studies. </w:t>
      </w:r>
      <w:r>
        <w:rPr>
          <w:rFonts w:ascii="Times New Roman" w:cs="Times New Roman" w:eastAsia="Times New Roman" w:hAnsi="Times New Roman"/>
          <w:sz w:val="20"/>
          <w:szCs w:val="20"/>
          <w:color w:val="auto"/>
        </w:rPr>
        <w:t>We dosed our first patient in the pivotal Phase 2 monotherapy portion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PYNNACLE study in the first quarter of 2024. We are continuing to dose patients in the study, and have activated over 90% of sites globally across the U.S., U.K., Europe and Asia-Pacific. We also expect to provide interim data on the Phase 2 monotherapy registrational portion of the PYNNACLE trial by mid-2025. In October 2024, we discontinued enrollment in the Phase 1b combination arm of the PYNNACLE trial evaluating rezatapopt in combination with Merck and Co.’s anti-PD-1 therapy KEYTRUDA® (pembrolizumab) in patients with advanced solid tumors harboring a TP53 Y220C mutation. Additionally, we announced that we are collaborating with the MDACC and MSK to support an investigator-initiated Phase 1b study, which is designed to assess the safety, tolerability, pharmacokinetics, and preliminary efficacy of rezatapopt monotherapy in combination with azacitidine in R/R AML and MDS patients harboring a TP53 Y220C mutation. MDACC dosed its first patient for this Phase 1b study in the first quarter of 2025.</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Other Pipeline Programs</w:t>
      </w:r>
    </w:p>
    <w:p>
      <w:pPr>
        <w:spacing w:after="0" w:line="244" w:lineRule="exact"/>
        <w:rPr>
          <w:sz w:val="20"/>
          <w:szCs w:val="20"/>
          <w:color w:val="auto"/>
        </w:rPr>
      </w:pPr>
    </w:p>
    <w:p>
      <w:pPr>
        <w:jc w:val="both"/>
        <w:ind w:right="540" w:firstLine="619"/>
        <w:spacing w:after="0" w:line="258" w:lineRule="auto"/>
        <w:rPr>
          <w:sz w:val="20"/>
          <w:szCs w:val="20"/>
          <w:color w:val="auto"/>
        </w:rPr>
      </w:pPr>
      <w:r>
        <w:rPr>
          <w:rFonts w:ascii="Times New Roman" w:cs="Times New Roman" w:eastAsia="Times New Roman" w:hAnsi="Times New Roman"/>
          <w:sz w:val="20"/>
          <w:szCs w:val="20"/>
          <w:color w:val="auto"/>
        </w:rPr>
        <w:t>In addition to our rezatapopt program, we are focused on developing a pipeline of product candidates targeting other p53 mutations or p53-related targets. These programs have been developed using our precision oncology platform and expertise.</w:t>
      </w:r>
    </w:p>
    <w:p>
      <w:pPr>
        <w:spacing w:after="0" w:line="188" w:lineRule="exact"/>
        <w:rPr>
          <w:sz w:val="20"/>
          <w:szCs w:val="20"/>
          <w:color w:val="auto"/>
        </w:rPr>
      </w:pPr>
    </w:p>
    <w:p>
      <w:pPr>
        <w:ind w:right="120" w:firstLine="619"/>
        <w:spacing w:after="0" w:line="249" w:lineRule="auto"/>
        <w:rPr>
          <w:sz w:val="20"/>
          <w:szCs w:val="20"/>
          <w:color w:val="auto"/>
        </w:rPr>
      </w:pPr>
      <w:r>
        <w:rPr>
          <w:rFonts w:ascii="Times New Roman" w:cs="Times New Roman" w:eastAsia="Times New Roman" w:hAnsi="Times New Roman"/>
          <w:sz w:val="20"/>
          <w:szCs w:val="20"/>
          <w:color w:val="auto"/>
        </w:rPr>
        <w:t>We are able to utilize the same general principles and similar drug discovery methods developed from our rezatapopt, p53 Y220C, program to facilitate the development of additional new product candidates. We study the structural and functional properties of the target. We use assays, screens, preclinical model systems and biomarkers to assess and optimize selective small molecules. By leveraging our team’s depth of expertise around p53, we are positioned to accelerate our efforts to expand the pipeline of therapies that target p53 or other p53-related cancers.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360"/>
          </w:cols>
          <w:pgMar w:left="1440" w:top="1440" w:right="1440" w:bottom="175"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43" w:lineRule="exact"/>
        <w:rPr>
          <w:sz w:val="20"/>
          <w:szCs w:val="20"/>
          <w:color w:val="auto"/>
        </w:rPr>
      </w:pPr>
    </w:p>
    <w:p>
      <w:pPr>
        <w:ind w:right="80" w:firstLine="619"/>
        <w:spacing w:after="0" w:line="246" w:lineRule="auto"/>
        <w:rPr>
          <w:sz w:val="20"/>
          <w:szCs w:val="20"/>
          <w:color w:val="auto"/>
        </w:rPr>
      </w:pPr>
      <w:r>
        <w:rPr>
          <w:rFonts w:ascii="Times New Roman" w:cs="Times New Roman" w:eastAsia="Times New Roman" w:hAnsi="Times New Roman"/>
          <w:sz w:val="20"/>
          <w:szCs w:val="20"/>
          <w:color w:val="auto"/>
        </w:rPr>
        <w:t>Our industry is intensely competitive and subject to rapid and significant technological change, as well as strong defense of intellectual property. While we believe that our knowledge, experience and scientific resources provide us with competitive advantages, we face substantial competition from major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 As a result, our competitors may discover, develop, license or commercialize products before or more successfully than we do.</w:t>
      </w:r>
    </w:p>
    <w:p>
      <w:pPr>
        <w:spacing w:after="0" w:line="201" w:lineRule="exact"/>
        <w:rPr>
          <w:sz w:val="20"/>
          <w:szCs w:val="20"/>
          <w:color w:val="auto"/>
        </w:rPr>
      </w:pPr>
    </w:p>
    <w:p>
      <w:pPr>
        <w:ind w:right="100" w:firstLine="619"/>
        <w:spacing w:after="0" w:line="243" w:lineRule="auto"/>
        <w:rPr>
          <w:sz w:val="20"/>
          <w:szCs w:val="20"/>
          <w:color w:val="auto"/>
        </w:rPr>
      </w:pPr>
      <w:r>
        <w:rPr>
          <w:rFonts w:ascii="Times New Roman" w:cs="Times New Roman" w:eastAsia="Times New Roman" w:hAnsi="Times New Roman"/>
          <w:sz w:val="20"/>
          <w:szCs w:val="20"/>
          <w:color w:val="auto"/>
        </w:rPr>
        <w:t>We are a precision oncology company pioneering the discovery and development of small molecule therapies targeting p53 mutations and other p53-related cancers. We are aware of other product candidates that are in clinical development as potential treatments of various cancers through the modulation of p53. There are many product candidates that may affect the p53 pathway, such as through MDM2 inhibition. We are aware of molecules in development that also are being explored for p53 upregulation/activation in various stages of preclinical or clinical development being tested by Jacobio Pharmaceuticals, Frontier Medicines, Nutshell Therapeutics, Scorpion Therapeutics and AstraZeneca, among others. We are also aware of selective small molecule inhibitors that are designed to target wild-type p53 containing tumors through the p53-MDM2 interaction, which are in various stages of clinical development being tested by Aileron Therapeutics, Ascentage Pharma, Boehringer Ingelheim, Kartos Therapeutics, Kymera Therapeutics, Otsuka Pharmaceuticals, Novartis and Roche, including testing MDM2 inhibitors in combination with a variety of other anti-cancer agents.</w:t>
      </w:r>
    </w:p>
    <w:p>
      <w:pPr>
        <w:spacing w:after="0" w:line="209"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20"/>
          <w:szCs w:val="20"/>
          <w:color w:val="auto"/>
        </w:rPr>
        <w:t>We face competition with respect to our current product candidates and will face competition with respect to future product candidates, from segments of the pharmaceutical, biotechnology and other related markets that pursue targeted therapies for patients with genomically-defined cancers. If rezatapopt or our future product candidates do not offer sustainable advantages over competing products, we may otherwise not be able to successfully compete against current and future competitors.</w:t>
      </w:r>
    </w:p>
    <w:p>
      <w:pPr>
        <w:spacing w:after="0" w:line="197" w:lineRule="exact"/>
        <w:rPr>
          <w:sz w:val="20"/>
          <w:szCs w:val="20"/>
          <w:color w:val="auto"/>
        </w:rPr>
      </w:pPr>
    </w:p>
    <w:p>
      <w:pPr>
        <w:ind w:right="20" w:firstLine="619"/>
        <w:spacing w:after="0" w:line="249" w:lineRule="auto"/>
        <w:rPr>
          <w:sz w:val="20"/>
          <w:szCs w:val="20"/>
          <w:color w:val="auto"/>
        </w:rPr>
      </w:pPr>
      <w:r>
        <w:rPr>
          <w:rFonts w:ascii="Times New Roman" w:cs="Times New Roman" w:eastAsia="Times New Roman" w:hAnsi="Times New Roman"/>
          <w:sz w:val="20"/>
          <w:szCs w:val="20"/>
          <w:color w:val="auto"/>
        </w:rPr>
        <w:t>Our competitors may obtain regulatory approval of their products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198" w:lineRule="exact"/>
        <w:rPr>
          <w:sz w:val="20"/>
          <w:szCs w:val="20"/>
          <w:color w:val="auto"/>
        </w:rPr>
      </w:pPr>
    </w:p>
    <w:p>
      <w:pPr>
        <w:ind w:right="140" w:firstLine="619"/>
        <w:spacing w:after="0" w:line="249" w:lineRule="auto"/>
        <w:rPr>
          <w:sz w:val="20"/>
          <w:szCs w:val="20"/>
          <w:color w:val="auto"/>
        </w:rPr>
      </w:pPr>
      <w:r>
        <w:rPr>
          <w:rFonts w:ascii="Times New Roman" w:cs="Times New Roman" w:eastAsia="Times New Roman" w:hAnsi="Times New Roman"/>
          <w:sz w:val="20"/>
          <w:szCs w:val="20"/>
          <w:color w:val="auto"/>
        </w:rPr>
        <w:t>In addition, we will likely need to develop our product candidates in collaboration with companion diagnostic companies, and we will face competition from other companies in establishing these collaborations. Our competitors will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97" w:lineRule="exact"/>
        <w:rPr>
          <w:sz w:val="20"/>
          <w:szCs w:val="20"/>
          <w:color w:val="auto"/>
        </w:rPr>
      </w:pPr>
    </w:p>
    <w:p>
      <w:pPr>
        <w:ind w:right="40" w:firstLine="620"/>
        <w:spacing w:after="0" w:line="242" w:lineRule="auto"/>
        <w:rPr>
          <w:sz w:val="20"/>
          <w:szCs w:val="20"/>
          <w:color w:val="auto"/>
        </w:rPr>
      </w:pPr>
      <w:r>
        <w:rPr>
          <w:rFonts w:ascii="Times New Roman" w:cs="Times New Roman" w:eastAsia="Times New Roman" w:hAnsi="Times New Roman"/>
          <w:sz w:val="20"/>
          <w:szCs w:val="20"/>
          <w:color w:val="auto"/>
        </w:rPr>
        <w:t>Furthermore, we also face competition more broadly across the market for cost-effective and reimbursable cancer treatments. The most common methods of treating patients with cancer are surgery, radiation and drug therapy, including chemotherapy, hormone therapy and targeted drug therapy or a combination of such methods. There are a variety of available drug therapies marketed for cancer. In many cases, these drugs are administered in combination to enhance efficacy. While our product candidates, if any are approved, may compete with these existing drug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including branded generic, products. As a result, obtaining market acceptance of, and gaining significant share of the market for, any of our product candidates that we successfully introduce to the market will pose challenges. In addition, many companies are developing new therapeutics, and we cannot predict what the standard of care will be as our product candidates progress through clinical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360"/>
          </w:cols>
          <w:pgMar w:left="1440" w:top="1416" w:right="1440" w:bottom="175"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243" w:lineRule="exact"/>
        <w:rPr>
          <w:sz w:val="20"/>
          <w:szCs w:val="20"/>
          <w:color w:val="auto"/>
        </w:rPr>
      </w:pPr>
    </w:p>
    <w:p>
      <w:pPr>
        <w:jc w:val="both"/>
        <w:ind w:right="100" w:firstLine="619"/>
        <w:spacing w:after="0" w:line="259" w:lineRule="auto"/>
        <w:rPr>
          <w:sz w:val="20"/>
          <w:szCs w:val="20"/>
          <w:color w:val="auto"/>
        </w:rPr>
      </w:pPr>
      <w:r>
        <w:rPr>
          <w:rFonts w:ascii="Times New Roman" w:cs="Times New Roman" w:eastAsia="Times New Roman" w:hAnsi="Times New Roman"/>
          <w:sz w:val="20"/>
          <w:szCs w:val="20"/>
          <w:color w:val="auto"/>
        </w:rPr>
        <w:t>We do not have any manufacturing facilities or personnel. We currently rely, and expect to continue to rely, on third parties for the manufacture of our product candidates undergoing preclinical and clinical testing, as well as for commercial manufacture if our product candidates receive marketing approval.</w:t>
      </w:r>
    </w:p>
    <w:p>
      <w:pPr>
        <w:spacing w:after="0" w:line="186" w:lineRule="exact"/>
        <w:rPr>
          <w:sz w:val="20"/>
          <w:szCs w:val="20"/>
          <w:color w:val="auto"/>
        </w:rPr>
      </w:pPr>
    </w:p>
    <w:p>
      <w:pPr>
        <w:ind w:right="100" w:firstLine="619"/>
        <w:spacing w:after="0" w:line="252" w:lineRule="auto"/>
        <w:rPr>
          <w:sz w:val="20"/>
          <w:szCs w:val="20"/>
          <w:color w:val="auto"/>
        </w:rPr>
      </w:pPr>
      <w:r>
        <w:rPr>
          <w:rFonts w:ascii="Times New Roman" w:cs="Times New Roman" w:eastAsia="Times New Roman" w:hAnsi="Times New Roman"/>
          <w:sz w:val="20"/>
          <w:szCs w:val="20"/>
          <w:color w:val="auto"/>
        </w:rPr>
        <w:t>All of our product candidates are small molecules and are manufactured in synthetic processes from available starting materials. The chemistry appears amenable to scale up and does not currently require unusual equipment in the manufacturing process. We expect to continue to develop product candidates that can be produced cost-effectively at contract manufacturing facilities.</w:t>
      </w:r>
    </w:p>
    <w:p>
      <w:pPr>
        <w:spacing w:after="0" w:line="195" w:lineRule="exact"/>
        <w:rPr>
          <w:sz w:val="20"/>
          <w:szCs w:val="20"/>
          <w:color w:val="auto"/>
        </w:rPr>
      </w:pPr>
    </w:p>
    <w:p>
      <w:pPr>
        <w:ind w:right="60" w:firstLine="619"/>
        <w:spacing w:after="0" w:line="242" w:lineRule="auto"/>
        <w:rPr>
          <w:sz w:val="20"/>
          <w:szCs w:val="20"/>
          <w:color w:val="auto"/>
        </w:rPr>
      </w:pPr>
      <w:r>
        <w:rPr>
          <w:rFonts w:ascii="Times New Roman" w:cs="Times New Roman" w:eastAsia="Times New Roman" w:hAnsi="Times New Roman"/>
          <w:sz w:val="20"/>
          <w:szCs w:val="20"/>
          <w:color w:val="auto"/>
        </w:rPr>
        <w:t>We generally expect to rely on third parties for the manufacture of companion diagnostics for our products, which are assays or tests to identify an appropriate patient population. Depending on the technology solutions we choose, we may rely on multiple third parties to manufacture and sell a single test. In May 2024, we entered into a partnership with Foundation Medicine, Inc. to develop Foundation Medicine’s tissue-based comprehensive genomic profiling test, FoundationOne®CDx, as a companion diagnostic for rezatapopt. Drug manufacturers and their subcontractors are required to register their establishments with the FDA and certain state agencies and are subject to periodic unannounced inspections by the FDA and certain state agencies for compliance with current Good Manufacturing Practice, or cGMP, requirements which impose certain production, manufacturing,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requirements and impose reporting requirements upon us and any third-party manufacturers that we may decide to use. Accordingly, manufacturers must continue to expend time, money and effort in the area of production and quality control to maintain compliance with cGMP requirements and other aspects of regulatory compliance.</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Commercialization</w:t>
      </w:r>
    </w:p>
    <w:p>
      <w:pPr>
        <w:spacing w:after="0" w:line="244" w:lineRule="exact"/>
        <w:rPr>
          <w:sz w:val="20"/>
          <w:szCs w:val="20"/>
          <w:color w:val="auto"/>
        </w:rPr>
      </w:pPr>
    </w:p>
    <w:p>
      <w:pPr>
        <w:ind w:firstLine="619"/>
        <w:spacing w:after="0" w:line="252" w:lineRule="auto"/>
        <w:rPr>
          <w:sz w:val="20"/>
          <w:szCs w:val="20"/>
          <w:color w:val="auto"/>
        </w:rPr>
      </w:pPr>
      <w:r>
        <w:rPr>
          <w:rFonts w:ascii="Times New Roman" w:cs="Times New Roman" w:eastAsia="Times New Roman" w:hAnsi="Times New Roman"/>
          <w:sz w:val="20"/>
          <w:szCs w:val="20"/>
          <w:color w:val="auto"/>
        </w:rPr>
        <w:t>Subject to receiving marketing approvals, we expect to commence commercialization activities by building a focused sales and marketing organization to sell our products. We believe that such an organization will be able to address the community of oncologists who are the key specialists in treating the patient populations for which our product candidates are being developed.</w:t>
      </w:r>
    </w:p>
    <w:p>
      <w:pPr>
        <w:spacing w:after="0" w:line="193" w:lineRule="exact"/>
        <w:rPr>
          <w:sz w:val="20"/>
          <w:szCs w:val="20"/>
          <w:color w:val="auto"/>
        </w:rPr>
      </w:pPr>
    </w:p>
    <w:p>
      <w:pPr>
        <w:ind w:right="180" w:firstLine="619"/>
        <w:spacing w:after="0" w:line="249" w:lineRule="auto"/>
        <w:rPr>
          <w:sz w:val="20"/>
          <w:szCs w:val="20"/>
          <w:color w:val="auto"/>
        </w:rPr>
      </w:pPr>
      <w:r>
        <w:rPr>
          <w:rFonts w:ascii="Times New Roman" w:cs="Times New Roman" w:eastAsia="Times New Roman" w:hAnsi="Times New Roman"/>
          <w:sz w:val="20"/>
          <w:szCs w:val="20"/>
          <w:color w:val="auto"/>
        </w:rPr>
        <w:t>We also plan to build a marketing and sales management organization to create and implement marketing strategies for any products that we market through our own sales organization and to oversee and support our sales force. The responsibilities of the marketing organization would include developing educational initiatives with respect to approved products and establishing relationships with researchers and practitioners in relevant fields of medicine.</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44" w:lineRule="exact"/>
        <w:rPr>
          <w:sz w:val="20"/>
          <w:szCs w:val="20"/>
          <w:color w:val="auto"/>
        </w:rPr>
      </w:pPr>
    </w:p>
    <w:p>
      <w:pPr>
        <w:ind w:right="140" w:firstLine="619"/>
        <w:spacing w:after="0" w:line="244" w:lineRule="auto"/>
        <w:rPr>
          <w:sz w:val="20"/>
          <w:szCs w:val="20"/>
          <w:color w:val="auto"/>
        </w:rPr>
      </w:pPr>
      <w:r>
        <w:rPr>
          <w:rFonts w:ascii="Times New Roman" w:cs="Times New Roman" w:eastAsia="Times New Roman" w:hAnsi="Times New Roman"/>
          <w:sz w:val="20"/>
          <w:szCs w:val="20"/>
          <w:color w:val="auto"/>
        </w:rPr>
        <w:t>We strive to protect the proprietary technology, inventions and improvements that are commercially important to our business, including seeking, maintaining and defending patent rights. We also rely on know-how relating to our proprietary technology and product candidates and continuing innovation to develop, strengthen and maintain our proprietary position. We also plan to rely on data exclusivity, market exclusivity and patent term extensions when available. Our commercial success will depend in part on our ability to obtain and maintain patent and other proprietary protection for our technology, inventions and improvements; to defend and enforce our proprietary rights, including any patents that we may own in the future; and to operate without infringing the valid and enforceable patents and other proprietary rights of third parties. Intellectual property rights may not address all potential threats to our competitive advantage.</w:t>
      </w:r>
    </w:p>
    <w:p>
      <w:pPr>
        <w:spacing w:after="0" w:line="206" w:lineRule="exact"/>
        <w:rPr>
          <w:sz w:val="20"/>
          <w:szCs w:val="20"/>
          <w:color w:val="auto"/>
        </w:rPr>
      </w:pPr>
    </w:p>
    <w:p>
      <w:pPr>
        <w:ind w:right="40" w:firstLine="619"/>
        <w:spacing w:after="0" w:line="278" w:lineRule="auto"/>
        <w:rPr>
          <w:sz w:val="20"/>
          <w:szCs w:val="20"/>
          <w:color w:val="auto"/>
        </w:rPr>
      </w:pPr>
      <w:r>
        <w:rPr>
          <w:rFonts w:ascii="Times New Roman" w:cs="Times New Roman" w:eastAsia="Times New Roman" w:hAnsi="Times New Roman"/>
          <w:sz w:val="19"/>
          <w:szCs w:val="19"/>
          <w:color w:val="auto"/>
        </w:rPr>
        <w:t>With respect to our existing and future product candidates and processes we intend to develop and commercialize in the normal course of business, we intend to pursue further patent protection covering, when possible, compositions, methods of use, dosing and formulations. We also may pursue patent protection with respect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360"/>
          </w:cols>
          <w:pgMar w:left="1440" w:top="1416" w:right="1440" w:bottom="175" w:gutter="0" w:footer="0" w:header="0"/>
        </w:sectPr>
      </w:pPr>
    </w:p>
    <w:bookmarkStart w:id="15" w:name="page16"/>
    <w:bookmarkEnd w:id="15"/>
    <w:p>
      <w:pPr>
        <w:spacing w:after="0" w:line="242" w:lineRule="auto"/>
        <w:rPr>
          <w:sz w:val="20"/>
          <w:szCs w:val="20"/>
          <w:color w:val="auto"/>
        </w:rPr>
      </w:pPr>
      <w:r>
        <w:rPr>
          <w:rFonts w:ascii="Times New Roman" w:cs="Times New Roman" w:eastAsia="Times New Roman" w:hAnsi="Times New Roman"/>
          <w:sz w:val="20"/>
          <w:szCs w:val="20"/>
          <w:color w:val="auto"/>
        </w:rPr>
        <w:t>to manufacturing and drug development processes and technologies. Obtaining and maintaining patent protection depends on compliance with various procedural, document submission, fee payment and other requirements imposed by governmental patent agencies. We may not be able to obtain patent protections for our compositions, methods of use, dosing and formulations, manufacturing and drug development processes and technologies throughout the world. Issued patents can provide protection for varying periods of time, depending upon the date of filing of the patent application, the date of patent issuance and the legal term of patents in the countries in which they are obtained. In general, patents issued for applications filed in the United States can provide exclusionary rights for 20 years from the earliest effective filing date. In addition, in certain instances, the term of an issued U.S. patent that is directed to or claims an FDA-approved product can be extended to recapture a portion of the term effectively lost as a result of the FDA regulatory review period. This process is called “patent term extension.” The restoration period cannot be longer than five years and the total patent term, including the restoration period, must not exceed 14 years following FDA approval. The term of patents outside of the United States varies in accordance with the laws of the foreign jurisdiction, but typically is also 20 years from the earliest effective filing date. However, the actual protection afforded by a patent varies on a product -by-product basis, from country -to-country and depends upon many factors, including the type of patent, the scope of its coverage, the availability of regulatory-related extensions, the availability of legal remedies in a particular country and the validity and enforceability of the patent. Patent term may be inadequate to protect our competitive position on our products for an adequate amount of time.</w:t>
      </w:r>
    </w:p>
    <w:p>
      <w:pPr>
        <w:spacing w:after="0" w:line="206" w:lineRule="exact"/>
        <w:rPr>
          <w:sz w:val="20"/>
          <w:szCs w:val="20"/>
          <w:color w:val="auto"/>
        </w:rPr>
      </w:pPr>
    </w:p>
    <w:p>
      <w:pPr>
        <w:ind w:right="20" w:firstLine="619"/>
        <w:spacing w:after="0" w:line="241" w:lineRule="auto"/>
        <w:rPr>
          <w:sz w:val="20"/>
          <w:szCs w:val="20"/>
          <w:color w:val="auto"/>
        </w:rPr>
      </w:pPr>
      <w:r>
        <w:rPr>
          <w:rFonts w:ascii="Times New Roman" w:cs="Times New Roman" w:eastAsia="Times New Roman" w:hAnsi="Times New Roman"/>
          <w:sz w:val="20"/>
          <w:szCs w:val="20"/>
          <w:color w:val="auto"/>
        </w:rPr>
        <w:t>The patent positions of companies like ours are generally uncertain and involve complex legal and factual questions. No consistent policy regarding the scope of claims allowable in patents in the field of biopharmaceuticals has emerged in the United States. The relevant patent laws and their interpretation outside of the United States are also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manufacture of those products. Moreover, even our issued patents do not guarantee us the right to practice our technology in relation to the commercialization of our products. Patent and other intellectual property rights in the pharmaceutical and biotechnology space are evolving and involve many risks and uncertainties. For example, third parties may have, or may obtain, blocking patents of which we are currently unaware that could be used to prevent us from developing or commercializing our product candidates and practicing our proprietary technology. Further, defense of infringement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or redesign our products. Doing so may be impossible or require substantial time and monetary expenditure. We may also elect to enter into a license agreement to settle litigation or to resolve disputes prior to litigation. Furthermore, even in the absence of litigation, we may need to obtain licenses from third parties to advance our research or allow commercialization of our product candidates. Should a license to a third party patent become necessary, we cannot predict whether we would be able to obtain a license, or if a license were available, whether it would be available on commercially reasonable terms. If such a license is necessary and a license under the applicable patent is unavailable on commercially reasonable terms, or at all, our ability to commercialize our product candidates may be impaired or delayed. This scenario could materially adversely affect our business. Even if we obtain a license to third party intellectual property, we may later decide, or it may later become necessary, to terminate the license. If we do so, we may no longer be free to use the technology protected by the patents no longer under license. Also, if a competitor developed the technology protected by the patents no longer under license, we would not be able to block the competitor’s progress. If the competitor’s product was competitive with ours, then we may suffer economic harm from the competitive product.</w:t>
      </w:r>
    </w:p>
    <w:p>
      <w:pPr>
        <w:spacing w:after="0" w:line="213" w:lineRule="exact"/>
        <w:rPr>
          <w:sz w:val="20"/>
          <w:szCs w:val="20"/>
          <w:color w:val="auto"/>
        </w:rPr>
      </w:pPr>
    </w:p>
    <w:p>
      <w:pPr>
        <w:ind w:right="100" w:firstLine="619"/>
        <w:spacing w:after="0" w:line="249" w:lineRule="auto"/>
        <w:rPr>
          <w:sz w:val="20"/>
          <w:szCs w:val="20"/>
          <w:color w:val="auto"/>
        </w:rPr>
      </w:pPr>
      <w:r>
        <w:rPr>
          <w:rFonts w:ascii="Times New Roman" w:cs="Times New Roman" w:eastAsia="Times New Roman" w:hAnsi="Times New Roman"/>
          <w:sz w:val="20"/>
          <w:szCs w:val="20"/>
          <w:color w:val="auto"/>
        </w:rPr>
        <w:t>The issuance of a patent is not conclusive as to its scope, validity or enforceability and our issued patents may be challenged, invalidated, deemed unenforceable or circumvented. These scenarios could limit our ability to stop competitors from marketing-related products or could limit the term of patent protection that otherwise may exist for our product candidates. In addition, the coverage claimed in a patent application can be significantly reduced before the patent is issued, and its scope can be reinterpreted after issuance. Consequently, we do not know</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360"/>
          </w:cols>
          <w:pgMar w:left="1440" w:top="1420" w:right="1440" w:bottom="175" w:gutter="0" w:footer="0" w:header="0"/>
        </w:sectPr>
      </w:pPr>
    </w:p>
    <w:bookmarkStart w:id="16" w:name="page17"/>
    <w:bookmarkEnd w:id="16"/>
    <w:p>
      <w:pPr>
        <w:ind w:right="20"/>
        <w:spacing w:after="0" w:line="243" w:lineRule="auto"/>
        <w:rPr>
          <w:sz w:val="20"/>
          <w:szCs w:val="20"/>
          <w:color w:val="auto"/>
        </w:rPr>
      </w:pPr>
      <w:r>
        <w:rPr>
          <w:rFonts w:ascii="Times New Roman" w:cs="Times New Roman" w:eastAsia="Times New Roman" w:hAnsi="Times New Roman"/>
          <w:sz w:val="20"/>
          <w:szCs w:val="20"/>
          <w:color w:val="auto"/>
        </w:rPr>
        <w:t>whether any of our product candidates will be protectable or remain protected by enforceable patents. We cannot predict whether the patent applications we are currently pursuing will issue as patents in any particular jurisdiction or whether the claims of any issued patents will provide sufficient proprietary protection from competitors. Moreover, any efforts to enforce our intellectual property rights are likely to be costly and may divert the efforts of our scientific and management personnel. We may also be subject to claims that former employees, collaborators or other third parties have an ownership interest in our patents or other intellectual property. We may also be subject to ownership disputes in the future arising, for example, from conflicting obligations of consultants or others who are involved in developing our product candidates. Litigation may be necessary to defend against these claims.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these claims, litigation could result in substantial cost and be a distraction to our management and employees.</w:t>
      </w:r>
    </w:p>
    <w:p>
      <w:pPr>
        <w:spacing w:after="0" w:line="205" w:lineRule="exact"/>
        <w:rPr>
          <w:sz w:val="20"/>
          <w:szCs w:val="20"/>
          <w:color w:val="auto"/>
        </w:rPr>
      </w:pPr>
    </w:p>
    <w:p>
      <w:pPr>
        <w:ind w:right="40" w:firstLine="619"/>
        <w:spacing w:after="0" w:line="245" w:lineRule="auto"/>
        <w:rPr>
          <w:sz w:val="20"/>
          <w:szCs w:val="20"/>
          <w:color w:val="auto"/>
        </w:rPr>
      </w:pPr>
      <w:r>
        <w:rPr>
          <w:rFonts w:ascii="Times New Roman" w:cs="Times New Roman" w:eastAsia="Times New Roman" w:hAnsi="Times New Roman"/>
          <w:sz w:val="20"/>
          <w:szCs w:val="20"/>
          <w:color w:val="auto"/>
        </w:rPr>
        <w:t>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directed to such product may expire or remain in force for only a short period following commercialization, thereby reducing the commercial advantage the patent provides.</w:t>
      </w:r>
    </w:p>
    <w:p>
      <w:pPr>
        <w:spacing w:after="0" w:line="203" w:lineRule="exact"/>
        <w:rPr>
          <w:sz w:val="20"/>
          <w:szCs w:val="20"/>
          <w:color w:val="auto"/>
        </w:rPr>
      </w:pPr>
    </w:p>
    <w:p>
      <w:pPr>
        <w:ind w:right="40" w:firstLine="619"/>
        <w:spacing w:after="0" w:line="242" w:lineRule="auto"/>
        <w:rPr>
          <w:sz w:val="20"/>
          <w:szCs w:val="20"/>
          <w:color w:val="auto"/>
        </w:rPr>
      </w:pPr>
      <w:r>
        <w:rPr>
          <w:rFonts w:ascii="Times New Roman" w:cs="Times New Roman" w:eastAsia="Times New Roman" w:hAnsi="Times New Roman"/>
          <w:sz w:val="20"/>
          <w:szCs w:val="20"/>
          <w:color w:val="auto"/>
        </w:rPr>
        <w:t>We generally file a provisional patent application with the U.S. Patent and Trademark Office, or USPTO, first and then subsequently file a corresponding non-provisional patent application. This process enables us to establish an earlier effective filing date in the subsequently filed non-provisional patent application. To benefit from the earlier effective filing date, we must file a corresponding non-provisional patent application, such as a utility application in the United States or an international application under the Patent Cooperation Treaty, or PCT, within 12 months of the date of the provisional patent application filing. Based on a PCT filing, we may file national and regional patent applications in the United States or foreign jurisdictions, such as the European Union, China, Japan and possibly others. To date, we have not filed for patent protection in all national and regional jurisdictions where such protection may be available, and we may decide to abandon national and regional patent applications before a patent is granted. In addition, the patent grant proceeding for each national or regional patent application that we file is an independent proceeding. As a result, it is possible for a patent application to be granted in one jurisdiction and denied in another jurisdiction, and depending on the jurisdiction, the scope of patent protection may vary. As of February 21, 2025, we owned nine issued U.S. patents and nine granted foreign patents relating to methods of use and composition of matter of PMV compounds, including rezatapopt, at least 10 pending U.S. patent applications, and at least 40 pending foreign patent applications, each of which relates to methods of use and composition of matter of PMV compounds. The nine issued U.S. patents are expected to expire between 2037 and 2043, without taking into account any possible patent term adjustment or extensions.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Government Regulation and Product Approval</w:t>
      </w:r>
    </w:p>
    <w:p>
      <w:pPr>
        <w:spacing w:after="0" w:line="243" w:lineRule="exact"/>
        <w:rPr>
          <w:sz w:val="20"/>
          <w:szCs w:val="20"/>
          <w:color w:val="auto"/>
        </w:rPr>
      </w:pPr>
    </w:p>
    <w:p>
      <w:pPr>
        <w:ind w:right="120" w:firstLine="619"/>
        <w:spacing w:after="0" w:line="246" w:lineRule="auto"/>
        <w:rPr>
          <w:sz w:val="20"/>
          <w:szCs w:val="20"/>
          <w:color w:val="auto"/>
        </w:rPr>
      </w:pPr>
      <w:r>
        <w:rPr>
          <w:rFonts w:ascii="Times New Roman" w:cs="Times New Roman" w:eastAsia="Times New Roman" w:hAnsi="Times New Roman"/>
          <w:sz w:val="20"/>
          <w:szCs w:val="20"/>
          <w:color w:val="auto"/>
        </w:rPr>
        <w:t>Government authorities in the United States, at the federal, state and local level, and other countries extensively regulate, among other things, the research, development, preclinical and clinical testing, manufacture, quality control, approval, labeling, packaging, storage, record-keeping, promotion, advertising, distribution, post-approval monitoring and reporting, marketing and export and import of products such as those we are developing. Generally, before a new drug can be marketed, considerable data must be generated, which demonstrates the drug’s quality, safety and efficacy. Such data must then be organized into a format specific for each regulatory authority, submitted for review and approved by the regulatory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360"/>
          </w:cols>
          <w:pgMar w:left="1440" w:top="1420" w:right="1440" w:bottom="175"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i w:val="1"/>
          <w:iCs w:val="1"/>
          <w:color w:val="auto"/>
        </w:rPr>
        <w:t>U.S. Drug Development Process</w:t>
      </w:r>
    </w:p>
    <w:p>
      <w:pPr>
        <w:spacing w:after="0" w:line="119" w:lineRule="exact"/>
        <w:rPr>
          <w:sz w:val="20"/>
          <w:szCs w:val="20"/>
          <w:color w:val="auto"/>
        </w:rPr>
      </w:pPr>
    </w:p>
    <w:p>
      <w:pPr>
        <w:jc w:val="both"/>
        <w:ind w:right="360" w:firstLine="619"/>
        <w:spacing w:after="0" w:line="259" w:lineRule="auto"/>
        <w:rPr>
          <w:sz w:val="20"/>
          <w:szCs w:val="20"/>
          <w:color w:val="auto"/>
        </w:rPr>
      </w:pPr>
      <w:r>
        <w:rPr>
          <w:rFonts w:ascii="Times New Roman" w:cs="Times New Roman" w:eastAsia="Times New Roman" w:hAnsi="Times New Roman"/>
          <w:sz w:val="20"/>
          <w:szCs w:val="20"/>
          <w:color w:val="auto"/>
        </w:rPr>
        <w:t>In the United States, the FDA regulates drugs under the Food, Drug and Cosmetic Act, or FDCA, and its implementing regulations. The process required by the FDA before a drug may be marketed in the United States generally involves the following:</w:t>
      </w:r>
    </w:p>
    <w:p>
      <w:pPr>
        <w:spacing w:after="0" w:line="80" w:lineRule="exact"/>
        <w:rPr>
          <w:sz w:val="20"/>
          <w:szCs w:val="20"/>
          <w:color w:val="auto"/>
        </w:rPr>
      </w:pPr>
    </w:p>
    <w:p>
      <w:pPr>
        <w:ind w:left="900" w:right="420" w:hanging="266"/>
        <w:spacing w:after="0" w:line="277" w:lineRule="auto"/>
        <w:tabs>
          <w:tab w:leader="none" w:pos="9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completion of preclinical laboratory tests, animal studies and formulation studies in accordance with FDA’s good laboratory practice requirements and other applicable regulations;</w:t>
      </w:r>
    </w:p>
    <w:p>
      <w:pPr>
        <w:spacing w:after="0" w:line="62" w:lineRule="exact"/>
        <w:rPr>
          <w:rFonts w:ascii="Arial" w:cs="Arial" w:eastAsia="Arial" w:hAnsi="Arial"/>
          <w:sz w:val="20"/>
          <w:szCs w:val="20"/>
          <w:color w:val="auto"/>
        </w:rPr>
      </w:pPr>
    </w:p>
    <w:p>
      <w:pPr>
        <w:ind w:left="900" w:hanging="266"/>
        <w:spacing w:after="0"/>
        <w:tabs>
          <w:tab w:leader="none" w:pos="9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submission to the FDA of an IND, which must become effective before human clinical trials may begin;</w:t>
      </w:r>
    </w:p>
    <w:p>
      <w:pPr>
        <w:spacing w:after="0" w:line="133" w:lineRule="exact"/>
        <w:rPr>
          <w:rFonts w:ascii="Arial" w:cs="Arial" w:eastAsia="Arial" w:hAnsi="Arial"/>
          <w:sz w:val="20"/>
          <w:szCs w:val="20"/>
          <w:color w:val="auto"/>
        </w:rPr>
      </w:pPr>
    </w:p>
    <w:p>
      <w:pPr>
        <w:ind w:left="900" w:right="120" w:hanging="266"/>
        <w:spacing w:after="0" w:line="277" w:lineRule="auto"/>
        <w:tabs>
          <w:tab w:leader="none" w:pos="9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approval by an independent Institutional Review Board, or IRB, or ethics committee at each clinical site before each trial may be initiated;</w:t>
      </w:r>
    </w:p>
    <w:p>
      <w:pPr>
        <w:spacing w:after="0" w:line="62" w:lineRule="exact"/>
        <w:rPr>
          <w:rFonts w:ascii="Arial" w:cs="Arial" w:eastAsia="Arial" w:hAnsi="Arial"/>
          <w:sz w:val="20"/>
          <w:szCs w:val="20"/>
          <w:color w:val="auto"/>
        </w:rPr>
      </w:pPr>
    </w:p>
    <w:p>
      <w:pPr>
        <w:ind w:left="900" w:right="180" w:hanging="266"/>
        <w:spacing w:after="0" w:line="259" w:lineRule="auto"/>
        <w:tabs>
          <w:tab w:leader="none" w:pos="9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performance of adequate and well-controlled human clinical trials in accordance with good clinical practice, or GCP, requirements to establish the safety and efficacy of the proposed drug for its intended use;</w:t>
      </w:r>
    </w:p>
    <w:p>
      <w:pPr>
        <w:spacing w:after="0" w:line="78" w:lineRule="exact"/>
        <w:rPr>
          <w:rFonts w:ascii="Arial" w:cs="Arial" w:eastAsia="Arial" w:hAnsi="Arial"/>
          <w:sz w:val="20"/>
          <w:szCs w:val="20"/>
          <w:color w:val="auto"/>
        </w:rPr>
      </w:pPr>
    </w:p>
    <w:p>
      <w:pPr>
        <w:ind w:left="900" w:hanging="266"/>
        <w:spacing w:after="0"/>
        <w:tabs>
          <w:tab w:leader="none" w:pos="9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submission to the FDA of an new drug application, or NDA, after completion of all pivotal trials;</w:t>
      </w:r>
    </w:p>
    <w:p>
      <w:pPr>
        <w:spacing w:after="0" w:line="133" w:lineRule="exact"/>
        <w:rPr>
          <w:rFonts w:ascii="Arial" w:cs="Arial" w:eastAsia="Arial" w:hAnsi="Arial"/>
          <w:sz w:val="20"/>
          <w:szCs w:val="20"/>
          <w:color w:val="auto"/>
        </w:rPr>
      </w:pPr>
    </w:p>
    <w:p>
      <w:pPr>
        <w:ind w:left="900" w:right="360" w:hanging="266"/>
        <w:spacing w:after="0" w:line="277" w:lineRule="auto"/>
        <w:tabs>
          <w:tab w:leader="none" w:pos="9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determination by the FDA within 60 days of its receipt of an NDA to accept the filing for substantive review;</w:t>
      </w:r>
    </w:p>
    <w:p>
      <w:pPr>
        <w:spacing w:after="0" w:line="62" w:lineRule="exact"/>
        <w:rPr>
          <w:rFonts w:ascii="Arial" w:cs="Arial" w:eastAsia="Arial" w:hAnsi="Arial"/>
          <w:sz w:val="20"/>
          <w:szCs w:val="20"/>
          <w:color w:val="auto"/>
        </w:rPr>
      </w:pPr>
    </w:p>
    <w:p>
      <w:pPr>
        <w:ind w:left="900" w:hanging="266"/>
        <w:spacing w:after="0"/>
        <w:tabs>
          <w:tab w:leader="none" w:pos="9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satisfactory completion of an FDA advisory committee review, if applicable;</w:t>
      </w:r>
    </w:p>
    <w:p>
      <w:pPr>
        <w:spacing w:after="0" w:line="133" w:lineRule="exact"/>
        <w:rPr>
          <w:rFonts w:ascii="Arial" w:cs="Arial" w:eastAsia="Arial" w:hAnsi="Arial"/>
          <w:sz w:val="20"/>
          <w:szCs w:val="20"/>
          <w:color w:val="auto"/>
        </w:rPr>
      </w:pPr>
    </w:p>
    <w:p>
      <w:pPr>
        <w:ind w:left="900" w:right="60" w:hanging="267"/>
        <w:spacing w:after="0" w:line="252" w:lineRule="auto"/>
        <w:tabs>
          <w:tab w:leader="none" w:pos="9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satisfactory completion of an FDA inspection of the manufacturing facility or facilities at which the drug is produced to assess compliance with cGMP requirements to assure that the facilities, methods and controls are adequate to preserve the drug’s identity, strength, quality and purity, and of selected clinical investigation sites to assess compliance with GCP requirements; and</w:t>
      </w:r>
    </w:p>
    <w:p>
      <w:pPr>
        <w:spacing w:after="0" w:line="86" w:lineRule="exact"/>
        <w:rPr>
          <w:rFonts w:ascii="Arial" w:cs="Arial" w:eastAsia="Arial" w:hAnsi="Arial"/>
          <w:sz w:val="20"/>
          <w:szCs w:val="20"/>
          <w:color w:val="auto"/>
        </w:rPr>
      </w:pPr>
    </w:p>
    <w:p>
      <w:pPr>
        <w:ind w:left="900" w:right="480" w:hanging="267"/>
        <w:spacing w:after="0" w:line="277" w:lineRule="auto"/>
        <w:tabs>
          <w:tab w:leader="none" w:pos="9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FDA review and approval of the NDA to permit commercial marketing of the product for particular indications for use in the United States.</w:t>
      </w:r>
    </w:p>
    <w:p>
      <w:pPr>
        <w:spacing w:after="0" w:line="169" w:lineRule="exact"/>
        <w:rPr>
          <w:sz w:val="20"/>
          <w:szCs w:val="20"/>
          <w:color w:val="auto"/>
        </w:rPr>
      </w:pPr>
    </w:p>
    <w:p>
      <w:pPr>
        <w:ind w:right="20" w:firstLine="619"/>
        <w:spacing w:after="0" w:line="243" w:lineRule="auto"/>
        <w:rPr>
          <w:sz w:val="20"/>
          <w:szCs w:val="20"/>
          <w:color w:val="auto"/>
        </w:rPr>
      </w:pPr>
      <w:r>
        <w:rPr>
          <w:rFonts w:ascii="Times New Roman" w:cs="Times New Roman" w:eastAsia="Times New Roman" w:hAnsi="Times New Roman"/>
          <w:sz w:val="20"/>
          <w:szCs w:val="20"/>
          <w:color w:val="auto"/>
        </w:rPr>
        <w:t xml:space="preserve">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209" w:lineRule="exact"/>
        <w:rPr>
          <w:sz w:val="20"/>
          <w:szCs w:val="20"/>
          <w:color w:val="auto"/>
        </w:rPr>
      </w:pPr>
    </w:p>
    <w:p>
      <w:pPr>
        <w:ind w:right="80" w:firstLine="619"/>
        <w:spacing w:after="0" w:line="256" w:lineRule="auto"/>
        <w:rPr>
          <w:sz w:val="20"/>
          <w:szCs w:val="20"/>
          <w:color w:val="auto"/>
        </w:rPr>
      </w:pPr>
      <w:r>
        <w:rPr>
          <w:rFonts w:ascii="Times New Roman" w:cs="Times New Roman" w:eastAsia="Times New Roman" w:hAnsi="Times New Roman"/>
          <w:sz w:val="19"/>
          <w:szCs w:val="19"/>
          <w:color w:val="auto"/>
        </w:rPr>
        <w:t>Clinical trials involve the administration of the investigational product to human subjects under the supervision of qualified investigators in accordance with GCP requirements,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or ethics committee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360"/>
          </w:cols>
          <w:pgMar w:left="1440" w:top="1420" w:right="1440" w:bottom="175" w:gutter="0" w:footer="0" w:header="0"/>
        </w:sectPr>
      </w:pPr>
    </w:p>
    <w:bookmarkStart w:id="18" w:name="page19"/>
    <w:bookmarkEnd w:id="18"/>
    <w:p>
      <w:pPr>
        <w:ind w:right="580"/>
        <w:spacing w:after="0" w:line="277" w:lineRule="auto"/>
        <w:rPr>
          <w:sz w:val="20"/>
          <w:szCs w:val="20"/>
          <w:color w:val="auto"/>
        </w:rPr>
      </w:pPr>
      <w:r>
        <w:rPr>
          <w:rFonts w:ascii="Times New Roman" w:cs="Times New Roman" w:eastAsia="Times New Roman" w:hAnsi="Times New Roman"/>
          <w:sz w:val="20"/>
          <w:szCs w:val="20"/>
          <w:color w:val="auto"/>
        </w:rPr>
        <w:t>unacceptable safety risk for subjects or other grounds, such as no demonstration of efficacy. There are also requirements governing the reporting of ongoing clinical studies and clinical study results to public registries.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Human clinical trials are typically conducted in three sequential phases that may overlap or be combined:</w:t>
      </w:r>
    </w:p>
    <w:p>
      <w:pPr>
        <w:spacing w:after="0" w:line="126" w:lineRule="exact"/>
        <w:rPr>
          <w:sz w:val="20"/>
          <w:szCs w:val="20"/>
          <w:color w:val="auto"/>
        </w:rPr>
      </w:pPr>
    </w:p>
    <w:p>
      <w:pPr>
        <w:ind w:left="900" w:right="20" w:hanging="281"/>
        <w:spacing w:after="0" w:line="252" w:lineRule="auto"/>
        <w:tabs>
          <w:tab w:leader="none" w:pos="900" w:val="left"/>
        </w:tabs>
        <w:numPr>
          <w:ilvl w:val="0"/>
          <w:numId w:val="9"/>
        </w:numPr>
        <w:rPr>
          <w:rFonts w:ascii="Arial" w:cs="Arial" w:eastAsia="Arial" w:hAnsi="Arial"/>
          <w:sz w:val="19"/>
          <w:szCs w:val="19"/>
          <w:color w:val="auto"/>
        </w:rPr>
      </w:pPr>
      <w:r>
        <w:rPr>
          <w:rFonts w:ascii="Times New Roman" w:cs="Times New Roman" w:eastAsia="Times New Roman" w:hAnsi="Times New Roman"/>
          <w:sz w:val="19"/>
          <w:szCs w:val="19"/>
          <w:color w:val="auto"/>
        </w:rPr>
        <w:t>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such as cancer, especially when the product may be too inherently toxic to ethically administer to healthy volunteers, the initial human testing is often conducted in patients.</w:t>
      </w:r>
    </w:p>
    <w:p>
      <w:pPr>
        <w:spacing w:after="0" w:line="79" w:lineRule="exact"/>
        <w:rPr>
          <w:rFonts w:ascii="Arial" w:cs="Arial" w:eastAsia="Arial" w:hAnsi="Arial"/>
          <w:sz w:val="19"/>
          <w:szCs w:val="19"/>
          <w:color w:val="auto"/>
        </w:rPr>
      </w:pPr>
    </w:p>
    <w:p>
      <w:pPr>
        <w:ind w:left="900" w:right="60" w:hanging="281"/>
        <w:spacing w:after="0" w:line="242" w:lineRule="auto"/>
        <w:tabs>
          <w:tab w:leader="none" w:pos="9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Phase 2: The product candidate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86" w:lineRule="exact"/>
        <w:rPr>
          <w:rFonts w:ascii="Arial" w:cs="Arial" w:eastAsia="Arial" w:hAnsi="Arial"/>
          <w:sz w:val="20"/>
          <w:szCs w:val="20"/>
          <w:color w:val="auto"/>
        </w:rPr>
      </w:pPr>
    </w:p>
    <w:p>
      <w:pPr>
        <w:ind w:left="900" w:right="160" w:hanging="281"/>
        <w:spacing w:after="0" w:line="239" w:lineRule="auto"/>
        <w:tabs>
          <w:tab w:leader="none" w:pos="9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97" w:lineRule="exact"/>
        <w:rPr>
          <w:sz w:val="20"/>
          <w:szCs w:val="20"/>
          <w:color w:val="auto"/>
        </w:rPr>
      </w:pPr>
    </w:p>
    <w:p>
      <w:pPr>
        <w:ind w:right="80" w:firstLine="619"/>
        <w:spacing w:after="0" w:line="239" w:lineRule="auto"/>
        <w:rPr>
          <w:sz w:val="20"/>
          <w:szCs w:val="20"/>
          <w:color w:val="auto"/>
        </w:rPr>
      </w:pPr>
      <w:r>
        <w:rPr>
          <w:rFonts w:ascii="Times New Roman" w:cs="Times New Roman" w:eastAsia="Times New Roman" w:hAnsi="Times New Roman"/>
          <w:sz w:val="20"/>
          <w:szCs w:val="20"/>
          <w:color w:val="auto"/>
        </w:rPr>
        <w:t>In some cases, FDA may require, or sponsors may voluntarily pursue, post-approval trials, sometimes referred to as Phase 4 studies, that are conducted after initial marketing approval. These trials are used to gain additional experience from the treatment of patients in the intended therapeutic indication. In certain instances, such as with accelerated approval drugs, the FDA may mandate the performance of post-approval clinical trials as a condition of approval of an NDA.</w:t>
      </w:r>
    </w:p>
    <w:p>
      <w:pPr>
        <w:spacing w:after="0" w:line="197" w:lineRule="exact"/>
        <w:rPr>
          <w:sz w:val="20"/>
          <w:szCs w:val="20"/>
          <w:color w:val="auto"/>
        </w:rPr>
      </w:pPr>
    </w:p>
    <w:p>
      <w:pPr>
        <w:ind w:firstLine="619"/>
        <w:spacing w:after="0" w:line="236" w:lineRule="auto"/>
        <w:rPr>
          <w:sz w:val="20"/>
          <w:szCs w:val="20"/>
          <w:color w:val="auto"/>
        </w:rPr>
      </w:pPr>
      <w:r>
        <w:rPr>
          <w:rFonts w:ascii="Times New Roman" w:cs="Times New Roman" w:eastAsia="Times New Roman" w:hAnsi="Times New Roman"/>
          <w:sz w:val="20"/>
          <w:szCs w:val="20"/>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w:t>
      </w:r>
    </w:p>
    <w:p>
      <w:pPr>
        <w:spacing w:after="0" w:line="205" w:lineRule="exact"/>
        <w:rPr>
          <w:sz w:val="20"/>
          <w:szCs w:val="20"/>
          <w:color w:val="auto"/>
        </w:rPr>
      </w:pPr>
    </w:p>
    <w:p>
      <w:pPr>
        <w:ind w:firstLine="619"/>
        <w:spacing w:after="0" w:line="241" w:lineRule="auto"/>
        <w:rPr>
          <w:sz w:val="20"/>
          <w:szCs w:val="20"/>
          <w:color w:val="auto"/>
        </w:rPr>
      </w:pPr>
      <w:r>
        <w:rPr>
          <w:rFonts w:ascii="Times New Roman" w:cs="Times New Roman" w:eastAsia="Times New Roman" w:hAnsi="Times New Roman"/>
          <w:sz w:val="20"/>
          <w:szCs w:val="20"/>
          <w:color w:val="auto"/>
        </w:rPr>
        <w:t>During the development of a new drug, sponsors are given opportunities to meet with the FDA at certain points. These points may be prior to submission of an IND, at the end of Phase 1 and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trial to discuss Phase 2 clinical results and present plans for the pivotal Phase 3 clinical trials that they believe will support approval of the new drug.</w:t>
      </w:r>
    </w:p>
    <w:p>
      <w:pPr>
        <w:spacing w:after="0" w:line="194" w:lineRule="exact"/>
        <w:rPr>
          <w:sz w:val="20"/>
          <w:szCs w:val="20"/>
          <w:color w:val="auto"/>
        </w:rPr>
      </w:pPr>
    </w:p>
    <w:p>
      <w:pPr>
        <w:ind w:right="60" w:firstLine="619"/>
        <w:spacing w:after="0" w:line="236" w:lineRule="auto"/>
        <w:rPr>
          <w:sz w:val="20"/>
          <w:szCs w:val="20"/>
          <w:color w:val="auto"/>
        </w:rPr>
      </w:pPr>
      <w:r>
        <w:rPr>
          <w:rFonts w:ascii="Times New Roman" w:cs="Times New Roman" w:eastAsia="Times New Roman" w:hAnsi="Times New Roman"/>
          <w:sz w:val="20"/>
          <w:szCs w:val="20"/>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200" w:lineRule="exact"/>
        <w:rPr>
          <w:sz w:val="20"/>
          <w:szCs w:val="20"/>
          <w:color w:val="auto"/>
        </w:rPr>
      </w:pPr>
    </w:p>
    <w:p>
      <w:pPr>
        <w:ind w:right="140" w:firstLine="619"/>
        <w:spacing w:after="0" w:line="239" w:lineRule="auto"/>
        <w:rPr>
          <w:sz w:val="20"/>
          <w:szCs w:val="20"/>
          <w:color w:val="auto"/>
        </w:rPr>
      </w:pPr>
      <w:r>
        <w:rPr>
          <w:rFonts w:ascii="Times New Roman" w:cs="Times New Roman" w:eastAsia="Times New Roman" w:hAnsi="Times New Roman"/>
          <w:sz w:val="20"/>
          <w:szCs w:val="20"/>
          <w:color w:val="auto"/>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testing suggesting a significant risk to humans and any clinically important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360"/>
          </w:cols>
          <w:pgMar w:left="1440" w:top="1420" w:right="1440" w:bottom="175" w:gutter="0" w:footer="0" w:header="0"/>
        </w:sectPr>
      </w:pPr>
    </w:p>
    <w:bookmarkStart w:id="19" w:name="page20"/>
    <w:bookmarkEnd w:id="19"/>
    <w:p>
      <w:pPr>
        <w:ind w:right="320"/>
        <w:spacing w:after="0" w:line="267" w:lineRule="auto"/>
        <w:rPr>
          <w:sz w:val="20"/>
          <w:szCs w:val="20"/>
          <w:color w:val="auto"/>
        </w:rPr>
      </w:pPr>
      <w:r>
        <w:rPr>
          <w:rFonts w:ascii="Times New Roman" w:cs="Times New Roman" w:eastAsia="Times New Roman" w:hAnsi="Times New Roman"/>
          <w:sz w:val="20"/>
          <w:szCs w:val="20"/>
          <w:color w:val="auto"/>
        </w:rPr>
        <w:t>increased incidence of a serious suspected adverse reaction compared to that listed in the protocol or investigator brochure.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NDA Review and Approval Process</w:t>
      </w:r>
    </w:p>
    <w:p>
      <w:pPr>
        <w:spacing w:after="0" w:line="111" w:lineRule="exact"/>
        <w:rPr>
          <w:sz w:val="20"/>
          <w:szCs w:val="20"/>
          <w:color w:val="auto"/>
        </w:rPr>
      </w:pPr>
    </w:p>
    <w:p>
      <w:pPr>
        <w:ind w:right="40" w:firstLine="619"/>
        <w:spacing w:after="0" w:line="236" w:lineRule="auto"/>
        <w:rPr>
          <w:sz w:val="20"/>
          <w:szCs w:val="20"/>
          <w:color w:val="auto"/>
        </w:rPr>
      </w:pPr>
      <w:r>
        <w:rPr>
          <w:rFonts w:ascii="Times New Roman" w:cs="Times New Roman" w:eastAsia="Times New Roman" w:hAnsi="Times New Roman"/>
          <w:sz w:val="20"/>
          <w:szCs w:val="20"/>
          <w:color w:val="auto"/>
        </w:rPr>
        <w:t>Assuming successful completion of all required testing in accordance with all applicable regulatory requirements, 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199" w:lineRule="exact"/>
        <w:rPr>
          <w:sz w:val="20"/>
          <w:szCs w:val="20"/>
          <w:color w:val="auto"/>
        </w:rPr>
      </w:pPr>
    </w:p>
    <w:p>
      <w:pPr>
        <w:ind w:right="40" w:firstLine="619"/>
        <w:spacing w:after="0" w:line="234" w:lineRule="auto"/>
        <w:rPr>
          <w:sz w:val="20"/>
          <w:szCs w:val="20"/>
          <w:color w:val="auto"/>
        </w:rPr>
      </w:pPr>
      <w:r>
        <w:rPr>
          <w:rFonts w:ascii="Times New Roman" w:cs="Times New Roman" w:eastAsia="Times New Roman" w:hAnsi="Times New Roman"/>
          <w:sz w:val="20"/>
          <w:szCs w:val="20"/>
          <w:color w:val="auto"/>
        </w:rPr>
        <w:t>The FDA reviews an NDA to determine, among other things, whether a product is safe and effective for its intended use and whether its manufacturing complies with cGMP requirements to assure and preserve the product’s identity, strength, quality and purity. Under the Prescription Drug User Fee Act, or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w:t>
      </w:r>
    </w:p>
    <w:p>
      <w:pPr>
        <w:spacing w:after="0" w:line="204" w:lineRule="exact"/>
        <w:rPr>
          <w:sz w:val="20"/>
          <w:szCs w:val="20"/>
          <w:color w:val="auto"/>
        </w:rPr>
      </w:pPr>
    </w:p>
    <w:p>
      <w:pPr>
        <w:ind w:right="40" w:firstLine="619"/>
        <w:spacing w:after="0" w:line="244" w:lineRule="auto"/>
        <w:rPr>
          <w:sz w:val="20"/>
          <w:szCs w:val="20"/>
          <w:color w:val="auto"/>
        </w:rPr>
      </w:pPr>
      <w:r>
        <w:rPr>
          <w:rFonts w:ascii="Times New Roman" w:cs="Times New Roman" w:eastAsia="Times New Roman" w:hAnsi="Times New Roman"/>
          <w:sz w:val="20"/>
          <w:szCs w:val="20"/>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92" w:lineRule="exact"/>
        <w:rPr>
          <w:sz w:val="20"/>
          <w:szCs w:val="20"/>
          <w:color w:val="auto"/>
        </w:rPr>
      </w:pPr>
    </w:p>
    <w:p>
      <w:pPr>
        <w:ind w:right="80" w:firstLine="619"/>
        <w:spacing w:after="0" w:line="235" w:lineRule="auto"/>
        <w:rPr>
          <w:sz w:val="20"/>
          <w:szCs w:val="20"/>
          <w:color w:val="auto"/>
        </w:rPr>
      </w:pPr>
      <w:r>
        <w:rPr>
          <w:rFonts w:ascii="Times New Roman" w:cs="Times New Roman" w:eastAsia="Times New Roman" w:hAnsi="Times New Roman"/>
          <w:sz w:val="20"/>
          <w:szCs w:val="20"/>
          <w:color w:val="auto"/>
        </w:rPr>
        <w:t>Before approving an NDA,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 requirements.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97" w:lineRule="exact"/>
        <w:rPr>
          <w:sz w:val="20"/>
          <w:szCs w:val="20"/>
          <w:color w:val="auto"/>
        </w:rPr>
      </w:pPr>
    </w:p>
    <w:p>
      <w:pPr>
        <w:ind w:right="60" w:firstLine="619"/>
        <w:spacing w:after="0" w:line="235" w:lineRule="auto"/>
        <w:rPr>
          <w:sz w:val="20"/>
          <w:szCs w:val="20"/>
          <w:color w:val="auto"/>
        </w:rPr>
      </w:pPr>
      <w:r>
        <w:rPr>
          <w:rFonts w:ascii="Times New Roman" w:cs="Times New Roman" w:eastAsia="Times New Roman" w:hAnsi="Times New Roman"/>
          <w:sz w:val="20"/>
          <w:szCs w:val="20"/>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trial or other significant and time-consuming requirements related to clinical trials, nonclinical studies or manufacturing. If a Complete Response Letter is issued, the sponsor must resubmit the NDA to address all of the deficiencies identified in the letter, or withdraw the application. Even if such data and information are submitted, the FDA may decide that the NDA does not satisfy the criteria for approval.</w:t>
      </w:r>
    </w:p>
    <w:p>
      <w:pPr>
        <w:spacing w:after="0" w:line="197" w:lineRule="exact"/>
        <w:rPr>
          <w:sz w:val="20"/>
          <w:szCs w:val="20"/>
          <w:color w:val="auto"/>
        </w:rPr>
      </w:pPr>
    </w:p>
    <w:p>
      <w:pPr>
        <w:ind w:right="40" w:firstLine="619"/>
        <w:spacing w:after="0" w:line="236" w:lineRule="auto"/>
        <w:rPr>
          <w:sz w:val="20"/>
          <w:szCs w:val="20"/>
          <w:color w:val="auto"/>
        </w:rPr>
      </w:pPr>
      <w:r>
        <w:rPr>
          <w:rFonts w:ascii="Times New Roman" w:cs="Times New Roman" w:eastAsia="Times New Roman" w:hAnsi="Times New Roman"/>
          <w:sz w:val="20"/>
          <w:szCs w:val="20"/>
          <w:color w:val="auto"/>
        </w:rPr>
        <w:t>If regulatory approval of a product is granted, such approval will be granted for particular indications and may entail limitations on the indicated uses for which such product may be marketed. For example, the FDA may approve the NDA with a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360"/>
          </w:cols>
          <w:pgMar w:left="1440" w:top="1412" w:right="1440" w:bottom="175" w:gutter="0" w:footer="0" w:header="0"/>
        </w:sectPr>
      </w:pPr>
    </w:p>
    <w:bookmarkStart w:id="20" w:name="page21"/>
    <w:bookmarkEnd w:id="20"/>
    <w:p>
      <w:pPr>
        <w:ind w:right="80"/>
        <w:spacing w:after="0" w:line="235" w:lineRule="auto"/>
        <w:rPr>
          <w:sz w:val="20"/>
          <w:szCs w:val="20"/>
          <w:color w:val="auto"/>
        </w:rPr>
      </w:pPr>
      <w:r>
        <w:rPr>
          <w:rFonts w:ascii="Times New Roman" w:cs="Times New Roman" w:eastAsia="Times New Roman" w:hAnsi="Times New Roman"/>
          <w:sz w:val="20"/>
          <w:szCs w:val="20"/>
          <w:color w:val="auto"/>
        </w:rPr>
        <w:t>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202" w:lineRule="exact"/>
        <w:rPr>
          <w:sz w:val="20"/>
          <w:szCs w:val="20"/>
          <w:color w:val="auto"/>
        </w:rPr>
      </w:pPr>
    </w:p>
    <w:p>
      <w:pPr>
        <w:ind w:firstLine="619"/>
        <w:spacing w:after="0" w:line="234" w:lineRule="auto"/>
        <w:rPr>
          <w:sz w:val="20"/>
          <w:szCs w:val="20"/>
          <w:color w:val="auto"/>
        </w:rPr>
      </w:pPr>
      <w:r>
        <w:rPr>
          <w:rFonts w:ascii="Times New Roman" w:cs="Times New Roman" w:eastAsia="Times New Roman" w:hAnsi="Times New Roman"/>
          <w:sz w:val="20"/>
          <w:szCs w:val="20"/>
          <w:color w:val="auto"/>
        </w:rPr>
        <w:t>In addition, the Pediatric Research Equity Act, or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Expedited Development and Review Programs</w:t>
      </w:r>
    </w:p>
    <w:p>
      <w:pPr>
        <w:spacing w:after="0" w:line="112" w:lineRule="exact"/>
        <w:rPr>
          <w:sz w:val="20"/>
          <w:szCs w:val="20"/>
          <w:color w:val="auto"/>
        </w:rPr>
      </w:pPr>
    </w:p>
    <w:p>
      <w:pPr>
        <w:ind w:right="40" w:firstLine="619"/>
        <w:spacing w:after="0" w:line="234" w:lineRule="auto"/>
        <w:rPr>
          <w:sz w:val="20"/>
          <w:szCs w:val="20"/>
          <w:color w:val="auto"/>
        </w:rPr>
      </w:pPr>
      <w:r>
        <w:rPr>
          <w:rFonts w:ascii="Times New Roman" w:cs="Times New Roman" w:eastAsia="Times New Roman" w:hAnsi="Times New Roman"/>
          <w:sz w:val="20"/>
          <w:szCs w:val="20"/>
          <w:color w:val="auto"/>
        </w:rPr>
        <w:t>The FDA has various programs, including Fast Track designation, breakthrough therapy designation, accelerated approval and priority review, that are intended to expedite the process for the development and FDA review of drugs that are intended for the treatment of serious or life-threatening diseases or conditions. For example, new drugs are eligible for Fast Track designation if they are intended to treat a serious or life- threatening disease or condition and demonstrate the potential to address unmet medical needs for the disease or condition. The sponsor of a Fast Track product has opportunities for frequent interactions with the review team during product development and, once a NDA is submitted, the product may be eligible for priority review.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98" w:lineRule="exact"/>
        <w:rPr>
          <w:sz w:val="20"/>
          <w:szCs w:val="20"/>
          <w:color w:val="auto"/>
        </w:rPr>
      </w:pPr>
    </w:p>
    <w:p>
      <w:pPr>
        <w:ind w:right="20" w:firstLine="619"/>
        <w:spacing w:after="0" w:line="235" w:lineRule="auto"/>
        <w:rPr>
          <w:sz w:val="20"/>
          <w:szCs w:val="20"/>
          <w:color w:val="auto"/>
        </w:rPr>
      </w:pPr>
      <w:r>
        <w:rPr>
          <w:rFonts w:ascii="Times New Roman" w:cs="Times New Roman" w:eastAsia="Times New Roman" w:hAnsi="Times New Roman"/>
          <w:sz w:val="20"/>
          <w:szCs w:val="20"/>
          <w:color w:val="auto"/>
        </w:rPr>
        <w:t>Any product submitted to the FDA for approval, including a product with a Fast Track designation, may also be eligible for other types of FDA programs intended to expedite development and review, such as priority review, accelerated approval and breakthrough therapy designation.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97" w:lineRule="exact"/>
        <w:rPr>
          <w:sz w:val="20"/>
          <w:szCs w:val="20"/>
          <w:color w:val="auto"/>
        </w:rPr>
      </w:pPr>
    </w:p>
    <w:p>
      <w:pPr>
        <w:ind w:firstLine="619"/>
        <w:spacing w:after="0" w:line="234" w:lineRule="auto"/>
        <w:rPr>
          <w:sz w:val="20"/>
          <w:szCs w:val="20"/>
          <w:color w:val="auto"/>
        </w:rPr>
      </w:pPr>
      <w:r>
        <w:rPr>
          <w:rFonts w:ascii="Times New Roman" w:cs="Times New Roman" w:eastAsia="Times New Roman" w:hAnsi="Times New Roman"/>
          <w:sz w:val="20"/>
          <w:szCs w:val="20"/>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 The Food and Drug Omnibus Reform Act made several changes to the FDA’s authorities and its regulatory framework, including, among other changes, reforms to the accelerated approval pathway, such as requiring the FDA to specify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360"/>
          </w:cols>
          <w:pgMar w:left="1440" w:top="1412" w:right="1440" w:bottom="175" w:gutter="0" w:footer="0" w:header="0"/>
        </w:sectPr>
      </w:pPr>
    </w:p>
    <w:bookmarkStart w:id="21" w:name="page22"/>
    <w:bookmarkEnd w:id="21"/>
    <w:p>
      <w:pPr>
        <w:ind w:right="780"/>
        <w:spacing w:after="0" w:line="267" w:lineRule="auto"/>
        <w:rPr>
          <w:sz w:val="20"/>
          <w:szCs w:val="20"/>
          <w:color w:val="auto"/>
        </w:rPr>
      </w:pPr>
      <w:r>
        <w:rPr>
          <w:rFonts w:ascii="Times New Roman" w:cs="Times New Roman" w:eastAsia="Times New Roman" w:hAnsi="Times New Roman"/>
          <w:sz w:val="20"/>
          <w:szCs w:val="20"/>
          <w:color w:val="auto"/>
        </w:rPr>
        <w:t>for post-approval study requirements and setting forth procedures for the FDA to withdraw a product on an expedited basis for non-compliance with post-approval requirements.</w:t>
      </w:r>
    </w:p>
    <w:p>
      <w:pPr>
        <w:spacing w:after="0" w:line="169" w:lineRule="exact"/>
        <w:rPr>
          <w:sz w:val="20"/>
          <w:szCs w:val="20"/>
          <w:color w:val="auto"/>
        </w:rPr>
      </w:pPr>
    </w:p>
    <w:p>
      <w:pPr>
        <w:ind w:right="120" w:firstLine="619"/>
        <w:spacing w:after="0" w:line="234" w:lineRule="auto"/>
        <w:rPr>
          <w:sz w:val="20"/>
          <w:szCs w:val="20"/>
          <w:color w:val="auto"/>
        </w:rPr>
      </w:pPr>
      <w:r>
        <w:rPr>
          <w:rFonts w:ascii="Times New Roman" w:cs="Times New Roman" w:eastAsia="Times New Roman" w:hAnsi="Times New Roman"/>
          <w:sz w:val="20"/>
          <w:szCs w:val="20"/>
          <w:color w:val="auto"/>
        </w:rPr>
        <w:t>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spacing w:after="0" w:line="202" w:lineRule="exact"/>
        <w:rPr>
          <w:sz w:val="20"/>
          <w:szCs w:val="20"/>
          <w:color w:val="auto"/>
        </w:rPr>
      </w:pPr>
    </w:p>
    <w:p>
      <w:pPr>
        <w:ind w:right="240" w:firstLine="619"/>
        <w:spacing w:after="0" w:line="239" w:lineRule="auto"/>
        <w:rPr>
          <w:sz w:val="20"/>
          <w:szCs w:val="20"/>
          <w:color w:val="auto"/>
        </w:rPr>
      </w:pPr>
      <w:r>
        <w:rPr>
          <w:rFonts w:ascii="Times New Roman" w:cs="Times New Roman" w:eastAsia="Times New Roman" w:hAnsi="Times New Roman"/>
          <w:sz w:val="20"/>
          <w:szCs w:val="20"/>
          <w:color w:val="auto"/>
        </w:rPr>
        <w:t>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Post-approval Requirements</w:t>
      </w:r>
    </w:p>
    <w:p>
      <w:pPr>
        <w:spacing w:after="0" w:line="120" w:lineRule="exact"/>
        <w:rPr>
          <w:sz w:val="20"/>
          <w:szCs w:val="20"/>
          <w:color w:val="auto"/>
        </w:rPr>
      </w:pPr>
    </w:p>
    <w:p>
      <w:pPr>
        <w:ind w:firstLine="619"/>
        <w:spacing w:after="0" w:line="242" w:lineRule="auto"/>
        <w:rPr>
          <w:sz w:val="20"/>
          <w:szCs w:val="20"/>
          <w:color w:val="auto"/>
        </w:rPr>
      </w:pPr>
      <w:r>
        <w:rPr>
          <w:rFonts w:ascii="Times New Roman" w:cs="Times New Roman" w:eastAsia="Times New Roman" w:hAnsi="Times New Roman"/>
          <w:sz w:val="20"/>
          <w:szCs w:val="20"/>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requirements, which impose certain production, manufacturing,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214" w:lineRule="exact"/>
        <w:rPr>
          <w:sz w:val="20"/>
          <w:szCs w:val="20"/>
          <w:color w:val="auto"/>
        </w:rPr>
      </w:pPr>
    </w:p>
    <w:p>
      <w:pPr>
        <w:ind w:right="80" w:firstLine="619"/>
        <w:spacing w:after="0" w:line="246" w:lineRule="auto"/>
        <w:rPr>
          <w:sz w:val="20"/>
          <w:szCs w:val="20"/>
          <w:color w:val="auto"/>
        </w:rPr>
      </w:pPr>
      <w:r>
        <w:rPr>
          <w:rFonts w:ascii="Times New Roman" w:cs="Times New Roman" w:eastAsia="Times New Roman" w:hAnsi="Times New Roman"/>
          <w:sz w:val="20"/>
          <w:szCs w:val="20"/>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94" w:lineRule="exact"/>
        <w:rPr>
          <w:sz w:val="20"/>
          <w:szCs w:val="20"/>
          <w:color w:val="auto"/>
        </w:rPr>
      </w:pPr>
    </w:p>
    <w:p>
      <w:pPr>
        <w:ind w:left="900" w:right="180" w:hanging="280"/>
        <w:spacing w:after="0" w:line="277" w:lineRule="auto"/>
        <w:tabs>
          <w:tab w:leader="none" w:pos="9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the marketing or manufacturing of the product, complete withdrawal of the product from the market or product recalls;</w:t>
      </w:r>
    </w:p>
    <w:p>
      <w:pPr>
        <w:spacing w:after="0" w:line="63" w:lineRule="exact"/>
        <w:rPr>
          <w:rFonts w:ascii="Arial" w:cs="Arial" w:eastAsia="Arial" w:hAnsi="Arial"/>
          <w:sz w:val="20"/>
          <w:szCs w:val="20"/>
          <w:color w:val="auto"/>
        </w:rPr>
      </w:pPr>
    </w:p>
    <w:p>
      <w:pPr>
        <w:ind w:left="900" w:hanging="280"/>
        <w:spacing w:after="0"/>
        <w:tabs>
          <w:tab w:leader="none" w:pos="9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fines, warning letters or untitled letters;</w:t>
      </w:r>
    </w:p>
    <w:p>
      <w:pPr>
        <w:spacing w:after="0" w:line="132" w:lineRule="exact"/>
        <w:rPr>
          <w:rFonts w:ascii="Arial" w:cs="Arial" w:eastAsia="Arial" w:hAnsi="Arial"/>
          <w:sz w:val="20"/>
          <w:szCs w:val="20"/>
          <w:color w:val="auto"/>
        </w:rPr>
      </w:pPr>
    </w:p>
    <w:p>
      <w:pPr>
        <w:ind w:left="900" w:hanging="280"/>
        <w:spacing w:after="0"/>
        <w:tabs>
          <w:tab w:leader="none" w:pos="9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clinical holds on clinical studies;</w:t>
      </w:r>
    </w:p>
    <w:p>
      <w:pPr>
        <w:spacing w:after="0" w:line="133" w:lineRule="exact"/>
        <w:rPr>
          <w:rFonts w:ascii="Arial" w:cs="Arial" w:eastAsia="Arial" w:hAnsi="Arial"/>
          <w:sz w:val="20"/>
          <w:szCs w:val="20"/>
          <w:color w:val="auto"/>
        </w:rPr>
      </w:pPr>
    </w:p>
    <w:p>
      <w:pPr>
        <w:ind w:left="900" w:right="800" w:hanging="280"/>
        <w:spacing w:after="0" w:line="276" w:lineRule="auto"/>
        <w:tabs>
          <w:tab w:leader="none" w:pos="9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refusal of the FDA to approve pending applications or supplements to approved applications, or suspension or revocation of product license approvals;</w:t>
      </w:r>
    </w:p>
    <w:p>
      <w:pPr>
        <w:spacing w:after="0" w:line="64" w:lineRule="exact"/>
        <w:rPr>
          <w:rFonts w:ascii="Arial" w:cs="Arial" w:eastAsia="Arial" w:hAnsi="Arial"/>
          <w:sz w:val="20"/>
          <w:szCs w:val="20"/>
          <w:color w:val="auto"/>
        </w:rPr>
      </w:pPr>
    </w:p>
    <w:p>
      <w:pPr>
        <w:ind w:left="900" w:hanging="280"/>
        <w:spacing w:after="0"/>
        <w:tabs>
          <w:tab w:leader="none" w:pos="9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product seizure or detention, or refusal to permit the import or export of products;</w:t>
      </w:r>
    </w:p>
    <w:p>
      <w:pPr>
        <w:spacing w:after="0" w:line="133" w:lineRule="exact"/>
        <w:rPr>
          <w:rFonts w:ascii="Arial" w:cs="Arial" w:eastAsia="Arial" w:hAnsi="Arial"/>
          <w:sz w:val="20"/>
          <w:szCs w:val="20"/>
          <w:color w:val="auto"/>
        </w:rPr>
      </w:pPr>
    </w:p>
    <w:p>
      <w:pPr>
        <w:ind w:left="900" w:right="760" w:hanging="280"/>
        <w:spacing w:after="0" w:line="276" w:lineRule="auto"/>
        <w:tabs>
          <w:tab w:leader="none" w:pos="9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consent decrees, corporate integrity agreements, debarment or exclusion from federal healthcare programs;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360"/>
          </w:cols>
          <w:pgMar w:left="1440" w:top="1412" w:right="1440" w:bottom="175" w:gutter="0" w:footer="0" w:header="0"/>
        </w:sectPr>
      </w:pPr>
    </w:p>
    <w:bookmarkStart w:id="22" w:name="page23"/>
    <w:bookmarkEnd w:id="22"/>
    <w:p>
      <w:pPr>
        <w:ind w:left="900" w:hanging="281"/>
        <w:spacing w:after="0"/>
        <w:tabs>
          <w:tab w:leader="none" w:pos="90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mandated modification of promotional materials and labeling and the issuance of corrective information;</w:t>
      </w:r>
    </w:p>
    <w:p>
      <w:pPr>
        <w:spacing w:after="0" w:line="132" w:lineRule="exact"/>
        <w:rPr>
          <w:rFonts w:ascii="Arial" w:cs="Arial" w:eastAsia="Arial" w:hAnsi="Arial"/>
          <w:sz w:val="20"/>
          <w:szCs w:val="20"/>
          <w:color w:val="auto"/>
        </w:rPr>
      </w:pPr>
    </w:p>
    <w:p>
      <w:pPr>
        <w:ind w:left="900" w:right="220" w:hanging="281"/>
        <w:spacing w:after="0" w:line="277" w:lineRule="auto"/>
        <w:tabs>
          <w:tab w:leader="none" w:pos="90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the issuance of safety alerts, Dear Healthcare Provider letters, press releases and other communications containing warnings or other safety information about the product; or</w:t>
      </w:r>
    </w:p>
    <w:p>
      <w:pPr>
        <w:spacing w:after="0" w:line="62" w:lineRule="exact"/>
        <w:rPr>
          <w:rFonts w:ascii="Arial" w:cs="Arial" w:eastAsia="Arial" w:hAnsi="Arial"/>
          <w:sz w:val="20"/>
          <w:szCs w:val="20"/>
          <w:color w:val="auto"/>
        </w:rPr>
      </w:pPr>
    </w:p>
    <w:p>
      <w:pPr>
        <w:ind w:left="900" w:hanging="281"/>
        <w:spacing w:after="0"/>
        <w:tabs>
          <w:tab w:leader="none" w:pos="90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239" w:lineRule="exact"/>
        <w:rPr>
          <w:sz w:val="20"/>
          <w:szCs w:val="20"/>
          <w:color w:val="auto"/>
        </w:rPr>
      </w:pPr>
    </w:p>
    <w:p>
      <w:pPr>
        <w:ind w:right="20" w:firstLine="619"/>
        <w:spacing w:after="0" w:line="242" w:lineRule="auto"/>
        <w:rPr>
          <w:sz w:val="20"/>
          <w:szCs w:val="20"/>
          <w:color w:val="auto"/>
        </w:rPr>
      </w:pPr>
      <w:r>
        <w:rPr>
          <w:rFonts w:ascii="Times New Roman" w:cs="Times New Roman" w:eastAsia="Times New Roman" w:hAnsi="Times New Roman"/>
          <w:sz w:val="20"/>
          <w:szCs w:val="20"/>
          <w:color w:val="auto"/>
        </w:rPr>
        <w:t>The FDA closely regulates the marketing, labeling, advertising and promotion of drug products. A company can make only those claims relating to safety and efficacy that are approved by the FDA and in accordance with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212" w:lineRule="exact"/>
        <w:rPr>
          <w:sz w:val="20"/>
          <w:szCs w:val="20"/>
          <w:color w:val="auto"/>
        </w:rPr>
      </w:pPr>
    </w:p>
    <w:p>
      <w:pPr>
        <w:ind w:right="240" w:firstLine="619"/>
        <w:spacing w:after="0" w:line="249" w:lineRule="auto"/>
        <w:rPr>
          <w:sz w:val="20"/>
          <w:szCs w:val="20"/>
          <w:color w:val="auto"/>
        </w:rPr>
      </w:pPr>
      <w:r>
        <w:rPr>
          <w:rFonts w:ascii="Times New Roman" w:cs="Times New Roman" w:eastAsia="Times New Roman" w:hAnsi="Times New Roman"/>
          <w:sz w:val="20"/>
          <w:szCs w:val="20"/>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Orphan Drugs</w:t>
      </w:r>
    </w:p>
    <w:p>
      <w:pPr>
        <w:spacing w:after="0" w:line="120" w:lineRule="exact"/>
        <w:rPr>
          <w:sz w:val="20"/>
          <w:szCs w:val="20"/>
          <w:color w:val="auto"/>
        </w:rPr>
      </w:pPr>
    </w:p>
    <w:p>
      <w:pPr>
        <w:ind w:right="40" w:firstLine="619"/>
        <w:spacing w:after="0" w:line="246" w:lineRule="auto"/>
        <w:rPr>
          <w:sz w:val="20"/>
          <w:szCs w:val="20"/>
          <w:color w:val="auto"/>
        </w:rPr>
      </w:pPr>
      <w:r>
        <w:rPr>
          <w:rFonts w:ascii="Times New Roman" w:cs="Times New Roman" w:eastAsia="Times New Roman" w:hAnsi="Times New Roman"/>
          <w:sz w:val="20"/>
          <w:szCs w:val="20"/>
          <w:color w:val="auto"/>
        </w:rPr>
        <w:t>Under the Orphan Drug Act, the FDA may grant orphan drug designation, or ODD,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of that drug or biologic. ODD must be requested before submitting an NDA. After the FDA grants ODD, the generic identity of the therapeutic agent and its potential orphan use are disclosed publicly by the FDA.</w:t>
      </w:r>
    </w:p>
    <w:p>
      <w:pPr>
        <w:spacing w:after="0" w:line="199"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0"/>
          <w:szCs w:val="20"/>
          <w:color w:val="auto"/>
        </w:rPr>
        <w:t>If a product that has received ODD and subsequently receives the first FDA approval for a particular active ingredient for the disease for which it has such designation, the product is entitled to orphan product exclusivity, which means that the FDA may not approve any other applications, including a full NDA, to market the same biologic for the same indication for seven years from the approval of the NDA,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NDA application user fee.</w:t>
      </w:r>
    </w:p>
    <w:p>
      <w:pPr>
        <w:spacing w:after="0" w:line="203" w:lineRule="exact"/>
        <w:rPr>
          <w:sz w:val="20"/>
          <w:szCs w:val="20"/>
          <w:color w:val="auto"/>
        </w:rPr>
      </w:pPr>
    </w:p>
    <w:p>
      <w:pPr>
        <w:ind w:right="140" w:firstLine="619"/>
        <w:spacing w:after="0" w:line="249" w:lineRule="auto"/>
        <w:rPr>
          <w:sz w:val="20"/>
          <w:szCs w:val="20"/>
          <w:color w:val="auto"/>
        </w:rPr>
      </w:pPr>
      <w:r>
        <w:rPr>
          <w:rFonts w:ascii="Times New Roman" w:cs="Times New Roman" w:eastAsia="Times New Roman" w:hAnsi="Times New Roman"/>
          <w:sz w:val="20"/>
          <w:szCs w:val="20"/>
          <w:color w:val="auto"/>
        </w:rPr>
        <w:t>A designated orphan drug may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360"/>
          </w:cols>
          <w:pgMar w:left="1440" w:top="1435" w:right="1440" w:bottom="175" w:gutter="0" w:footer="0" w:header="0"/>
        </w:sectPr>
      </w:pPr>
    </w:p>
    <w:bookmarkStart w:id="23" w:name="page24"/>
    <w:bookmarkEnd w:id="23"/>
    <w:p>
      <w:pPr>
        <w:ind w:right="20" w:firstLine="619"/>
        <w:spacing w:after="0" w:line="244" w:lineRule="auto"/>
        <w:rPr>
          <w:sz w:val="20"/>
          <w:szCs w:val="20"/>
          <w:color w:val="auto"/>
        </w:rPr>
      </w:pPr>
      <w:r>
        <w:rPr>
          <w:rFonts w:ascii="Times New Roman" w:cs="Times New Roman" w:eastAsia="Times New Roman" w:hAnsi="Times New Roman"/>
          <w:sz w:val="20"/>
          <w:szCs w:val="20"/>
          <w:color w:val="auto"/>
        </w:rPr>
        <w:t xml:space="preserve">In </w:t>
      </w:r>
      <w:r>
        <w:rPr>
          <w:rFonts w:ascii="Times New Roman" w:cs="Times New Roman" w:eastAsia="Times New Roman" w:hAnsi="Times New Roman"/>
          <w:sz w:val="20"/>
          <w:szCs w:val="20"/>
          <w:i w:val="1"/>
          <w:iCs w:val="1"/>
          <w:color w:val="auto"/>
        </w:rPr>
        <w:t>Catalyst Pharms., Inc. v. Becerra</w:t>
      </w:r>
      <w:r>
        <w:rPr>
          <w:rFonts w:ascii="Times New Roman" w:cs="Times New Roman" w:eastAsia="Times New Roman" w:hAnsi="Times New Roman"/>
          <w:sz w:val="20"/>
          <w:szCs w:val="20"/>
          <w:color w:val="auto"/>
        </w:rPr>
        <w:t xml:space="preserve">, 14 F.4th 1299 (11th Cir. 2021), the court disagreed with the FDA’s longstanding position that the orphan drug exclusivity only applies to the approved use or indication within an eligible disease. This decision created uncertainty in the application of the orphan drug exclusivity. On January 24, 2023, the FDA published a notice in the Federal Register to clarify that while the agency complies with the court’s order in </w:t>
      </w:r>
      <w:r>
        <w:rPr>
          <w:rFonts w:ascii="Times New Roman" w:cs="Times New Roman" w:eastAsia="Times New Roman" w:hAnsi="Times New Roman"/>
          <w:sz w:val="20"/>
          <w:szCs w:val="20"/>
          <w:i w:val="1"/>
          <w:iCs w:val="1"/>
          <w:color w:val="auto"/>
        </w:rPr>
        <w:t>Catalyst</w:t>
      </w:r>
      <w:r>
        <w:rPr>
          <w:rFonts w:ascii="Times New Roman" w:cs="Times New Roman" w:eastAsia="Times New Roman" w:hAnsi="Times New Roman"/>
          <w:sz w:val="20"/>
          <w:szCs w:val="20"/>
          <w:color w:val="auto"/>
        </w:rPr>
        <w:t xml:space="preserve">, FDA intends to continue to apply its longstanding interpretation of the regulations to matters outside of the scope of the </w:t>
      </w:r>
      <w:r>
        <w:rPr>
          <w:rFonts w:ascii="Times New Roman" w:cs="Times New Roman" w:eastAsia="Times New Roman" w:hAnsi="Times New Roman"/>
          <w:sz w:val="20"/>
          <w:szCs w:val="20"/>
          <w:i w:val="1"/>
          <w:iCs w:val="1"/>
          <w:color w:val="auto"/>
        </w:rPr>
        <w:t>Catalyst</w:t>
      </w:r>
      <w:r>
        <w:rPr>
          <w:rFonts w:ascii="Times New Roman" w:cs="Times New Roman" w:eastAsia="Times New Roman" w:hAnsi="Times New Roman"/>
          <w:sz w:val="20"/>
          <w:szCs w:val="20"/>
          <w:color w:val="auto"/>
        </w:rPr>
        <w:t xml:space="preserve">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Marketing Exclusivity</w:t>
      </w:r>
    </w:p>
    <w:p>
      <w:pPr>
        <w:spacing w:after="0" w:line="120"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0"/>
          <w:szCs w:val="20"/>
          <w:color w:val="auto"/>
        </w:rPr>
        <w:t>Market exclusivity provisions authorized under the FDCA can delay the submission and approval of certain marketing applications for products containing the same active ingredient.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an NDA submitted under Section 505(b)(2), or 505(b)(2) NDA,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206" w:lineRule="exact"/>
        <w:rPr>
          <w:sz w:val="20"/>
          <w:szCs w:val="20"/>
          <w:color w:val="auto"/>
        </w:rPr>
      </w:pPr>
    </w:p>
    <w:p>
      <w:pPr>
        <w:ind w:right="60" w:firstLine="619"/>
        <w:spacing w:after="0" w:line="244" w:lineRule="auto"/>
        <w:rPr>
          <w:sz w:val="20"/>
          <w:szCs w:val="20"/>
          <w:color w:val="auto"/>
        </w:rPr>
      </w:pPr>
      <w:r>
        <w:rPr>
          <w:rFonts w:ascii="Times New Roman" w:cs="Times New Roman" w:eastAsia="Times New Roman" w:hAnsi="Times New Roman"/>
          <w:sz w:val="20"/>
          <w:szCs w:val="20"/>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accepting ANDAs or 505(b)(2) NDAs for drugs referencing the approved application for review.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205" w:lineRule="exact"/>
        <w:rPr>
          <w:sz w:val="20"/>
          <w:szCs w:val="20"/>
          <w:color w:val="auto"/>
        </w:rPr>
      </w:pPr>
    </w:p>
    <w:p>
      <w:pPr>
        <w:ind w:right="160" w:firstLine="619"/>
        <w:spacing w:after="0" w:line="247" w:lineRule="auto"/>
        <w:rPr>
          <w:sz w:val="20"/>
          <w:szCs w:val="20"/>
          <w:color w:val="auto"/>
        </w:rPr>
      </w:pPr>
      <w:r>
        <w:rPr>
          <w:rFonts w:ascii="Times New Roman" w:cs="Times New Roman" w:eastAsia="Times New Roman" w:hAnsi="Times New Roman"/>
          <w:sz w:val="20"/>
          <w:szCs w:val="20"/>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200" w:lineRule="exact"/>
        <w:rPr>
          <w:sz w:val="20"/>
          <w:szCs w:val="20"/>
          <w:color w:val="auto"/>
        </w:rPr>
      </w:pPr>
    </w:p>
    <w:p>
      <w:pPr>
        <w:ind w:right="60" w:firstLine="619"/>
        <w:spacing w:after="0" w:line="246" w:lineRule="auto"/>
        <w:rPr>
          <w:sz w:val="20"/>
          <w:szCs w:val="20"/>
          <w:color w:val="auto"/>
        </w:rPr>
      </w:pPr>
      <w:r>
        <w:rPr>
          <w:rFonts w:ascii="Times New Roman" w:cs="Times New Roman" w:eastAsia="Times New Roman" w:hAnsi="Times New Roman"/>
          <w:sz w:val="20"/>
          <w:szCs w:val="20"/>
          <w:color w:val="auto"/>
        </w:rPr>
        <w:t>In June 2024, the U.S. Supreme Court overruled the Chevron doctrine, which gives deference to regulatory agencies’ statutory interpretations in litigation against federal government agencies, such as the FDA, where the law is ambiguous. This landmark Supreme Court decision may invite various stakeholders to bring lawsuits against the FDA to challenge longstanding decisions and policies, such as market exclusivities, which could lead to uncertainties in the industry. Further, changes in the leadership of the FDA and other federal agencies under the Trump administration may lead to new policies, changes in the regulations, or disruptions to the operations of federal agencies, any of which may impact our clinical development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360"/>
          </w:cols>
          <w:pgMar w:left="1440" w:top="1420" w:right="1440" w:bottom="175"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i w:val="1"/>
          <w:iCs w:val="1"/>
          <w:color w:val="auto"/>
        </w:rPr>
        <w:t>Other Healthcare Laws</w:t>
      </w:r>
    </w:p>
    <w:p>
      <w:pPr>
        <w:spacing w:after="0" w:line="119" w:lineRule="exact"/>
        <w:rPr>
          <w:sz w:val="20"/>
          <w:szCs w:val="20"/>
          <w:color w:val="auto"/>
        </w:rPr>
      </w:pPr>
    </w:p>
    <w:p>
      <w:pPr>
        <w:ind w:right="100" w:firstLine="619"/>
        <w:spacing w:after="0" w:line="242" w:lineRule="auto"/>
        <w:rPr>
          <w:sz w:val="20"/>
          <w:szCs w:val="20"/>
          <w:color w:val="auto"/>
        </w:rPr>
      </w:pPr>
      <w:r>
        <w:rPr>
          <w:rFonts w:ascii="Times New Roman" w:cs="Times New Roman" w:eastAsia="Times New Roman" w:hAnsi="Times New Roman"/>
          <w:sz w:val="20"/>
          <w:szCs w:val="20"/>
          <w:color w:val="auto"/>
        </w:rPr>
        <w:t>Pharmaceutical manufacturers are subject to additional healthcare fraud and abuse laws, regulation and enforcement by the federal government and by authorities in the states and foreign jurisdictions in which they conduct their business. Such laws include, without limitation, U.S. federal anti-kickback, false claims, civil monetary penalty, consumer fraud, pricing reporting, data privacy and security and physician payment transparency laws and regulations as well as similar foreign laws in the jurisdictions outside the U.S. 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tracking gifts and other remuneration and transfer of value provided to physicians, other healthcare providers and entities;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the Health Insurance Portability and Accountability Act of 1996, thus complicating compliance efforts.</w:t>
      </w:r>
    </w:p>
    <w:p>
      <w:pPr>
        <w:spacing w:after="0" w:line="207" w:lineRule="exact"/>
        <w:rPr>
          <w:sz w:val="20"/>
          <w:szCs w:val="20"/>
          <w:color w:val="auto"/>
        </w:rPr>
      </w:pPr>
    </w:p>
    <w:p>
      <w:pPr>
        <w:ind w:right="60" w:firstLine="619"/>
        <w:spacing w:after="0" w:line="243" w:lineRule="auto"/>
        <w:rPr>
          <w:sz w:val="20"/>
          <w:szCs w:val="20"/>
          <w:color w:val="auto"/>
        </w:rPr>
      </w:pPr>
      <w:r>
        <w:rPr>
          <w:rFonts w:ascii="Times New Roman" w:cs="Times New Roman" w:eastAsia="Times New Roman" w:hAnsi="Times New Roman"/>
          <w:sz w:val="20"/>
          <w:szCs w:val="20"/>
          <w:color w:val="auto"/>
        </w:rPr>
        <w:t>The risk of being found in violation of these or other laws and regulations is increased by the fact that many have not been fully interpreted by the regulatory authorities or the courts and their provisions are open to various interpretations. 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Violation of any of such laws or any other governmental regulations that apply may result in penalties, including, without limitation, significant administrative, civil and criminal penalties, damages, fines, additional reporting 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Coverage and Reimbursement</w:t>
      </w:r>
    </w:p>
    <w:p>
      <w:pPr>
        <w:spacing w:after="0" w:line="119" w:lineRule="exact"/>
        <w:rPr>
          <w:sz w:val="20"/>
          <w:szCs w:val="20"/>
          <w:color w:val="auto"/>
        </w:rPr>
      </w:pPr>
    </w:p>
    <w:p>
      <w:pPr>
        <w:ind w:firstLine="619"/>
        <w:spacing w:after="0" w:line="242" w:lineRule="auto"/>
        <w:rPr>
          <w:sz w:val="20"/>
          <w:szCs w:val="20"/>
          <w:color w:val="auto"/>
        </w:rPr>
      </w:pPr>
      <w:r>
        <w:rPr>
          <w:rFonts w:ascii="Times New Roman" w:cs="Times New Roman" w:eastAsia="Times New Roman" w:hAnsi="Times New Roman"/>
          <w:sz w:val="20"/>
          <w:szCs w:val="20"/>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cost-effectiveness and clinical support for the use of a product to each payor separately and can be a time-consuming process,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In addition, companion diagnostic tests that are used with applicable pharmaceutical products require coverage and reimbursement separate and apart from the coverage and reimbursement for their companion pharmaceutical products. Similar challenges to obtaining coverage and reimbursement, applicable to pharmaceutical products, will apply to companion diagnostics.</w:t>
      </w:r>
    </w:p>
    <w:p>
      <w:pPr>
        <w:spacing w:after="0" w:line="211" w:lineRule="exact"/>
        <w:rPr>
          <w:sz w:val="20"/>
          <w:szCs w:val="20"/>
          <w:color w:val="auto"/>
        </w:rPr>
      </w:pPr>
    </w:p>
    <w:p>
      <w:pPr>
        <w:ind w:right="240" w:firstLine="619"/>
        <w:spacing w:after="0" w:line="258" w:lineRule="auto"/>
        <w:rPr>
          <w:sz w:val="20"/>
          <w:szCs w:val="20"/>
          <w:color w:val="auto"/>
        </w:rPr>
      </w:pPr>
      <w:r>
        <w:rPr>
          <w:rFonts w:ascii="Times New Roman" w:cs="Times New Roman" w:eastAsia="Times New Roman" w:hAnsi="Times New Roman"/>
          <w:sz w:val="20"/>
          <w:szCs w:val="20"/>
          <w:color w:val="auto"/>
        </w:rPr>
        <w:t>Moreover, third-party payors are increasingly reducing coverage and reimbursement for pharmaceutical products and related services. The U.S. government and state legislatures have continued implementing cost-containment programs, including price controls, restrictions on coverage and reimbursement and requirements for</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360"/>
          </w:cols>
          <w:pgMar w:left="1440" w:top="1420" w:right="1440" w:bottom="175" w:gutter="0" w:footer="0" w:header="0"/>
        </w:sectPr>
      </w:pPr>
    </w:p>
    <w:bookmarkStart w:id="25" w:name="page26"/>
    <w:bookmarkEnd w:id="25"/>
    <w:p>
      <w:pPr>
        <w:ind w:right="120"/>
        <w:spacing w:after="0" w:line="244" w:lineRule="auto"/>
        <w:rPr>
          <w:sz w:val="20"/>
          <w:szCs w:val="20"/>
          <w:color w:val="auto"/>
        </w:rPr>
      </w:pPr>
      <w:r>
        <w:rPr>
          <w:rFonts w:ascii="Times New Roman" w:cs="Times New Roman" w:eastAsia="Times New Roman" w:hAnsi="Times New Roman"/>
          <w:sz w:val="20"/>
          <w:szCs w:val="20"/>
          <w:color w:val="auto"/>
        </w:rPr>
        <w:t>substitution of generic products. Third-party payors are increasingly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Furthermore, there is no assurance that a product will be considered medically reasonable and necessary for a specific indication,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 Decreases in third-party reimbursement for any product or a decision by a third-party payor not to cover a product could reduce physician usage and patient demand for the product.</w:t>
      </w:r>
    </w:p>
    <w:p>
      <w:pPr>
        <w:spacing w:after="0" w:line="202" w:lineRule="exact"/>
        <w:rPr>
          <w:sz w:val="20"/>
          <w:szCs w:val="20"/>
          <w:color w:val="auto"/>
        </w:rPr>
      </w:pPr>
    </w:p>
    <w:p>
      <w:pPr>
        <w:ind w:right="80" w:firstLine="619"/>
        <w:spacing w:after="0" w:line="245" w:lineRule="auto"/>
        <w:rPr>
          <w:sz w:val="20"/>
          <w:szCs w:val="20"/>
          <w:color w:val="auto"/>
        </w:rPr>
      </w:pPr>
      <w:r>
        <w:rPr>
          <w:rFonts w:ascii="Times New Roman" w:cs="Times New Roman" w:eastAsia="Times New Roman" w:hAnsi="Times New Roman"/>
          <w:sz w:val="20"/>
          <w:szCs w:val="20"/>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Healthcare Reform</w:t>
      </w:r>
    </w:p>
    <w:p>
      <w:pPr>
        <w:spacing w:after="0" w:line="120" w:lineRule="exact"/>
        <w:rPr>
          <w:sz w:val="20"/>
          <w:szCs w:val="20"/>
          <w:color w:val="auto"/>
        </w:rPr>
      </w:pPr>
    </w:p>
    <w:p>
      <w:pPr>
        <w:ind w:firstLine="619"/>
        <w:spacing w:after="0" w:line="242" w:lineRule="auto"/>
        <w:rPr>
          <w:sz w:val="20"/>
          <w:szCs w:val="20"/>
          <w:color w:val="auto"/>
        </w:rPr>
      </w:pPr>
      <w:r>
        <w:rPr>
          <w:rFonts w:ascii="Times New Roman" w:cs="Times New Roman" w:eastAsia="Times New Roman" w:hAnsi="Times New Roman"/>
          <w:sz w:val="20"/>
          <w:szCs w:val="20"/>
          <w:color w:val="auto"/>
        </w:rPr>
        <w:t>In the United States and certain foreign jurisdictions, there have been, and we expect there will continue to be, a number of legislative and regulatory changes to the healthcare system. In March 2010, the Affordable Care Act, or ACA, was signed into law, which substantially changed the way healthcare is financed by both governmental and private insurers in the United States. By way of example, the ACA increased the minimum level of Medicaid rebates payable by manufacturers of brand name drugs from 15.1% to 23.1%;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creates a new Patient-Centered Outcomes Research Institute to oversee, identify priorities in, and conduct comparative clinical effectiveness research, along with funding for such research; and established a Center for Medicare Innovation at the Centers for Medicare &amp; Medicaid Services to test innovative payment and service delivery models to lower Medicare and Medicaid spending, potentially including prescription drug spending.</w:t>
      </w:r>
    </w:p>
    <w:p>
      <w:pPr>
        <w:spacing w:after="0" w:line="214"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9"/>
          <w:szCs w:val="19"/>
          <w:color w:val="auto"/>
        </w:rPr>
        <w:t>Since its enactment, there have been judicial and Congressional challenges to certain aspects of the ACA. For example, on June 17, 2021 the U.S. Supreme Court dismissed a challenge on procedural grounds that argued the ACA is unconstitutional in its entirety because the “individual mandate” was repealed by Congress. Thus, the ACA will remain in effect in its current form.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such challenges and the healthcare reform measures of the Trump administration will impact the ACA and our business.</w:t>
      </w:r>
    </w:p>
    <w:p>
      <w:pPr>
        <w:spacing w:after="0" w:line="187" w:lineRule="exact"/>
        <w:rPr>
          <w:sz w:val="20"/>
          <w:szCs w:val="20"/>
          <w:color w:val="auto"/>
        </w:rPr>
      </w:pPr>
    </w:p>
    <w:p>
      <w:pPr>
        <w:jc w:val="both"/>
        <w:ind w:right="540" w:firstLine="619"/>
        <w:spacing w:after="0" w:line="259" w:lineRule="auto"/>
        <w:rPr>
          <w:sz w:val="20"/>
          <w:szCs w:val="20"/>
          <w:color w:val="auto"/>
        </w:rPr>
      </w:pPr>
      <w:r>
        <w:rPr>
          <w:rFonts w:ascii="Times New Roman" w:cs="Times New Roman" w:eastAsia="Times New Roman" w:hAnsi="Times New Roman"/>
          <w:sz w:val="20"/>
          <w:szCs w:val="20"/>
          <w:color w:val="auto"/>
        </w:rPr>
        <w:t>Other legislative changes have been proposed and adopted since the ACA was enacted. These changes include aggregate reductions to Medicare payments to providers of 2% per fiscal year, effective April 1, 2013, which will remain in effect through 2032, unless additional Congressional action is taken.</w:t>
      </w:r>
    </w:p>
    <w:p>
      <w:pPr>
        <w:spacing w:after="0" w:line="186" w:lineRule="exact"/>
        <w:rPr>
          <w:sz w:val="20"/>
          <w:szCs w:val="20"/>
          <w:color w:val="auto"/>
        </w:rPr>
      </w:pPr>
    </w:p>
    <w:p>
      <w:pPr>
        <w:ind w:right="480" w:firstLine="619"/>
        <w:spacing w:after="0" w:line="259" w:lineRule="auto"/>
        <w:rPr>
          <w:sz w:val="20"/>
          <w:szCs w:val="20"/>
          <w:color w:val="auto"/>
        </w:rPr>
      </w:pPr>
      <w:r>
        <w:rPr>
          <w:rFonts w:ascii="Times New Roman" w:cs="Times New Roman" w:eastAsia="Times New Roman" w:hAnsi="Times New Roman"/>
          <w:sz w:val="20"/>
          <w:szCs w:val="20"/>
          <w:color w:val="auto"/>
        </w:rPr>
        <w:t>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360"/>
          </w:cols>
          <w:pgMar w:left="1440" w:top="1420" w:right="1440" w:bottom="175" w:gutter="0" w:footer="0" w:header="0"/>
        </w:sectPr>
      </w:pPr>
    </w:p>
    <w:bookmarkStart w:id="26" w:name="page27"/>
    <w:bookmarkEnd w:id="26"/>
    <w:p>
      <w:pPr>
        <w:spacing w:after="0" w:line="241" w:lineRule="auto"/>
        <w:rPr>
          <w:sz w:val="20"/>
          <w:szCs w:val="20"/>
          <w:color w:val="auto"/>
        </w:rPr>
      </w:pPr>
      <w:r>
        <w:rPr>
          <w:rFonts w:ascii="Times New Roman" w:cs="Times New Roman" w:eastAsia="Times New Roman" w:hAnsi="Times New Roman"/>
          <w:sz w:val="20"/>
          <w:szCs w:val="20"/>
          <w:color w:val="auto"/>
        </w:rPr>
        <w:t>review the relationship between pricing and manufacturer patient programs and reform government program reimbursement methodologies for pharmaceutical products. Specifically, there have been several recent U.S. Presidential executive orders,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the American Rescue Plan Act of 2021 eliminated the statutory cap on Medicaid Drug Rebate Program rebates that manufacturers pay to state Medicaid programs. Elimination of this cap may require pharmaceutical manufacturers to pay more in rebates than it receives on the sale of approved products, which could have a material impact on our business.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 -expenditure single-source drugs that have been approved for at least 7 years (11 years for single-source biologics) can qualify for negotiation, with the negotiated price taking effect two years after the selection year. For 2026, the first year in which negotiated prices become effective, CMS selected 10 high-cost Medicare Part D drugs in 2023, negotiations began in 2024,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Various industry stakeholders, including certain pharmaceutical companies and the Pharmaceutical Research and Manufacturers of America, have initiated lawsuits against the federal government asserting that the price negotiation provisions of the Inflation Reduction Act are unconstitutional. The impact of these judicial challenges and future government reform measures on us and the pharmaceutical industry as a whole is unclear.</w:t>
      </w:r>
    </w:p>
    <w:p>
      <w:pPr>
        <w:spacing w:after="0" w:line="217"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20"/>
          <w:szCs w:val="20"/>
          <w:color w:val="auto"/>
        </w:rPr>
        <w:t>At the state level, individual states are increasingly aggressive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FDA Approval and Regulation of Companion Diagnostics</w:t>
      </w:r>
    </w:p>
    <w:p>
      <w:pPr>
        <w:spacing w:after="0" w:line="120" w:lineRule="exact"/>
        <w:rPr>
          <w:sz w:val="20"/>
          <w:szCs w:val="20"/>
          <w:color w:val="auto"/>
        </w:rPr>
      </w:pPr>
    </w:p>
    <w:p>
      <w:pPr>
        <w:ind w:right="60" w:firstLine="620"/>
        <w:spacing w:after="0" w:line="242" w:lineRule="auto"/>
        <w:rPr>
          <w:sz w:val="20"/>
          <w:szCs w:val="20"/>
          <w:color w:val="auto"/>
        </w:rPr>
      </w:pPr>
      <w:r>
        <w:rPr>
          <w:rFonts w:ascii="Times New Roman" w:cs="Times New Roman" w:eastAsia="Times New Roman" w:hAnsi="Times New Roman"/>
          <w:sz w:val="20"/>
          <w:szCs w:val="20"/>
          <w:color w:val="auto"/>
        </w:rPr>
        <w:t xml:space="preserve">We expect that our product candidates may require use of a diagnostic to identify appropriate patient populations for our products. These diagnostics, often referred to as companion diagnostics, are medical devices, often in vitro devices, which provide information that is essential for the safe and effective use of a corresponding drug.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(or decision to grant a De Novo classification request if there is no predicate device), and premarket approval, or PMA approval. In January 2024, FDA announced its plans to reclassify certain high-risk of </w:t>
      </w:r>
      <w:r>
        <w:rPr>
          <w:rFonts w:ascii="Times New Roman" w:cs="Times New Roman" w:eastAsia="Times New Roman" w:hAnsi="Times New Roman"/>
          <w:sz w:val="20"/>
          <w:szCs w:val="20"/>
          <w:i w:val="1"/>
          <w:iCs w:val="1"/>
          <w:color w:val="auto"/>
        </w:rPr>
        <w:t xml:space="preserve">in vitro </w:t>
      </w:r>
      <w:r>
        <w:rPr>
          <w:rFonts w:ascii="Times New Roman" w:cs="Times New Roman" w:eastAsia="Times New Roman" w:hAnsi="Times New Roman"/>
          <w:sz w:val="20"/>
          <w:szCs w:val="20"/>
          <w:color w:val="auto"/>
        </w:rPr>
        <w:t>diagnostics, including companion diagnostics, as Class II devices. As such, to the extent we or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collaborators develop a companion diagnostic, it may be regulated as a Class II or Class III medical device, depending on its intended use and technical characteristics, among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360"/>
          </w:cols>
          <w:pgMar w:left="1440" w:top="1420" w:right="1440" w:bottom="175"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i w:val="1"/>
          <w:iCs w:val="1"/>
          <w:color w:val="auto"/>
        </w:rPr>
        <w:t>510(k) clearance process</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To obtain 510(k) clearance, a pre-market notification is submitted to the FDA demonstrating that the</w:t>
      </w:r>
    </w:p>
    <w:p>
      <w:pPr>
        <w:spacing w:after="0" w:line="2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proposed device is substantially equivalent to a previously cleared 510(k) device or a device that was in commercial distribution before May 28, 1976 for which the FDA has not yet required the submission of a PMA application. The FDA’s 510(k) clearance process may take three to 12 months from the date the application is submitted and filed with the FDA, but may take longer if FDA requests additional information, among other reasons. In some cases, the FDA may require clinical data to support substantial equivalence. In reviewing a pre-market notification submission, the FDA may request additional information, which may significantly prolong the review process. Notwithstanding compliance with all these requirements, clearance is never assured.</w:t>
      </w:r>
    </w:p>
    <w:p>
      <w:pPr>
        <w:spacing w:after="0" w:line="206" w:lineRule="exact"/>
        <w:rPr>
          <w:sz w:val="20"/>
          <w:szCs w:val="20"/>
          <w:color w:val="auto"/>
        </w:rPr>
      </w:pPr>
    </w:p>
    <w:p>
      <w:pPr>
        <w:ind w:right="140" w:firstLine="619"/>
        <w:spacing w:after="0" w:line="269" w:lineRule="auto"/>
        <w:rPr>
          <w:sz w:val="20"/>
          <w:szCs w:val="20"/>
          <w:color w:val="auto"/>
        </w:rPr>
      </w:pPr>
      <w:r>
        <w:rPr>
          <w:rFonts w:ascii="Times New Roman" w:cs="Times New Roman" w:eastAsia="Times New Roman" w:hAnsi="Times New Roman"/>
          <w:sz w:val="19"/>
          <w:szCs w:val="19"/>
          <w:color w:val="auto"/>
        </w:rPr>
        <w:t>After a device receives 510(k) clearance, any subsequent modification of the device that could significantly affect its safety or effectiveness, or that would constitute a major change in its intended use, will require a new 510(k) clearance or require a PMA. In addition, the FDA may make substantial changes to industry requirements, including which devices are eligible for 510(k) clearance, which may significantly affect the process.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 novo classification process</w:t>
      </w:r>
    </w:p>
    <w:p>
      <w:pPr>
        <w:spacing w:after="0" w:line="120"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0"/>
          <w:szCs w:val="20"/>
          <w:color w:val="auto"/>
        </w:rPr>
        <w:t>If a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different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w:t>
      </w:r>
    </w:p>
    <w:p>
      <w:pPr>
        <w:spacing w:after="0" w:line="203" w:lineRule="exact"/>
        <w:rPr>
          <w:sz w:val="20"/>
          <w:szCs w:val="20"/>
          <w:color w:val="auto"/>
        </w:rPr>
      </w:pPr>
    </w:p>
    <w:p>
      <w:pPr>
        <w:ind w:right="200" w:firstLine="619"/>
        <w:spacing w:after="0" w:line="278" w:lineRule="auto"/>
        <w:rPr>
          <w:sz w:val="20"/>
          <w:szCs w:val="20"/>
          <w:color w:val="auto"/>
        </w:rPr>
      </w:pPr>
      <w:r>
        <w:rPr>
          <w:rFonts w:ascii="Times New Roman" w:cs="Times New Roman" w:eastAsia="Times New Roman" w:hAnsi="Times New Roman"/>
          <w:sz w:val="20"/>
          <w:szCs w:val="20"/>
          <w:color w:val="auto"/>
        </w:rPr>
        <w:t>Obtaining FDA marketing authorization, de novo down-classification, or approval for medical devices is expensive and uncertain, and may take several years, and generally requires significant scientific and clinical data.</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PMA process</w:t>
      </w:r>
    </w:p>
    <w:p>
      <w:pPr>
        <w:spacing w:after="0" w:line="119" w:lineRule="exact"/>
        <w:rPr>
          <w:sz w:val="20"/>
          <w:szCs w:val="20"/>
          <w:color w:val="auto"/>
        </w:rPr>
      </w:pPr>
    </w:p>
    <w:p>
      <w:pPr>
        <w:ind w:right="80" w:firstLine="619"/>
        <w:spacing w:after="0" w:line="243" w:lineRule="auto"/>
        <w:rPr>
          <w:sz w:val="20"/>
          <w:szCs w:val="20"/>
          <w:color w:val="auto"/>
        </w:rPr>
      </w:pPr>
      <w:r>
        <w:rPr>
          <w:rFonts w:ascii="Times New Roman" w:cs="Times New Roman" w:eastAsia="Times New Roman" w:hAnsi="Times New Roman"/>
          <w:sz w:val="20"/>
          <w:szCs w:val="20"/>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a PMA application typically requires data regarding analytical and clinical validation studies. As part of the PMA review, the FDA will typically inspect the manufacturer’s facilities for compliance with the Quality System Regulation, or QSR, which imposes elaborate testing, control, documentation and other quality assurance requirements.</w:t>
      </w:r>
    </w:p>
    <w:p>
      <w:pPr>
        <w:spacing w:after="0" w:line="209" w:lineRule="exact"/>
        <w:rPr>
          <w:sz w:val="20"/>
          <w:szCs w:val="20"/>
          <w:color w:val="auto"/>
        </w:rPr>
      </w:pPr>
    </w:p>
    <w:p>
      <w:pPr>
        <w:ind w:right="60" w:firstLine="619"/>
        <w:spacing w:after="0" w:line="246" w:lineRule="auto"/>
        <w:rPr>
          <w:sz w:val="20"/>
          <w:szCs w:val="20"/>
          <w:color w:val="auto"/>
        </w:rPr>
      </w:pPr>
      <w:r>
        <w:rPr>
          <w:rFonts w:ascii="Times New Roman" w:cs="Times New Roman" w:eastAsia="Times New Roman" w:hAnsi="Times New Roman"/>
          <w:sz w:val="20"/>
          <w:szCs w:val="20"/>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360"/>
          </w:cols>
          <w:pgMar w:left="1440" w:top="1420" w:right="1440" w:bottom="175" w:gutter="0" w:footer="0" w:header="0"/>
        </w:sectPr>
      </w:pPr>
    </w:p>
    <w:bookmarkStart w:id="28" w:name="page29"/>
    <w:bookmarkEnd w:id="28"/>
    <w:p>
      <w:pPr>
        <w:ind w:right="40"/>
        <w:spacing w:after="0" w:line="244" w:lineRule="auto"/>
        <w:rPr>
          <w:sz w:val="20"/>
          <w:szCs w:val="20"/>
          <w:color w:val="auto"/>
        </w:rPr>
      </w:pPr>
      <w:r>
        <w:rPr>
          <w:rFonts w:ascii="Times New Roman" w:cs="Times New Roman" w:eastAsia="Times New Roman" w:hAnsi="Times New Roman"/>
          <w:sz w:val="20"/>
          <w:szCs w:val="20"/>
          <w:color w:val="auto"/>
        </w:rPr>
        <w:t>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spacing w:after="0" w:line="202" w:lineRule="exact"/>
        <w:rPr>
          <w:sz w:val="20"/>
          <w:szCs w:val="20"/>
          <w:color w:val="auto"/>
        </w:rPr>
      </w:pPr>
    </w:p>
    <w:p>
      <w:pPr>
        <w:ind w:right="20" w:firstLine="619"/>
        <w:spacing w:after="0" w:line="241" w:lineRule="auto"/>
        <w:rPr>
          <w:sz w:val="20"/>
          <w:szCs w:val="20"/>
          <w:color w:val="auto"/>
        </w:rPr>
      </w:pPr>
      <w:r>
        <w:rPr>
          <w:rFonts w:ascii="Times New Roman" w:cs="Times New Roman" w:eastAsia="Times New Roman" w:hAnsi="Times New Roman"/>
          <w:sz w:val="20"/>
          <w:szCs w:val="20"/>
          <w:color w:val="auto"/>
        </w:rPr>
        <w:t xml:space="preserve">In August 2014, the FDA issued final guidance clarifying the requirements that will apply to approval of therapeutic products and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companion diagnostics. According to the guidance, if FDA determines that a companion diagnostic device is essential to the safe and effective use of a novel therapeutic product or indication, FDA generally will not approve the therapeutic product or new therapeutic product indication if the companion diagnostic device is not approved or cleared for that indication at the same time. The review of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companion diagnostics in conjunction with the review of our therapeutic treatments for cancer will, therefore, likely involve coordination of review by the FDA’s Center for Drug Evaluation and Research and the FDA’s Center for Devices and Radiological Health Office of In Vitro Diagnostics. The guidance also explains that a companion diagnostic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or IDE, regulations. Thus, the sponsor of the diagnostic device will be required to comply with the IDE regulations. According to the guidance, if a diagnostic device and a drug are to be studied together to support their respective approvals, both products 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 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Employees and Human Capital Resources</w:t>
      </w:r>
    </w:p>
    <w:p>
      <w:pPr>
        <w:spacing w:after="0" w:line="2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 xml:space="preserve">As of </w:t>
      </w:r>
      <w:r>
        <w:rPr>
          <w:rFonts w:ascii="Times New Roman" w:cs="Times New Roman" w:eastAsia="Times New Roman" w:hAnsi="Times New Roman"/>
          <w:sz w:val="20"/>
          <w:szCs w:val="20"/>
          <w:color w:val="181818"/>
        </w:rPr>
        <w:t>March 3, 2025</w:t>
      </w:r>
      <w:r>
        <w:rPr>
          <w:rFonts w:ascii="Times New Roman" w:cs="Times New Roman" w:eastAsia="Times New Roman" w:hAnsi="Times New Roman"/>
          <w:sz w:val="20"/>
          <w:szCs w:val="20"/>
          <w:color w:val="auto"/>
        </w:rPr>
        <w:t>, we had 47 full-time employees, including 14 employees with Ph.D., M.D. or Pharm.D.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degrees. Of these full-time employees, 36 employees are engaged in research and development activities.</w:t>
      </w:r>
    </w:p>
    <w:p>
      <w:pPr>
        <w:spacing w:after="0" w:line="212"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20"/>
          <w:szCs w:val="20"/>
          <w:color w:val="auto"/>
        </w:rPr>
        <w:t>None of our employees are represented by labor unions or covered by collective bargaining agreements. We consider our relationship with our employees to be good. 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though the granting of stock-based and cash-based compensation awards, to increase stockholder value and our success by motivating such individuals to perform to the best of their abilities and achieve our objectives.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Environmental, Social and Governance (ESG) Initiatives</w:t>
      </w:r>
    </w:p>
    <w:p>
      <w:pPr>
        <w:spacing w:after="0" w:line="243"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20"/>
          <w:szCs w:val="20"/>
          <w:color w:val="auto"/>
        </w:rPr>
        <w:t>As a clinical-stage precision oncology company, we are rooted in our mission to fundamentally disrupt the course of cancer for patients with p53 gene mutations and other p53-related cancers. We believe integrating responsible environmental, social, and governance principles into our corporate strategy will drive sustainable value creation for our shareholders, employees, patients, and caregivers over the long term. We have formed an internal ESG Working Group with cross-functional senior leadership that meets periodically, with oversight by the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360"/>
          </w:cols>
          <w:pgMar w:left="1440" w:top="1420" w:right="1440" w:bottom="175" w:gutter="0" w:footer="0" w:header="0"/>
        </w:sectPr>
      </w:pPr>
    </w:p>
    <w:bookmarkStart w:id="29" w:name="page30"/>
    <w:bookmarkEnd w:id="29"/>
    <w:p>
      <w:pPr>
        <w:spacing w:after="0" w:line="252" w:lineRule="auto"/>
        <w:rPr>
          <w:sz w:val="20"/>
          <w:szCs w:val="20"/>
          <w:color w:val="auto"/>
        </w:rPr>
      </w:pPr>
      <w:r>
        <w:rPr>
          <w:rFonts w:ascii="Times New Roman" w:cs="Times New Roman" w:eastAsia="Times New Roman" w:hAnsi="Times New Roman"/>
          <w:sz w:val="20"/>
          <w:szCs w:val="20"/>
          <w:color w:val="auto"/>
        </w:rPr>
        <w:t>nominating and corporate governance committee of our board of directors. Our ESG Working Group oversees our sustainability efforts, and we have documented our initiatives in our 2024 ESG Highlights Report, which is available on our website at ir.pmvpharma.com. The content provided in our 2024 ESG Highlights Report or accessible through our website is not incorporated by reference as part of this Annual Report on Form 10-K.</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244" w:lineRule="exact"/>
        <w:rPr>
          <w:sz w:val="20"/>
          <w:szCs w:val="20"/>
          <w:color w:val="auto"/>
        </w:rPr>
      </w:pPr>
    </w:p>
    <w:p>
      <w:pPr>
        <w:ind w:right="80" w:firstLine="619"/>
        <w:spacing w:after="0" w:line="247" w:lineRule="auto"/>
        <w:rPr>
          <w:sz w:val="20"/>
          <w:szCs w:val="20"/>
          <w:color w:val="auto"/>
        </w:rPr>
      </w:pPr>
      <w:r>
        <w:rPr>
          <w:rFonts w:ascii="Times New Roman" w:cs="Times New Roman" w:eastAsia="Times New Roman" w:hAnsi="Times New Roman"/>
          <w:sz w:val="20"/>
          <w:szCs w:val="20"/>
          <w:color w:val="auto"/>
        </w:rPr>
        <w:t>We were incorporated in Delaware in March 2013 under the name “PJ Pharmaceuticals, Inc.” In July 2013, we changed our name to “PMV Pharmaceuticals, Inc.” Our principal executive offices are located at 400 Alexander Park Drive, Suite 301, Princeton, New Jersey 08540. Our telephone number is (609) 642-6670. Our website address is www.pmvpharma.com. Information contained on, or that can be accessible through, our website is not a part of this Annual Report on Form 10-K and the inclusion of our website address in this Annual Report on Form 10-K is an inactive textual reference only.</w:t>
      </w:r>
    </w:p>
    <w:p>
      <w:pPr>
        <w:spacing w:after="0" w:line="200" w:lineRule="exact"/>
        <w:rPr>
          <w:sz w:val="20"/>
          <w:szCs w:val="20"/>
          <w:color w:val="auto"/>
        </w:rPr>
      </w:pPr>
    </w:p>
    <w:p>
      <w:pPr>
        <w:ind w:right="120" w:firstLine="619"/>
        <w:spacing w:after="0" w:line="245" w:lineRule="auto"/>
        <w:rPr>
          <w:sz w:val="20"/>
          <w:szCs w:val="20"/>
          <w:color w:val="auto"/>
        </w:rPr>
      </w:pPr>
      <w:r>
        <w:rPr>
          <w:rFonts w:ascii="Times New Roman" w:cs="Times New Roman" w:eastAsia="Times New Roman" w:hAnsi="Times New Roman"/>
          <w:sz w:val="20"/>
          <w:szCs w:val="20"/>
          <w:color w:val="auto"/>
        </w:rPr>
        <w:t>We use the name “PMV Pharma,” the “PMV Pharma” logo and other marks as unregistered trademarks in the United States and other countries. This Annual Report on Form 10-K contains references to our trademarks and service marks and to those belonging to other entities. Solely for convenience, trademarks and trade names referred to in this Annual Report, including logos, artwork and other visual displays, may appear without the ® or TM symbols, but such references are not intended to indicate in any way that we or their owners will not assert, to the fullest extent under applicable law, our rights or the rights of the applicable owner to these trademarks and trade names. We do not intend our use or display of other entities’ trade names, trademarks or service marks to imply a relationship with, or endorsement or sponsorship of us by, any other entity.</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44" w:lineRule="exact"/>
        <w:rPr>
          <w:sz w:val="20"/>
          <w:szCs w:val="20"/>
          <w:color w:val="auto"/>
        </w:rPr>
      </w:pPr>
    </w:p>
    <w:p>
      <w:pPr>
        <w:ind w:right="20" w:firstLine="634"/>
        <w:spacing w:after="0" w:line="242" w:lineRule="auto"/>
        <w:rPr>
          <w:sz w:val="20"/>
          <w:szCs w:val="20"/>
          <w:color w:val="auto"/>
        </w:rPr>
      </w:pPr>
      <w:r>
        <w:rPr>
          <w:rFonts w:ascii="Times New Roman" w:cs="Times New Roman" w:eastAsia="Times New Roman" w:hAnsi="Times New Roman"/>
          <w:sz w:val="20"/>
          <w:szCs w:val="20"/>
          <w:color w:val="auto"/>
        </w:rPr>
        <w:t>Our Internet address is www.pmvpharma.com. We will file or furnish periodic reports and amendments thereto, including our Annual Reports on Form 10-K, Quarterly Reports on Form 10-Q, Current Reports on Form 8-K (and amendments to those reports), proxy and information statements and other information filed or furnished pursuant to Sections 13(a) and 15(d) of the Securities Exchange Act of 1934, as amended, or the Exchange Act, with the Securities and Exchange Commission, or the SEC. The SEC maintains a website that contains reports, proxy and information statement, and other information regarding issuers that file electronically, which may be accessed through the SEC at http://www.sec.gov. Our reports, amendments thereto, proxy statements and other information are also made available, free of charge, on our investor relations website at ir.pmvpharma.com as soon as reasonably practicable after we electronically file or furnish such information with the SEC. The information contained on the websites referenced in this Annual Report on Form 10-K is not incorporated by reference into this filing. Further, our references to website URLs are intended to be inactive textual references only.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360"/>
          </w:cols>
          <w:pgMar w:left="1440" w:top="1420" w:right="1440" w:bottom="175"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25" w:lineRule="exact"/>
        <w:rPr>
          <w:sz w:val="20"/>
          <w:szCs w:val="20"/>
          <w:color w:val="auto"/>
        </w:rPr>
      </w:pPr>
    </w:p>
    <w:p>
      <w:pPr>
        <w:ind w:right="160" w:firstLine="619"/>
        <w:spacing w:after="0" w:line="245" w:lineRule="auto"/>
        <w:rPr>
          <w:sz w:val="20"/>
          <w:szCs w:val="20"/>
          <w:color w:val="auto"/>
        </w:rPr>
      </w:pPr>
      <w:r>
        <w:rPr>
          <w:rFonts w:ascii="Times New Roman" w:cs="Times New Roman" w:eastAsia="Times New Roman" w:hAnsi="Times New Roman"/>
          <w:sz w:val="20"/>
          <w:szCs w:val="20"/>
          <w:i w:val="1"/>
          <w:iCs w:val="1"/>
          <w:color w:val="auto"/>
        </w:rPr>
        <w:t>Investing in our common stock involves a high degree of risk. You should carefully consider the risks described below, as well as the other information in this Annual Report on Form 10-K, including our consolidated financial statements and the related notes appearing elsewhere in this Annual Report on Form 10-K and in our other filings with the SEC, before deciding whether to invest in our common stock. The occurrence of any of the events or developments described below could materially adversely affect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 Factors Summary</w:t>
      </w:r>
    </w:p>
    <w:p>
      <w:pPr>
        <w:spacing w:after="0" w:line="24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Investing in our common stock involves a high degree of risk because our business is subject to numerous risks and uncertainties, as fully described below. The principal factors and uncertainties that make investing in our common stock risky include, among others:</w:t>
      </w:r>
    </w:p>
    <w:p>
      <w:pPr>
        <w:spacing w:after="0" w:line="83" w:lineRule="exact"/>
        <w:rPr>
          <w:sz w:val="20"/>
          <w:szCs w:val="20"/>
          <w:color w:val="auto"/>
        </w:rPr>
      </w:pPr>
    </w:p>
    <w:p>
      <w:pPr>
        <w:ind w:left="900" w:right="200" w:hanging="281"/>
        <w:spacing w:after="0" w:line="258" w:lineRule="auto"/>
        <w:tabs>
          <w:tab w:leader="none" w:pos="9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we have a limited operating history, have not completed any clinical trials, and have no products approved for commercial sale, which may make it difficult for you to evaluate our current business and likelihood of success and viability;</w:t>
      </w:r>
    </w:p>
    <w:p>
      <w:pPr>
        <w:spacing w:after="0" w:line="81" w:lineRule="exact"/>
        <w:rPr>
          <w:rFonts w:ascii="Arial" w:cs="Arial" w:eastAsia="Arial" w:hAnsi="Arial"/>
          <w:sz w:val="20"/>
          <w:szCs w:val="20"/>
          <w:color w:val="auto"/>
        </w:rPr>
      </w:pPr>
    </w:p>
    <w:p>
      <w:pPr>
        <w:ind w:left="900" w:right="180" w:hanging="281"/>
        <w:spacing w:after="0" w:line="305" w:lineRule="auto"/>
        <w:tabs>
          <w:tab w:leader="none" w:pos="900" w:val="left"/>
        </w:tabs>
        <w:numPr>
          <w:ilvl w:val="0"/>
          <w:numId w:val="12"/>
        </w:numPr>
        <w:rPr>
          <w:rFonts w:ascii="Arial" w:cs="Arial" w:eastAsia="Arial" w:hAnsi="Arial"/>
          <w:sz w:val="19"/>
          <w:szCs w:val="19"/>
          <w:color w:val="auto"/>
        </w:rPr>
      </w:pPr>
      <w:r>
        <w:rPr>
          <w:rFonts w:ascii="Times New Roman" w:cs="Times New Roman" w:eastAsia="Times New Roman" w:hAnsi="Times New Roman"/>
          <w:sz w:val="19"/>
          <w:szCs w:val="19"/>
          <w:color w:val="auto"/>
        </w:rPr>
        <w:t>we have incurred significant losses since our inception, and we expect to incur significant net losses for the foreseeable future and may not be able to achieve or sustain revenue or profitability in the future;</w:t>
      </w:r>
    </w:p>
    <w:p>
      <w:pPr>
        <w:spacing w:after="0" w:line="37" w:lineRule="exact"/>
        <w:rPr>
          <w:rFonts w:ascii="Arial" w:cs="Arial" w:eastAsia="Arial" w:hAnsi="Arial"/>
          <w:sz w:val="19"/>
          <w:szCs w:val="19"/>
          <w:color w:val="auto"/>
        </w:rPr>
      </w:pPr>
    </w:p>
    <w:p>
      <w:pPr>
        <w:ind w:left="900" w:hanging="281"/>
        <w:spacing w:after="0" w:line="252" w:lineRule="auto"/>
        <w:tabs>
          <w:tab w:leader="none" w:pos="9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we have not generated any revenue from our product candidates and may never generate revenue or be profitable. Our ability to generate revenue and achieve profitability depends significantly on our ability to achieve several objectives relating to the discovery, development and commercialization of our product candidates;</w:t>
      </w:r>
    </w:p>
    <w:p>
      <w:pPr>
        <w:spacing w:after="0" w:line="88" w:lineRule="exact"/>
        <w:rPr>
          <w:rFonts w:ascii="Arial" w:cs="Arial" w:eastAsia="Arial" w:hAnsi="Arial"/>
          <w:sz w:val="20"/>
          <w:szCs w:val="20"/>
          <w:color w:val="auto"/>
        </w:rPr>
      </w:pPr>
    </w:p>
    <w:p>
      <w:pPr>
        <w:ind w:left="900" w:right="240" w:hanging="281"/>
        <w:spacing w:after="0" w:line="252" w:lineRule="auto"/>
        <w:tabs>
          <w:tab w:leader="none" w:pos="9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we will require substantial additional capital to finance our operations in the future. If we are unable to raise such capital when needed, or on acceptable terms, we may be forced to delay, reduce and/or eliminate one or more of our research and product development programs or future commercialization efforts;</w:t>
      </w:r>
    </w:p>
    <w:p>
      <w:pPr>
        <w:spacing w:after="0" w:line="86" w:lineRule="exact"/>
        <w:rPr>
          <w:rFonts w:ascii="Arial" w:cs="Arial" w:eastAsia="Arial" w:hAnsi="Arial"/>
          <w:sz w:val="20"/>
          <w:szCs w:val="20"/>
          <w:color w:val="auto"/>
        </w:rPr>
      </w:pPr>
    </w:p>
    <w:p>
      <w:pPr>
        <w:ind w:left="900" w:right="40" w:hanging="281"/>
        <w:spacing w:after="0" w:line="249" w:lineRule="auto"/>
        <w:tabs>
          <w:tab w:leader="none" w:pos="9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our discovery and preclinical and clinical development is focused on the development of precision medicines for patients with genomically defined cancers, which is a rapidly evolving area of science, and the approach we are taking to discover and develop drugs targeting p53 hotspot mutations and other p53-related cancers is novel, may never lead to marketable products and may not ultimately represent a significant market;</w:t>
      </w:r>
    </w:p>
    <w:p>
      <w:pPr>
        <w:spacing w:after="0" w:line="91" w:lineRule="exact"/>
        <w:rPr>
          <w:rFonts w:ascii="Arial" w:cs="Arial" w:eastAsia="Arial" w:hAnsi="Arial"/>
          <w:sz w:val="20"/>
          <w:szCs w:val="20"/>
          <w:color w:val="auto"/>
        </w:rPr>
      </w:pPr>
    </w:p>
    <w:p>
      <w:pPr>
        <w:ind w:left="900" w:right="100" w:hanging="281"/>
        <w:spacing w:after="0" w:line="249" w:lineRule="auto"/>
        <w:tabs>
          <w:tab w:leader="none" w:pos="9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we are substantially dependent on our lead product candidate, rezatapopt. If we are unable to advance rezatapopt or any of our future product candidates through clinical development, obtain regulatory approval and ultimately commercialize rezatapopt or any of our future product candidates, or experience significant delays in doing so, our business, financial condition and results of operations will be materially adversely affected;</w:t>
      </w:r>
    </w:p>
    <w:p>
      <w:pPr>
        <w:spacing w:after="0" w:line="90" w:lineRule="exact"/>
        <w:rPr>
          <w:rFonts w:ascii="Arial" w:cs="Arial" w:eastAsia="Arial" w:hAnsi="Arial"/>
          <w:sz w:val="20"/>
          <w:szCs w:val="20"/>
          <w:color w:val="auto"/>
        </w:rPr>
      </w:pPr>
    </w:p>
    <w:p>
      <w:pPr>
        <w:jc w:val="both"/>
        <w:ind w:left="900" w:right="120" w:hanging="281"/>
        <w:spacing w:after="0" w:line="258" w:lineRule="auto"/>
        <w:tabs>
          <w:tab w:leader="none" w:pos="9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81" w:lineRule="exact"/>
        <w:rPr>
          <w:rFonts w:ascii="Arial" w:cs="Arial" w:eastAsia="Arial" w:hAnsi="Arial"/>
          <w:sz w:val="20"/>
          <w:szCs w:val="20"/>
          <w:color w:val="auto"/>
        </w:rPr>
      </w:pPr>
    </w:p>
    <w:p>
      <w:pPr>
        <w:ind w:left="900" w:right="40" w:hanging="281"/>
        <w:spacing w:after="0" w:line="258" w:lineRule="auto"/>
        <w:tabs>
          <w:tab w:leader="none" w:pos="9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the subset of cancer patients that we are targeting are expected to have certain p53 mutations and we may not be able to identify a sufficient number of patients whom we can recruit and retain for our clinical trials to obtain approval for our current or future product candidates;</w:t>
      </w:r>
    </w:p>
    <w:p>
      <w:pPr>
        <w:spacing w:after="0" w:line="81" w:lineRule="exact"/>
        <w:rPr>
          <w:rFonts w:ascii="Arial" w:cs="Arial" w:eastAsia="Arial" w:hAnsi="Arial"/>
          <w:sz w:val="20"/>
          <w:szCs w:val="20"/>
          <w:color w:val="auto"/>
        </w:rPr>
      </w:pPr>
    </w:p>
    <w:p>
      <w:pPr>
        <w:ind w:left="900" w:right="20" w:hanging="281"/>
        <w:spacing w:after="0" w:line="249" w:lineRule="auto"/>
        <w:tabs>
          <w:tab w:leader="none" w:pos="9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the regulatory approval processes of the U.S. Food and Drug Administration, or FDA, and other comparable foreign regulatory authorities are lengthy, time consuming and inherently unpredictable. If we are not able to obtain required regulatory approvals for our product candidates, we will not be able to commercialize, or will be delayed in commercializing, our product candidates, and our ability to generate revenue will be materially impaired;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360"/>
          </w:cols>
          <w:pgMar w:left="1440" w:top="1416" w:right="1440" w:bottom="175" w:gutter="0" w:footer="0" w:header="0"/>
        </w:sectPr>
      </w:pPr>
    </w:p>
    <w:bookmarkStart w:id="31" w:name="page32"/>
    <w:bookmarkEnd w:id="31"/>
    <w:p>
      <w:pPr>
        <w:ind w:left="900" w:hanging="281"/>
        <w:spacing w:after="0" w:line="252" w:lineRule="auto"/>
        <w:tabs>
          <w:tab w:leader="none" w:pos="90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86" w:lineRule="exact"/>
        <w:rPr>
          <w:rFonts w:ascii="Arial" w:cs="Arial" w:eastAsia="Arial" w:hAnsi="Arial"/>
          <w:sz w:val="20"/>
          <w:szCs w:val="20"/>
          <w:color w:val="auto"/>
        </w:rPr>
      </w:pPr>
    </w:p>
    <w:p>
      <w:pPr>
        <w:ind w:left="900" w:right="60" w:hanging="281"/>
        <w:spacing w:after="0" w:line="252" w:lineRule="auto"/>
        <w:tabs>
          <w:tab w:leader="none" w:pos="90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if we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 and</w:t>
      </w:r>
    </w:p>
    <w:p>
      <w:pPr>
        <w:spacing w:after="0" w:line="88" w:lineRule="exact"/>
        <w:rPr>
          <w:rFonts w:ascii="Arial" w:cs="Arial" w:eastAsia="Arial" w:hAnsi="Arial"/>
          <w:sz w:val="20"/>
          <w:szCs w:val="20"/>
          <w:color w:val="auto"/>
        </w:rPr>
      </w:pPr>
    </w:p>
    <w:p>
      <w:pPr>
        <w:ind w:left="900" w:right="80" w:hanging="281"/>
        <w:spacing w:after="0" w:line="258" w:lineRule="auto"/>
        <w:tabs>
          <w:tab w:leader="none" w:pos="90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our success depends in part on our ability to protect our intellectual property. It is difficult and costly to protect our proprietary rights and technology, and we may not be able to protect our intellectual property rights throughout the world.</w:t>
      </w:r>
    </w:p>
    <w:p>
      <w:pPr>
        <w:spacing w:after="0" w:line="303" w:lineRule="exact"/>
        <w:rPr>
          <w:sz w:val="20"/>
          <w:szCs w:val="20"/>
          <w:color w:val="auto"/>
        </w:rPr>
      </w:pPr>
    </w:p>
    <w:p>
      <w:pPr>
        <w:jc w:val="center"/>
        <w:ind w:right="20"/>
        <w:spacing w:after="0" w:line="285" w:lineRule="auto"/>
        <w:rPr>
          <w:sz w:val="20"/>
          <w:szCs w:val="20"/>
          <w:color w:val="auto"/>
        </w:rPr>
      </w:pPr>
      <w:r>
        <w:rPr>
          <w:rFonts w:ascii="Times New Roman" w:cs="Times New Roman" w:eastAsia="Times New Roman" w:hAnsi="Times New Roman"/>
          <w:sz w:val="20"/>
          <w:szCs w:val="20"/>
          <w:b w:val="1"/>
          <w:bCs w:val="1"/>
          <w:color w:val="auto"/>
        </w:rPr>
        <w:t>Risks Related to Our Limited Operating History, Business, Financial Condition, Results of Operations and Need for Additional Capital</w:t>
      </w:r>
    </w:p>
    <w:p>
      <w:pPr>
        <w:spacing w:after="0" w:line="157"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have a limited operating history, have not completed any clinical trials, and have no products approved for commercial sale, which may make it difficult for you to evaluate our current business and likelihood of success and viability.</w:t>
      </w:r>
    </w:p>
    <w:p>
      <w:pPr>
        <w:spacing w:after="0" w:line="68" w:lineRule="exact"/>
        <w:rPr>
          <w:sz w:val="20"/>
          <w:szCs w:val="20"/>
          <w:color w:val="auto"/>
        </w:rPr>
      </w:pPr>
    </w:p>
    <w:p>
      <w:pPr>
        <w:ind w:right="20" w:firstLine="619"/>
        <w:spacing w:after="0" w:line="242" w:lineRule="auto"/>
        <w:rPr>
          <w:sz w:val="20"/>
          <w:szCs w:val="20"/>
          <w:color w:val="auto"/>
        </w:rPr>
      </w:pPr>
      <w:r>
        <w:rPr>
          <w:rFonts w:ascii="Times New Roman" w:cs="Times New Roman" w:eastAsia="Times New Roman" w:hAnsi="Times New Roman"/>
          <w:sz w:val="20"/>
          <w:szCs w:val="20"/>
          <w:color w:val="auto"/>
        </w:rPr>
        <w:t>We are a clinical stage biotechnology company with a limited operating history. We commenced operations in March 2013, and our operations to date have been primarily limited to organizing and staffing our company, business planning, raising capital, conducting discovery and research activities, filing patent applications, identifying potential product candidates, undertaking preclinical studies and, more recently, clinical studies, and establishing arrangements with third parties for the manufacture of initial quantities of product candidates. Our lead product candidate, rezatapopt, received authorization to proceed under an IND with the FDA in September 2020 and then received Fast Track designation in October 2020. In the fourth quarter of 2020, we initiated patient dosing in our Phase 1/2 clinical trial of rezatapopt. We announced preliminary results from the Phase 1/2 clinical trial of rezatapopt in June 2022. In October 2023, we announced updated Phase 1 results from the Phase 1/2 clinical trial of rezatapopt, and we dosed our first patient in the pivotal Phase 2 monotherapy portion of the trial in the first quarter of 2024. In October 2024, we discontinued enrollment in the Phase 1b combination arm of the PYNNACLE trial evaluating rezatapopt in combination with Merck and Co.’s anti-PD-1 therapy KEYTRUDA® (pembrolizumab) in patients with advanced solid tumors harboring a TP53 Y220C mutation. We have not demonstrated an ability to successfully complete any clinical trials, obtain marketing approvals, manufacture a commercial-scale product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208" w:lineRule="exact"/>
        <w:rPr>
          <w:sz w:val="20"/>
          <w:szCs w:val="20"/>
          <w:color w:val="auto"/>
        </w:rPr>
      </w:pPr>
    </w:p>
    <w:p>
      <w:pPr>
        <w:ind w:right="160" w:firstLine="619"/>
        <w:spacing w:after="0" w:line="252" w:lineRule="auto"/>
        <w:rPr>
          <w:sz w:val="20"/>
          <w:szCs w:val="20"/>
          <w:color w:val="auto"/>
        </w:rPr>
      </w:pPr>
      <w:r>
        <w:rPr>
          <w:rFonts w:ascii="Times New Roman" w:cs="Times New Roman" w:eastAsia="Times New Roman" w:hAnsi="Times New Roman"/>
          <w:sz w:val="20"/>
          <w:szCs w:val="20"/>
          <w:color w:val="auto"/>
        </w:rPr>
        <w:t>In addition, as a company with a limited operating history,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315"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have incurred significant losses since inception, and we expect to incur significant losses for the foreseeable future and may not be able to achieve or sustain revenue or profitability in the future.</w:t>
      </w:r>
    </w:p>
    <w:p>
      <w:pPr>
        <w:spacing w:after="0" w:line="49" w:lineRule="exact"/>
        <w:rPr>
          <w:sz w:val="20"/>
          <w:szCs w:val="20"/>
          <w:color w:val="auto"/>
        </w:rPr>
      </w:pPr>
    </w:p>
    <w:p>
      <w:pPr>
        <w:ind w:right="40" w:firstLine="619"/>
        <w:spacing w:after="0" w:line="245" w:lineRule="auto"/>
        <w:rPr>
          <w:sz w:val="20"/>
          <w:szCs w:val="20"/>
          <w:color w:val="auto"/>
        </w:rPr>
      </w:pPr>
      <w:r>
        <w:rPr>
          <w:rFonts w:ascii="Times New Roman" w:cs="Times New Roman" w:eastAsia="Times New Roman" w:hAnsi="Times New Roman"/>
          <w:sz w:val="20"/>
          <w:szCs w:val="20"/>
          <w:color w:val="auto"/>
        </w:rPr>
        <w:t>Investment in biopharmaceutical product development is a highly speculative undertaking and entails substantial upfront capital expenditures and significant risk that any potential product candidate will fail to demonstrate adequate efficacy or an acceptable safety profile, gain regulatory approval and become commercially viable. We are still in the process of developing our product candidates. We have no products approved for commercial sale and have not generated any revenue from product sales to date, and we continue to incur significant research and development and other expenses related to our ongoing operations. We have financed our operations primarily through private placements of our preferred stock, our initial public offering and our at-the-market equity offering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360"/>
          </w:cols>
          <w:pgMar w:left="1440" w:top="1435" w:right="1440" w:bottom="175" w:gutter="0" w:footer="0" w:header="0"/>
        </w:sectPr>
      </w:pPr>
    </w:p>
    <w:bookmarkStart w:id="32" w:name="page33"/>
    <w:bookmarkEnd w:id="32"/>
    <w:p>
      <w:pPr>
        <w:ind w:right="20" w:firstLine="619"/>
        <w:spacing w:after="0" w:line="246" w:lineRule="auto"/>
        <w:rPr>
          <w:sz w:val="20"/>
          <w:szCs w:val="20"/>
          <w:color w:val="auto"/>
        </w:rPr>
      </w:pPr>
      <w:r>
        <w:rPr>
          <w:rFonts w:ascii="Times New Roman" w:cs="Times New Roman" w:eastAsia="Times New Roman" w:hAnsi="Times New Roman"/>
          <w:sz w:val="20"/>
          <w:szCs w:val="20"/>
          <w:color w:val="auto"/>
        </w:rPr>
        <w:t>We have incurred significant net losses in each period since we commenced operations in March 2013. Our net losses were $58.7 million and $69.0 million for the years ended December 31, 2024 and 2023, respectively. As of December 31, 2024, we had an accumulated deficit of $368.7 million. Substantially all of our losses have resulted from expenses incurred in connection with our research and development programs and from general and administrative costs associated with our operations. Additionally, the net losses we incur may fluctuate significantly from quarter to quarter such that a period-to-period comparison of our results of operations may not be a good indicator of our future performance.</w:t>
      </w:r>
    </w:p>
    <w:p>
      <w:pPr>
        <w:spacing w:after="0" w:line="199" w:lineRule="exact"/>
        <w:rPr>
          <w:sz w:val="20"/>
          <w:szCs w:val="20"/>
          <w:color w:val="auto"/>
        </w:rPr>
      </w:pPr>
    </w:p>
    <w:p>
      <w:pPr>
        <w:ind w:right="340" w:firstLine="619"/>
        <w:spacing w:after="0" w:line="278" w:lineRule="auto"/>
        <w:rPr>
          <w:sz w:val="20"/>
          <w:szCs w:val="20"/>
          <w:color w:val="auto"/>
        </w:rPr>
      </w:pPr>
      <w:r>
        <w:rPr>
          <w:rFonts w:ascii="Times New Roman" w:cs="Times New Roman" w:eastAsia="Times New Roman" w:hAnsi="Times New Roman"/>
          <w:sz w:val="20"/>
          <w:szCs w:val="20"/>
          <w:color w:val="auto"/>
        </w:rPr>
        <w:t>We expect to continue to incur significant losses for the foreseeable future, and we expect these losses to increase substantially if and as we:</w:t>
      </w:r>
    </w:p>
    <w:p>
      <w:pPr>
        <w:spacing w:after="0" w:line="61" w:lineRule="exact"/>
        <w:rPr>
          <w:sz w:val="20"/>
          <w:szCs w:val="20"/>
          <w:color w:val="auto"/>
        </w:rPr>
      </w:pPr>
    </w:p>
    <w:p>
      <w:pPr>
        <w:ind w:left="900" w:hanging="281"/>
        <w:spacing w:after="0"/>
        <w:tabs>
          <w:tab w:leader="none" w:pos="90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continue our research and development efforts and submit IND applications for our product candidates;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conduct preclinical studies and clinical trials;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fail to demonstrate adequate efficacy or an acceptable safety profile in our clinical trials;</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seek marketing approvals for any product candidates that successfully complete clinical trials;</w:t>
      </w:r>
    </w:p>
    <w:p>
      <w:pPr>
        <w:spacing w:after="0" w:line="133" w:lineRule="exact"/>
        <w:rPr>
          <w:rFonts w:ascii="Arial" w:cs="Arial" w:eastAsia="Arial" w:hAnsi="Arial"/>
          <w:sz w:val="20"/>
          <w:szCs w:val="20"/>
          <w:color w:val="auto"/>
        </w:rPr>
      </w:pPr>
    </w:p>
    <w:p>
      <w:pPr>
        <w:ind w:left="900" w:right="200" w:hanging="281"/>
        <w:spacing w:after="0" w:line="277" w:lineRule="auto"/>
        <w:tabs>
          <w:tab w:leader="none" w:pos="90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experience any delays or encounter any issues with any of the above, including but not limited to failed studies, complex results, safety issues or other regulatory challenges;</w:t>
      </w:r>
    </w:p>
    <w:p>
      <w:pPr>
        <w:spacing w:after="0" w:line="62" w:lineRule="exact"/>
        <w:rPr>
          <w:rFonts w:ascii="Arial" w:cs="Arial" w:eastAsia="Arial" w:hAnsi="Arial"/>
          <w:sz w:val="20"/>
          <w:szCs w:val="20"/>
          <w:color w:val="auto"/>
        </w:rPr>
      </w:pPr>
    </w:p>
    <w:p>
      <w:pPr>
        <w:ind w:left="900" w:right="280" w:hanging="281"/>
        <w:spacing w:after="0" w:line="258" w:lineRule="auto"/>
        <w:tabs>
          <w:tab w:leader="none" w:pos="90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establish a sales, marketing and distribution infrastructure and scale-up manufacturing capabilities, whether alone or with third parties, to commercialize any product candidates for which we may obtain regulatory approval, if any;</w:t>
      </w:r>
    </w:p>
    <w:p>
      <w:pPr>
        <w:spacing w:after="0" w:line="81" w:lineRule="exact"/>
        <w:rPr>
          <w:rFonts w:ascii="Arial" w:cs="Arial" w:eastAsia="Arial" w:hAnsi="Arial"/>
          <w:sz w:val="20"/>
          <w:szCs w:val="20"/>
          <w:color w:val="auto"/>
        </w:rPr>
      </w:pPr>
    </w:p>
    <w:p>
      <w:pPr>
        <w:ind w:left="900" w:hanging="281"/>
        <w:spacing w:after="0"/>
        <w:tabs>
          <w:tab w:leader="none" w:pos="90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obtain, expand, maintain, enforce and protect our intellectual property portfolio;</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hire additional clinical, regulatory and scientific personnel; and</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operate as a public company.</w:t>
      </w:r>
    </w:p>
    <w:p>
      <w:pPr>
        <w:spacing w:after="0" w:line="239"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0"/>
          <w:szCs w:val="20"/>
          <w:color w:val="auto"/>
        </w:rPr>
        <w:t>Because of the numerous risks and uncertainties associated with biopharmaceutical product development, we are unable to accurately predict the timing or amount of increased expenses we will incur or when, if ever, we will be able to achieve profitability. Even if we succeed in commercializing one or more of our product candidates, we will continue to incur substantial research and development and other expenditures to develop, seek regulatory approval for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326" w:lineRule="exact"/>
        <w:rPr>
          <w:sz w:val="20"/>
          <w:szCs w:val="20"/>
          <w:color w:val="auto"/>
        </w:rPr>
      </w:pPr>
    </w:p>
    <w:p>
      <w:pPr>
        <w:ind w:right="20" w:firstLine="619"/>
        <w:spacing w:after="0" w:line="278" w:lineRule="auto"/>
        <w:rPr>
          <w:sz w:val="20"/>
          <w:szCs w:val="20"/>
          <w:color w:val="auto"/>
        </w:rPr>
      </w:pPr>
      <w:r>
        <w:rPr>
          <w:rFonts w:ascii="Times New Roman" w:cs="Times New Roman" w:eastAsia="Times New Roman" w:hAnsi="Times New Roman"/>
          <w:sz w:val="19"/>
          <w:szCs w:val="19"/>
          <w:b w:val="1"/>
          <w:bCs w:val="1"/>
          <w:i w:val="1"/>
          <w:iCs w:val="1"/>
          <w:color w:val="auto"/>
        </w:rPr>
        <w:t>We have not generated any revenue from our product candidates and may never generate revenue or be profitable. Our ability to generate revenue and achieve profitability depends significantly on our ability to achieve several objectives relating to the discovery, development and commercialization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360"/>
          </w:cols>
          <w:pgMar w:left="1440" w:top="1420" w:right="1440" w:bottom="175" w:gutter="0" w:footer="0" w:header="0"/>
        </w:sectPr>
      </w:pPr>
    </w:p>
    <w:bookmarkStart w:id="33" w:name="page34"/>
    <w:bookmarkEnd w:id="33"/>
    <w:p>
      <w:pPr>
        <w:ind w:firstLine="619"/>
        <w:spacing w:after="0" w:line="242" w:lineRule="auto"/>
        <w:rPr>
          <w:sz w:val="20"/>
          <w:szCs w:val="20"/>
          <w:color w:val="auto"/>
        </w:rPr>
      </w:pPr>
      <w:r>
        <w:rPr>
          <w:rFonts w:ascii="Times New Roman" w:cs="Times New Roman" w:eastAsia="Times New Roman" w:hAnsi="Times New Roman"/>
          <w:sz w:val="20"/>
          <w:szCs w:val="20"/>
          <w:color w:val="auto"/>
        </w:rPr>
        <w:t>Our ability to become profitable depends upon our ability to generate revenue. We have not received marketing approval for any product candidate, and we have not generated any revenue from any product sales. We do not expect to generate revenue unless or until we successfully complete preclinical and clinical development and obtain regulatory approval of, and then successfully commercialize, at least one product candidate. We announced preliminary results for our Phase 1/2 clinical trial of our lead product candidate, rezatapopt, in June 2022, and announced updated Phase 1 results in October 2023. We are continuing to transition from a company with a research focus to a company capable of supporting clinical development and commercial activities. We have not yet demonstrated our ability to successfully complete large-scale, pivotal clinical trials, obtain marketing approvals, manufacture a commercial-scale product, or arrange for a third-party to do so on our behalf, or conduct sales and marketing activities necessary for successful product commercialization. In addition, all of our other product candidates are still in preclinical development and have not been evaluated in humans. We face significant translational risk as our product candidates advance to the clinical stage, and promising results in preclinical studies may not be replicated in clinical trials. All of our current and future product candidates will require preclinical and clinical development, regulatory review and approval, substantial investment, access to sufficient commercial manufacturing capacity and significant marketing efforts before we can generate any revenue from product sales. Our ability to generate revenue depends on a number of factors, including, but not limited to:</w:t>
      </w:r>
    </w:p>
    <w:p>
      <w:pPr>
        <w:spacing w:after="0" w:line="104" w:lineRule="exact"/>
        <w:rPr>
          <w:sz w:val="20"/>
          <w:szCs w:val="20"/>
          <w:color w:val="auto"/>
        </w:rPr>
      </w:pPr>
    </w:p>
    <w:p>
      <w:pPr>
        <w:ind w:left="900" w:right="120" w:hanging="280"/>
        <w:spacing w:after="0" w:line="252" w:lineRule="auto"/>
        <w:tabs>
          <w:tab w:leader="none" w:pos="90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 enrollment and timely completion of our clinical trials for our lead product candidate, rezatapopt, and timely initiation and completion of our preclinical studies for our future product candidates, which may be significantly slower or cost more than we currently anticipate and will depend substantially upon the performance of third-party contractors;</w:t>
      </w:r>
    </w:p>
    <w:p>
      <w:pPr>
        <w:spacing w:after="0" w:line="88" w:lineRule="exact"/>
        <w:rPr>
          <w:rFonts w:ascii="Arial" w:cs="Arial" w:eastAsia="Arial" w:hAnsi="Arial"/>
          <w:sz w:val="20"/>
          <w:szCs w:val="20"/>
          <w:color w:val="auto"/>
        </w:rPr>
      </w:pPr>
    </w:p>
    <w:p>
      <w:pPr>
        <w:ind w:left="900" w:right="320" w:hanging="280"/>
        <w:spacing w:after="0" w:line="276" w:lineRule="auto"/>
        <w:tabs>
          <w:tab w:leader="none" w:pos="90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establishing and maintaining relationships with contract research organizations, or CROs, and clinical sites for the clinical development of rezatapopt and our future product candidates;</w:t>
      </w:r>
    </w:p>
    <w:p>
      <w:pPr>
        <w:spacing w:after="0" w:line="64" w:lineRule="exact"/>
        <w:rPr>
          <w:rFonts w:ascii="Arial" w:cs="Arial" w:eastAsia="Arial" w:hAnsi="Arial"/>
          <w:sz w:val="20"/>
          <w:szCs w:val="20"/>
          <w:color w:val="auto"/>
        </w:rPr>
      </w:pPr>
    </w:p>
    <w:p>
      <w:pPr>
        <w:ind w:left="900" w:right="640" w:hanging="280"/>
        <w:spacing w:after="0" w:line="276" w:lineRule="auto"/>
        <w:tabs>
          <w:tab w:leader="none" w:pos="90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complete IND-enabling studies and successfully submit and receive authorization to proceed under INDs or comparable applications;</w:t>
      </w:r>
    </w:p>
    <w:p>
      <w:pPr>
        <w:spacing w:after="0" w:line="64" w:lineRule="exact"/>
        <w:rPr>
          <w:rFonts w:ascii="Arial" w:cs="Arial" w:eastAsia="Arial" w:hAnsi="Arial"/>
          <w:sz w:val="20"/>
          <w:szCs w:val="20"/>
          <w:color w:val="auto"/>
        </w:rPr>
      </w:pPr>
    </w:p>
    <w:p>
      <w:pPr>
        <w:ind w:left="900" w:right="580" w:hanging="280"/>
        <w:spacing w:after="0" w:line="258" w:lineRule="auto"/>
        <w:tabs>
          <w:tab w:leader="none" w:pos="90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whether we are required by the FDA or other comparable foreign regulatory authorities to conduct additional clinical trials or other studies beyond those planned to support the approval and commercialization of our product candidates or any future product candidates;</w:t>
      </w:r>
    </w:p>
    <w:p>
      <w:pPr>
        <w:spacing w:after="0" w:line="81" w:lineRule="exact"/>
        <w:rPr>
          <w:rFonts w:ascii="Arial" w:cs="Arial" w:eastAsia="Arial" w:hAnsi="Arial"/>
          <w:sz w:val="20"/>
          <w:szCs w:val="20"/>
          <w:color w:val="auto"/>
        </w:rPr>
      </w:pPr>
    </w:p>
    <w:p>
      <w:pPr>
        <w:ind w:left="900" w:right="280" w:hanging="280"/>
        <w:spacing w:after="0" w:line="252" w:lineRule="auto"/>
        <w:tabs>
          <w:tab w:leader="none" w:pos="90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demonstrate to the satisfaction of the FDA and comparable foreign regulatory authorities the safety, efficacy, consistent manufacturing quality and acceptable risk-benefit profile of our small molecule product candidates or any future product candidates, and such regulatory authorities’ acceptance of our tumor-agnostic development strategy;</w:t>
      </w:r>
    </w:p>
    <w:p>
      <w:pPr>
        <w:spacing w:after="0" w:line="88" w:lineRule="exact"/>
        <w:rPr>
          <w:rFonts w:ascii="Arial" w:cs="Arial" w:eastAsia="Arial" w:hAnsi="Arial"/>
          <w:sz w:val="20"/>
          <w:szCs w:val="20"/>
          <w:color w:val="auto"/>
        </w:rPr>
      </w:pPr>
    </w:p>
    <w:p>
      <w:pPr>
        <w:ind w:left="900" w:right="120" w:hanging="281"/>
        <w:spacing w:after="0" w:line="276" w:lineRule="auto"/>
        <w:tabs>
          <w:tab w:leader="none" w:pos="90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the prevalence, duration and severity of potential side effects or other safety issues experienced with our product candidates or future product candidates, if any;</w:t>
      </w:r>
    </w:p>
    <w:p>
      <w:pPr>
        <w:spacing w:after="0" w:line="64" w:lineRule="exact"/>
        <w:rPr>
          <w:rFonts w:ascii="Arial" w:cs="Arial" w:eastAsia="Arial" w:hAnsi="Arial"/>
          <w:sz w:val="20"/>
          <w:szCs w:val="20"/>
          <w:color w:val="auto"/>
        </w:rPr>
      </w:pPr>
    </w:p>
    <w:p>
      <w:pPr>
        <w:ind w:left="900" w:right="320" w:hanging="281"/>
        <w:spacing w:after="0" w:line="277" w:lineRule="auto"/>
        <w:tabs>
          <w:tab w:leader="none" w:pos="90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the timely receipt of necessary marketing approvals from the FDA and comparable foreign regulatory authorities;</w:t>
      </w:r>
    </w:p>
    <w:p>
      <w:pPr>
        <w:spacing w:after="0" w:line="62" w:lineRule="exact"/>
        <w:rPr>
          <w:rFonts w:ascii="Arial" w:cs="Arial" w:eastAsia="Arial" w:hAnsi="Arial"/>
          <w:sz w:val="20"/>
          <w:szCs w:val="20"/>
          <w:color w:val="auto"/>
        </w:rPr>
      </w:pPr>
    </w:p>
    <w:p>
      <w:pPr>
        <w:ind w:left="900" w:right="500" w:hanging="281"/>
        <w:spacing w:after="0" w:line="258" w:lineRule="auto"/>
        <w:tabs>
          <w:tab w:leader="none" w:pos="90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the willingness of physicians, operators of clinics and patients to utilize or adopt any of our product candidates or future product candidates over alternative or more conventional therapies, such as chemotherapy, to treat solid tumors;</w:t>
      </w:r>
    </w:p>
    <w:p>
      <w:pPr>
        <w:spacing w:after="0" w:line="81" w:lineRule="exact"/>
        <w:rPr>
          <w:rFonts w:ascii="Arial" w:cs="Arial" w:eastAsia="Arial" w:hAnsi="Arial"/>
          <w:sz w:val="20"/>
          <w:szCs w:val="20"/>
          <w:color w:val="auto"/>
        </w:rPr>
      </w:pPr>
    </w:p>
    <w:p>
      <w:pPr>
        <w:jc w:val="both"/>
        <w:ind w:left="900" w:right="580" w:hanging="281"/>
        <w:spacing w:after="0" w:line="258" w:lineRule="auto"/>
        <w:tabs>
          <w:tab w:leader="none" w:pos="90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the actual and perceived availability, cost, risk profile and side effects and efficacy of our product candidates, if approved, relative to existing and future alternative cancer therapies and competitive product candidates and technologies;</w:t>
      </w:r>
    </w:p>
    <w:p>
      <w:pPr>
        <w:spacing w:after="0" w:line="80" w:lineRule="exact"/>
        <w:rPr>
          <w:rFonts w:ascii="Arial" w:cs="Arial" w:eastAsia="Arial" w:hAnsi="Arial"/>
          <w:sz w:val="20"/>
          <w:szCs w:val="20"/>
          <w:color w:val="auto"/>
        </w:rPr>
      </w:pPr>
    </w:p>
    <w:p>
      <w:pPr>
        <w:ind w:left="900" w:right="60" w:hanging="281"/>
        <w:spacing w:after="0" w:line="252" w:lineRule="auto"/>
        <w:tabs>
          <w:tab w:leader="none" w:pos="90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 manufacturing processes that are compliant with cGMP requirements;</w:t>
      </w:r>
    </w:p>
    <w:p>
      <w:pPr>
        <w:spacing w:after="0" w:line="88" w:lineRule="exact"/>
        <w:rPr>
          <w:rFonts w:ascii="Arial" w:cs="Arial" w:eastAsia="Arial" w:hAnsi="Arial"/>
          <w:sz w:val="20"/>
          <w:szCs w:val="20"/>
          <w:color w:val="auto"/>
        </w:rPr>
      </w:pPr>
    </w:p>
    <w:p>
      <w:pPr>
        <w:ind w:left="900" w:right="400" w:hanging="281"/>
        <w:spacing w:after="0" w:line="252" w:lineRule="auto"/>
        <w:tabs>
          <w:tab w:leader="none" w:pos="90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360"/>
          </w:cols>
          <w:pgMar w:left="1440" w:top="1420" w:right="1440" w:bottom="175" w:gutter="0" w:footer="0" w:header="0"/>
        </w:sectPr>
      </w:pPr>
    </w:p>
    <w:bookmarkStart w:id="34" w:name="page35"/>
    <w:bookmarkEnd w:id="34"/>
    <w:p>
      <w:pPr>
        <w:ind w:left="900" w:hanging="281"/>
        <w:spacing w:after="0"/>
        <w:tabs>
          <w:tab w:leader="none" w:pos="90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patient demand for our product candidates and any future product candidates, if approved;</w:t>
      </w:r>
    </w:p>
    <w:p>
      <w:pPr>
        <w:spacing w:after="0" w:line="132" w:lineRule="exact"/>
        <w:rPr>
          <w:rFonts w:ascii="Arial" w:cs="Arial" w:eastAsia="Arial" w:hAnsi="Arial"/>
          <w:sz w:val="20"/>
          <w:szCs w:val="20"/>
          <w:color w:val="auto"/>
        </w:rPr>
      </w:pPr>
    </w:p>
    <w:p>
      <w:pPr>
        <w:ind w:left="900" w:right="340" w:hanging="281"/>
        <w:spacing w:after="0" w:line="277" w:lineRule="auto"/>
        <w:tabs>
          <w:tab w:leader="none" w:pos="90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establish and enforce intellectual property rights in and to our product candidates or any future product candidates;</w:t>
      </w:r>
    </w:p>
    <w:p>
      <w:pPr>
        <w:spacing w:after="0" w:line="62" w:lineRule="exact"/>
        <w:rPr>
          <w:rFonts w:ascii="Arial" w:cs="Arial" w:eastAsia="Arial" w:hAnsi="Arial"/>
          <w:sz w:val="20"/>
          <w:szCs w:val="20"/>
          <w:color w:val="auto"/>
        </w:rPr>
      </w:pPr>
    </w:p>
    <w:p>
      <w:pPr>
        <w:ind w:left="900" w:hanging="281"/>
        <w:spacing w:after="0"/>
        <w:tabs>
          <w:tab w:leader="none" w:pos="90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coverage and adequate reimbursement by third-party payors for our product candidates;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addressing any competing therapies and technological and market developments; and</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attracting, hiring and retaining qualified personnel.</w:t>
      </w:r>
    </w:p>
    <w:p>
      <w:pPr>
        <w:spacing w:after="0" w:line="238" w:lineRule="exact"/>
        <w:rPr>
          <w:sz w:val="20"/>
          <w:szCs w:val="20"/>
          <w:color w:val="auto"/>
        </w:rPr>
      </w:pPr>
    </w:p>
    <w:p>
      <w:pPr>
        <w:ind w:right="40" w:firstLine="619"/>
        <w:spacing w:after="0" w:line="244" w:lineRule="auto"/>
        <w:rPr>
          <w:sz w:val="20"/>
          <w:szCs w:val="20"/>
          <w:color w:val="auto"/>
        </w:rPr>
      </w:pPr>
      <w:r>
        <w:rPr>
          <w:rFonts w:ascii="Times New Roman" w:cs="Times New Roman" w:eastAsia="Times New Roman" w:hAnsi="Times New Roman"/>
          <w:sz w:val="20"/>
          <w:szCs w:val="20"/>
          <w:color w:val="auto"/>
        </w:rPr>
        <w:t>Many of the factors listed above are beyond our control and could cause us to experience significant delays or prevent us from obtaining regulatory approvals or commercializing our product candidates. Successful completion of preclinical studies and clinical trials does not mean that any of our current or future product candidates will receive regulatory approval. Even if regulatory approvals are obtained, we could experience significant delays or an inability to successfully commercialize our current and any future product candidates, which would materially harm our business. Even if we are able to commercialize our product candidates, we may not achieve profitability soon after generating product sales, if ever. If we are unable to generate sufficient revenue through the sale of our product candidates or any future product candidates, we may be unable to continue operations without continued funding.</w:t>
      </w:r>
    </w:p>
    <w:p>
      <w:pPr>
        <w:spacing w:after="0" w:line="326" w:lineRule="exact"/>
        <w:rPr>
          <w:sz w:val="20"/>
          <w:szCs w:val="20"/>
          <w:color w:val="auto"/>
        </w:rPr>
      </w:pPr>
    </w:p>
    <w:p>
      <w:pPr>
        <w:jc w:val="both"/>
        <w:ind w:right="3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will require substantial additional capital to finance our operations in the future. If we are unable to raise such capital when needed, or on acceptable terms, we may be forced to delay, reduce and/or eliminate one or more of our research and product development programs or future commercialization efforts.</w:t>
      </w:r>
    </w:p>
    <w:p>
      <w:pPr>
        <w:spacing w:after="0" w:line="65"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0"/>
          <w:szCs w:val="20"/>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rezatapopt, and advance our future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or other regulatory agencies to perform preclinical studies or clinical trials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Accordingly, we will need to obtain substantial additional funding in order to continue our operations.</w:t>
      </w:r>
    </w:p>
    <w:p>
      <w:pPr>
        <w:spacing w:after="0" w:line="206" w:lineRule="exact"/>
        <w:rPr>
          <w:sz w:val="20"/>
          <w:szCs w:val="20"/>
          <w:color w:val="auto"/>
        </w:rPr>
      </w:pPr>
    </w:p>
    <w:p>
      <w:pPr>
        <w:ind w:right="80" w:firstLine="619"/>
        <w:spacing w:after="0" w:line="243" w:lineRule="auto"/>
        <w:rPr>
          <w:sz w:val="20"/>
          <w:szCs w:val="20"/>
          <w:color w:val="auto"/>
        </w:rPr>
      </w:pPr>
      <w:r>
        <w:rPr>
          <w:rFonts w:ascii="Times New Roman" w:cs="Times New Roman" w:eastAsia="Times New Roman" w:hAnsi="Times New Roman"/>
          <w:sz w:val="20"/>
          <w:szCs w:val="20"/>
          <w:color w:val="auto"/>
        </w:rPr>
        <w:t>As of December 31, 2024, we had $183.3 million in cash, cash equivalents, and marketable securities. Although we believe that our available cash, cash equivalents, and marketable securities will be sufficient to fund our planned operations at least through the end of 2026, this belief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 This belief also does not reflect the possibility that we may not be able to access a portion of our existing cash and cash equivalents due to market conditions.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United States, or that any bank or financial institution with which we do business will be able to obtain needed liquidity from other banks, government institutions or by acquisition in the event of a failure or liquidity crisis.</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Our future capital requirements depend on many factors, including:</w:t>
      </w:r>
    </w:p>
    <w:p>
      <w:pPr>
        <w:spacing w:after="0" w:line="135" w:lineRule="exact"/>
        <w:rPr>
          <w:sz w:val="20"/>
          <w:szCs w:val="20"/>
          <w:color w:val="auto"/>
        </w:rPr>
      </w:pPr>
    </w:p>
    <w:p>
      <w:pPr>
        <w:ind w:left="900" w:right="20" w:hanging="281"/>
        <w:spacing w:after="0" w:line="258" w:lineRule="auto"/>
        <w:tabs>
          <w:tab w:leader="none" w:pos="9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the scope, progress, results and costs of researching and developing our current product candidates or any future product candidates we choose to pursue, and conducting preclinical studies and clinical trials, including our clinical trials of rezatapopt;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360"/>
          </w:cols>
          <w:pgMar w:left="1440" w:top="1435" w:right="1440" w:bottom="175" w:gutter="0" w:footer="0" w:header="0"/>
        </w:sectPr>
      </w:pPr>
    </w:p>
    <w:bookmarkStart w:id="35" w:name="page36"/>
    <w:bookmarkEnd w:id="35"/>
    <w:p>
      <w:pPr>
        <w:ind w:left="900" w:right="80" w:hanging="281"/>
        <w:spacing w:after="0" w:line="276" w:lineRule="auto"/>
        <w:tabs>
          <w:tab w:leader="none" w:pos="90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of, and the costs involved in, obtaining regulatory approvals for our product candidates or any future product candidates;</w:t>
      </w:r>
    </w:p>
    <w:p>
      <w:pPr>
        <w:spacing w:after="0" w:line="64" w:lineRule="exact"/>
        <w:rPr>
          <w:rFonts w:ascii="Arial" w:cs="Arial" w:eastAsia="Arial" w:hAnsi="Arial"/>
          <w:sz w:val="20"/>
          <w:szCs w:val="20"/>
          <w:color w:val="auto"/>
        </w:rPr>
      </w:pPr>
    </w:p>
    <w:p>
      <w:pPr>
        <w:ind w:left="900" w:hanging="281"/>
        <w:spacing w:after="0"/>
        <w:tabs>
          <w:tab w:leader="none" w:pos="90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and characteristics of any additional product candidates we develop or acquire;</w:t>
      </w:r>
    </w:p>
    <w:p>
      <w:pPr>
        <w:spacing w:after="0" w:line="132" w:lineRule="exact"/>
        <w:rPr>
          <w:rFonts w:ascii="Arial" w:cs="Arial" w:eastAsia="Arial" w:hAnsi="Arial"/>
          <w:sz w:val="20"/>
          <w:szCs w:val="20"/>
          <w:color w:val="auto"/>
        </w:rPr>
      </w:pPr>
    </w:p>
    <w:p>
      <w:pPr>
        <w:ind w:left="900" w:right="60" w:hanging="281"/>
        <w:spacing w:after="0" w:line="277" w:lineRule="auto"/>
        <w:tabs>
          <w:tab w:leader="none" w:pos="90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amount of any milestone, royalty and/or other payments we are required to make pursuant to any future license or collaboration agreements;</w:t>
      </w:r>
    </w:p>
    <w:p>
      <w:pPr>
        <w:spacing w:after="0" w:line="63" w:lineRule="exact"/>
        <w:rPr>
          <w:rFonts w:ascii="Arial" w:cs="Arial" w:eastAsia="Arial" w:hAnsi="Arial"/>
          <w:sz w:val="20"/>
          <w:szCs w:val="20"/>
          <w:color w:val="auto"/>
        </w:rPr>
      </w:pPr>
    </w:p>
    <w:p>
      <w:pPr>
        <w:ind w:left="900" w:right="200" w:hanging="281"/>
        <w:spacing w:after="0" w:line="276" w:lineRule="auto"/>
        <w:tabs>
          <w:tab w:leader="none" w:pos="90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manufacturing our product candidates or any future product candidates and any products we successfully commercialize;</w:t>
      </w:r>
    </w:p>
    <w:p>
      <w:pPr>
        <w:spacing w:after="0" w:line="64" w:lineRule="exact"/>
        <w:rPr>
          <w:rFonts w:ascii="Arial" w:cs="Arial" w:eastAsia="Arial" w:hAnsi="Arial"/>
          <w:sz w:val="20"/>
          <w:szCs w:val="20"/>
          <w:color w:val="auto"/>
        </w:rPr>
      </w:pPr>
    </w:p>
    <w:p>
      <w:pPr>
        <w:ind w:left="900" w:hanging="281"/>
        <w:spacing w:after="0"/>
        <w:tabs>
          <w:tab w:leader="none" w:pos="90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building a sales force in anticipation of product commercialization;</w:t>
      </w:r>
    </w:p>
    <w:p>
      <w:pPr>
        <w:spacing w:after="0" w:line="133" w:lineRule="exact"/>
        <w:rPr>
          <w:rFonts w:ascii="Arial" w:cs="Arial" w:eastAsia="Arial" w:hAnsi="Arial"/>
          <w:sz w:val="20"/>
          <w:szCs w:val="20"/>
          <w:color w:val="auto"/>
        </w:rPr>
      </w:pPr>
    </w:p>
    <w:p>
      <w:pPr>
        <w:ind w:left="900" w:right="720" w:hanging="281"/>
        <w:spacing w:after="0" w:line="276" w:lineRule="auto"/>
        <w:tabs>
          <w:tab w:leader="none" w:pos="90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commercialization activities of our product candidates, if approved for sale, including marketing, sales and distribution costs;</w:t>
      </w:r>
    </w:p>
    <w:p>
      <w:pPr>
        <w:spacing w:after="0" w:line="64" w:lineRule="exact"/>
        <w:rPr>
          <w:rFonts w:ascii="Arial" w:cs="Arial" w:eastAsia="Arial" w:hAnsi="Arial"/>
          <w:sz w:val="20"/>
          <w:szCs w:val="20"/>
          <w:color w:val="auto"/>
        </w:rPr>
      </w:pPr>
    </w:p>
    <w:p>
      <w:pPr>
        <w:ind w:left="900" w:right="20" w:hanging="281"/>
        <w:spacing w:after="0" w:line="258" w:lineRule="auto"/>
        <w:tabs>
          <w:tab w:leader="none" w:pos="90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establish future collaborations, licensing or other arrangements and the financial terms of any such agreements, including the timing and amount of any future milestone, royalty or other payments due under any such agreement;</w:t>
      </w:r>
    </w:p>
    <w:p>
      <w:pPr>
        <w:spacing w:after="0" w:line="81" w:lineRule="exact"/>
        <w:rPr>
          <w:rFonts w:ascii="Arial" w:cs="Arial" w:eastAsia="Arial" w:hAnsi="Arial"/>
          <w:sz w:val="20"/>
          <w:szCs w:val="20"/>
          <w:color w:val="auto"/>
        </w:rPr>
      </w:pPr>
    </w:p>
    <w:p>
      <w:pPr>
        <w:ind w:left="900" w:hanging="281"/>
        <w:spacing w:after="0"/>
        <w:tabs>
          <w:tab w:leader="none" w:pos="90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any product liability or other lawsuits related to our products;</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expenses needed to attract, hire and retain skilled personnel;</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associated with being a public company;</w:t>
      </w:r>
    </w:p>
    <w:p>
      <w:pPr>
        <w:spacing w:after="0" w:line="133" w:lineRule="exact"/>
        <w:rPr>
          <w:rFonts w:ascii="Arial" w:cs="Arial" w:eastAsia="Arial" w:hAnsi="Arial"/>
          <w:sz w:val="20"/>
          <w:szCs w:val="20"/>
          <w:color w:val="auto"/>
        </w:rPr>
      </w:pPr>
    </w:p>
    <w:p>
      <w:pPr>
        <w:ind w:left="900" w:right="60" w:hanging="281"/>
        <w:spacing w:after="0" w:line="276" w:lineRule="auto"/>
        <w:tabs>
          <w:tab w:leader="none" w:pos="90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involved in preparing, filing, prosecuting, maintaining, defending and enforcing our intellectual property portfolio;</w:t>
      </w:r>
    </w:p>
    <w:p>
      <w:pPr>
        <w:spacing w:after="0" w:line="64" w:lineRule="exact"/>
        <w:rPr>
          <w:rFonts w:ascii="Arial" w:cs="Arial" w:eastAsia="Arial" w:hAnsi="Arial"/>
          <w:sz w:val="20"/>
          <w:szCs w:val="20"/>
          <w:color w:val="auto"/>
        </w:rPr>
      </w:pPr>
    </w:p>
    <w:p>
      <w:pPr>
        <w:ind w:left="900" w:hanging="281"/>
        <w:spacing w:after="0"/>
        <w:tabs>
          <w:tab w:leader="none" w:pos="90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receipt and amount of sales of any future approved products; and</w:t>
      </w:r>
    </w:p>
    <w:p>
      <w:pPr>
        <w:spacing w:after="0" w:line="133" w:lineRule="exact"/>
        <w:rPr>
          <w:rFonts w:ascii="Arial" w:cs="Arial" w:eastAsia="Arial" w:hAnsi="Arial"/>
          <w:sz w:val="20"/>
          <w:szCs w:val="20"/>
          <w:color w:val="auto"/>
        </w:rPr>
      </w:pPr>
    </w:p>
    <w:p>
      <w:pPr>
        <w:ind w:left="900" w:right="640" w:hanging="281"/>
        <w:spacing w:after="0" w:line="276" w:lineRule="auto"/>
        <w:tabs>
          <w:tab w:leader="none" w:pos="90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a global pandemic or other public health emergencies on our operations, which may exacerbate the magnitude of the factors discussed above.</w:t>
      </w:r>
    </w:p>
    <w:p>
      <w:pPr>
        <w:spacing w:after="0" w:line="170"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0"/>
          <w:szCs w:val="20"/>
          <w:color w:val="auto"/>
        </w:rPr>
        <w:t>We do not have any committed external source of funds and adequate additional financing may not be available to us on acceptable terms, or at all. In addition, our ability to raise additional capital may be adversely impacted by potential worsening global economic conditions, inflation expectations, rising interest rates and the disruptions to and volatility in the credit and financial markets in the United States and worldwide resulting from a global pandemic or other public health emergencies, geopolitical tensions (such as the Ukraine-Russia war, the conflict in the Middle East and trade restrictions between the U.S. and China) among other global conditions affecting financial markets.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Risks Related to Product Development</w:t>
      </w:r>
    </w:p>
    <w:p>
      <w:pPr>
        <w:spacing w:after="0" w:line="24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Our discovery and product development is focused on the development of precision medicines for patients with genomically defined cancers, which is a rapidly evolving area of science, and the approach we are taking to discover and develop drugs targeting p53 is novel, may never lead to marketable products and may not ultimately represent a significant market.</w:t>
      </w:r>
    </w:p>
    <w:p>
      <w:pPr>
        <w:spacing w:after="0" w:line="75"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20"/>
          <w:szCs w:val="20"/>
          <w:color w:val="auto"/>
        </w:rPr>
        <w:t>The discovery and development of precision medicines for patients with genomically defined cancers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Further, despite decades of research on p53 as a target for precision medicines, prior product development efforts have been unsuccessful. Although we believe, based on our preclinical work and p53 research generally, that the top ten most frequent, or hotspot, p53 mutations have potential as precision oncology targets, clinical results may not confirm this hypothesis or may only confirm it for certain mutations or certain tumor types.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360"/>
          </w:cols>
          <w:pgMar w:left="1440" w:top="1435" w:right="1440" w:bottom="175" w:gutter="0" w:footer="0" w:header="0"/>
        </w:sectPr>
      </w:pPr>
    </w:p>
    <w:bookmarkStart w:id="36" w:name="page37"/>
    <w:bookmarkEnd w:id="36"/>
    <w:p>
      <w:pPr>
        <w:ind w:right="20" w:firstLine="620"/>
        <w:spacing w:after="0" w:line="249" w:lineRule="auto"/>
        <w:rPr>
          <w:sz w:val="20"/>
          <w:szCs w:val="20"/>
          <w:color w:val="auto"/>
        </w:rPr>
      </w:pPr>
      <w:r>
        <w:rPr>
          <w:rFonts w:ascii="Times New Roman" w:cs="Times New Roman" w:eastAsia="Times New Roman" w:hAnsi="Times New Roman"/>
          <w:sz w:val="20"/>
          <w:szCs w:val="20"/>
          <w:color w:val="auto"/>
        </w:rPr>
        <w:t>Further, even if our approach is successful in showing clinical benefit for tumors harboring the p53 mutation targeted by our lead product candidate, rezatapopt, we may never successfully identify additional product candidates for targeting p53 through our platform. Therefore, we do not know if our approach of treating patients with genomically defined cancers will be successful, and if our approach is unsuccessful, our business will be materially adversely affected.</w:t>
      </w:r>
    </w:p>
    <w:p>
      <w:pPr>
        <w:spacing w:after="0" w:line="197" w:lineRule="exact"/>
        <w:rPr>
          <w:sz w:val="20"/>
          <w:szCs w:val="20"/>
          <w:color w:val="auto"/>
        </w:rPr>
      </w:pPr>
    </w:p>
    <w:p>
      <w:pPr>
        <w:ind w:right="40" w:firstLine="619"/>
        <w:spacing w:after="0" w:line="242" w:lineRule="auto"/>
        <w:rPr>
          <w:sz w:val="20"/>
          <w:szCs w:val="20"/>
          <w:color w:val="auto"/>
        </w:rPr>
      </w:pPr>
      <w:r>
        <w:rPr>
          <w:rFonts w:ascii="Times New Roman" w:cs="Times New Roman" w:eastAsia="Times New Roman" w:hAnsi="Times New Roman"/>
          <w:sz w:val="20"/>
          <w:szCs w:val="20"/>
          <w:color w:val="auto"/>
        </w:rPr>
        <w:t>In addition, because our approach targets genomically defined cancer patients and not specific tumors based on tumor or cancer types, we are pursuing a tumor-agnostic development strategy (i.e., pursuing approval for a potential indication based on a specific genetic mutation rather than a specific type of tissue). There is currently a limited number of approved tumor-agnostic therapies and we may not receive approval for a broad tumor-agnostic indication or may be delayed in receiving broad tumor-agnostic approval. For example, in October 2024, we discontinued enrollment in the Phase 1b combination arm of the PYNNACLE trial evaluating rezatapopt in combination with Merck and Co.’s anti-PD-1 therapy KEYTRUDA® (pembrolizumab) in patients with advanced solid tumors harboring a TP53 Y220C mutation. We subsequently announced that we are collaborating with the MD Anderson Cancer Center and the Memorial Sloan Kettering Cancer Center to support an investigator-initiated Phase 1b study, which is designed to assess the safety, tolerability, pharmacokinetics, and preliminary efficacy of rezatapopt monotherapy in combination with azacitidine in R/R AML and MDS patients harboring a TP53 Y220C mutation. If our Phase 1/2 trial for rezatapopt does not support a tumor-agnostic indication, but we observe clinical benefit in certain tumor or cancer types, we may decide to pursue a tumor- or cancer-specific indication which may require additional clinical trials. Further, even if our Phase 1/2 trial for rezatapopt is successful, the FDA may not agree that such study can serve as a pivotal study, which would require us to conduct additional clinical trials prior to approval.</w:t>
      </w:r>
    </w:p>
    <w:p>
      <w:pPr>
        <w:spacing w:after="0" w:line="33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are substantially dependent on our lead product candidate, rezatapopt. If we are unable to advance rezatapopt or any of our future product candidates through clinical development, obtain regulatory approval and ultimately commercialize rezatapopt or any of our future product candidates, or experience significant delays in doing so, our business, financial condition and results of operations will be materially adversely affected.</w:t>
      </w:r>
    </w:p>
    <w:p>
      <w:pPr>
        <w:spacing w:after="0" w:line="75" w:lineRule="exact"/>
        <w:rPr>
          <w:sz w:val="20"/>
          <w:szCs w:val="20"/>
          <w:color w:val="auto"/>
        </w:rPr>
      </w:pPr>
    </w:p>
    <w:p>
      <w:pPr>
        <w:ind w:right="60" w:firstLine="619"/>
        <w:spacing w:after="0" w:line="243" w:lineRule="auto"/>
        <w:rPr>
          <w:sz w:val="20"/>
          <w:szCs w:val="20"/>
          <w:color w:val="auto"/>
        </w:rPr>
      </w:pPr>
      <w:r>
        <w:rPr>
          <w:rFonts w:ascii="Times New Roman" w:cs="Times New Roman" w:eastAsia="Times New Roman" w:hAnsi="Times New Roman"/>
          <w:sz w:val="20"/>
          <w:szCs w:val="20"/>
          <w:color w:val="auto"/>
        </w:rPr>
        <w:t xml:space="preserve">We allocate the majority of our efforts and financial resources to the development of our lead product candidate, rezatapopt. Our future success is dependent on our ability to timely and successfully complete clinical trials, obtain marketing approval for and successfully commercialize rezatapopt. All of our other product candidates are still in preclinical development and have never been tested in human subjects. Our ability to generate product revenue, which we do not expect will occur for many years, if ever, will depend heavily on the successful clinical development and eventual commercialization of rezatapopt and one or more of our future product candidates. In addition, our product development programs contemplate the development with third party collaborators of companion diagnostics, which are assays or tests used to identify an appropriate patient population for our product candidates. Companion diagnostics are subject to regulation as medical devices (or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diagnostic devices) and must themselves be approved for marketing by the FDA and comparable foreign regulatory agencies before we may commercialize such companion diagnostics with our product candidates. The success of our product candidates will depend on several factors, including the following:</w:t>
      </w:r>
    </w:p>
    <w:p>
      <w:pPr>
        <w:spacing w:after="0" w:line="101" w:lineRule="exact"/>
        <w:rPr>
          <w:sz w:val="20"/>
          <w:szCs w:val="20"/>
          <w:color w:val="auto"/>
        </w:rPr>
      </w:pPr>
    </w:p>
    <w:p>
      <w:pPr>
        <w:ind w:left="900" w:hanging="281"/>
        <w:spacing w:after="0"/>
        <w:tabs>
          <w:tab w:leader="none" w:pos="90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timely and successful completion of our ongoing clinical trials;</w:t>
      </w:r>
    </w:p>
    <w:p>
      <w:pPr>
        <w:spacing w:after="0" w:line="132" w:lineRule="exact"/>
        <w:rPr>
          <w:rFonts w:ascii="Arial" w:cs="Arial" w:eastAsia="Arial" w:hAnsi="Arial"/>
          <w:sz w:val="20"/>
          <w:szCs w:val="20"/>
          <w:color w:val="auto"/>
        </w:rPr>
      </w:pPr>
    </w:p>
    <w:p>
      <w:pPr>
        <w:ind w:left="900" w:right="420" w:hanging="281"/>
        <w:spacing w:after="0" w:line="259" w:lineRule="auto"/>
        <w:tabs>
          <w:tab w:leader="none" w:pos="90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continue our business operations and product candidate research and development, and adapt to any changes in the regulatory approval process, manufacturing supply or clinical trial requirements and timing stemming from a global pandemic or other public health emergencies;</w:t>
      </w:r>
    </w:p>
    <w:p>
      <w:pPr>
        <w:spacing w:after="0" w:line="78" w:lineRule="exact"/>
        <w:rPr>
          <w:rFonts w:ascii="Arial" w:cs="Arial" w:eastAsia="Arial" w:hAnsi="Arial"/>
          <w:sz w:val="20"/>
          <w:szCs w:val="20"/>
          <w:color w:val="auto"/>
        </w:rPr>
      </w:pPr>
    </w:p>
    <w:p>
      <w:pPr>
        <w:ind w:left="900" w:hanging="281"/>
        <w:spacing w:after="0"/>
        <w:tabs>
          <w:tab w:leader="none" w:pos="90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receipt of authorization to proceed under INDs for our planned clinical trials or future clinical trials;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FDA acceptance of our tumor-agnostic development strategy;</w:t>
      </w:r>
    </w:p>
    <w:p>
      <w:pPr>
        <w:spacing w:after="0" w:line="131" w:lineRule="exact"/>
        <w:rPr>
          <w:rFonts w:ascii="Arial" w:cs="Arial" w:eastAsia="Arial" w:hAnsi="Arial"/>
          <w:sz w:val="20"/>
          <w:szCs w:val="20"/>
          <w:color w:val="auto"/>
        </w:rPr>
      </w:pPr>
    </w:p>
    <w:p>
      <w:pPr>
        <w:ind w:left="900" w:right="300" w:hanging="281"/>
        <w:spacing w:after="0" w:line="277" w:lineRule="auto"/>
        <w:tabs>
          <w:tab w:leader="none" w:pos="90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initiation and successful patient enrollment in and completion of additional preclinical and clinical trials of our product candidates on a timely basis;</w:t>
      </w:r>
    </w:p>
    <w:p>
      <w:pPr>
        <w:spacing w:after="0" w:line="63" w:lineRule="exact"/>
        <w:rPr>
          <w:rFonts w:ascii="Arial" w:cs="Arial" w:eastAsia="Arial" w:hAnsi="Arial"/>
          <w:sz w:val="20"/>
          <w:szCs w:val="20"/>
          <w:color w:val="auto"/>
        </w:rPr>
      </w:pPr>
    </w:p>
    <w:p>
      <w:pPr>
        <w:ind w:left="900" w:right="80" w:hanging="281"/>
        <w:spacing w:after="0" w:line="276" w:lineRule="auto"/>
        <w:tabs>
          <w:tab w:leader="none" w:pos="90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 development with third party collaborators of companion diagnostics for use with our product candidates;</w:t>
      </w:r>
    </w:p>
    <w:p>
      <w:pPr>
        <w:spacing w:after="0" w:line="64" w:lineRule="exact"/>
        <w:rPr>
          <w:rFonts w:ascii="Arial" w:cs="Arial" w:eastAsia="Arial" w:hAnsi="Arial"/>
          <w:sz w:val="20"/>
          <w:szCs w:val="20"/>
          <w:color w:val="auto"/>
        </w:rPr>
      </w:pPr>
    </w:p>
    <w:p>
      <w:pPr>
        <w:ind w:left="900" w:right="40" w:hanging="281"/>
        <w:spacing w:after="0" w:line="277" w:lineRule="auto"/>
        <w:tabs>
          <w:tab w:leader="none" w:pos="90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safety, tolerability and efficacy profiles for our product candidates that are satisfactory to the FDA or any foreign regulatory authority for marketing approval;</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360"/>
          </w:cols>
          <w:pgMar w:left="1440" w:top="1420" w:right="1440" w:bottom="175" w:gutter="0" w:footer="0" w:header="0"/>
        </w:sectPr>
      </w:pPr>
    </w:p>
    <w:bookmarkStart w:id="37" w:name="page38"/>
    <w:bookmarkEnd w:id="37"/>
    <w:p>
      <w:pPr>
        <w:ind w:left="900" w:right="860" w:hanging="281"/>
        <w:spacing w:after="0" w:line="276" w:lineRule="auto"/>
        <w:tabs>
          <w:tab w:leader="none" w:pos="90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receipt of marketing approvals for our product candidates and any companion diagnostics from applicable regulatory authorities, which must be approved contemporaneously;</w:t>
      </w:r>
    </w:p>
    <w:p>
      <w:pPr>
        <w:spacing w:after="0" w:line="64" w:lineRule="exact"/>
        <w:rPr>
          <w:rFonts w:ascii="Arial" w:cs="Arial" w:eastAsia="Arial" w:hAnsi="Arial"/>
          <w:sz w:val="20"/>
          <w:szCs w:val="20"/>
          <w:color w:val="auto"/>
        </w:rPr>
      </w:pPr>
    </w:p>
    <w:p>
      <w:pPr>
        <w:ind w:left="900" w:hanging="281"/>
        <w:spacing w:after="0"/>
        <w:tabs>
          <w:tab w:leader="none" w:pos="90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completion of any required post-marketing approval commitments to applicable regulatory authorities;</w:t>
      </w:r>
    </w:p>
    <w:p>
      <w:pPr>
        <w:spacing w:after="0" w:line="132" w:lineRule="exact"/>
        <w:rPr>
          <w:rFonts w:ascii="Arial" w:cs="Arial" w:eastAsia="Arial" w:hAnsi="Arial"/>
          <w:sz w:val="20"/>
          <w:szCs w:val="20"/>
          <w:color w:val="auto"/>
        </w:rPr>
      </w:pPr>
    </w:p>
    <w:p>
      <w:pPr>
        <w:ind w:left="900" w:right="260" w:hanging="281"/>
        <w:spacing w:after="0" w:line="277" w:lineRule="auto"/>
        <w:tabs>
          <w:tab w:leader="none" w:pos="90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and maintaining patent and trade secret protection and regulatory exclusivity for our product candidates;</w:t>
      </w:r>
    </w:p>
    <w:p>
      <w:pPr>
        <w:spacing w:after="0" w:line="63" w:lineRule="exact"/>
        <w:rPr>
          <w:rFonts w:ascii="Arial" w:cs="Arial" w:eastAsia="Arial" w:hAnsi="Arial"/>
          <w:sz w:val="20"/>
          <w:szCs w:val="20"/>
          <w:color w:val="auto"/>
        </w:rPr>
      </w:pPr>
    </w:p>
    <w:p>
      <w:pPr>
        <w:ind w:left="900" w:right="40" w:hanging="281"/>
        <w:spacing w:after="0" w:line="276" w:lineRule="auto"/>
        <w:tabs>
          <w:tab w:leader="none" w:pos="90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making arrangements with third-party manufacturers, or establishing manufacturing capabilities, for both clinical and commercial supplies of our product candidates, if any product candidates are approved;</w:t>
      </w:r>
    </w:p>
    <w:p>
      <w:pPr>
        <w:spacing w:after="0" w:line="64" w:lineRule="exact"/>
        <w:rPr>
          <w:rFonts w:ascii="Arial" w:cs="Arial" w:eastAsia="Arial" w:hAnsi="Arial"/>
          <w:sz w:val="20"/>
          <w:szCs w:val="20"/>
          <w:color w:val="auto"/>
        </w:rPr>
      </w:pPr>
    </w:p>
    <w:p>
      <w:pPr>
        <w:ind w:left="900" w:right="740" w:hanging="281"/>
        <w:spacing w:after="0" w:line="277" w:lineRule="auto"/>
        <w:tabs>
          <w:tab w:leader="none" w:pos="90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establishing sales, marketing and distribution capabilities and launching commercial sales of our products, if and when approved, whether alone or in collaboration with others;</w:t>
      </w:r>
    </w:p>
    <w:p>
      <w:pPr>
        <w:spacing w:after="0" w:line="62" w:lineRule="exact"/>
        <w:rPr>
          <w:rFonts w:ascii="Arial" w:cs="Arial" w:eastAsia="Arial" w:hAnsi="Arial"/>
          <w:sz w:val="20"/>
          <w:szCs w:val="20"/>
          <w:color w:val="auto"/>
        </w:rPr>
      </w:pPr>
    </w:p>
    <w:p>
      <w:pPr>
        <w:ind w:left="900" w:right="280" w:hanging="281"/>
        <w:spacing w:after="0" w:line="277" w:lineRule="auto"/>
        <w:tabs>
          <w:tab w:leader="none" w:pos="90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acceptance of our products, if and when approved, by patients, the medical community and third-party payors;</w:t>
      </w:r>
    </w:p>
    <w:p>
      <w:pPr>
        <w:spacing w:after="0" w:line="63" w:lineRule="exact"/>
        <w:rPr>
          <w:rFonts w:ascii="Arial" w:cs="Arial" w:eastAsia="Arial" w:hAnsi="Arial"/>
          <w:sz w:val="20"/>
          <w:szCs w:val="20"/>
          <w:color w:val="auto"/>
        </w:rPr>
      </w:pPr>
    </w:p>
    <w:p>
      <w:pPr>
        <w:ind w:left="900" w:hanging="281"/>
        <w:spacing w:after="0"/>
        <w:tabs>
          <w:tab w:leader="none" w:pos="90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effectively competing with other cancer therapies;</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and maintaining third-party coverage and adequate reimbursement; and</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maintaining a continued acceptable safety profile of our products following approval.</w:t>
      </w:r>
    </w:p>
    <w:p>
      <w:pPr>
        <w:spacing w:after="0" w:line="238"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20"/>
          <w:szCs w:val="20"/>
          <w:color w:val="auto"/>
        </w:rPr>
        <w:t>Many of these factors are beyond our control, and it is possible that we may never obtain regulatory approval for our product candidates even if we expend substantial time and resources seeking their development and approval. If we do not achieve regulatory approval in a timely manner or at all, we could experience significant delays or an inability to commercialize our current or future product candidates, which would materially adversely affect our business. If we do not receive regulatory approvals for our current or future product candidates, we will not be able to continue our operations.</w:t>
      </w:r>
    </w:p>
    <w:p>
      <w:pPr>
        <w:spacing w:after="0" w:line="200" w:lineRule="exact"/>
        <w:rPr>
          <w:sz w:val="20"/>
          <w:szCs w:val="20"/>
          <w:color w:val="auto"/>
        </w:rPr>
      </w:pPr>
    </w:p>
    <w:p>
      <w:pPr>
        <w:ind w:firstLine="619"/>
        <w:spacing w:after="0" w:line="242" w:lineRule="auto"/>
        <w:rPr>
          <w:sz w:val="20"/>
          <w:szCs w:val="20"/>
          <w:color w:val="auto"/>
        </w:rPr>
      </w:pPr>
      <w:r>
        <w:rPr>
          <w:rFonts w:ascii="Times New Roman" w:cs="Times New Roman" w:eastAsia="Times New Roman" w:hAnsi="Times New Roman"/>
          <w:sz w:val="20"/>
          <w:szCs w:val="20"/>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cost-effectiveness to pricing and reimbursement authorities, obtaining sufficient manufacturing supply for both clinical development and commercial production in accordance with cGMP, building of a commercial organization, and substantial investment and significant marketing efforts before we generate any revenue from product sales.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FDA before implementation, which could delay our clinical trials and product candidate development, and could require additional clinical trials, including bridging studies, to demonstrate consistent and continued safety and efficacy.</w:t>
      </w:r>
    </w:p>
    <w:p>
      <w:pPr>
        <w:spacing w:after="0" w:line="212" w:lineRule="exact"/>
        <w:rPr>
          <w:sz w:val="20"/>
          <w:szCs w:val="20"/>
          <w:color w:val="auto"/>
        </w:rPr>
      </w:pPr>
    </w:p>
    <w:p>
      <w:pPr>
        <w:ind w:right="100" w:firstLine="619"/>
        <w:spacing w:after="0" w:line="243" w:lineRule="auto"/>
        <w:rPr>
          <w:sz w:val="20"/>
          <w:szCs w:val="20"/>
          <w:color w:val="auto"/>
        </w:rPr>
      </w:pPr>
      <w:r>
        <w:rPr>
          <w:rFonts w:ascii="Times New Roman" w:cs="Times New Roman" w:eastAsia="Times New Roman" w:hAnsi="Times New Roman"/>
          <w:sz w:val="20"/>
          <w:szCs w:val="20"/>
          <w:color w:val="auto"/>
        </w:rPr>
        <w:t>We have not previously submitted a NDA to the FDA or similar approval filings to a comparable foreign regulatory authority, for any product candidate. An NDA or other relevant regulatory filing must include extensive preclinical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for each product candidate, as well as the availability of competitive products, whether there is sufficient third-party reimbursement and adoption by physicians.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360"/>
          </w:cols>
          <w:pgMar w:left="1440" w:top="1435" w:right="1440" w:bottom="175" w:gutter="0" w:footer="0" w:header="0"/>
        </w:sectPr>
      </w:pPr>
    </w:p>
    <w:bookmarkStart w:id="38" w:name="page39"/>
    <w:bookmarkEnd w:id="38"/>
    <w:p>
      <w:pPr>
        <w:ind w:right="2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The subset of cancer patients that we are targeting are expected to have certain p53 mutants and we may not be able to identify a sufficient number of patients whom we can recruit and retain for our clinical trials to obtain approval for our current or future product candidates.</w:t>
      </w:r>
    </w:p>
    <w:p>
      <w:pPr>
        <w:spacing w:after="0" w:line="68" w:lineRule="exact"/>
        <w:rPr>
          <w:sz w:val="20"/>
          <w:szCs w:val="20"/>
          <w:color w:val="auto"/>
        </w:rPr>
      </w:pPr>
    </w:p>
    <w:p>
      <w:pPr>
        <w:ind w:right="180" w:firstLine="619"/>
        <w:spacing w:after="0" w:line="246" w:lineRule="auto"/>
        <w:rPr>
          <w:sz w:val="20"/>
          <w:szCs w:val="20"/>
          <w:color w:val="auto"/>
        </w:rPr>
      </w:pPr>
      <w:r>
        <w:rPr>
          <w:rFonts w:ascii="Times New Roman" w:cs="Times New Roman" w:eastAsia="Times New Roman" w:hAnsi="Times New Roman"/>
          <w:sz w:val="20"/>
          <w:szCs w:val="20"/>
          <w:color w:val="auto"/>
        </w:rPr>
        <w:t>The patient populations for our current product candidates are limited to those with specific p53 mutations, which represents a substantially smaller subset of the generally treated cancer patient population. We expect our future product candidates to be similarly limited. We will need to screen and identify patients with these targeted mutations. Further, even if we are successful in identifying patients, we cannot be certain that the resulting patient populations with each p53 hotspot mutation will be large enough to allow us to successfully conduct the requisite clinical trials necessary to obtain marketing approval for each mutation-specific product candidate before we can commercialize our products, if approved, and achieve profitability.</w:t>
      </w:r>
    </w:p>
    <w:p>
      <w:pPr>
        <w:spacing w:after="0" w:line="319"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The results of preclinical testing and earlier clinical trials may not be predictive of the success of later clinical trials, and the results of our clinical trials may not satisfy the requirements of the FDA or other comparable foreign regulatory authorities. Successful preclinical studies and clinical trials cannot provide assurance of successful commercialization.</w:t>
      </w:r>
    </w:p>
    <w:p>
      <w:pPr>
        <w:spacing w:after="0" w:line="75" w:lineRule="exact"/>
        <w:rPr>
          <w:sz w:val="20"/>
          <w:szCs w:val="20"/>
          <w:color w:val="auto"/>
        </w:rPr>
      </w:pPr>
    </w:p>
    <w:p>
      <w:pPr>
        <w:ind w:firstLine="619"/>
        <w:spacing w:after="0" w:line="242" w:lineRule="auto"/>
        <w:rPr>
          <w:sz w:val="20"/>
          <w:szCs w:val="20"/>
          <w:color w:val="auto"/>
        </w:rPr>
      </w:pPr>
      <w:r>
        <w:rPr>
          <w:rFonts w:ascii="Times New Roman" w:cs="Times New Roman" w:eastAsia="Times New Roman" w:hAnsi="Times New Roman"/>
          <w:sz w:val="20"/>
          <w:szCs w:val="20"/>
          <w:color w:val="auto"/>
        </w:rPr>
        <w:t>We are required to demonstrate with substantial evidence through well-controlled clinical trials that our product candidates are safe and effective before we can seek marketing approvals for their commercial sale. Success in preclinical studies does not mean that future clinical trials will be successful. For instance, we do not know whether rezatapopt will perform in its clinical trials as rezatapopt has performed in preclinical studies, nor can we predict how our future product candidates will perform in future preclinical studies or clinical trials. Product candidates in later-stage clinical trials may fail to demonstrate sufficient safety and efficacy to the satisfaction of the FDA and other comparable foreign regulatory authorities despite having progressed through preclinical studies and early-stage clinical trials. Regulatory authorities may also limit the scope of later-stage trials until we have demonstrated satisfactory safety, which could delay regulatory approval, limit the size of the patient population to which we may market our product candidates or prevent regulatory approval. 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206" w:lineRule="exact"/>
        <w:rPr>
          <w:sz w:val="20"/>
          <w:szCs w:val="20"/>
          <w:color w:val="auto"/>
        </w:rPr>
      </w:pPr>
    </w:p>
    <w:p>
      <w:pPr>
        <w:ind w:right="20" w:firstLine="619"/>
        <w:spacing w:after="0" w:line="278" w:lineRule="auto"/>
        <w:rPr>
          <w:sz w:val="20"/>
          <w:szCs w:val="20"/>
          <w:color w:val="auto"/>
        </w:rPr>
      </w:pPr>
      <w:r>
        <w:rPr>
          <w:rFonts w:ascii="Times New Roman" w:cs="Times New Roman" w:eastAsia="Times New Roman" w:hAnsi="Times New Roman"/>
          <w:sz w:val="20"/>
          <w:szCs w:val="20"/>
          <w:color w:val="auto"/>
        </w:rPr>
        <w:t>We do not know whether any clinical trials we may conduct will demonstrate consistent or adequate efficacy and safety sufficient to obtain approval to market any of our product candidates.</w:t>
      </w:r>
    </w:p>
    <w:p>
      <w:pPr>
        <w:spacing w:after="0" w:line="168" w:lineRule="exact"/>
        <w:rPr>
          <w:sz w:val="20"/>
          <w:szCs w:val="20"/>
          <w:color w:val="auto"/>
        </w:rPr>
      </w:pPr>
    </w:p>
    <w:p>
      <w:pPr>
        <w:ind w:right="500" w:firstLine="619"/>
        <w:spacing w:after="0" w:line="277" w:lineRule="auto"/>
        <w:rPr>
          <w:sz w:val="20"/>
          <w:szCs w:val="20"/>
          <w:color w:val="auto"/>
        </w:rPr>
      </w:pPr>
      <w:r>
        <w:rPr>
          <w:rFonts w:ascii="Times New Roman" w:cs="Times New Roman" w:eastAsia="Times New Roman" w:hAnsi="Times New Roman"/>
          <w:sz w:val="20"/>
          <w:szCs w:val="20"/>
          <w:color w:val="auto"/>
        </w:rPr>
        <w:t>Even if we succeed in developing and commercializing our product candidates, we may never generate sufficient or sustainable revenue to enable us to be profitable.</w:t>
      </w:r>
    </w:p>
    <w:p>
      <w:pPr>
        <w:spacing w:after="0" w:line="289"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We may need to use existing commercial diagnostic tests or develop, in collaborations or partnerships with third parties, novel companion diagnostics for some of our current or future product candidates. If we or our collaboration partners are unable to successfully develop, validate and obtain approval for such companion diagnostics, or experience significant delays in doing so, we may not realize the full commercial potential of our future product candidates.</w:t>
      </w:r>
    </w:p>
    <w:p>
      <w:pPr>
        <w:spacing w:after="0" w:line="77"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20"/>
          <w:szCs w:val="20"/>
          <w:color w:val="auto"/>
        </w:rPr>
        <w:t>As one of the key elements of our product development strategy, we seek to identify cancer patient populations that may derive meaningful benefit from our current or future product candidates. Because specific genetic mutations will be used to identify the appropriate patients for our programs and our current or future product candidates, we believe that our success may depend, in part, on our ability to use existing diagnostic tests and genomic sequencing, or to develop novel companion diagnostics in collaboration with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360"/>
          </w:cols>
          <w:pgMar w:left="1440" w:top="1420" w:right="1440" w:bottom="175" w:gutter="0" w:footer="0" w:header="0"/>
        </w:sectPr>
      </w:pPr>
    </w:p>
    <w:bookmarkStart w:id="39" w:name="page40"/>
    <w:bookmarkEnd w:id="39"/>
    <w:p>
      <w:pPr>
        <w:ind w:right="40" w:firstLine="619"/>
        <w:spacing w:after="0" w:line="249" w:lineRule="auto"/>
        <w:rPr>
          <w:sz w:val="20"/>
          <w:szCs w:val="20"/>
          <w:color w:val="auto"/>
        </w:rPr>
      </w:pPr>
      <w:r>
        <w:rPr>
          <w:rFonts w:ascii="Times New Roman" w:cs="Times New Roman" w:eastAsia="Times New Roman" w:hAnsi="Times New Roman"/>
          <w:sz w:val="20"/>
          <w:szCs w:val="20"/>
          <w:color w:val="auto"/>
        </w:rPr>
        <w:t>Such companion diagnostics would be used during our clinical trials as well as in connection with the commercialization of our product candidates. In our Phase 1/2 clinical trial, we are working with physicians and leading academic centers to enroll patients with the p53 Y220C mutation identified through next generation sequencing, or NGS. To be successful, we or our collaborators will need to address a number of scientific, technical, regulatory and logistical challenges.</w:t>
      </w:r>
    </w:p>
    <w:p>
      <w:pPr>
        <w:spacing w:after="0" w:line="197" w:lineRule="exact"/>
        <w:rPr>
          <w:sz w:val="20"/>
          <w:szCs w:val="20"/>
          <w:color w:val="auto"/>
        </w:rPr>
      </w:pPr>
    </w:p>
    <w:p>
      <w:pPr>
        <w:ind w:right="20" w:firstLine="619"/>
        <w:spacing w:after="0" w:line="243" w:lineRule="auto"/>
        <w:rPr>
          <w:sz w:val="20"/>
          <w:szCs w:val="20"/>
          <w:color w:val="auto"/>
        </w:rPr>
      </w:pPr>
      <w:r>
        <w:rPr>
          <w:rFonts w:ascii="Times New Roman" w:cs="Times New Roman" w:eastAsia="Times New Roman" w:hAnsi="Times New Roman"/>
          <w:sz w:val="20"/>
          <w:szCs w:val="20"/>
          <w:color w:val="auto"/>
        </w:rPr>
        <w:t>We have little experience as a company in the development of diagnostics. As such, we expect to rely on partners for the design, development and manufacture of appropriate diagnostics to pair with our current or future product candidates. For example, in May 2024, we entered into a collaboration agreement with Foundation Medicine, Inc. for the development of Foundation Medicine’s tissue-based comprehensive genomic profiling test, FoundationOne®CDx, as a companion diagnostic for rezatapopt.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w:t>
      </w:r>
    </w:p>
    <w:p>
      <w:pPr>
        <w:spacing w:after="0" w:line="209"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20"/>
          <w:szCs w:val="20"/>
          <w:color w:val="auto"/>
        </w:rPr>
        <w:t xml:space="preserve">Companion diagnostics are subject to regulation by the FDA and comparable foreign regulatory authorities outside the United States as medical devices (or in </w:t>
      </w:r>
      <w:r>
        <w:rPr>
          <w:rFonts w:ascii="Times New Roman" w:cs="Times New Roman" w:eastAsia="Times New Roman" w:hAnsi="Times New Roman"/>
          <w:sz w:val="20"/>
          <w:szCs w:val="20"/>
          <w:i w:val="1"/>
          <w:iCs w:val="1"/>
          <w:color w:val="auto"/>
        </w:rPr>
        <w:t>vitro</w:t>
      </w:r>
      <w:r>
        <w:rPr>
          <w:rFonts w:ascii="Times New Roman" w:cs="Times New Roman" w:eastAsia="Times New Roman" w:hAnsi="Times New Roman"/>
          <w:sz w:val="20"/>
          <w:szCs w:val="20"/>
          <w:color w:val="auto"/>
        </w:rPr>
        <w:t xml:space="preserve"> diagnostic devices) and require separate regulatory approval or clearance prior to commercialization. Moreover, the FDA generally requires the contemporaneous approval of companion diagnostics and the associated therapeutic. Changes in the FDA leadership, regulatory actions and other actions under the Trump administration, including changes in the FDA’s regulation of diagnostic tests, may impact our development of a companion diagnostic for our product candidates and result in delays in regulatory approval.</w:t>
      </w:r>
    </w:p>
    <w:p>
      <w:pPr>
        <w:spacing w:after="0" w:line="200" w:lineRule="exact"/>
        <w:rPr>
          <w:sz w:val="20"/>
          <w:szCs w:val="20"/>
          <w:color w:val="auto"/>
        </w:rPr>
      </w:pPr>
    </w:p>
    <w:p>
      <w:pPr>
        <w:ind w:right="80" w:firstLine="619"/>
        <w:spacing w:after="0" w:line="247" w:lineRule="auto"/>
        <w:rPr>
          <w:sz w:val="20"/>
          <w:szCs w:val="20"/>
          <w:color w:val="auto"/>
        </w:rPr>
      </w:pPr>
      <w:r>
        <w:rPr>
          <w:rFonts w:ascii="Times New Roman" w:cs="Times New Roman" w:eastAsia="Times New Roman" w:hAnsi="Times New Roman"/>
          <w:sz w:val="20"/>
          <w:szCs w:val="20"/>
          <w:color w:val="auto"/>
        </w:rPr>
        <w:t>We and our future collaborators may encounter difficulties in developing, obtaining regulatory approval for, manufacturing 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our partners, or any third parties that we engage to assist us, are unable to successfully develop and supply companion diagnostics for our current product candidates and any future product candidates, or experience delays in doing so:</w:t>
      </w:r>
    </w:p>
    <w:p>
      <w:pPr>
        <w:spacing w:after="0" w:line="95" w:lineRule="exact"/>
        <w:rPr>
          <w:sz w:val="20"/>
          <w:szCs w:val="20"/>
          <w:color w:val="auto"/>
        </w:rPr>
      </w:pPr>
    </w:p>
    <w:p>
      <w:pPr>
        <w:ind w:left="900" w:right="220" w:hanging="281"/>
        <w:spacing w:after="0" w:line="303" w:lineRule="auto"/>
        <w:tabs>
          <w:tab w:leader="none" w:pos="900" w:val="left"/>
        </w:tabs>
        <w:numPr>
          <w:ilvl w:val="0"/>
          <w:numId w:val="21"/>
        </w:numPr>
        <w:rPr>
          <w:rFonts w:ascii="Arial" w:cs="Arial" w:eastAsia="Arial" w:hAnsi="Arial"/>
          <w:sz w:val="19"/>
          <w:szCs w:val="19"/>
          <w:color w:val="auto"/>
        </w:rPr>
      </w:pPr>
      <w:r>
        <w:rPr>
          <w:rFonts w:ascii="Times New Roman" w:cs="Times New Roman" w:eastAsia="Times New Roman" w:hAnsi="Times New Roman"/>
          <w:sz w:val="19"/>
          <w:szCs w:val="19"/>
          <w:color w:val="auto"/>
        </w:rPr>
        <w:t>the development of our current product candidates and any future product candidates may be adversely affected if we are unable to appropriately select patients for enrollment in our clinical trials; and</w:t>
      </w:r>
    </w:p>
    <w:p>
      <w:pPr>
        <w:spacing w:after="0" w:line="41" w:lineRule="exact"/>
        <w:rPr>
          <w:rFonts w:ascii="Arial" w:cs="Arial" w:eastAsia="Arial" w:hAnsi="Arial"/>
          <w:sz w:val="19"/>
          <w:szCs w:val="19"/>
          <w:color w:val="auto"/>
        </w:rPr>
      </w:pPr>
    </w:p>
    <w:p>
      <w:pPr>
        <w:ind w:left="900" w:right="840" w:hanging="281"/>
        <w:spacing w:after="0" w:line="277" w:lineRule="auto"/>
        <w:tabs>
          <w:tab w:leader="none" w:pos="90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obtain approval of our current product candidates and any future product candidates that require companion diagnostics on a timely basis or at all.</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If any of these events were to occur, our business would be adversely impacted.</w:t>
      </w:r>
    </w:p>
    <w:p>
      <w:pPr>
        <w:spacing w:after="0" w:line="360"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Global pandemics or other public health concerns and/or emergencies in the United States and the rest of the world that disrupt normal operations could materially adversely impact our business, results of operations and financial condition, including our preclinical studies and clinical trials.</w:t>
      </w:r>
    </w:p>
    <w:p>
      <w:pPr>
        <w:spacing w:after="0" w:line="68" w:lineRule="exact"/>
        <w:rPr>
          <w:sz w:val="20"/>
          <w:szCs w:val="20"/>
          <w:color w:val="auto"/>
        </w:rPr>
      </w:pPr>
    </w:p>
    <w:p>
      <w:pPr>
        <w:ind w:right="500" w:firstLine="619"/>
        <w:spacing w:after="0" w:line="278" w:lineRule="auto"/>
        <w:rPr>
          <w:sz w:val="20"/>
          <w:szCs w:val="20"/>
          <w:color w:val="auto"/>
        </w:rPr>
      </w:pPr>
      <w:r>
        <w:rPr>
          <w:rFonts w:ascii="Times New Roman" w:cs="Times New Roman" w:eastAsia="Times New Roman" w:hAnsi="Times New Roman"/>
          <w:sz w:val="20"/>
          <w:szCs w:val="20"/>
          <w:color w:val="auto"/>
        </w:rPr>
        <w:t>We may experience disruptions that could severely impact our business and clinical trials due to global pandemics, public health concerns or other public emergencies, including:</w:t>
      </w:r>
    </w:p>
    <w:p>
      <w:pPr>
        <w:spacing w:after="0" w:line="61" w:lineRule="exact"/>
        <w:rPr>
          <w:sz w:val="20"/>
          <w:szCs w:val="20"/>
          <w:color w:val="auto"/>
        </w:rPr>
      </w:pPr>
    </w:p>
    <w:p>
      <w:pPr>
        <w:ind w:left="900" w:hanging="281"/>
        <w:spacing w:after="0"/>
        <w:tabs>
          <w:tab w:leader="none" w:pos="90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delays or difficulties in enrolling and retaining patients in our clinical trials;</w:t>
      </w:r>
    </w:p>
    <w:p>
      <w:pPr>
        <w:spacing w:after="0" w:line="133" w:lineRule="exact"/>
        <w:rPr>
          <w:rFonts w:ascii="Arial" w:cs="Arial" w:eastAsia="Arial" w:hAnsi="Arial"/>
          <w:sz w:val="20"/>
          <w:szCs w:val="20"/>
          <w:color w:val="auto"/>
        </w:rPr>
      </w:pPr>
    </w:p>
    <w:p>
      <w:pPr>
        <w:ind w:left="900" w:right="40" w:hanging="281"/>
        <w:spacing w:after="0" w:line="277" w:lineRule="auto"/>
        <w:tabs>
          <w:tab w:leader="none" w:pos="90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delays or difficulties in clinical site initiation, including difficulties in recruiting clinical site investigators and clinical site staff;</w:t>
      </w:r>
    </w:p>
    <w:p>
      <w:pPr>
        <w:spacing w:after="0" w:line="62" w:lineRule="exact"/>
        <w:rPr>
          <w:rFonts w:ascii="Arial" w:cs="Arial" w:eastAsia="Arial" w:hAnsi="Arial"/>
          <w:sz w:val="20"/>
          <w:szCs w:val="20"/>
          <w:color w:val="auto"/>
        </w:rPr>
      </w:pPr>
    </w:p>
    <w:p>
      <w:pPr>
        <w:ind w:left="900" w:right="180" w:hanging="281"/>
        <w:spacing w:after="0" w:line="305" w:lineRule="auto"/>
        <w:tabs>
          <w:tab w:leader="none" w:pos="900" w:val="left"/>
        </w:tabs>
        <w:numPr>
          <w:ilvl w:val="0"/>
          <w:numId w:val="22"/>
        </w:numPr>
        <w:rPr>
          <w:rFonts w:ascii="Arial" w:cs="Arial" w:eastAsia="Arial" w:hAnsi="Arial"/>
          <w:sz w:val="19"/>
          <w:szCs w:val="19"/>
          <w:color w:val="auto"/>
        </w:rPr>
      </w:pPr>
      <w:r>
        <w:rPr>
          <w:rFonts w:ascii="Times New Roman" w:cs="Times New Roman" w:eastAsia="Times New Roman" w:hAnsi="Times New Roman"/>
          <w:sz w:val="19"/>
          <w:szCs w:val="19"/>
          <w:color w:val="auto"/>
        </w:rPr>
        <w:t>diversion of healthcare resources away from the conduct of clinical trials, including the diversion of hospitals serving as our clinical trial sites and hospital staff supporting the conduct of our clinical trials;</w:t>
      </w:r>
    </w:p>
    <w:p>
      <w:pPr>
        <w:spacing w:after="0" w:line="37" w:lineRule="exact"/>
        <w:rPr>
          <w:rFonts w:ascii="Arial" w:cs="Arial" w:eastAsia="Arial" w:hAnsi="Arial"/>
          <w:sz w:val="19"/>
          <w:szCs w:val="19"/>
          <w:color w:val="auto"/>
        </w:rPr>
      </w:pPr>
    </w:p>
    <w:p>
      <w:pPr>
        <w:jc w:val="both"/>
        <w:ind w:left="900" w:right="80" w:hanging="281"/>
        <w:spacing w:after="0" w:line="305" w:lineRule="auto"/>
        <w:tabs>
          <w:tab w:leader="none" w:pos="900" w:val="left"/>
        </w:tabs>
        <w:numPr>
          <w:ilvl w:val="0"/>
          <w:numId w:val="22"/>
        </w:numPr>
        <w:rPr>
          <w:rFonts w:ascii="Arial" w:cs="Arial" w:eastAsia="Arial" w:hAnsi="Arial"/>
          <w:sz w:val="19"/>
          <w:szCs w:val="19"/>
          <w:color w:val="auto"/>
        </w:rPr>
      </w:pPr>
      <w:r>
        <w:rPr>
          <w:rFonts w:ascii="Times New Roman" w:cs="Times New Roman" w:eastAsia="Times New Roman" w:hAnsi="Times New Roman"/>
          <w:sz w:val="19"/>
          <w:szCs w:val="19"/>
          <w:color w:val="auto"/>
        </w:rPr>
        <w:t>interruption of key clinical trial activities, such as clinical trial site data monitoring, due to limitations on travel imposed or recommended by federal or state governments, employers and others or interruption of</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360"/>
          </w:cols>
          <w:pgMar w:left="1440" w:top="1420" w:right="1440" w:bottom="175" w:gutter="0" w:footer="0" w:header="0"/>
        </w:sectPr>
      </w:pPr>
    </w:p>
    <w:bookmarkStart w:id="40" w:name="page41"/>
    <w:bookmarkEnd w:id="40"/>
    <w:p>
      <w:pPr>
        <w:ind w:left="900" w:right="400"/>
        <w:spacing w:after="0" w:line="277" w:lineRule="auto"/>
        <w:rPr>
          <w:sz w:val="20"/>
          <w:szCs w:val="20"/>
          <w:color w:val="auto"/>
        </w:rPr>
      </w:pPr>
      <w:r>
        <w:rPr>
          <w:rFonts w:ascii="Times New Roman" w:cs="Times New Roman" w:eastAsia="Times New Roman" w:hAnsi="Times New Roman"/>
          <w:sz w:val="20"/>
          <w:szCs w:val="20"/>
          <w:color w:val="auto"/>
        </w:rPr>
        <w:t>clinical trial subject visits and study procedures (such as endoscopies that are deemed non-essential), which may impact the integrity of subject data and clinical study endpoints;</w:t>
      </w:r>
    </w:p>
    <w:p>
      <w:pPr>
        <w:spacing w:after="0" w:line="63" w:lineRule="exact"/>
        <w:rPr>
          <w:sz w:val="20"/>
          <w:szCs w:val="20"/>
          <w:color w:val="auto"/>
        </w:rPr>
      </w:pPr>
    </w:p>
    <w:p>
      <w:pPr>
        <w:ind w:left="900" w:right="380" w:hanging="281"/>
        <w:spacing w:after="0" w:line="277" w:lineRule="auto"/>
        <w:tabs>
          <w:tab w:leader="none" w:pos="90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interruption or delays in the operations of the FDA or other regulatory authorities, which may impact review and approval timelines;</w:t>
      </w:r>
    </w:p>
    <w:p>
      <w:pPr>
        <w:spacing w:after="0" w:line="62" w:lineRule="exact"/>
        <w:rPr>
          <w:rFonts w:ascii="Arial" w:cs="Arial" w:eastAsia="Arial" w:hAnsi="Arial"/>
          <w:sz w:val="20"/>
          <w:szCs w:val="20"/>
          <w:color w:val="auto"/>
        </w:rPr>
      </w:pPr>
    </w:p>
    <w:p>
      <w:pPr>
        <w:ind w:left="900" w:right="860" w:hanging="281"/>
        <w:spacing w:after="0" w:line="258" w:lineRule="auto"/>
        <w:tabs>
          <w:tab w:leader="none" w:pos="90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interruption of, or delays in receiving, supplies of our product candidates from our contract manufacturing organizations due to staffing shortages, production slowdowns or stoppages and disruptions in delivery systems;</w:t>
      </w:r>
    </w:p>
    <w:p>
      <w:pPr>
        <w:spacing w:after="0" w:line="81" w:lineRule="exact"/>
        <w:rPr>
          <w:rFonts w:ascii="Arial" w:cs="Arial" w:eastAsia="Arial" w:hAnsi="Arial"/>
          <w:sz w:val="20"/>
          <w:szCs w:val="20"/>
          <w:color w:val="auto"/>
        </w:rPr>
      </w:pPr>
    </w:p>
    <w:p>
      <w:pPr>
        <w:ind w:left="900" w:hanging="281"/>
        <w:spacing w:after="0"/>
        <w:tabs>
          <w:tab w:leader="none" w:pos="90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interruptions in preclinical studies due to restricted or limited operations at our laboratory facility;</w:t>
      </w:r>
    </w:p>
    <w:p>
      <w:pPr>
        <w:spacing w:after="0" w:line="133" w:lineRule="exact"/>
        <w:rPr>
          <w:rFonts w:ascii="Arial" w:cs="Arial" w:eastAsia="Arial" w:hAnsi="Arial"/>
          <w:sz w:val="20"/>
          <w:szCs w:val="20"/>
          <w:color w:val="auto"/>
        </w:rPr>
      </w:pPr>
    </w:p>
    <w:p>
      <w:pPr>
        <w:ind w:left="900" w:right="300" w:hanging="281"/>
        <w:spacing w:after="0" w:line="258" w:lineRule="auto"/>
        <w:tabs>
          <w:tab w:leader="none" w:pos="90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81" w:lineRule="exact"/>
        <w:rPr>
          <w:rFonts w:ascii="Arial" w:cs="Arial" w:eastAsia="Arial" w:hAnsi="Arial"/>
          <w:sz w:val="20"/>
          <w:szCs w:val="20"/>
          <w:color w:val="auto"/>
        </w:rPr>
      </w:pPr>
    </w:p>
    <w:p>
      <w:pPr>
        <w:ind w:left="900" w:hanging="281"/>
        <w:spacing w:after="0"/>
        <w:tabs>
          <w:tab w:leader="none" w:pos="90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interruption or delays to our sourced discovery and clinical activities; and</w:t>
      </w:r>
    </w:p>
    <w:p>
      <w:pPr>
        <w:spacing w:after="0" w:line="132" w:lineRule="exact"/>
        <w:rPr>
          <w:rFonts w:ascii="Arial" w:cs="Arial" w:eastAsia="Arial" w:hAnsi="Arial"/>
          <w:sz w:val="20"/>
          <w:szCs w:val="20"/>
          <w:color w:val="auto"/>
        </w:rPr>
      </w:pPr>
    </w:p>
    <w:p>
      <w:pPr>
        <w:ind w:left="900" w:right="260" w:hanging="281"/>
        <w:spacing w:after="0" w:line="277" w:lineRule="auto"/>
        <w:tabs>
          <w:tab w:leader="none" w:pos="90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clinical site procedures and requirements as well as regulatory requirements for conducting clinical trials during the pandemic.</w:t>
      </w:r>
    </w:p>
    <w:p>
      <w:pPr>
        <w:spacing w:after="0" w:line="199"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20"/>
          <w:szCs w:val="20"/>
          <w:color w:val="auto"/>
        </w:rPr>
        <w:t>The ultimate impact of a global pandemic or other public health emergency on our business operations is difficult to forecast and highly uncertain, and there can be no assurance that we will be able to avoid a material impact on our business from such global pandemic or other public health emergency or their consequences, including disruption to our business and downturns in business sentiment generally or in our industry. To the extent a global pandemic or other public health emergency adversely affects our business, financial condition and results of operations, it may also have the effect of heightening many of the risks described in this “Risk factors” section.</w:t>
      </w:r>
    </w:p>
    <w:p>
      <w:pPr>
        <w:spacing w:after="0" w:line="319" w:lineRule="exact"/>
        <w:rPr>
          <w:sz w:val="20"/>
          <w:szCs w:val="20"/>
          <w:color w:val="auto"/>
        </w:rPr>
      </w:pPr>
    </w:p>
    <w:p>
      <w:pPr>
        <w:ind w:right="7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experience delays or difficulties in the enrollment and/or retention of patients in clinical trials, our regulatory submissions or receipt of necessary marketing approvals could be delayed or prevented.</w:t>
      </w:r>
    </w:p>
    <w:p>
      <w:pPr>
        <w:spacing w:after="0" w:line="48" w:lineRule="exact"/>
        <w:rPr>
          <w:sz w:val="20"/>
          <w:szCs w:val="20"/>
          <w:color w:val="auto"/>
        </w:rPr>
      </w:pPr>
    </w:p>
    <w:p>
      <w:pPr>
        <w:ind w:right="60" w:firstLine="619"/>
        <w:spacing w:after="0" w:line="246" w:lineRule="auto"/>
        <w:rPr>
          <w:sz w:val="20"/>
          <w:szCs w:val="20"/>
          <w:color w:val="auto"/>
        </w:rPr>
      </w:pPr>
      <w:r>
        <w:rPr>
          <w:rFonts w:ascii="Times New Roman" w:cs="Times New Roman" w:eastAsia="Times New Roman" w:hAnsi="Times New Roman"/>
          <w:sz w:val="20"/>
          <w:szCs w:val="20"/>
          <w:color w:val="auto"/>
        </w:rPr>
        <w:t>We may not be able to initiate or continue clinical trials on a timely basis or at all for our product candidates if we are unable to recruit and enroll a sufficient number of eligible patients to participate in these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For example, our enrollment for clinical trials of rezatapopt will require patients to have the specific p53 Y220C mutation. If we are unable to locate a sufficient number of such patients, our clinical trial and development plans could be delayed.</w:t>
      </w:r>
    </w:p>
    <w:p>
      <w:pPr>
        <w:spacing w:after="0" w:line="229" w:lineRule="exact"/>
        <w:rPr>
          <w:sz w:val="20"/>
          <w:szCs w:val="20"/>
          <w:color w:val="auto"/>
        </w:rPr>
      </w:pPr>
    </w:p>
    <w:p>
      <w:pPr>
        <w:jc w:val="both"/>
        <w:ind w:right="40" w:firstLine="619"/>
        <w:spacing w:after="0" w:line="252" w:lineRule="auto"/>
        <w:rPr>
          <w:sz w:val="20"/>
          <w:szCs w:val="20"/>
          <w:color w:val="auto"/>
        </w:rPr>
      </w:pPr>
      <w:r>
        <w:rPr>
          <w:rFonts w:ascii="Times New Roman" w:cs="Times New Roman" w:eastAsia="Times New Roman" w:hAnsi="Times New Roman"/>
          <w:sz w:val="20"/>
          <w:szCs w:val="20"/>
          <w:color w:val="auto"/>
        </w:rPr>
        <w:t>Patient enrollment may also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Patient enrollment for our current or any future clinical trials may be affected by other factors, including:</w:t>
      </w:r>
    </w:p>
    <w:p>
      <w:pPr>
        <w:spacing w:after="0" w:line="89" w:lineRule="exact"/>
        <w:rPr>
          <w:sz w:val="20"/>
          <w:szCs w:val="20"/>
          <w:color w:val="auto"/>
        </w:rPr>
      </w:pPr>
    </w:p>
    <w:p>
      <w:pPr>
        <w:ind w:left="900" w:hanging="281"/>
        <w:spacing w:after="0"/>
        <w:tabs>
          <w:tab w:leader="none" w:pos="90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size and nature of the patient population;</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severity of the disease under investigation;</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availability and efficacy of approved drugs for the disease under investigation;</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patient eligibility criteria for the trial in question as defined in the protocol;</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perceived risks and benefits of the product candidate under study;</w:t>
      </w:r>
    </w:p>
    <w:p>
      <w:pPr>
        <w:spacing w:after="0" w:line="125" w:lineRule="exact"/>
        <w:rPr>
          <w:rFonts w:ascii="Arial" w:cs="Arial" w:eastAsia="Arial" w:hAnsi="Arial"/>
          <w:sz w:val="20"/>
          <w:szCs w:val="20"/>
          <w:color w:val="auto"/>
        </w:rPr>
      </w:pPr>
    </w:p>
    <w:p>
      <w:pPr>
        <w:ind w:left="900" w:right="60" w:hanging="281"/>
        <w:spacing w:after="0" w:line="248" w:lineRule="auto"/>
        <w:tabs>
          <w:tab w:leader="none" w:pos="90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clinicians’ and patients’ perceptions as to the potential advantages of the product candidate being studied in relation to other available therapies, including any new products that may be approved or future product candidates being investigated for the indications we are investigating;</w:t>
      </w:r>
    </w:p>
    <w:p>
      <w:pPr>
        <w:spacing w:after="0" w:line="81" w:lineRule="exact"/>
        <w:rPr>
          <w:rFonts w:ascii="Arial" w:cs="Arial" w:eastAsia="Arial" w:hAnsi="Arial"/>
          <w:sz w:val="20"/>
          <w:szCs w:val="20"/>
          <w:color w:val="auto"/>
        </w:rPr>
      </w:pPr>
    </w:p>
    <w:p>
      <w:pPr>
        <w:ind w:left="900" w:right="200" w:hanging="281"/>
        <w:spacing w:after="0" w:line="267" w:lineRule="auto"/>
        <w:tabs>
          <w:tab w:leader="none" w:pos="90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clinicians’ willingness to screen their patients for biomarkers to indicate which patients may be eligible for enrollment in our clinical trials;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360"/>
          </w:cols>
          <w:pgMar w:left="1440" w:top="1420" w:right="1440" w:bottom="175" w:gutter="0" w:footer="0" w:header="0"/>
        </w:sectPr>
      </w:pPr>
    </w:p>
    <w:bookmarkStart w:id="41" w:name="page42"/>
    <w:bookmarkEnd w:id="41"/>
    <w:p>
      <w:pPr>
        <w:ind w:left="900" w:right="580" w:hanging="281"/>
        <w:spacing w:after="0" w:line="266" w:lineRule="auto"/>
        <w:tabs>
          <w:tab w:leader="none" w:pos="90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or temporary suspension of the enrollment of patients in our clinical trials due to a global pandemic or other public health emergencies;</w:t>
      </w:r>
    </w:p>
    <w:p>
      <w:pPr>
        <w:spacing w:after="0" w:line="64" w:lineRule="exact"/>
        <w:rPr>
          <w:rFonts w:ascii="Arial" w:cs="Arial" w:eastAsia="Arial" w:hAnsi="Arial"/>
          <w:sz w:val="20"/>
          <w:szCs w:val="20"/>
          <w:color w:val="auto"/>
        </w:rPr>
      </w:pPr>
    </w:p>
    <w:p>
      <w:pPr>
        <w:ind w:left="900" w:hanging="281"/>
        <w:spacing w:after="0"/>
        <w:tabs>
          <w:tab w:leader="none" w:pos="90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ability to obtain and maintain patient consents;</w:t>
      </w:r>
    </w:p>
    <w:p>
      <w:pPr>
        <w:spacing w:after="0" w:line="124" w:lineRule="exact"/>
        <w:rPr>
          <w:rFonts w:ascii="Arial" w:cs="Arial" w:eastAsia="Arial" w:hAnsi="Arial"/>
          <w:sz w:val="20"/>
          <w:szCs w:val="20"/>
          <w:color w:val="auto"/>
        </w:rPr>
      </w:pPr>
    </w:p>
    <w:p>
      <w:pPr>
        <w:ind w:left="900" w:hanging="281"/>
        <w:spacing w:after="0"/>
        <w:tabs>
          <w:tab w:leader="none" w:pos="90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patient referral practices of physicians;</w:t>
      </w:r>
    </w:p>
    <w:p>
      <w:pPr>
        <w:spacing w:after="0" w:line="123" w:lineRule="exact"/>
        <w:rPr>
          <w:rFonts w:ascii="Arial" w:cs="Arial" w:eastAsia="Arial" w:hAnsi="Arial"/>
          <w:sz w:val="20"/>
          <w:szCs w:val="20"/>
          <w:color w:val="auto"/>
        </w:rPr>
      </w:pPr>
    </w:p>
    <w:p>
      <w:pPr>
        <w:ind w:left="900" w:hanging="281"/>
        <w:spacing w:after="0"/>
        <w:tabs>
          <w:tab w:leader="none" w:pos="90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monitor patients adequately during and after treatment;</w:t>
      </w:r>
    </w:p>
    <w:p>
      <w:pPr>
        <w:spacing w:after="0" w:line="124" w:lineRule="exact"/>
        <w:rPr>
          <w:rFonts w:ascii="Arial" w:cs="Arial" w:eastAsia="Arial" w:hAnsi="Arial"/>
          <w:sz w:val="20"/>
          <w:szCs w:val="20"/>
          <w:color w:val="auto"/>
        </w:rPr>
      </w:pPr>
    </w:p>
    <w:p>
      <w:pPr>
        <w:ind w:left="900" w:hanging="281"/>
        <w:spacing w:after="0"/>
        <w:tabs>
          <w:tab w:leader="none" w:pos="90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proximity and availability of clinical trial sites for prospective patients; and</w:t>
      </w:r>
    </w:p>
    <w:p>
      <w:pPr>
        <w:spacing w:after="0" w:line="123" w:lineRule="exact"/>
        <w:rPr>
          <w:rFonts w:ascii="Arial" w:cs="Arial" w:eastAsia="Arial" w:hAnsi="Arial"/>
          <w:sz w:val="20"/>
          <w:szCs w:val="20"/>
          <w:color w:val="auto"/>
        </w:rPr>
      </w:pPr>
    </w:p>
    <w:p>
      <w:pPr>
        <w:ind w:left="900" w:right="80" w:hanging="281"/>
        <w:spacing w:after="0" w:line="249" w:lineRule="auto"/>
        <w:tabs>
          <w:tab w:leader="none" w:pos="90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the risk that patients enrolled in clinical trials will drop out of the trials before completion, including as a result of other health conditions, or, because they may be late-stage cancer patients, will not survive the full terms of the clinical trials.</w:t>
      </w:r>
    </w:p>
    <w:p>
      <w:pPr>
        <w:spacing w:after="0" w:line="305"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The market opportunities for our product candidates may be relatively small as it will be limited to those patients who are ineligible for or have failed prior treatments and our estimates of the prevalence of our target patient populations may be inaccurate.</w:t>
      </w:r>
    </w:p>
    <w:p>
      <w:pPr>
        <w:spacing w:after="0" w:line="66" w:lineRule="exact"/>
        <w:rPr>
          <w:sz w:val="20"/>
          <w:szCs w:val="20"/>
          <w:color w:val="auto"/>
        </w:rPr>
      </w:pPr>
    </w:p>
    <w:p>
      <w:pPr>
        <w:ind w:firstLine="619"/>
        <w:spacing w:after="0" w:line="233" w:lineRule="auto"/>
        <w:rPr>
          <w:sz w:val="20"/>
          <w:szCs w:val="20"/>
          <w:color w:val="auto"/>
        </w:rPr>
      </w:pPr>
      <w:r>
        <w:rPr>
          <w:rFonts w:ascii="Times New Roman" w:cs="Times New Roman" w:eastAsia="Times New Roman" w:hAnsi="Times New Roman"/>
          <w:sz w:val="20"/>
          <w:szCs w:val="20"/>
          <w:color w:val="auto"/>
        </w:rPr>
        <w:t>Cancer therapies are sometimes characterized as first line, second line, or third line, and the FDA customarily approves new therapies only for a second line or later lines of use. When cancer is detected early enough, first line therapy is sometimes adequate to cure the cancer or prolong life without a cure. Whenever first line therapies,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We expect to initially seek approval of our product candidates in most instances at least as a second line therapy. Subsequently, depending on the nature of the clinical data and experience with any approved products or product candidates, if any, we may pursue approval as an earlier line therapy and potentially as a first line therapy. But there is no guarantee that our product candidates, even if approved as a second or subsequent line of therapy, would be approved for an earlier line of therapy, and, prior to any such approvals, we may have to conduct additional clinical trials.</w:t>
      </w:r>
    </w:p>
    <w:p>
      <w:pPr>
        <w:spacing w:after="0" w:line="203" w:lineRule="exact"/>
        <w:rPr>
          <w:sz w:val="20"/>
          <w:szCs w:val="20"/>
          <w:color w:val="auto"/>
        </w:rPr>
      </w:pPr>
    </w:p>
    <w:p>
      <w:pPr>
        <w:ind w:right="20" w:firstLine="619"/>
        <w:spacing w:after="0" w:line="234" w:lineRule="auto"/>
        <w:rPr>
          <w:sz w:val="20"/>
          <w:szCs w:val="20"/>
          <w:color w:val="auto"/>
        </w:rPr>
      </w:pPr>
      <w:r>
        <w:rPr>
          <w:rFonts w:ascii="Times New Roman" w:cs="Times New Roman" w:eastAsia="Times New Roman" w:hAnsi="Times New Roman"/>
          <w:sz w:val="20"/>
          <w:szCs w:val="20"/>
          <w:color w:val="auto"/>
        </w:rPr>
        <w:t>Our projections of both the number of people who have the p53 hotspot mutations we are targeting, who may have their tumors genomically sequenced, as well as the subset of people with these mutations in a position to receive a particular line of therapy and who have the potential to benefit from treatment with our product candidates, are based on our assumptions and estimates. These estimates have been derived from a variety of sources, including scientific literature, surveys of clinics, patient foundations or market research, and may prove to be incorrect. Further, new therapies may change the estimated incidence or prevalence of the cancers that we are targeting. Consequently, even if our product candidates are approved for a second or third line of therapy,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such tumor type.</w:t>
      </w:r>
    </w:p>
    <w:p>
      <w:pPr>
        <w:spacing w:after="0" w:line="318"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Our business may become subject to economic, political, regulatory, and other risks associated with international operations directly or indirectly. A variety of risks associated with marketing our product candidates, if approved, internationally may materially adversely affect our business.</w:t>
      </w:r>
    </w:p>
    <w:p>
      <w:pPr>
        <w:spacing w:after="0" w:line="66" w:lineRule="exact"/>
        <w:rPr>
          <w:sz w:val="20"/>
          <w:szCs w:val="20"/>
          <w:color w:val="auto"/>
        </w:rPr>
      </w:pPr>
    </w:p>
    <w:p>
      <w:pPr>
        <w:ind w:right="320" w:firstLine="619"/>
        <w:spacing w:after="0" w:line="239" w:lineRule="auto"/>
        <w:rPr>
          <w:sz w:val="20"/>
          <w:szCs w:val="20"/>
          <w:color w:val="auto"/>
        </w:rPr>
      </w:pPr>
      <w:r>
        <w:rPr>
          <w:rFonts w:ascii="Times New Roman" w:cs="Times New Roman" w:eastAsia="Times New Roman" w:hAnsi="Times New Roman"/>
          <w:sz w:val="20"/>
          <w:szCs w:val="20"/>
          <w:color w:val="auto"/>
        </w:rPr>
        <w:t>Our business is subject to risks associated with business operations we conduct internationally, as well as indirect impacts from our relationships with collaborators, partners, or contractors who conduct business internationally. To the extent we seek regulatory approval of any of our product candidates outside of the United States, we expect that we will be subject to additional risks related to our operations in foreign countries. Accordingly, our future results could be harmed directly or indirectly by a variety of factors, including:</w:t>
      </w:r>
    </w:p>
    <w:p>
      <w:pPr>
        <w:spacing w:after="0" w:line="92" w:lineRule="exact"/>
        <w:rPr>
          <w:sz w:val="20"/>
          <w:szCs w:val="20"/>
          <w:color w:val="auto"/>
        </w:rPr>
      </w:pPr>
    </w:p>
    <w:p>
      <w:pPr>
        <w:ind w:left="900" w:right="320" w:hanging="280"/>
        <w:spacing w:after="0" w:line="248" w:lineRule="auto"/>
        <w:tabs>
          <w:tab w:leader="none" w:pos="90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differing regulatory requirements in foreign countries, changes in existing regulatory requirements, or implementation of new regulatory requirements or policies that impact our clinical development and business operations in foreign countries;</w:t>
      </w:r>
    </w:p>
    <w:p>
      <w:pPr>
        <w:spacing w:after="0" w:line="81" w:lineRule="exact"/>
        <w:rPr>
          <w:rFonts w:ascii="Arial" w:cs="Arial" w:eastAsia="Arial" w:hAnsi="Arial"/>
          <w:sz w:val="20"/>
          <w:szCs w:val="20"/>
          <w:color w:val="auto"/>
        </w:rPr>
      </w:pPr>
    </w:p>
    <w:p>
      <w:pPr>
        <w:ind w:left="900" w:right="420" w:hanging="280"/>
        <w:spacing w:after="0" w:line="266" w:lineRule="auto"/>
        <w:tabs>
          <w:tab w:leader="none" w:pos="90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foreign regulatory authorities may disagree with the design, implementation or results of our clinical trials or our interpretation of data from preclinical studies or clinical trials;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360"/>
          </w:cols>
          <w:pgMar w:left="1440" w:top="1426" w:right="1440" w:bottom="175" w:gutter="0" w:footer="0" w:header="0"/>
        </w:sectPr>
      </w:pPr>
    </w:p>
    <w:bookmarkStart w:id="42" w:name="page43"/>
    <w:bookmarkEnd w:id="42"/>
    <w:p>
      <w:pPr>
        <w:ind w:left="900" w:right="280" w:hanging="281"/>
        <w:spacing w:after="0" w:line="266" w:lineRule="auto"/>
        <w:tabs>
          <w:tab w:leader="none" w:pos="90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approval policies or regulations of foreign regulatory authorities may significantly change in a manner rendering our clinical data insufficient for approval;</w:t>
      </w:r>
    </w:p>
    <w:p>
      <w:pPr>
        <w:spacing w:after="0" w:line="64" w:lineRule="exact"/>
        <w:rPr>
          <w:rFonts w:ascii="Arial" w:cs="Arial" w:eastAsia="Arial" w:hAnsi="Arial"/>
          <w:sz w:val="20"/>
          <w:szCs w:val="20"/>
          <w:color w:val="auto"/>
        </w:rPr>
      </w:pPr>
    </w:p>
    <w:p>
      <w:pPr>
        <w:ind w:left="900" w:right="380" w:hanging="281"/>
        <w:spacing w:after="0" w:line="267" w:lineRule="auto"/>
        <w:tabs>
          <w:tab w:leader="none" w:pos="90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impact of a global pandemic or other public health emergencies on our ability to produce our product candidates and conduct clinical trials in foreign countries;</w:t>
      </w:r>
    </w:p>
    <w:p>
      <w:pPr>
        <w:spacing w:after="0" w:line="62" w:lineRule="exact"/>
        <w:rPr>
          <w:rFonts w:ascii="Arial" w:cs="Arial" w:eastAsia="Arial" w:hAnsi="Arial"/>
          <w:sz w:val="20"/>
          <w:szCs w:val="20"/>
          <w:color w:val="auto"/>
        </w:rPr>
      </w:pPr>
    </w:p>
    <w:p>
      <w:pPr>
        <w:ind w:left="900" w:hanging="281"/>
        <w:spacing w:after="0"/>
        <w:tabs>
          <w:tab w:leader="none" w:pos="90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sociopolitical instability in particular foreign economies and markets;</w:t>
      </w:r>
    </w:p>
    <w:p>
      <w:pPr>
        <w:spacing w:after="0" w:line="124" w:lineRule="exact"/>
        <w:rPr>
          <w:rFonts w:ascii="Arial" w:cs="Arial" w:eastAsia="Arial" w:hAnsi="Arial"/>
          <w:sz w:val="20"/>
          <w:szCs w:val="20"/>
          <w:color w:val="auto"/>
        </w:rPr>
      </w:pPr>
    </w:p>
    <w:p>
      <w:pPr>
        <w:ind w:left="900" w:right="960" w:hanging="281"/>
        <w:spacing w:after="0" w:line="267" w:lineRule="auto"/>
        <w:tabs>
          <w:tab w:leader="none" w:pos="90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unexpected changes in tariffs, trade barriers, price and exchange controls and other regulatory requirements;</w:t>
      </w:r>
    </w:p>
    <w:p>
      <w:pPr>
        <w:spacing w:after="0" w:line="62" w:lineRule="exact"/>
        <w:rPr>
          <w:rFonts w:ascii="Arial" w:cs="Arial" w:eastAsia="Arial" w:hAnsi="Arial"/>
          <w:sz w:val="20"/>
          <w:szCs w:val="20"/>
          <w:color w:val="auto"/>
        </w:rPr>
      </w:pPr>
    </w:p>
    <w:p>
      <w:pPr>
        <w:ind w:left="900" w:hanging="281"/>
        <w:spacing w:after="0" w:line="234" w:lineRule="auto"/>
        <w:tabs>
          <w:tab w:leader="none" w:pos="90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legislation or other measures that restrict business, trade, or use of government funding for any product or service rendered by certain companies based in China or Chinese-owned U.S. companies due to national security concerns or geopolitical issues, and our reliance on such Chinese companies, including CROs, contract manufacturing organization, or CMOs, suppliers, and other vendors or contractors based in China. For example, proposed legislation in Congress known as the BIOSECURE Act, or similar legislation, could limit our ability to work with CROs or CMOs in China and would restrict the purchase of services or products from certain specified companies in China. This new or proposed legislation, or similar legislation in the future, could adversely impact our current or future third-party arrangements with certain companies, including those in China or Chinese-owned U.S. companies, which could delay or impact clinical trials and consequently delay or obstruct successful commercialization of our drug candidates;</w:t>
      </w:r>
    </w:p>
    <w:p>
      <w:pPr>
        <w:spacing w:after="0" w:line="91" w:lineRule="exact"/>
        <w:rPr>
          <w:rFonts w:ascii="Arial" w:cs="Arial" w:eastAsia="Arial" w:hAnsi="Arial"/>
          <w:sz w:val="20"/>
          <w:szCs w:val="20"/>
          <w:color w:val="auto"/>
        </w:rPr>
      </w:pPr>
    </w:p>
    <w:p>
      <w:pPr>
        <w:ind w:left="900" w:hanging="281"/>
        <w:spacing w:after="0" w:line="239" w:lineRule="auto"/>
        <w:tabs>
          <w:tab w:leader="none" w:pos="90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regulations or other potentially new measures that, for national security or geopolitical reasons, affect the transfer of certain types of data abroad, including to China; for example, the Department of Justice recently issued a final rule which takes effect in April 2025 that places limitations, and in some cases prohibitions, on certain transfers of sensitive personal data to business partners located in China and other designated countries, or with other specified links to China and other designated countries;</w:t>
      </w:r>
    </w:p>
    <w:p>
      <w:pPr>
        <w:spacing w:after="0" w:line="91" w:lineRule="exact"/>
        <w:rPr>
          <w:rFonts w:ascii="Arial" w:cs="Arial" w:eastAsia="Arial" w:hAnsi="Arial"/>
          <w:sz w:val="20"/>
          <w:szCs w:val="20"/>
          <w:color w:val="auto"/>
        </w:rPr>
      </w:pPr>
    </w:p>
    <w:p>
      <w:pPr>
        <w:ind w:left="900" w:right="560" w:hanging="281"/>
        <w:spacing w:after="0" w:line="266" w:lineRule="auto"/>
        <w:tabs>
          <w:tab w:leader="none" w:pos="90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economic weakness, including inflation, or political instability in particular foreign economies and markets;</w:t>
      </w:r>
    </w:p>
    <w:p>
      <w:pPr>
        <w:spacing w:after="0" w:line="63" w:lineRule="exact"/>
        <w:rPr>
          <w:rFonts w:ascii="Arial" w:cs="Arial" w:eastAsia="Arial" w:hAnsi="Arial"/>
          <w:sz w:val="20"/>
          <w:szCs w:val="20"/>
          <w:color w:val="auto"/>
        </w:rPr>
      </w:pPr>
    </w:p>
    <w:p>
      <w:pPr>
        <w:ind w:left="900" w:hanging="281"/>
        <w:spacing w:after="0"/>
        <w:tabs>
          <w:tab w:leader="none" w:pos="90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compliance with tax, employment, immigration and labor laws for employees living or traveling abroad;</w:t>
      </w:r>
    </w:p>
    <w:p>
      <w:pPr>
        <w:spacing w:after="0" w:line="124" w:lineRule="exact"/>
        <w:rPr>
          <w:rFonts w:ascii="Arial" w:cs="Arial" w:eastAsia="Arial" w:hAnsi="Arial"/>
          <w:sz w:val="20"/>
          <w:szCs w:val="20"/>
          <w:color w:val="auto"/>
        </w:rPr>
      </w:pPr>
    </w:p>
    <w:p>
      <w:pPr>
        <w:ind w:left="900" w:hanging="281"/>
        <w:spacing w:after="0"/>
        <w:tabs>
          <w:tab w:leader="none" w:pos="90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foreign taxes, including withholding of payroll taxes;</w:t>
      </w:r>
    </w:p>
    <w:p>
      <w:pPr>
        <w:spacing w:after="0" w:line="123" w:lineRule="exact"/>
        <w:rPr>
          <w:rFonts w:ascii="Arial" w:cs="Arial" w:eastAsia="Arial" w:hAnsi="Arial"/>
          <w:sz w:val="20"/>
          <w:szCs w:val="20"/>
          <w:color w:val="auto"/>
        </w:rPr>
      </w:pPr>
    </w:p>
    <w:p>
      <w:pPr>
        <w:ind w:left="900" w:right="220" w:hanging="281"/>
        <w:spacing w:after="0" w:line="267" w:lineRule="auto"/>
        <w:tabs>
          <w:tab w:leader="none" w:pos="90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foreign currency fluctuations, which could result in increased operating expenses and reduced revenue, and obligations incident to doing business in another country;</w:t>
      </w:r>
    </w:p>
    <w:p>
      <w:pPr>
        <w:spacing w:after="0" w:line="63" w:lineRule="exact"/>
        <w:rPr>
          <w:rFonts w:ascii="Arial" w:cs="Arial" w:eastAsia="Arial" w:hAnsi="Arial"/>
          <w:sz w:val="20"/>
          <w:szCs w:val="20"/>
          <w:color w:val="auto"/>
        </w:rPr>
      </w:pPr>
    </w:p>
    <w:p>
      <w:pPr>
        <w:ind w:left="900" w:hanging="281"/>
        <w:spacing w:after="0"/>
        <w:tabs>
          <w:tab w:leader="none" w:pos="90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difficulties staffing and managing foreign operations;</w:t>
      </w:r>
    </w:p>
    <w:p>
      <w:pPr>
        <w:spacing w:after="0" w:line="123" w:lineRule="exact"/>
        <w:rPr>
          <w:rFonts w:ascii="Arial" w:cs="Arial" w:eastAsia="Arial" w:hAnsi="Arial"/>
          <w:sz w:val="20"/>
          <w:szCs w:val="20"/>
          <w:color w:val="auto"/>
        </w:rPr>
      </w:pPr>
    </w:p>
    <w:p>
      <w:pPr>
        <w:ind w:left="900" w:hanging="281"/>
        <w:spacing w:after="0"/>
        <w:tabs>
          <w:tab w:leader="none" w:pos="90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workforce uncertainty in countries where labor unrest is more common than in the United States;</w:t>
      </w:r>
    </w:p>
    <w:p>
      <w:pPr>
        <w:spacing w:after="0" w:line="124" w:lineRule="exact"/>
        <w:rPr>
          <w:rFonts w:ascii="Arial" w:cs="Arial" w:eastAsia="Arial" w:hAnsi="Arial"/>
          <w:sz w:val="20"/>
          <w:szCs w:val="20"/>
          <w:color w:val="auto"/>
        </w:rPr>
      </w:pPr>
    </w:p>
    <w:p>
      <w:pPr>
        <w:ind w:left="900" w:hanging="281"/>
        <w:spacing w:after="0"/>
        <w:tabs>
          <w:tab w:leader="none" w:pos="90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liability under the Foreign Corrupt Practices Act of 1977 or comparable foreign regulations;</w:t>
      </w:r>
    </w:p>
    <w:p>
      <w:pPr>
        <w:spacing w:after="0" w:line="123" w:lineRule="exact"/>
        <w:rPr>
          <w:rFonts w:ascii="Arial" w:cs="Arial" w:eastAsia="Arial" w:hAnsi="Arial"/>
          <w:sz w:val="20"/>
          <w:szCs w:val="20"/>
          <w:color w:val="auto"/>
        </w:rPr>
      </w:pPr>
    </w:p>
    <w:p>
      <w:pPr>
        <w:ind w:left="900" w:right="60" w:hanging="281"/>
        <w:spacing w:after="0" w:line="294" w:lineRule="auto"/>
        <w:tabs>
          <w:tab w:leader="none" w:pos="900" w:val="left"/>
        </w:tabs>
        <w:numPr>
          <w:ilvl w:val="0"/>
          <w:numId w:val="27"/>
        </w:numPr>
        <w:rPr>
          <w:rFonts w:ascii="Arial" w:cs="Arial" w:eastAsia="Arial" w:hAnsi="Arial"/>
          <w:sz w:val="19"/>
          <w:szCs w:val="19"/>
          <w:color w:val="auto"/>
        </w:rPr>
      </w:pPr>
      <w:r>
        <w:rPr>
          <w:rFonts w:ascii="Times New Roman" w:cs="Times New Roman" w:eastAsia="Times New Roman" w:hAnsi="Times New Roman"/>
          <w:sz w:val="19"/>
          <w:szCs w:val="19"/>
          <w:color w:val="auto"/>
        </w:rPr>
        <w:t>challenges enforcing our contractual and intellectual property rights, especially in those foreign countries that do not respect and protect intellectual property rights to the same extent as the United States;</w:t>
      </w:r>
    </w:p>
    <w:p>
      <w:pPr>
        <w:spacing w:after="0" w:line="39" w:lineRule="exact"/>
        <w:rPr>
          <w:rFonts w:ascii="Arial" w:cs="Arial" w:eastAsia="Arial" w:hAnsi="Arial"/>
          <w:sz w:val="19"/>
          <w:szCs w:val="19"/>
          <w:color w:val="auto"/>
        </w:rPr>
      </w:pPr>
    </w:p>
    <w:p>
      <w:pPr>
        <w:ind w:left="900" w:right="60" w:hanging="281"/>
        <w:spacing w:after="0" w:line="236" w:lineRule="auto"/>
        <w:tabs>
          <w:tab w:leader="none" w:pos="90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trade protection measures, import or export licensing requirements or other restrictive actions by U.S. or non-U.S. governments; production or supply shortages resulting directly or indirectly from any events affecting raw material supply or manufacturing capabilities abroad, including, but not limited to, impacts due to the ongoing Ukraine-Russia war or the conflict in the Middle East, addition of certain suppliers or companies to the Unverified List under the Export Administration Regulations, implementation of other export controls, restrictions or sanctions that can impact the supply chain, our business, or business operations of our suppliers, contractors or partners;</w:t>
      </w:r>
    </w:p>
    <w:p>
      <w:pPr>
        <w:spacing w:after="0" w:line="92" w:lineRule="exact"/>
        <w:rPr>
          <w:rFonts w:ascii="Arial" w:cs="Arial" w:eastAsia="Arial" w:hAnsi="Arial"/>
          <w:sz w:val="20"/>
          <w:szCs w:val="20"/>
          <w:color w:val="auto"/>
        </w:rPr>
      </w:pPr>
    </w:p>
    <w:p>
      <w:pPr>
        <w:ind w:left="900" w:right="180" w:hanging="281"/>
        <w:spacing w:after="0" w:line="249" w:lineRule="auto"/>
        <w:tabs>
          <w:tab w:leader="none" w:pos="90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business interruptions resulting directly or indirectly from geo-political actions, conflicts and terrorism; and supply and other disruptions resulting from the impact of public health epidemics on our strategic partners, third-party manufacturers, suppliers and other third parties upon which we rely.</w:t>
      </w:r>
    </w:p>
    <w:p>
      <w:pPr>
        <w:spacing w:after="0" w:line="193" w:lineRule="exact"/>
        <w:rPr>
          <w:sz w:val="20"/>
          <w:szCs w:val="20"/>
          <w:color w:val="auto"/>
        </w:rPr>
      </w:pPr>
    </w:p>
    <w:p>
      <w:pPr>
        <w:ind w:right="140" w:firstLine="619"/>
        <w:spacing w:after="0" w:line="278" w:lineRule="auto"/>
        <w:rPr>
          <w:sz w:val="20"/>
          <w:szCs w:val="20"/>
          <w:color w:val="auto"/>
        </w:rPr>
      </w:pPr>
      <w:r>
        <w:rPr>
          <w:rFonts w:ascii="Times New Roman" w:cs="Times New Roman" w:eastAsia="Times New Roman" w:hAnsi="Times New Roman"/>
          <w:sz w:val="20"/>
          <w:szCs w:val="20"/>
          <w:color w:val="auto"/>
        </w:rPr>
        <w:t>These and other risks associated with international operations may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360"/>
          </w:cols>
          <w:pgMar w:left="1440" w:top="1426" w:right="1440" w:bottom="175" w:gutter="0" w:footer="0" w:header="0"/>
        </w:sectPr>
      </w:pPr>
    </w:p>
    <w:bookmarkStart w:id="43" w:name="page44"/>
    <w:bookmarkEnd w:id="43"/>
    <w:p>
      <w:pPr>
        <w:ind w:right="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face substantial competition, which may result in others discovering, developing or commercializing products before or more successfully than we do.</w:t>
      </w:r>
    </w:p>
    <w:p>
      <w:pPr>
        <w:spacing w:after="0" w:line="49" w:lineRule="exact"/>
        <w:rPr>
          <w:sz w:val="20"/>
          <w:szCs w:val="20"/>
          <w:color w:val="auto"/>
        </w:rPr>
      </w:pPr>
    </w:p>
    <w:p>
      <w:pPr>
        <w:ind w:right="80" w:firstLine="619"/>
        <w:spacing w:after="0" w:line="246" w:lineRule="auto"/>
        <w:rPr>
          <w:sz w:val="20"/>
          <w:szCs w:val="20"/>
          <w:color w:val="auto"/>
        </w:rPr>
      </w:pPr>
      <w:r>
        <w:rPr>
          <w:rFonts w:ascii="Times New Roman" w:cs="Times New Roman" w:eastAsia="Times New Roman" w:hAnsi="Times New Roman"/>
          <w:sz w:val="20"/>
          <w:szCs w:val="20"/>
          <w:color w:val="auto"/>
        </w:rPr>
        <w:t>Our industry is intensely competitive and subject to rapid and significant technological change as well as strong defense of intellectual property. While we believe that our knowledge, experience and scientific resources provide us with competitive advantages, we face substantial competition from major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 As a result, our competitors may discover, develop, license or commercialize products before or more successfully than we do.</w:t>
      </w:r>
    </w:p>
    <w:p>
      <w:pPr>
        <w:spacing w:after="0" w:line="201"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20"/>
          <w:szCs w:val="20"/>
          <w:color w:val="auto"/>
        </w:rPr>
        <w:t>In particular, we are aware of molecules in development that also are being explored for p53 upregulation/activation in various stages of preclinical or clinical development being tested by Jacobio Pharmaceuticals, Frontier Medicines, Nutshell Therapeutics, Scorpion Therapeutics and AstraZeneca, among others. We are also aware of selective small molecule inhibitors that are designed to target wild-type p53 containing tumors through the p53-murine double minute 2, or MDM2, interaction, which are in various stages of clinical development being tested by Aileron Therapeutics, Ascentage Pharma, Boehringer Ingelheim, Kartos Therapeutics, Kymera Therapeutics, Otsuka Pharmaceutical, Novartis and Roche, including testing MDM2 inhibitors in combination with a variety of other anti-cancer agents.</w:t>
      </w:r>
    </w:p>
    <w:p>
      <w:pPr>
        <w:spacing w:after="0" w:line="202"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20"/>
          <w:szCs w:val="20"/>
          <w:color w:val="auto"/>
        </w:rPr>
        <w:t>We face competition with respect to our current product candidates and will face competition with respect to future product candidates, from segments of the pharmaceutical, biotechnology and other related markets that pursue targeted therapies for patients with genomically-defined cancers. If rezatapopt or our future product candidates do not offer sustainable advantages over competing products, we may otherwise not be able to successfully compete against current and future competitors.</w:t>
      </w:r>
    </w:p>
    <w:p>
      <w:pPr>
        <w:spacing w:after="0" w:line="197" w:lineRule="exact"/>
        <w:rPr>
          <w:sz w:val="20"/>
          <w:szCs w:val="20"/>
          <w:color w:val="auto"/>
        </w:rPr>
      </w:pPr>
    </w:p>
    <w:p>
      <w:pPr>
        <w:ind w:right="20" w:firstLine="619"/>
        <w:spacing w:after="0" w:line="249" w:lineRule="auto"/>
        <w:rPr>
          <w:sz w:val="20"/>
          <w:szCs w:val="20"/>
          <w:color w:val="auto"/>
        </w:rPr>
      </w:pPr>
      <w:r>
        <w:rPr>
          <w:rFonts w:ascii="Times New Roman" w:cs="Times New Roman" w:eastAsia="Times New Roman" w:hAnsi="Times New Roman"/>
          <w:sz w:val="20"/>
          <w:szCs w:val="20"/>
          <w:color w:val="auto"/>
        </w:rPr>
        <w:t>Our competitors may obtain regulatory approval of their products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197" w:lineRule="exact"/>
        <w:rPr>
          <w:sz w:val="20"/>
          <w:szCs w:val="20"/>
          <w:color w:val="auto"/>
        </w:rPr>
      </w:pPr>
    </w:p>
    <w:p>
      <w:pPr>
        <w:ind w:right="180" w:firstLine="619"/>
        <w:spacing w:after="0" w:line="249" w:lineRule="auto"/>
        <w:rPr>
          <w:sz w:val="20"/>
          <w:szCs w:val="20"/>
          <w:color w:val="auto"/>
        </w:rPr>
      </w:pPr>
      <w:r>
        <w:rPr>
          <w:rFonts w:ascii="Times New Roman" w:cs="Times New Roman" w:eastAsia="Times New Roman" w:hAnsi="Times New Roman"/>
          <w:sz w:val="20"/>
          <w:szCs w:val="20"/>
          <w:color w:val="auto"/>
        </w:rPr>
        <w:t>In addition, we will likely need to develop our product candidates in collaboration with companion diagnostic companies, and we will face competition from other companies in establishing these future collaborations. Our competitors will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97" w:lineRule="exact"/>
        <w:rPr>
          <w:sz w:val="20"/>
          <w:szCs w:val="20"/>
          <w:color w:val="auto"/>
        </w:rPr>
      </w:pPr>
    </w:p>
    <w:p>
      <w:pPr>
        <w:ind w:right="40" w:firstLine="620"/>
        <w:spacing w:after="0" w:line="243" w:lineRule="auto"/>
        <w:rPr>
          <w:sz w:val="20"/>
          <w:szCs w:val="20"/>
          <w:color w:val="auto"/>
        </w:rPr>
      </w:pPr>
      <w:r>
        <w:rPr>
          <w:rFonts w:ascii="Times New Roman" w:cs="Times New Roman" w:eastAsia="Times New Roman" w:hAnsi="Times New Roman"/>
          <w:sz w:val="20"/>
          <w:szCs w:val="20"/>
          <w:color w:val="auto"/>
        </w:rPr>
        <w:t>Furthermore, we also face competition more broadly across the market for cost-effective and reimbursable cancer treatments. The most common methods of treating patients with cancer are surgery, radiation and drug therapy, including chemotherapy, hormone therapy and targeted drug therapy or a combination of such methods. There are a variety of available drug therapies marketed for cancer. In many cases, these drugs are administered in combination to enhance efficacy. While our product candidates, if any are approved, may compete with these existing drug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including branded generic, products. As a result, obtaining market acceptance of, and gaining significant share of the market for, any of our product candidates that we successfully introduce to the market will pose challenges. In addition, many companies are developing new therapeutics, and we cannot predict what the standard of care will be as our product candidates progress through clinical development.</w:t>
      </w:r>
    </w:p>
    <w:p>
      <w:pPr>
        <w:spacing w:after="0" w:line="202" w:lineRule="exact"/>
        <w:rPr>
          <w:sz w:val="20"/>
          <w:szCs w:val="20"/>
          <w:color w:val="auto"/>
        </w:rPr>
      </w:pPr>
    </w:p>
    <w:p>
      <w:pPr>
        <w:ind w:right="220" w:firstLine="619"/>
        <w:spacing w:after="0" w:line="278" w:lineRule="auto"/>
        <w:rPr>
          <w:sz w:val="20"/>
          <w:szCs w:val="20"/>
          <w:color w:val="auto"/>
        </w:rPr>
      </w:pPr>
      <w:r>
        <w:rPr>
          <w:rFonts w:ascii="Times New Roman" w:cs="Times New Roman" w:eastAsia="Times New Roman" w:hAnsi="Times New Roman"/>
          <w:sz w:val="19"/>
          <w:szCs w:val="19"/>
          <w:color w:val="auto"/>
        </w:rPr>
        <w:t>Product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360"/>
          </w:cols>
          <w:pgMar w:left="1440" w:top="1420" w:right="1440" w:bottom="175" w:gutter="0" w:footer="0" w:header="0"/>
        </w:sectPr>
      </w:pPr>
    </w:p>
    <w:bookmarkStart w:id="44" w:name="page45"/>
    <w:bookmarkEnd w:id="44"/>
    <w:p>
      <w:pPr>
        <w:ind w:right="320"/>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Our long-term prospects depend in part upon discovering, developing and commercializing additional product candidates, which may fail in development or suffer delays that adversely affect their commercial viability.</w:t>
      </w:r>
    </w:p>
    <w:p>
      <w:pPr>
        <w:spacing w:after="0" w:line="26" w:lineRule="exact"/>
        <w:rPr>
          <w:sz w:val="20"/>
          <w:szCs w:val="20"/>
          <w:color w:val="auto"/>
        </w:rPr>
      </w:pPr>
    </w:p>
    <w:p>
      <w:pPr>
        <w:ind w:right="60" w:firstLine="619"/>
        <w:spacing w:after="0" w:line="246" w:lineRule="auto"/>
        <w:rPr>
          <w:sz w:val="20"/>
          <w:szCs w:val="20"/>
          <w:color w:val="auto"/>
        </w:rPr>
      </w:pPr>
      <w:r>
        <w:rPr>
          <w:rFonts w:ascii="Times New Roman" w:cs="Times New Roman" w:eastAsia="Times New Roman" w:hAnsi="Times New Roman"/>
          <w:sz w:val="20"/>
          <w:szCs w:val="20"/>
          <w:color w:val="auto"/>
        </w:rPr>
        <w:t>Our future operating results are dependent on our ability to successfully discover, develop, obtain regulatory approval for and commercialize product candidates beyond our lead product candidate, rezatapopt, and those we currently have in preclinical development.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testing or early clinical trials of a product candidate may not be predictive of the results that will be obtained in later stage clinical trials of the product candidate.</w:t>
      </w:r>
    </w:p>
    <w:p>
      <w:pPr>
        <w:spacing w:after="0" w:line="201" w:lineRule="exact"/>
        <w:rPr>
          <w:sz w:val="20"/>
          <w:szCs w:val="20"/>
          <w:color w:val="auto"/>
        </w:rPr>
      </w:pPr>
    </w:p>
    <w:p>
      <w:pPr>
        <w:ind w:right="160" w:firstLine="619"/>
        <w:spacing w:after="0" w:line="277" w:lineRule="auto"/>
        <w:rPr>
          <w:sz w:val="20"/>
          <w:szCs w:val="20"/>
          <w:color w:val="auto"/>
        </w:rPr>
      </w:pPr>
      <w:r>
        <w:rPr>
          <w:rFonts w:ascii="Times New Roman" w:cs="Times New Roman" w:eastAsia="Times New Roman" w:hAnsi="Times New Roman"/>
          <w:sz w:val="20"/>
          <w:szCs w:val="20"/>
          <w:color w:val="auto"/>
        </w:rPr>
        <w:t>The success of future product candidates we may develop will depend on many factors, including the following and the other factors relating to product development described elsewhere in this “Risk Factors” section:</w:t>
      </w:r>
    </w:p>
    <w:p>
      <w:pPr>
        <w:spacing w:after="0" w:line="63" w:lineRule="exact"/>
        <w:rPr>
          <w:sz w:val="20"/>
          <w:szCs w:val="20"/>
          <w:color w:val="auto"/>
        </w:rPr>
      </w:pPr>
    </w:p>
    <w:p>
      <w:pPr>
        <w:ind w:left="900" w:hanging="281"/>
        <w:spacing w:after="0"/>
        <w:tabs>
          <w:tab w:leader="none" w:pos="90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generating sufficient data to support the initiation or continuation of clinical trials;</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regulatory permission to initiate clinical trials;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contracting with the necessary parties to conduct clinical trials;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 enrollment of patients in, and the completion of, clinical trials on a timely basis;</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timely manufacture of sufficient quantities of the product candidate for use in clinical trials; and</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adverse events in the clinical trials.</w:t>
      </w:r>
    </w:p>
    <w:p>
      <w:pPr>
        <w:spacing w:after="0" w:line="238" w:lineRule="exact"/>
        <w:rPr>
          <w:sz w:val="20"/>
          <w:szCs w:val="20"/>
          <w:color w:val="auto"/>
        </w:rPr>
      </w:pPr>
    </w:p>
    <w:p>
      <w:pPr>
        <w:jc w:val="both"/>
        <w:ind w:right="780" w:firstLine="619"/>
        <w:spacing w:after="0" w:line="259" w:lineRule="auto"/>
        <w:rPr>
          <w:sz w:val="20"/>
          <w:szCs w:val="20"/>
          <w:color w:val="auto"/>
        </w:rPr>
      </w:pPr>
      <w:r>
        <w:rPr>
          <w:rFonts w:ascii="Times New Roman" w:cs="Times New Roman" w:eastAsia="Times New Roman" w:hAnsi="Times New Roman"/>
          <w:sz w:val="20"/>
          <w:szCs w:val="20"/>
          <w:color w:val="auto"/>
        </w:rPr>
        <w:t>If we do not achieve one or more of these factors in a timely manner or at all, we could experience significant delays or an inability to successfully commercialize additional product candidates, which would materially adversely affect our business, financial condition and results of operations.</w:t>
      </w:r>
    </w:p>
    <w:p>
      <w:pPr>
        <w:spacing w:after="0" w:line="186" w:lineRule="exact"/>
        <w:rPr>
          <w:sz w:val="20"/>
          <w:szCs w:val="20"/>
          <w:color w:val="auto"/>
        </w:rPr>
      </w:pPr>
    </w:p>
    <w:p>
      <w:pPr>
        <w:ind w:right="160" w:firstLine="619"/>
        <w:spacing w:after="0" w:line="252" w:lineRule="auto"/>
        <w:rPr>
          <w:sz w:val="20"/>
          <w:szCs w:val="20"/>
          <w:color w:val="auto"/>
        </w:rPr>
      </w:pPr>
      <w:r>
        <w:rPr>
          <w:rFonts w:ascii="Times New Roman" w:cs="Times New Roman" w:eastAsia="Times New Roman" w:hAnsi="Times New Roman"/>
          <w:sz w:val="20"/>
          <w:szCs w:val="20"/>
          <w:color w:val="auto"/>
        </w:rPr>
        <w:t>Even if we successfully advance any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future product candidates.</w:t>
      </w:r>
    </w:p>
    <w:p>
      <w:pPr>
        <w:spacing w:after="0" w:line="31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75" w:lineRule="exact"/>
        <w:rPr>
          <w:sz w:val="20"/>
          <w:szCs w:val="20"/>
          <w:color w:val="auto"/>
        </w:rPr>
      </w:pPr>
    </w:p>
    <w:p>
      <w:pPr>
        <w:ind w:right="140" w:firstLine="619"/>
        <w:spacing w:after="0" w:line="245" w:lineRule="auto"/>
        <w:rPr>
          <w:sz w:val="20"/>
          <w:szCs w:val="20"/>
          <w:color w:val="auto"/>
        </w:rPr>
      </w:pPr>
      <w:r>
        <w:rPr>
          <w:rFonts w:ascii="Times New Roman" w:cs="Times New Roman" w:eastAsia="Times New Roman" w:hAnsi="Times New Roman"/>
          <w:sz w:val="20"/>
          <w:szCs w:val="20"/>
          <w:color w:val="auto"/>
        </w:rPr>
        <w:t>If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patients to complete the trial or result in potential product liability claims. Any of these occurrences may prevent us from achieving or maintaining market acceptance of the affected product candidate and may adversely affect our business, financial condition and prospects significantly.</w:t>
      </w:r>
    </w:p>
    <w:p>
      <w:pPr>
        <w:spacing w:after="0" w:line="202" w:lineRule="exact"/>
        <w:rPr>
          <w:sz w:val="20"/>
          <w:szCs w:val="20"/>
          <w:color w:val="auto"/>
        </w:rPr>
      </w:pPr>
    </w:p>
    <w:p>
      <w:pPr>
        <w:ind w:right="40" w:firstLine="620"/>
        <w:spacing w:after="0" w:line="258" w:lineRule="auto"/>
        <w:rPr>
          <w:sz w:val="20"/>
          <w:szCs w:val="20"/>
          <w:color w:val="auto"/>
        </w:rPr>
      </w:pPr>
      <w:r>
        <w:rPr>
          <w:rFonts w:ascii="Times New Roman" w:cs="Times New Roman" w:eastAsia="Times New Roman" w:hAnsi="Times New Roman"/>
          <w:sz w:val="19"/>
          <w:szCs w:val="19"/>
          <w:color w:val="auto"/>
        </w:rPr>
        <w:t>While our lead product candidate, rezatapopt, is still in clinical development and although it has been generally well-tolerated per our preliminary and updated data releases, as is the case with all oncology drugs, it is likely that there may be significant side effects associated with its use. rezatapopt or future product candidates may be used in populations for which safety concerns may be reviewed by regulatory agencies. In addition, we are collaborating with MD Anderson and MSK to support an investigator-initiated Phase 1b study, which is designed to assess the safety, tolerability, pharmacokinetics, and preliminary efficacy of rezatapopt monotherapy in combination with azacitidine in R/R AML and MDS patients harboring a TP53 Y220C mutation, and we may study rezatapopt in combination with other additional therapies, which may exacerbate adverse events associated with the therapy. Further, our product candidates will be used in patients that have weakened immune systems, which may exacerbate any potential side effects associated with their use. Patients treated with rezatapopt or any of our future product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360"/>
          </w:cols>
          <w:pgMar w:left="1440" w:top="1420" w:right="1440" w:bottom="175" w:gutter="0" w:footer="0" w:header="0"/>
        </w:sectPr>
      </w:pPr>
    </w:p>
    <w:bookmarkStart w:id="45" w:name="page46"/>
    <w:bookmarkEnd w:id="45"/>
    <w:p>
      <w:pPr>
        <w:ind w:right="20"/>
        <w:spacing w:after="0" w:line="246" w:lineRule="auto"/>
        <w:rPr>
          <w:sz w:val="20"/>
          <w:szCs w:val="20"/>
          <w:color w:val="auto"/>
        </w:rPr>
      </w:pPr>
      <w:r>
        <w:rPr>
          <w:rFonts w:ascii="Times New Roman" w:cs="Times New Roman" w:eastAsia="Times New Roman" w:hAnsi="Times New Roman"/>
          <w:sz w:val="20"/>
          <w:szCs w:val="20"/>
          <w:color w:val="auto"/>
        </w:rPr>
        <w:t>candidates may also be undergoing surgical, radiation and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rezatapopt clinical trials will die or experience major clinical events either during the course of our clinical trials or after participating in such trials. Results of our trials could reveal a high and unacceptable severity and prevalence of these or other side effects.</w:t>
      </w:r>
    </w:p>
    <w:p>
      <w:pPr>
        <w:spacing w:after="0" w:line="199" w:lineRule="exact"/>
        <w:rPr>
          <w:sz w:val="20"/>
          <w:szCs w:val="20"/>
          <w:color w:val="auto"/>
        </w:rPr>
      </w:pPr>
    </w:p>
    <w:p>
      <w:pPr>
        <w:ind w:firstLine="620"/>
        <w:spacing w:after="0" w:line="242" w:lineRule="auto"/>
        <w:rPr>
          <w:sz w:val="20"/>
          <w:szCs w:val="20"/>
          <w:color w:val="auto"/>
        </w:rPr>
      </w:pPr>
      <w:r>
        <w:rPr>
          <w:rFonts w:ascii="Times New Roman" w:cs="Times New Roman" w:eastAsia="Times New Roman" w:hAnsi="Times New Roman"/>
          <w:sz w:val="20"/>
          <w:szCs w:val="20"/>
          <w:color w:val="auto"/>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adversely affect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trials.</w:t>
      </w:r>
    </w:p>
    <w:p>
      <w:pPr>
        <w:spacing w:after="0" w:line="331" w:lineRule="exact"/>
        <w:rPr>
          <w:sz w:val="20"/>
          <w:szCs w:val="20"/>
          <w:color w:val="auto"/>
        </w:rPr>
      </w:pPr>
    </w:p>
    <w:p>
      <w:pPr>
        <w:ind w:right="6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expect to develop our current or future product candidates in combination with other therapies, which exposes us to additional risks.</w:t>
      </w:r>
    </w:p>
    <w:p>
      <w:pPr>
        <w:spacing w:after="0" w:line="49" w:lineRule="exact"/>
        <w:rPr>
          <w:sz w:val="20"/>
          <w:szCs w:val="20"/>
          <w:color w:val="auto"/>
        </w:rPr>
      </w:pPr>
    </w:p>
    <w:p>
      <w:pPr>
        <w:ind w:right="20" w:firstLine="619"/>
        <w:spacing w:after="0" w:line="242" w:lineRule="auto"/>
        <w:rPr>
          <w:sz w:val="20"/>
          <w:szCs w:val="20"/>
          <w:color w:val="auto"/>
        </w:rPr>
      </w:pPr>
      <w:r>
        <w:rPr>
          <w:rFonts w:ascii="Times New Roman" w:cs="Times New Roman" w:eastAsia="Times New Roman" w:hAnsi="Times New Roman"/>
          <w:sz w:val="20"/>
          <w:szCs w:val="20"/>
          <w:color w:val="auto"/>
        </w:rPr>
        <w:t>In October 2024, we announced that we are collaborating with the MD Anderson Cancer Center and the Memorial Sloan Kettering Cancer Center to support an investigator-initiated Phase 1b study, which is designed to assess the safety, tolerability, pharmacokinetics, and preliminary efficacy of rezatapopt monotherapy in combination with azacitidine in R/R AML and MDS patients harboring a TP53 Y220C mutation. We intend to develop our current or future product candidates in combination with one or more other approved cancer therapies or therapies in development. Patients may not be able to tolerate rezatapopt or any of our future product candidates in combination with other therapies or dosing of rezatapopt or any of our future product candidates in combination with other therapies may have unexpected consequences. Even if any of our current or future product candidates were to receive marketing approval or be commercialized for use in combination with other existing therapies, we would continue to be subject to the risks that the FDA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spacing w:after="0" w:line="212" w:lineRule="exact"/>
        <w:rPr>
          <w:sz w:val="20"/>
          <w:szCs w:val="20"/>
          <w:color w:val="auto"/>
        </w:rPr>
      </w:pPr>
    </w:p>
    <w:p>
      <w:pPr>
        <w:ind w:right="40" w:firstLine="619"/>
        <w:spacing w:after="0" w:line="252" w:lineRule="auto"/>
        <w:rPr>
          <w:sz w:val="20"/>
          <w:szCs w:val="20"/>
          <w:color w:val="auto"/>
        </w:rPr>
      </w:pPr>
      <w:r>
        <w:rPr>
          <w:rFonts w:ascii="Times New Roman" w:cs="Times New Roman" w:eastAsia="Times New Roman" w:hAnsi="Times New Roman"/>
          <w:sz w:val="20"/>
          <w:szCs w:val="20"/>
          <w:color w:val="auto"/>
        </w:rPr>
        <w:t>We may also evaluate our current or future product candidates in combination with one or more other cancer therapies that have not yet been approved for marketing by the FDA or comparable foreign regulatory authorities. We will not be able to market and sell any product candidate in combination with any such unapproved cancer therapies that do not ultimately obtain marketing approval.</w:t>
      </w:r>
    </w:p>
    <w:p>
      <w:pPr>
        <w:spacing w:after="0" w:line="193"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20"/>
          <w:szCs w:val="20"/>
          <w:color w:val="auto"/>
        </w:rPr>
        <w:t>If the FDA or other comparable foreign regulatory authorities do not approve or withdraw their approval of these other therapies, or if safety, efficacy, commercial adoption, manufacturing or supply issues arise with the therapies we choose to evaluate in combination with rezatapopt or any future product candidate, we may be unable to obtain approval of or successfully market any one or all of the current or future product candidates we develop. Additionally, if the third-party providers of therapies or therapies in development used in combination with our current or future product candidates are unable to produce sufficient quantities for clinical trials or for commercialization of our current or future product candidates, or if the cost of combination therapies are prohibitive,</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360"/>
          </w:cols>
          <w:pgMar w:left="1440" w:top="1420" w:right="1440" w:bottom="175" w:gutter="0" w:footer="0" w:header="0"/>
        </w:sectPr>
      </w:pPr>
    </w:p>
    <w:bookmarkStart w:id="46" w:name="page47"/>
    <w:bookmarkEnd w:id="46"/>
    <w:p>
      <w:pPr>
        <w:ind w:right="460"/>
        <w:spacing w:after="0" w:line="277" w:lineRule="auto"/>
        <w:rPr>
          <w:sz w:val="20"/>
          <w:szCs w:val="20"/>
          <w:color w:val="auto"/>
        </w:rPr>
      </w:pPr>
      <w:r>
        <w:rPr>
          <w:rFonts w:ascii="Times New Roman" w:cs="Times New Roman" w:eastAsia="Times New Roman" w:hAnsi="Times New Roman"/>
          <w:sz w:val="20"/>
          <w:szCs w:val="20"/>
          <w:color w:val="auto"/>
        </w:rPr>
        <w:t>our development and commercialization efforts would be impaired, which would have an adverse effect on our business, financial condition, results of operations and growth prospects.</w:t>
      </w:r>
    </w:p>
    <w:p>
      <w:pPr>
        <w:spacing w:after="0" w:line="289"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68" w:lineRule="exact"/>
        <w:rPr>
          <w:sz w:val="20"/>
          <w:szCs w:val="20"/>
          <w:color w:val="auto"/>
        </w:rPr>
      </w:pPr>
    </w:p>
    <w:p>
      <w:pPr>
        <w:ind w:right="40" w:firstLine="619"/>
        <w:spacing w:after="0" w:line="244" w:lineRule="auto"/>
        <w:rPr>
          <w:sz w:val="20"/>
          <w:szCs w:val="20"/>
          <w:color w:val="auto"/>
        </w:rPr>
      </w:pPr>
      <w:r>
        <w:rPr>
          <w:rFonts w:ascii="Times New Roman" w:cs="Times New Roman" w:eastAsia="Times New Roman" w:hAnsi="Times New Roman"/>
          <w:sz w:val="20"/>
          <w:szCs w:val="20"/>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202" w:lineRule="exact"/>
        <w:rPr>
          <w:sz w:val="20"/>
          <w:szCs w:val="20"/>
          <w:color w:val="auto"/>
        </w:rPr>
      </w:pPr>
    </w:p>
    <w:p>
      <w:pPr>
        <w:ind w:right="120" w:firstLine="619"/>
        <w:spacing w:after="0" w:line="247" w:lineRule="auto"/>
        <w:rPr>
          <w:sz w:val="20"/>
          <w:szCs w:val="20"/>
          <w:color w:val="auto"/>
        </w:rPr>
      </w:pPr>
      <w:r>
        <w:rPr>
          <w:rFonts w:ascii="Times New Roman" w:cs="Times New Roman" w:eastAsia="Times New Roman" w:hAnsi="Times New Roman"/>
          <w:sz w:val="20"/>
          <w:szCs w:val="20"/>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materially adversely affect our business prospects. Further, disclosure of interim data by us or by our competitors could result in volatility in the price of our common stock.</w:t>
      </w:r>
    </w:p>
    <w:p>
      <w:pPr>
        <w:spacing w:after="0" w:line="200"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20"/>
          <w:szCs w:val="20"/>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adversely affected, which could materially adversely affect our business, financial condition and results of operations.</w:t>
      </w:r>
    </w:p>
    <w:p>
      <w:pPr>
        <w:spacing w:after="0" w:line="323"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Even if we obtain regulatory approval of our product candidates, the products may not gain market acceptance among physicians, patients, hospitals, cancer treatment centers and others in the medical community.</w:t>
      </w:r>
    </w:p>
    <w:p>
      <w:pPr>
        <w:spacing w:after="0" w:line="49" w:lineRule="exact"/>
        <w:rPr>
          <w:sz w:val="20"/>
          <w:szCs w:val="20"/>
          <w:color w:val="auto"/>
        </w:rPr>
      </w:pPr>
    </w:p>
    <w:p>
      <w:pPr>
        <w:jc w:val="both"/>
        <w:ind w:right="120" w:firstLine="619"/>
        <w:spacing w:after="0" w:line="258" w:lineRule="auto"/>
        <w:rPr>
          <w:sz w:val="20"/>
          <w:szCs w:val="20"/>
          <w:color w:val="auto"/>
        </w:rPr>
      </w:pPr>
      <w:r>
        <w:rPr>
          <w:rFonts w:ascii="Times New Roman" w:cs="Times New Roman" w:eastAsia="Times New Roman" w:hAnsi="Times New Roman"/>
          <w:sz w:val="20"/>
          <w:szCs w:val="20"/>
          <w:color w:val="auto"/>
        </w:rPr>
        <w:t>The use of precision medicines as a potential cancer treatment is a recent development and may not become broadly accepted by physicians, patients, hospitals, cancer treatment centers and others in the medical community. Various factors will influence whether our product candidates are accepted in the market, including:</w:t>
      </w:r>
    </w:p>
    <w:p>
      <w:pPr>
        <w:spacing w:after="0" w:line="83" w:lineRule="exact"/>
        <w:rPr>
          <w:sz w:val="20"/>
          <w:szCs w:val="20"/>
          <w:color w:val="auto"/>
        </w:rPr>
      </w:pPr>
    </w:p>
    <w:p>
      <w:pPr>
        <w:ind w:left="900" w:hanging="281"/>
        <w:spacing w:after="0"/>
        <w:tabs>
          <w:tab w:leader="none" w:pos="90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the clinical indications for which our product candidates are approved;</w:t>
      </w:r>
    </w:p>
    <w:p>
      <w:pPr>
        <w:spacing w:after="0" w:line="133" w:lineRule="exact"/>
        <w:rPr>
          <w:rFonts w:ascii="Arial" w:cs="Arial" w:eastAsia="Arial" w:hAnsi="Arial"/>
          <w:sz w:val="20"/>
          <w:szCs w:val="20"/>
          <w:color w:val="auto"/>
        </w:rPr>
      </w:pPr>
    </w:p>
    <w:p>
      <w:pPr>
        <w:ind w:left="900" w:right="180" w:hanging="281"/>
        <w:spacing w:after="0" w:line="276" w:lineRule="auto"/>
        <w:tabs>
          <w:tab w:leader="none" w:pos="90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physicians, hospitals, cancer treatment centers and patients considering our product candidates as a safe and effective treatment;</w:t>
      </w:r>
    </w:p>
    <w:p>
      <w:pPr>
        <w:spacing w:after="0" w:line="64" w:lineRule="exact"/>
        <w:rPr>
          <w:rFonts w:ascii="Arial" w:cs="Arial" w:eastAsia="Arial" w:hAnsi="Arial"/>
          <w:sz w:val="20"/>
          <w:szCs w:val="20"/>
          <w:color w:val="auto"/>
        </w:rPr>
      </w:pPr>
    </w:p>
    <w:p>
      <w:pPr>
        <w:ind w:left="900" w:hanging="281"/>
        <w:spacing w:after="0"/>
        <w:tabs>
          <w:tab w:leader="none" w:pos="90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the potential and perceived advantages of our product candidates over alternative treatments;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demonstrate the advantages of our product candidates over other cancer medicines;</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the prevalence and severity of any side effects;</w:t>
      </w:r>
    </w:p>
    <w:p>
      <w:pPr>
        <w:spacing w:after="0" w:line="133" w:lineRule="exact"/>
        <w:rPr>
          <w:rFonts w:ascii="Arial" w:cs="Arial" w:eastAsia="Arial" w:hAnsi="Arial"/>
          <w:sz w:val="20"/>
          <w:szCs w:val="20"/>
          <w:color w:val="auto"/>
        </w:rPr>
      </w:pPr>
    </w:p>
    <w:p>
      <w:pPr>
        <w:ind w:left="900" w:right="380" w:hanging="281"/>
        <w:spacing w:after="0" w:line="276" w:lineRule="auto"/>
        <w:tabs>
          <w:tab w:leader="none" w:pos="90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the prevalence and severity of any side effects for other precision medicines and public perception of other precision medicines;</w:t>
      </w:r>
    </w:p>
    <w:p>
      <w:pPr>
        <w:spacing w:after="0" w:line="64" w:lineRule="exact"/>
        <w:rPr>
          <w:rFonts w:ascii="Arial" w:cs="Arial" w:eastAsia="Arial" w:hAnsi="Arial"/>
          <w:sz w:val="20"/>
          <w:szCs w:val="20"/>
          <w:color w:val="auto"/>
        </w:rPr>
      </w:pPr>
    </w:p>
    <w:p>
      <w:pPr>
        <w:ind w:left="900" w:hanging="281"/>
        <w:spacing w:after="0"/>
        <w:tabs>
          <w:tab w:leader="none" w:pos="90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product labeling or product insert requirements of the FDA or other regulatory authorities;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360"/>
          </w:cols>
          <w:pgMar w:left="1440" w:top="1420" w:right="1440" w:bottom="175" w:gutter="0" w:footer="0" w:header="0"/>
        </w:sectPr>
      </w:pPr>
    </w:p>
    <w:bookmarkStart w:id="47" w:name="page48"/>
    <w:bookmarkEnd w:id="47"/>
    <w:p>
      <w:pPr>
        <w:ind w:left="900" w:hanging="281"/>
        <w:spacing w:after="0"/>
        <w:tabs>
          <w:tab w:leader="none" w:pos="9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limitations or warnings contained in the labeling approved by the FDA;</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of market introduction of our product candidates as well as competitive products;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treatment in relation to alternative treatments;</w:t>
      </w:r>
    </w:p>
    <w:p>
      <w:pPr>
        <w:spacing w:after="0" w:line="132" w:lineRule="exact"/>
        <w:rPr>
          <w:rFonts w:ascii="Arial" w:cs="Arial" w:eastAsia="Arial" w:hAnsi="Arial"/>
          <w:sz w:val="20"/>
          <w:szCs w:val="20"/>
          <w:color w:val="auto"/>
        </w:rPr>
      </w:pPr>
    </w:p>
    <w:p>
      <w:pPr>
        <w:ind w:left="900" w:right="180" w:hanging="281"/>
        <w:spacing w:after="0" w:line="277" w:lineRule="auto"/>
        <w:tabs>
          <w:tab w:leader="none" w:pos="9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availability of adequate coverage, reimbursement and pricing by third-party payors and government authorities;</w:t>
      </w:r>
    </w:p>
    <w:p>
      <w:pPr>
        <w:spacing w:after="0" w:line="63" w:lineRule="exact"/>
        <w:rPr>
          <w:rFonts w:ascii="Arial" w:cs="Arial" w:eastAsia="Arial" w:hAnsi="Arial"/>
          <w:sz w:val="20"/>
          <w:szCs w:val="20"/>
          <w:color w:val="auto"/>
        </w:rPr>
      </w:pPr>
    </w:p>
    <w:p>
      <w:pPr>
        <w:ind w:left="900" w:right="440" w:hanging="281"/>
        <w:spacing w:after="0" w:line="276" w:lineRule="auto"/>
        <w:tabs>
          <w:tab w:leader="none" w:pos="9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willingness of patients to pay out-of-pocket in the absence of coverage by third-party payors and government authorities;</w:t>
      </w:r>
    </w:p>
    <w:p>
      <w:pPr>
        <w:spacing w:after="0" w:line="64" w:lineRule="exact"/>
        <w:rPr>
          <w:rFonts w:ascii="Arial" w:cs="Arial" w:eastAsia="Arial" w:hAnsi="Arial"/>
          <w:sz w:val="20"/>
          <w:szCs w:val="20"/>
          <w:color w:val="auto"/>
        </w:rPr>
      </w:pPr>
    </w:p>
    <w:p>
      <w:pPr>
        <w:ind w:left="900" w:right="420" w:hanging="281"/>
        <w:spacing w:after="0" w:line="277" w:lineRule="auto"/>
        <w:tabs>
          <w:tab w:leader="none" w:pos="9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relative convenience and ease of administration, including as compared to alternative treatments and competitive therapies; and</w:t>
      </w:r>
    </w:p>
    <w:p>
      <w:pPr>
        <w:spacing w:after="0" w:line="62" w:lineRule="exact"/>
        <w:rPr>
          <w:rFonts w:ascii="Arial" w:cs="Arial" w:eastAsia="Arial" w:hAnsi="Arial"/>
          <w:sz w:val="20"/>
          <w:szCs w:val="20"/>
          <w:color w:val="auto"/>
        </w:rPr>
      </w:pPr>
    </w:p>
    <w:p>
      <w:pPr>
        <w:ind w:left="900" w:hanging="281"/>
        <w:spacing w:after="0"/>
        <w:tabs>
          <w:tab w:leader="none" w:pos="9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effectiveness of our sales and marketing efforts.</w:t>
      </w:r>
    </w:p>
    <w:p>
      <w:pPr>
        <w:spacing w:after="0" w:line="239" w:lineRule="exact"/>
        <w:rPr>
          <w:sz w:val="20"/>
          <w:szCs w:val="20"/>
          <w:color w:val="auto"/>
        </w:rPr>
      </w:pPr>
    </w:p>
    <w:p>
      <w:pPr>
        <w:ind w:right="200" w:firstLine="619"/>
        <w:spacing w:after="0" w:line="258" w:lineRule="auto"/>
        <w:rPr>
          <w:sz w:val="20"/>
          <w:szCs w:val="20"/>
          <w:color w:val="auto"/>
        </w:rPr>
      </w:pPr>
      <w:r>
        <w:rPr>
          <w:rFonts w:ascii="Times New Roman" w:cs="Times New Roman" w:eastAsia="Times New Roman" w:hAnsi="Times New Roman"/>
          <w:sz w:val="20"/>
          <w:szCs w:val="20"/>
          <w:color w:val="auto"/>
        </w:rPr>
        <w:t>If our product candidates receive regulatory approval but fail to achieve market acceptance among physicians, patients, hospitals, cancer treatment centers or others in the medical community, we will not be able to generate significant revenue.</w:t>
      </w:r>
    </w:p>
    <w:p>
      <w:pPr>
        <w:spacing w:after="0" w:line="188" w:lineRule="exact"/>
        <w:rPr>
          <w:sz w:val="20"/>
          <w:szCs w:val="20"/>
          <w:color w:val="auto"/>
        </w:rPr>
      </w:pPr>
    </w:p>
    <w:p>
      <w:pPr>
        <w:ind w:right="360" w:firstLine="619"/>
        <w:spacing w:after="0" w:line="247" w:lineRule="auto"/>
        <w:rPr>
          <w:sz w:val="20"/>
          <w:szCs w:val="20"/>
          <w:color w:val="auto"/>
        </w:rPr>
      </w:pPr>
      <w:r>
        <w:rPr>
          <w:rFonts w:ascii="Times New Roman" w:cs="Times New Roman" w:eastAsia="Times New Roman" w:hAnsi="Times New Roman"/>
          <w:sz w:val="20"/>
          <w:szCs w:val="20"/>
          <w:color w:val="auto"/>
        </w:rPr>
        <w:t>In addition, although our product candidates differ in certain ways from other precision medicine approaches, serious adverse events or deaths in other clinical trials involving precision medicines, even if not ultimately attributable to our product or product candidates, could result in increased government regulation, unfavorable public perception and publicity, potential regulatory delays in the testing or licensing of our product candidates, stricter labeling requirements for those product candidates and a decrease in demand for any such product candidates.</w:t>
      </w:r>
    </w:p>
    <w:p>
      <w:pPr>
        <w:spacing w:after="0" w:line="200"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20"/>
          <w:szCs w:val="20"/>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308" w:lineRule="exact"/>
        <w:rPr>
          <w:sz w:val="20"/>
          <w:szCs w:val="20"/>
          <w:color w:val="auto"/>
        </w:rPr>
      </w:pPr>
    </w:p>
    <w:p>
      <w:pPr>
        <w:ind w:right="38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The insurance coverage and reimbursement status of newly-approved products is uncertain. Our product candidates may become subject to unfavorable pricing regulations, third-party coverage and reimbursement practices, or healthcare reform initiatives, which would adversely affect our business. Failure to obtain or maintain adequate coverage and reimbursement for new or current products could limit our ability to market those products and decrease our ability to generate revenue.</w:t>
      </w:r>
    </w:p>
    <w:p>
      <w:pPr>
        <w:spacing w:after="0" w:line="77" w:lineRule="exact"/>
        <w:rPr>
          <w:sz w:val="20"/>
          <w:szCs w:val="20"/>
          <w:color w:val="auto"/>
        </w:rPr>
      </w:pPr>
    </w:p>
    <w:p>
      <w:pPr>
        <w:ind w:right="80" w:firstLine="619"/>
        <w:spacing w:after="0" w:line="243" w:lineRule="auto"/>
        <w:rPr>
          <w:sz w:val="20"/>
          <w:szCs w:val="20"/>
          <w:color w:val="auto"/>
        </w:rPr>
      </w:pPr>
      <w:r>
        <w:rPr>
          <w:rFonts w:ascii="Times New Roman" w:cs="Times New Roman" w:eastAsia="Times New Roman" w:hAnsi="Times New Roman"/>
          <w:sz w:val="20"/>
          <w:szCs w:val="20"/>
          <w:color w:val="auto"/>
        </w:rPr>
        <w:t>The regulations that govern marketing approvals, pricing, coverage and reimbursement for new drugs vary widely from country to country. In the United States, recently enacted legislation may materially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209"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20"/>
          <w:szCs w:val="20"/>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360"/>
          </w:cols>
          <w:pgMar w:left="1440" w:top="1435" w:right="1440" w:bottom="175" w:gutter="0" w:footer="0" w:header="0"/>
        </w:sectPr>
      </w:pPr>
    </w:p>
    <w:bookmarkStart w:id="48" w:name="page49"/>
    <w:bookmarkEnd w:id="48"/>
    <w:p>
      <w:pPr>
        <w:ind w:right="160"/>
        <w:spacing w:after="0" w:line="244" w:lineRule="auto"/>
        <w:rPr>
          <w:sz w:val="20"/>
          <w:szCs w:val="20"/>
          <w:color w:val="auto"/>
        </w:rPr>
      </w:pPr>
      <w:r>
        <w:rPr>
          <w:rFonts w:ascii="Times New Roman" w:cs="Times New Roman" w:eastAsia="Times New Roman" w:hAnsi="Times New Roman"/>
          <w:sz w:val="20"/>
          <w:szCs w:val="20"/>
          <w:color w:val="auto"/>
        </w:rPr>
        <w:t>governmental and private payors is essential for most patients to be able to afford treatments such as gene therapy products. Sales of these or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spacing w:after="0" w:line="96" w:lineRule="exact"/>
        <w:rPr>
          <w:sz w:val="20"/>
          <w:szCs w:val="20"/>
          <w:color w:val="auto"/>
        </w:rPr>
      </w:pPr>
    </w:p>
    <w:p>
      <w:pPr>
        <w:ind w:left="900" w:hanging="281"/>
        <w:spacing w:after="0"/>
        <w:tabs>
          <w:tab w:leader="none" w:pos="90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a covered benefit under its health plan;</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safe, effective and medically necessary;</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appropriate for the specific patient;</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cost-effective; and</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neither experimental nor investigational.</w:t>
      </w:r>
    </w:p>
    <w:p>
      <w:pPr>
        <w:spacing w:after="0" w:line="238" w:lineRule="exact"/>
        <w:rPr>
          <w:sz w:val="20"/>
          <w:szCs w:val="20"/>
          <w:color w:val="auto"/>
        </w:rPr>
      </w:pPr>
    </w:p>
    <w:p>
      <w:pPr>
        <w:ind w:right="80" w:firstLine="619"/>
        <w:spacing w:after="0" w:line="244" w:lineRule="auto"/>
        <w:rPr>
          <w:sz w:val="20"/>
          <w:szCs w:val="20"/>
          <w:color w:val="auto"/>
        </w:rPr>
      </w:pPr>
      <w:r>
        <w:rPr>
          <w:rFonts w:ascii="Times New Roman" w:cs="Times New Roman" w:eastAsia="Times New Roman" w:hAnsi="Times New Roman"/>
          <w:sz w:val="20"/>
          <w:szCs w:val="20"/>
          <w:color w:val="auto"/>
        </w:rPr>
        <w:t>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 and profits.</w:t>
      </w:r>
    </w:p>
    <w:p>
      <w:pPr>
        <w:spacing w:after="0" w:line="206" w:lineRule="exact"/>
        <w:rPr>
          <w:sz w:val="20"/>
          <w:szCs w:val="20"/>
          <w:color w:val="auto"/>
        </w:rPr>
      </w:pPr>
    </w:p>
    <w:p>
      <w:pPr>
        <w:ind w:firstLine="619"/>
        <w:spacing w:after="0" w:line="241" w:lineRule="auto"/>
        <w:rPr>
          <w:sz w:val="20"/>
          <w:szCs w:val="20"/>
          <w:color w:val="auto"/>
        </w:rPr>
      </w:pPr>
      <w:r>
        <w:rPr>
          <w:rFonts w:ascii="Times New Roman" w:cs="Times New Roman" w:eastAsia="Times New Roman" w:hAnsi="Times New Roman"/>
          <w:sz w:val="20"/>
          <w:szCs w:val="20"/>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CMS.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For example, a number of cancer drugs have been approved for reimbursement in the United States and have not been approved for reimbursement in certain European countries.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business, financial condition and results of operations, our ability to raise capital needed to commercialize product candidates and our overall financial condition.</w:t>
      </w:r>
    </w:p>
    <w:p>
      <w:pPr>
        <w:spacing w:after="0" w:line="220" w:lineRule="exact"/>
        <w:rPr>
          <w:sz w:val="20"/>
          <w:szCs w:val="20"/>
          <w:color w:val="auto"/>
        </w:rPr>
      </w:pPr>
    </w:p>
    <w:p>
      <w:pPr>
        <w:ind w:right="180" w:firstLine="619"/>
        <w:spacing w:after="0" w:line="252" w:lineRule="auto"/>
        <w:rPr>
          <w:sz w:val="20"/>
          <w:szCs w:val="20"/>
          <w:color w:val="auto"/>
        </w:rPr>
      </w:pPr>
      <w:r>
        <w:rPr>
          <w:rFonts w:ascii="Times New Roman" w:cs="Times New Roman" w:eastAsia="Times New Roman" w:hAnsi="Times New Roman"/>
          <w:sz w:val="20"/>
          <w:szCs w:val="20"/>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third-party payors for any approved products that we develop</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360"/>
          </w:cols>
          <w:pgMar w:left="1440" w:top="1420" w:right="1440" w:bottom="175" w:gutter="0" w:footer="0" w:header="0"/>
        </w:sectPr>
      </w:pPr>
    </w:p>
    <w:bookmarkStart w:id="49" w:name="page50"/>
    <w:bookmarkEnd w:id="49"/>
    <w:p>
      <w:pPr>
        <w:ind w:right="20"/>
        <w:spacing w:after="0" w:line="277" w:lineRule="auto"/>
        <w:rPr>
          <w:sz w:val="20"/>
          <w:szCs w:val="20"/>
          <w:color w:val="auto"/>
        </w:rPr>
      </w:pPr>
      <w:r>
        <w:rPr>
          <w:rFonts w:ascii="Times New Roman" w:cs="Times New Roman" w:eastAsia="Times New Roman" w:hAnsi="Times New Roman"/>
          <w:sz w:val="20"/>
          <w:szCs w:val="20"/>
          <w:color w:val="auto"/>
        </w:rPr>
        <w:t>could have a material adverse effect on our business, financial condition and results of operations, our ability to raise capital needed to commercialize products and our overall financial condition.</w:t>
      </w:r>
    </w:p>
    <w:p>
      <w:pPr>
        <w:spacing w:after="0" w:line="169"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color w:val="auto"/>
        </w:rPr>
        <w:t>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09" w:lineRule="exact"/>
        <w:rPr>
          <w:sz w:val="20"/>
          <w:szCs w:val="20"/>
          <w:color w:val="auto"/>
        </w:rPr>
      </w:pPr>
    </w:p>
    <w:p>
      <w:pPr>
        <w:ind w:right="80" w:firstLine="619"/>
        <w:spacing w:after="0" w:line="243" w:lineRule="auto"/>
        <w:rPr>
          <w:sz w:val="20"/>
          <w:szCs w:val="20"/>
          <w:color w:val="auto"/>
        </w:rPr>
      </w:pPr>
      <w:r>
        <w:rPr>
          <w:rFonts w:ascii="Times New Roman" w:cs="Times New Roman" w:eastAsia="Times New Roman" w:hAnsi="Times New Roman"/>
          <w:sz w:val="20"/>
          <w:szCs w:val="20"/>
          <w:color w:val="auto"/>
        </w:rPr>
        <w:t>Additionally, we may develop companion diagnostic tests for use with our product candidates. We, or our collaborators, may be required to obtain coverage and reimbursement for these tests separate and apart from the coverage and reimbursement we seek for our product candidates, once approved. Even if we obtain regulatory approval or clearance for such companion diagnostics, there is significant uncertainty regarding our ability to obtain coverage and adequate reimbursement for the same reasons applicable to our product candidates. Medicare reimbursement methodologies, whether under Part A, Part B or clinical laboratory fee schedule may be amended from time to time, and we cannot predict what effect any change to these methodologies would have on any product candidate or companion diagnostic for which we receive approval. Our inability to promptly obtain coverage and adequate reimbursement from both third-party payors for the companion diagnostic tests that we develop and for which we obtain regulatory approval could have a material and adverse effect on our business, financial condition, results of operations and prospects.</w:t>
      </w:r>
    </w:p>
    <w:p>
      <w:pPr>
        <w:spacing w:after="0" w:line="329"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product liability lawsuits are brought against us, we may incur substantial liabilities and may be required to limit commercialization of our product candidates.</w:t>
      </w:r>
    </w:p>
    <w:p>
      <w:pPr>
        <w:spacing w:after="0" w:line="48" w:lineRule="exact"/>
        <w:rPr>
          <w:sz w:val="20"/>
          <w:szCs w:val="20"/>
          <w:color w:val="auto"/>
        </w:rPr>
      </w:pPr>
    </w:p>
    <w:p>
      <w:pPr>
        <w:ind w:right="80" w:firstLine="619"/>
        <w:spacing w:after="0" w:line="244" w:lineRule="auto"/>
        <w:rPr>
          <w:sz w:val="20"/>
          <w:szCs w:val="20"/>
          <w:color w:val="auto"/>
        </w:rPr>
      </w:pPr>
      <w:r>
        <w:rPr>
          <w:rFonts w:ascii="Times New Roman" w:cs="Times New Roman" w:eastAsia="Times New Roman" w:hAnsi="Times New Roman"/>
          <w:sz w:val="20"/>
          <w:szCs w:val="20"/>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99" w:lineRule="exact"/>
        <w:rPr>
          <w:sz w:val="20"/>
          <w:szCs w:val="20"/>
          <w:color w:val="auto"/>
        </w:rPr>
      </w:pPr>
    </w:p>
    <w:p>
      <w:pPr>
        <w:ind w:left="900" w:hanging="281"/>
        <w:spacing w:after="0"/>
        <w:tabs>
          <w:tab w:leader="none" w:pos="90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decreased demand for our product candidates or products that we may develop;</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injury to our reputation;</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withdrawal of clinical trial participants;</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initiation of investigations by regulators;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costs to defend the related litigation;</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diversion of management’s time and our resources;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substantial monetary awards to trial participants or patients;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product recalls, withdrawals or labeling, marketing or promotional restrictions;</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loss of revenue;</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exhaustion of any available insurance and our capital resources;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360"/>
          </w:cols>
          <w:pgMar w:left="1440" w:top="1420" w:right="1440" w:bottom="175" w:gutter="0" w:footer="0" w:header="0"/>
        </w:sectPr>
      </w:pPr>
    </w:p>
    <w:bookmarkStart w:id="50" w:name="page51"/>
    <w:bookmarkEnd w:id="50"/>
    <w:p>
      <w:pPr>
        <w:ind w:left="900" w:hanging="281"/>
        <w:spacing w:after="0"/>
        <w:tabs>
          <w:tab w:leader="none" w:pos="90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the inability to commercialize any product candidate; and</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a decline in our share price.</w:t>
      </w:r>
    </w:p>
    <w:p>
      <w:pPr>
        <w:spacing w:after="0" w:line="239" w:lineRule="exact"/>
        <w:rPr>
          <w:sz w:val="20"/>
          <w:szCs w:val="20"/>
          <w:color w:val="auto"/>
        </w:rPr>
      </w:pPr>
    </w:p>
    <w:p>
      <w:pPr>
        <w:ind w:right="80" w:firstLine="619"/>
        <w:spacing w:after="0" w:line="245" w:lineRule="auto"/>
        <w:rPr>
          <w:sz w:val="20"/>
          <w:szCs w:val="20"/>
          <w:color w:val="auto"/>
        </w:rPr>
      </w:pPr>
      <w:r>
        <w:rPr>
          <w:rFonts w:ascii="Times New Roman" w:cs="Times New Roman" w:eastAsia="Times New Roman" w:hAnsi="Times New Roman"/>
          <w:sz w:val="20"/>
          <w:szCs w:val="20"/>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322" w:lineRule="exact"/>
        <w:rPr>
          <w:sz w:val="20"/>
          <w:szCs w:val="20"/>
          <w:color w:val="auto"/>
        </w:rPr>
      </w:pPr>
    </w:p>
    <w:p>
      <w:pPr>
        <w:ind w:right="4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47" w:lineRule="exact"/>
        <w:rPr>
          <w:sz w:val="20"/>
          <w:szCs w:val="20"/>
          <w:color w:val="auto"/>
        </w:rPr>
      </w:pPr>
    </w:p>
    <w:p>
      <w:pPr>
        <w:ind w:right="60" w:firstLine="619"/>
        <w:spacing w:after="0" w:line="242" w:lineRule="auto"/>
        <w:rPr>
          <w:sz w:val="20"/>
          <w:szCs w:val="20"/>
          <w:color w:val="auto"/>
        </w:rPr>
      </w:pPr>
      <w:r>
        <w:rPr>
          <w:rFonts w:ascii="Times New Roman" w:cs="Times New Roman" w:eastAsia="Times New Roman" w:hAnsi="Times New Roman"/>
          <w:sz w:val="20"/>
          <w:szCs w:val="20"/>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comparable foreign regulatory authority investigation of the safety and effectiveness of our products, our manufacturing processes and facilities or our marketing programs. FDA or other comparable foreign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332"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currently have no marketing and sales organization and have no experience in marketing products. If we are unable to establish marketing and sales capabilities or enter into agreements with third parties to market and sell our product candidates, if approved, we may not be able to generate product revenue.</w:t>
      </w:r>
    </w:p>
    <w:p>
      <w:pPr>
        <w:spacing w:after="0" w:line="68" w:lineRule="exact"/>
        <w:rPr>
          <w:sz w:val="20"/>
          <w:szCs w:val="20"/>
          <w:color w:val="auto"/>
        </w:rPr>
      </w:pPr>
    </w:p>
    <w:p>
      <w:pPr>
        <w:ind w:right="260" w:firstLine="619"/>
        <w:spacing w:after="0" w:line="252" w:lineRule="auto"/>
        <w:rPr>
          <w:sz w:val="20"/>
          <w:szCs w:val="20"/>
          <w:color w:val="auto"/>
        </w:rPr>
      </w:pPr>
      <w:r>
        <w:rPr>
          <w:rFonts w:ascii="Times New Roman" w:cs="Times New Roman" w:eastAsia="Times New Roman" w:hAnsi="Times New Roman"/>
          <w:sz w:val="20"/>
          <w:szCs w:val="20"/>
          <w:color w:val="auto"/>
        </w:rPr>
        <w:t>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195" w:lineRule="exact"/>
        <w:rPr>
          <w:sz w:val="20"/>
          <w:szCs w:val="20"/>
          <w:color w:val="auto"/>
        </w:rPr>
      </w:pPr>
    </w:p>
    <w:p>
      <w:pPr>
        <w:ind w:right="60" w:firstLine="619"/>
        <w:spacing w:after="0" w:line="244" w:lineRule="auto"/>
        <w:rPr>
          <w:sz w:val="20"/>
          <w:szCs w:val="20"/>
          <w:color w:val="auto"/>
        </w:rPr>
      </w:pPr>
      <w:r>
        <w:rPr>
          <w:rFonts w:ascii="Times New Roman" w:cs="Times New Roman" w:eastAsia="Times New Roman" w:hAnsi="Times New Roman"/>
          <w:sz w:val="20"/>
          <w:szCs w:val="20"/>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if at all, or if we are able to do so, that these third-party arrangements will provide 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206" w:lineRule="exact"/>
        <w:rPr>
          <w:sz w:val="20"/>
          <w:szCs w:val="20"/>
          <w:color w:val="auto"/>
        </w:rPr>
      </w:pPr>
    </w:p>
    <w:p>
      <w:pPr>
        <w:ind w:right="160" w:firstLine="619"/>
        <w:spacing w:after="0" w:line="258" w:lineRule="auto"/>
        <w:rPr>
          <w:sz w:val="20"/>
          <w:szCs w:val="20"/>
          <w:color w:val="auto"/>
        </w:rPr>
      </w:pPr>
      <w:r>
        <w:rPr>
          <w:rFonts w:ascii="Times New Roman" w:cs="Times New Roman" w:eastAsia="Times New Roman" w:hAnsi="Times New Roman"/>
          <w:sz w:val="20"/>
          <w:szCs w:val="20"/>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360"/>
          </w:cols>
          <w:pgMar w:left="1440" w:top="1435" w:right="1440" w:bottom="175"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20"/>
          <w:szCs w:val="20"/>
          <w:b w:val="1"/>
          <w:bCs w:val="1"/>
          <w:color w:val="auto"/>
        </w:rPr>
        <w:t>Risks Related to Regulatory Process and Other Legal Compliance Matters</w:t>
      </w:r>
    </w:p>
    <w:p>
      <w:pPr>
        <w:spacing w:after="0" w:line="24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75"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20"/>
          <w:szCs w:val="20"/>
          <w:color w:val="auto"/>
        </w:rPr>
        <w:t>We cannot commercialize product candidates in the United States without first obtaining regulatory approval from the FDA. Similarly, we cannot commercialize product candidates outside of the United States without obtaining regulatory approval from comparable foreign regulatory authorities. Before obtaining regulatory approvals for the commercial sale of our product candidates, including our lead product candidate rezatapopt, we must demonstrate through lengthy, complex and expensive preclinical studies and clinical trials that our product candidates are both safe and effective for each targeted indication.</w:t>
      </w:r>
    </w:p>
    <w:p>
      <w:pPr>
        <w:spacing w:after="0" w:line="200" w:lineRule="exact"/>
        <w:rPr>
          <w:sz w:val="20"/>
          <w:szCs w:val="20"/>
          <w:color w:val="auto"/>
        </w:rPr>
      </w:pPr>
    </w:p>
    <w:p>
      <w:pPr>
        <w:ind w:right="160" w:firstLine="619"/>
        <w:spacing w:after="0" w:line="252" w:lineRule="auto"/>
        <w:rPr>
          <w:sz w:val="20"/>
          <w:szCs w:val="20"/>
          <w:color w:val="auto"/>
        </w:rPr>
      </w:pPr>
      <w:r>
        <w:rPr>
          <w:rFonts w:ascii="Times New Roman" w:cs="Times New Roman" w:eastAsia="Times New Roman" w:hAnsi="Times New Roman"/>
          <w:sz w:val="20"/>
          <w:szCs w:val="20"/>
          <w:color w:val="auto"/>
        </w:rPr>
        <w:t>Securing regulatory approval also requires the submission of information about the drug manufacturing process to, and inspection of manufacturing facilities by, the relevant regulatory authority. Further, our product candidates may not be effective, may be only moderately effective or may prove to have undesirable or unintended side effects, toxicities or other characteristics that may preclude our obtaining marketing approval.</w:t>
      </w:r>
    </w:p>
    <w:p>
      <w:pPr>
        <w:spacing w:after="0" w:line="193" w:lineRule="exact"/>
        <w:rPr>
          <w:sz w:val="20"/>
          <w:szCs w:val="20"/>
          <w:color w:val="auto"/>
        </w:rPr>
      </w:pPr>
    </w:p>
    <w:p>
      <w:pPr>
        <w:ind w:right="60" w:firstLine="619"/>
        <w:spacing w:after="0" w:line="245" w:lineRule="auto"/>
        <w:rPr>
          <w:sz w:val="20"/>
          <w:szCs w:val="20"/>
          <w:color w:val="auto"/>
        </w:rPr>
      </w:pPr>
      <w:r>
        <w:rPr>
          <w:rFonts w:ascii="Times New Roman" w:cs="Times New Roman" w:eastAsia="Times New Roman" w:hAnsi="Times New Roman"/>
          <w:sz w:val="20"/>
          <w:szCs w:val="20"/>
          <w:color w:val="auto"/>
        </w:rPr>
        <w:t>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IND, NDA or equivalent application types, may cause delays in the approval or rejection of an application. For example, the FDA issued various COVID-19 related guidance documents for trial sponsors and manufacturers during the COVID-19 national and public health emergencies, and may do so in response to other public health concerns in the future.</w:t>
      </w:r>
    </w:p>
    <w:p>
      <w:pPr>
        <w:spacing w:after="0" w:line="203" w:lineRule="exact"/>
        <w:rPr>
          <w:sz w:val="20"/>
          <w:szCs w:val="20"/>
          <w:color w:val="auto"/>
        </w:rPr>
      </w:pPr>
    </w:p>
    <w:p>
      <w:pPr>
        <w:ind w:right="240" w:firstLine="620"/>
        <w:spacing w:after="0" w:line="245" w:lineRule="auto"/>
        <w:rPr>
          <w:sz w:val="20"/>
          <w:szCs w:val="20"/>
          <w:color w:val="auto"/>
        </w:rPr>
      </w:pPr>
      <w:r>
        <w:rPr>
          <w:rFonts w:ascii="Times New Roman" w:cs="Times New Roman" w:eastAsia="Times New Roman" w:hAnsi="Times New Roman"/>
          <w:sz w:val="20"/>
          <w:szCs w:val="20"/>
          <w:color w:val="auto"/>
        </w:rPr>
        <w:t>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these goals and their impact on specific clinical programs and the industry are unclear. The FDA and comparable authorities in other countries have substantial discretion in the approval process and may refuse to accept any application or may decide that our data are insufficient for approval and require additional preclinical, clinical or other data. Our product candidates could be delayed in receiving, or fail to receive, regulatory approval for many reasons, including the following:</w:t>
      </w:r>
    </w:p>
    <w:p>
      <w:pPr>
        <w:spacing w:after="0" w:line="96" w:lineRule="exact"/>
        <w:rPr>
          <w:sz w:val="20"/>
          <w:szCs w:val="20"/>
          <w:color w:val="auto"/>
        </w:rPr>
      </w:pPr>
    </w:p>
    <w:p>
      <w:pPr>
        <w:ind w:left="900" w:right="60" w:hanging="281"/>
        <w:spacing w:after="0" w:line="252" w:lineRule="auto"/>
        <w:tabs>
          <w:tab w:leader="none" w:pos="90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comparable foreign regulatory authorities may disagree with the design or implementation of our clinical trials, including our Phase 1/2 clinical trial design for rezatapopt, or require us to modify the design of our clinical trials, including additional procedures and contingency measures in response to the COVID-19 pandemic or as required by clinical sites, IRBs, FDA or other regulatory authorities;</w:t>
      </w:r>
    </w:p>
    <w:p>
      <w:pPr>
        <w:spacing w:after="0" w:line="86" w:lineRule="exact"/>
        <w:rPr>
          <w:rFonts w:ascii="Arial" w:cs="Arial" w:eastAsia="Arial" w:hAnsi="Arial"/>
          <w:sz w:val="20"/>
          <w:szCs w:val="20"/>
          <w:color w:val="auto"/>
        </w:rPr>
      </w:pPr>
    </w:p>
    <w:p>
      <w:pPr>
        <w:ind w:left="900" w:hanging="281"/>
        <w:spacing w:after="0" w:line="277" w:lineRule="auto"/>
        <w:tabs>
          <w:tab w:leader="none" w:pos="90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comparable foreign regulatory authorities may disagree with our tumor-agnostic development strategy;</w:t>
      </w:r>
    </w:p>
    <w:p>
      <w:pPr>
        <w:spacing w:after="0" w:line="63" w:lineRule="exact"/>
        <w:rPr>
          <w:rFonts w:ascii="Arial" w:cs="Arial" w:eastAsia="Arial" w:hAnsi="Arial"/>
          <w:sz w:val="20"/>
          <w:szCs w:val="20"/>
          <w:color w:val="auto"/>
        </w:rPr>
      </w:pPr>
    </w:p>
    <w:p>
      <w:pPr>
        <w:ind w:left="900" w:right="620" w:hanging="281"/>
        <w:spacing w:after="0" w:line="276" w:lineRule="auto"/>
        <w:tabs>
          <w:tab w:leader="none" w:pos="90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the population studied in the clinical trial may not be sufficiently broad or representative to assure efficacy and safety in the full population for which we seek approval;</w:t>
      </w:r>
    </w:p>
    <w:p>
      <w:pPr>
        <w:spacing w:after="0" w:line="64" w:lineRule="exact"/>
        <w:rPr>
          <w:rFonts w:ascii="Arial" w:cs="Arial" w:eastAsia="Arial" w:hAnsi="Arial"/>
          <w:sz w:val="20"/>
          <w:szCs w:val="20"/>
          <w:color w:val="auto"/>
        </w:rPr>
      </w:pPr>
    </w:p>
    <w:p>
      <w:pPr>
        <w:ind w:left="900" w:right="160" w:hanging="281"/>
        <w:spacing w:after="0" w:line="258" w:lineRule="auto"/>
        <w:tabs>
          <w:tab w:leader="none" w:pos="90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unable to demonstrate to the satisfaction of the FDA or comparable foreign regulatory authorities that a drug candidate is safe and effective for its proposed indication, or a related companion diagnostic is suitable to identify appropriate patient populations;</w:t>
      </w:r>
    </w:p>
    <w:p>
      <w:pPr>
        <w:spacing w:after="0" w:line="81" w:lineRule="exact"/>
        <w:rPr>
          <w:rFonts w:ascii="Arial" w:cs="Arial" w:eastAsia="Arial" w:hAnsi="Arial"/>
          <w:sz w:val="20"/>
          <w:szCs w:val="20"/>
          <w:color w:val="auto"/>
        </w:rPr>
      </w:pPr>
    </w:p>
    <w:p>
      <w:pPr>
        <w:ind w:left="900" w:right="160" w:hanging="281"/>
        <w:spacing w:after="0" w:line="276" w:lineRule="auto"/>
        <w:tabs>
          <w:tab w:leader="none" w:pos="90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other comparable regulatory authorities may fail to approve companion diagnostic tests that may be required for our product candidates;</w:t>
      </w:r>
    </w:p>
    <w:p>
      <w:pPr>
        <w:spacing w:after="0" w:line="64" w:lineRule="exact"/>
        <w:rPr>
          <w:rFonts w:ascii="Arial" w:cs="Arial" w:eastAsia="Arial" w:hAnsi="Arial"/>
          <w:sz w:val="20"/>
          <w:szCs w:val="20"/>
          <w:color w:val="auto"/>
        </w:rPr>
      </w:pPr>
    </w:p>
    <w:p>
      <w:pPr>
        <w:ind w:left="900" w:right="500" w:hanging="281"/>
        <w:spacing w:after="0" w:line="277" w:lineRule="auto"/>
        <w:tabs>
          <w:tab w:leader="none" w:pos="90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the results of clinical trials may not meet the level of statistical significance required by the FDA or comparable foreign regulatory authorities for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360"/>
          </w:cols>
          <w:pgMar w:left="1440" w:top="1416" w:right="1440" w:bottom="175" w:gutter="0" w:footer="0" w:header="0"/>
        </w:sectPr>
      </w:pPr>
    </w:p>
    <w:bookmarkStart w:id="52" w:name="page53"/>
    <w:bookmarkEnd w:id="52"/>
    <w:p>
      <w:pPr>
        <w:ind w:left="900" w:right="280" w:hanging="281"/>
        <w:spacing w:after="0" w:line="303" w:lineRule="auto"/>
        <w:tabs>
          <w:tab w:leader="none" w:pos="900" w:val="left"/>
        </w:tabs>
        <w:numPr>
          <w:ilvl w:val="0"/>
          <w:numId w:val="35"/>
        </w:numPr>
        <w:rPr>
          <w:rFonts w:ascii="Arial" w:cs="Arial" w:eastAsia="Arial" w:hAnsi="Arial"/>
          <w:sz w:val="19"/>
          <w:szCs w:val="19"/>
          <w:color w:val="auto"/>
        </w:rPr>
      </w:pPr>
      <w:r>
        <w:rPr>
          <w:rFonts w:ascii="Times New Roman" w:cs="Times New Roman" w:eastAsia="Times New Roman" w:hAnsi="Times New Roman"/>
          <w:sz w:val="19"/>
          <w:szCs w:val="19"/>
          <w:color w:val="auto"/>
        </w:rPr>
        <w:t>we may be unable to demonstrate that a product candidate’s clinical and other benefits outweigh its safety risks, or that a product candidate has an acceptable benefit-risk ratio for its proposed indication;</w:t>
      </w:r>
    </w:p>
    <w:p>
      <w:pPr>
        <w:spacing w:after="0" w:line="41" w:lineRule="exact"/>
        <w:rPr>
          <w:rFonts w:ascii="Arial" w:cs="Arial" w:eastAsia="Arial" w:hAnsi="Arial"/>
          <w:sz w:val="19"/>
          <w:szCs w:val="19"/>
          <w:color w:val="auto"/>
        </w:rPr>
      </w:pPr>
    </w:p>
    <w:p>
      <w:pPr>
        <w:ind w:left="900" w:right="180" w:hanging="281"/>
        <w:spacing w:after="0" w:line="277" w:lineRule="auto"/>
        <w:tabs>
          <w:tab w:leader="none" w:pos="90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comparable foreign regulatory authorities may disagree with our interpretation of data from preclinical studies or clinical trials;</w:t>
      </w:r>
    </w:p>
    <w:p>
      <w:pPr>
        <w:spacing w:after="0" w:line="62" w:lineRule="exact"/>
        <w:rPr>
          <w:rFonts w:ascii="Arial" w:cs="Arial" w:eastAsia="Arial" w:hAnsi="Arial"/>
          <w:sz w:val="20"/>
          <w:szCs w:val="20"/>
          <w:color w:val="auto"/>
        </w:rPr>
      </w:pPr>
    </w:p>
    <w:p>
      <w:pPr>
        <w:jc w:val="both"/>
        <w:ind w:left="900" w:right="560" w:hanging="281"/>
        <w:spacing w:after="0" w:line="258" w:lineRule="auto"/>
        <w:tabs>
          <w:tab w:leader="none" w:pos="90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the data collected from clinical trials of our product candidates may not be sufficient to support the submission of an NDA or other submission or to obtain regulatory approval in the United States or elsewhere;</w:t>
      </w:r>
    </w:p>
    <w:p>
      <w:pPr>
        <w:spacing w:after="0" w:line="81" w:lineRule="exact"/>
        <w:rPr>
          <w:rFonts w:ascii="Arial" w:cs="Arial" w:eastAsia="Arial" w:hAnsi="Arial"/>
          <w:sz w:val="20"/>
          <w:szCs w:val="20"/>
          <w:color w:val="auto"/>
        </w:rPr>
      </w:pPr>
    </w:p>
    <w:p>
      <w:pPr>
        <w:ind w:left="900" w:right="200" w:hanging="281"/>
        <w:spacing w:after="0" w:line="258" w:lineRule="auto"/>
        <w:tabs>
          <w:tab w:leader="none" w:pos="90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comparable foreign regulatory authorities may fail to approve the manufacturing processes, test procedures, specifications or facilities of third-party manufacturers with which we contract for clinical and commercial supplies;</w:t>
      </w:r>
    </w:p>
    <w:p>
      <w:pPr>
        <w:spacing w:after="0" w:line="81" w:lineRule="exact"/>
        <w:rPr>
          <w:rFonts w:ascii="Arial" w:cs="Arial" w:eastAsia="Arial" w:hAnsi="Arial"/>
          <w:sz w:val="20"/>
          <w:szCs w:val="20"/>
          <w:color w:val="auto"/>
        </w:rPr>
      </w:pPr>
    </w:p>
    <w:p>
      <w:pPr>
        <w:ind w:left="900" w:right="20" w:hanging="281"/>
        <w:spacing w:after="0" w:line="258" w:lineRule="auto"/>
        <w:tabs>
          <w:tab w:leader="none" w:pos="90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our third-party contractors may fail to comply with regulatory requirements or otherwise fail or be unable to adequately perform their obligations to allow for the conduct of our planned or future clinical studies; and</w:t>
      </w:r>
    </w:p>
    <w:p>
      <w:pPr>
        <w:spacing w:after="0" w:line="81" w:lineRule="exact"/>
        <w:rPr>
          <w:rFonts w:ascii="Arial" w:cs="Arial" w:eastAsia="Arial" w:hAnsi="Arial"/>
          <w:sz w:val="20"/>
          <w:szCs w:val="20"/>
          <w:color w:val="auto"/>
        </w:rPr>
      </w:pPr>
    </w:p>
    <w:p>
      <w:pPr>
        <w:ind w:left="900" w:right="700" w:hanging="281"/>
        <w:spacing w:after="0" w:line="277" w:lineRule="auto"/>
        <w:tabs>
          <w:tab w:leader="none" w:pos="90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the approval policies or regulations of the FDA or comparable foreign regulatory authorities may significantly change in a manner rendering our clinical data insufficient for approval.</w:t>
      </w:r>
    </w:p>
    <w:p>
      <w:pPr>
        <w:spacing w:after="0" w:line="168" w:lineRule="exact"/>
        <w:rPr>
          <w:sz w:val="20"/>
          <w:szCs w:val="20"/>
          <w:color w:val="auto"/>
        </w:rPr>
      </w:pPr>
    </w:p>
    <w:p>
      <w:pPr>
        <w:ind w:right="280" w:firstLine="619"/>
        <w:spacing w:after="0" w:line="270" w:lineRule="auto"/>
        <w:rPr>
          <w:sz w:val="20"/>
          <w:szCs w:val="20"/>
          <w:color w:val="auto"/>
        </w:rPr>
      </w:pPr>
      <w:r>
        <w:rPr>
          <w:rFonts w:ascii="Times New Roman" w:cs="Times New Roman" w:eastAsia="Times New Roman" w:hAnsi="Times New Roman"/>
          <w:sz w:val="19"/>
          <w:szCs w:val="19"/>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materially adversely affect our business, results of operations and prospects.</w:t>
      </w:r>
    </w:p>
    <w:p>
      <w:pPr>
        <w:spacing w:after="0" w:line="177" w:lineRule="exact"/>
        <w:rPr>
          <w:sz w:val="20"/>
          <w:szCs w:val="20"/>
          <w:color w:val="auto"/>
        </w:rPr>
      </w:pPr>
    </w:p>
    <w:p>
      <w:pPr>
        <w:ind w:right="120" w:firstLine="619"/>
        <w:spacing w:after="0" w:line="261" w:lineRule="auto"/>
        <w:rPr>
          <w:sz w:val="20"/>
          <w:szCs w:val="20"/>
          <w:color w:val="auto"/>
        </w:rPr>
      </w:pPr>
      <w:r>
        <w:rPr>
          <w:rFonts w:ascii="Times New Roman" w:cs="Times New Roman" w:eastAsia="Times New Roman" w:hAnsi="Times New Roman"/>
          <w:sz w:val="19"/>
          <w:szCs w:val="19"/>
          <w:color w:val="auto"/>
        </w:rPr>
        <w:t>The FDA or a comparable foreign regulatory authority may require more information, including additional preclinical or clinical data to support approval, which may delay or prevent approval and our commercialization plans, or we may decide to abandon the development program. If we were to obtain approval, regulatory authorities may approve any of our product candidates for fewer or more limited indications than we request (including failing to approve the most commercially promising indications), may grant approval contingent on the performance of costly post-marketing clinical studies, or may approve a product candidate with a label that does not include the labeling claims necessary or desirable for the successful commercialization of that product candidate.</w:t>
      </w:r>
    </w:p>
    <w:p>
      <w:pPr>
        <w:spacing w:after="0" w:line="3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obtain orphan drug designation or obtain or maintain the benefits associated with orphan drug designation, such as orphan drug exclusivity and, even if we do, that exclusivity may not prevent the FDA or other comparable foreign regulatory authorities, from approving competing products.</w:t>
      </w:r>
    </w:p>
    <w:p>
      <w:pPr>
        <w:spacing w:after="0" w:line="65" w:lineRule="exact"/>
        <w:rPr>
          <w:sz w:val="20"/>
          <w:szCs w:val="20"/>
          <w:color w:val="auto"/>
        </w:rPr>
      </w:pPr>
    </w:p>
    <w:p>
      <w:pPr>
        <w:ind w:right="40" w:firstLine="619"/>
        <w:spacing w:after="0" w:line="244" w:lineRule="auto"/>
        <w:rPr>
          <w:sz w:val="20"/>
          <w:szCs w:val="20"/>
          <w:color w:val="auto"/>
        </w:rPr>
      </w:pPr>
      <w:r>
        <w:rPr>
          <w:rFonts w:ascii="Times New Roman" w:cs="Times New Roman" w:eastAsia="Times New Roman" w:hAnsi="Times New Roman"/>
          <w:sz w:val="20"/>
          <w:szCs w:val="20"/>
          <w:color w:val="auto"/>
        </w:rPr>
        <w:t>As part of our business strategy, we may seek orphan drug designation, or ODD, for any eligible product candidates we develop, and we may be unsuccessful. 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and making available the drug will be recovered from sales in the United States. Our target indications may include diseases with large patient populations or may include orphan indications. However, there can be no assurances that we will be able to obtain orphan designations for our product candidates.</w:t>
      </w:r>
    </w:p>
    <w:p>
      <w:pPr>
        <w:spacing w:after="0" w:line="203"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20"/>
          <w:szCs w:val="20"/>
          <w:color w:val="auto"/>
        </w:rPr>
        <w:t>In the United States, ODD entitles a party to financial incentives such as opportunities for grant funding towards clinical trial costs, tax advantages and user-fee waivers. In addition, if a product that has ODD subsequently receives the first FDA approval for a particular active ingredient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such as a showing of clinical superiority to the product with orphan product exclusivity or if FDA finds that the holder of the orphan exclusivity has not shown that it can ensure the availability of sufficient quantities of the orphan product to meet the needs of patients with the disease or condition for which the product was designated. The applicable exclusivity period is 10 years in Europe. The European</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360"/>
          </w:cols>
          <w:pgMar w:left="1440" w:top="1435" w:right="1440" w:bottom="175" w:gutter="0" w:footer="0" w:header="0"/>
        </w:sectPr>
      </w:pPr>
    </w:p>
    <w:bookmarkStart w:id="53" w:name="page54"/>
    <w:bookmarkEnd w:id="53"/>
    <w:p>
      <w:pPr>
        <w:ind w:right="700"/>
        <w:spacing w:after="0" w:line="277" w:lineRule="auto"/>
        <w:rPr>
          <w:sz w:val="20"/>
          <w:szCs w:val="20"/>
          <w:color w:val="auto"/>
        </w:rPr>
      </w:pPr>
      <w:r>
        <w:rPr>
          <w:rFonts w:ascii="Times New Roman" w:cs="Times New Roman" w:eastAsia="Times New Roman" w:hAnsi="Times New Roman"/>
          <w:sz w:val="20"/>
          <w:szCs w:val="20"/>
          <w:color w:val="auto"/>
        </w:rPr>
        <w:t>exclusivity period can be reduced to six years if a drug no longer meets the criteria for ODD or if the drug is sufficiently profitable so that market exclusivity is no longer justified.</w:t>
      </w:r>
    </w:p>
    <w:p>
      <w:pPr>
        <w:spacing w:after="0" w:line="169" w:lineRule="exact"/>
        <w:rPr>
          <w:sz w:val="20"/>
          <w:szCs w:val="20"/>
          <w:color w:val="auto"/>
        </w:rPr>
      </w:pPr>
    </w:p>
    <w:p>
      <w:pPr>
        <w:ind w:right="80" w:firstLine="619"/>
        <w:spacing w:after="0" w:line="242" w:lineRule="auto"/>
        <w:rPr>
          <w:sz w:val="20"/>
          <w:szCs w:val="20"/>
          <w:color w:val="auto"/>
        </w:rPr>
      </w:pPr>
      <w:r>
        <w:rPr>
          <w:rFonts w:ascii="Times New Roman" w:cs="Times New Roman" w:eastAsia="Times New Roman" w:hAnsi="Times New Roman"/>
          <w:sz w:val="20"/>
          <w:szCs w:val="20"/>
          <w:color w:val="auto"/>
        </w:rPr>
        <w:t>Even if we obtain ODD for a product candidate, we may not be able to obtain or maintain orphan drug exclusivity for that product candidate. We may not be the first to obtain marketing approval of any product candidate for which we have obtained ODD for the orphan-designated indication due to the uncertainties associated with developing pharmaceutical products. In addition, exclusive marketing rights in the United States may be limited if we seek approval for an indication broader than the orphan -designated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w:t>
      </w:r>
    </w:p>
    <w:p>
      <w:pPr>
        <w:spacing w:after="0" w:line="212" w:lineRule="exact"/>
        <w:rPr>
          <w:sz w:val="20"/>
          <w:szCs w:val="20"/>
          <w:color w:val="auto"/>
        </w:rPr>
      </w:pPr>
    </w:p>
    <w:p>
      <w:pPr>
        <w:ind w:right="120" w:firstLine="619"/>
        <w:spacing w:after="0" w:line="242" w:lineRule="auto"/>
        <w:rPr>
          <w:sz w:val="20"/>
          <w:szCs w:val="20"/>
          <w:color w:val="auto"/>
        </w:rPr>
      </w:pPr>
      <w:r>
        <w:rPr>
          <w:rFonts w:ascii="Times New Roman" w:cs="Times New Roman" w:eastAsia="Times New Roman" w:hAnsi="Times New Roman"/>
          <w:sz w:val="20"/>
          <w:szCs w:val="20"/>
          <w:color w:val="auto"/>
        </w:rPr>
        <w:t xml:space="preserve">Further, in </w:t>
      </w:r>
      <w:r>
        <w:rPr>
          <w:rFonts w:ascii="Times New Roman" w:cs="Times New Roman" w:eastAsia="Times New Roman" w:hAnsi="Times New Roman"/>
          <w:sz w:val="20"/>
          <w:szCs w:val="20"/>
          <w:i w:val="1"/>
          <w:iCs w:val="1"/>
          <w:color w:val="auto"/>
        </w:rPr>
        <w:t>Catalyst Pharms., Inc. v. Becerra</w:t>
      </w:r>
      <w:r>
        <w:rPr>
          <w:rFonts w:ascii="Times New Roman" w:cs="Times New Roman" w:eastAsia="Times New Roman" w:hAnsi="Times New Roman"/>
          <w:sz w:val="20"/>
          <w:szCs w:val="20"/>
          <w:color w:val="auto"/>
        </w:rPr>
        <w:t xml:space="preserve">, 14 F.4th 1299 (11th Cir. 2021), the court disagreed with the FDA’s longstanding position that the orphan drug exclusivity only applies to the approved use or indication within an eligible disease. This decision created uncertainty in the application of the orphan drug exclusivity. On January 24, 2023, the FDA published a notice in the Federal Register to clarify that while the agency complies with the court’s order in </w:t>
      </w:r>
      <w:r>
        <w:rPr>
          <w:rFonts w:ascii="Times New Roman" w:cs="Times New Roman" w:eastAsia="Times New Roman" w:hAnsi="Times New Roman"/>
          <w:sz w:val="20"/>
          <w:szCs w:val="20"/>
          <w:i w:val="1"/>
          <w:iCs w:val="1"/>
          <w:color w:val="auto"/>
        </w:rPr>
        <w:t>Catalyst</w:t>
      </w:r>
      <w:r>
        <w:rPr>
          <w:rFonts w:ascii="Times New Roman" w:cs="Times New Roman" w:eastAsia="Times New Roman" w:hAnsi="Times New Roman"/>
          <w:sz w:val="20"/>
          <w:szCs w:val="20"/>
          <w:color w:val="auto"/>
        </w:rPr>
        <w:t xml:space="preserve">, FDA intends to continue to apply its longstanding interpretation of the regulations to matters outside of the scope of the </w:t>
      </w:r>
      <w:r>
        <w:rPr>
          <w:rFonts w:ascii="Times New Roman" w:cs="Times New Roman" w:eastAsia="Times New Roman" w:hAnsi="Times New Roman"/>
          <w:sz w:val="20"/>
          <w:szCs w:val="20"/>
          <w:i w:val="1"/>
          <w:iCs w:val="1"/>
          <w:color w:val="auto"/>
        </w:rPr>
        <w:t>Catalyst</w:t>
      </w:r>
      <w:r>
        <w:rPr>
          <w:rFonts w:ascii="Times New Roman" w:cs="Times New Roman" w:eastAsia="Times New Roman" w:hAnsi="Times New Roman"/>
          <w:sz w:val="20"/>
          <w:szCs w:val="20"/>
          <w:color w:val="auto"/>
        </w:rPr>
        <w:t xml:space="preserve">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In view of the overturn of the </w:t>
      </w:r>
      <w:r>
        <w:rPr>
          <w:rFonts w:ascii="Times New Roman" w:cs="Times New Roman" w:eastAsia="Times New Roman" w:hAnsi="Times New Roman"/>
          <w:sz w:val="20"/>
          <w:szCs w:val="20"/>
          <w:i w:val="1"/>
          <w:iCs w:val="1"/>
          <w:color w:val="auto"/>
        </w:rPr>
        <w:t>Chevron</w:t>
      </w:r>
      <w:r>
        <w:rPr>
          <w:rFonts w:ascii="Times New Roman" w:cs="Times New Roman" w:eastAsia="Times New Roman" w:hAnsi="Times New Roman"/>
          <w:sz w:val="20"/>
          <w:szCs w:val="20"/>
          <w:color w:val="auto"/>
        </w:rPr>
        <w:t xml:space="preserve"> doctrine in </w:t>
      </w:r>
      <w:r>
        <w:rPr>
          <w:rFonts w:ascii="Times New Roman" w:cs="Times New Roman" w:eastAsia="Times New Roman" w:hAnsi="Times New Roman"/>
          <w:sz w:val="20"/>
          <w:szCs w:val="20"/>
          <w:i w:val="1"/>
          <w:iCs w:val="1"/>
          <w:color w:val="auto"/>
        </w:rPr>
        <w:t>Loper Bright Enterprises v. Raimondo</w:t>
      </w:r>
      <w:r>
        <w:rPr>
          <w:rFonts w:ascii="Times New Roman" w:cs="Times New Roman" w:eastAsia="Times New Roman" w:hAnsi="Times New Roman"/>
          <w:sz w:val="20"/>
          <w:szCs w:val="20"/>
          <w:color w:val="auto"/>
        </w:rPr>
        <w:t>, this landmark Supreme Court decision may invite various stakeholders to bring lawsuits against the FDA to challenge longstanding decisions and policies, including regulatory exclusivities, which could lead to uncertainties in the industry. Further, changes in the leadership of the FDA and other federal agencies under the Trump administration may lead to new policies and changes in the regulations and operations of the FDA, which may impact our clinical development plans. It is unclear how future litigation, legislation, agency decisions, and administrative actions will impact the scope of the orphan drug exclusivity.</w:t>
      </w:r>
    </w:p>
    <w:p>
      <w:pPr>
        <w:spacing w:after="0" w:line="331"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We may seek and fail to obtain or maintain breakthrough therapy or Fast Track designations for our current or future product candidates. Even if we are successful, such programs may not lead to a faster development or regulatory review process, and they do not guarantee we will receive approval for any product candidate. We may also seek to obtain accelerated approval for one or more of our product candidates but the FDA may disagree that we have met the requirements for such approval.</w:t>
      </w:r>
    </w:p>
    <w:p>
      <w:pPr>
        <w:spacing w:after="0" w:line="78" w:lineRule="exact"/>
        <w:rPr>
          <w:sz w:val="20"/>
          <w:szCs w:val="20"/>
          <w:color w:val="auto"/>
        </w:rPr>
      </w:pPr>
    </w:p>
    <w:p>
      <w:pPr>
        <w:ind w:right="60" w:firstLine="619"/>
        <w:spacing w:after="0" w:line="245" w:lineRule="auto"/>
        <w:rPr>
          <w:sz w:val="20"/>
          <w:szCs w:val="20"/>
          <w:color w:val="auto"/>
        </w:rPr>
      </w:pPr>
      <w:r>
        <w:rPr>
          <w:rFonts w:ascii="Times New Roman" w:cs="Times New Roman" w:eastAsia="Times New Roman" w:hAnsi="Times New Roman"/>
          <w:sz w:val="20"/>
          <w:szCs w:val="20"/>
          <w:color w:val="auto"/>
        </w:rPr>
        <w:t>If a product is intended for the treatment of a serious or life-threatening condition and preclinical or clinical data demonstrate the potential to address an unmet medical need for this condition, the product sponsor may apply for Fast Track designation. In October 2020, we received Fast Track designation for rezatapopt from the FDA. The FDA has broad discretion whether or not to grant this designation, so even if we believe a particular future product candidate is eligible for this designation, we cannot assure you that the FDA would decide to grant it. Further, even though we have received Fast Track designation for rezatapopt,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202" w:lineRule="exact"/>
        <w:rPr>
          <w:sz w:val="20"/>
          <w:szCs w:val="20"/>
          <w:color w:val="auto"/>
        </w:rPr>
      </w:pPr>
    </w:p>
    <w:p>
      <w:pPr>
        <w:ind w:right="60" w:firstLine="619"/>
        <w:spacing w:after="0" w:line="247" w:lineRule="auto"/>
        <w:rPr>
          <w:sz w:val="20"/>
          <w:szCs w:val="20"/>
          <w:color w:val="auto"/>
        </w:rPr>
      </w:pPr>
      <w:r>
        <w:rPr>
          <w:rFonts w:ascii="Times New Roman" w:cs="Times New Roman" w:eastAsia="Times New Roman" w:hAnsi="Times New Roman"/>
          <w:sz w:val="20"/>
          <w:szCs w:val="20"/>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360"/>
          </w:cols>
          <w:pgMar w:left="1440" w:top="1420" w:right="1440" w:bottom="175" w:gutter="0" w:footer="0" w:header="0"/>
        </w:sectPr>
      </w:pPr>
    </w:p>
    <w:bookmarkStart w:id="54" w:name="page55"/>
    <w:bookmarkEnd w:id="54"/>
    <w:p>
      <w:pPr>
        <w:ind w:right="100"/>
        <w:spacing w:after="0" w:line="247" w:lineRule="auto"/>
        <w:rPr>
          <w:sz w:val="20"/>
          <w:szCs w:val="20"/>
          <w:color w:val="auto"/>
        </w:rPr>
      </w:pPr>
      <w:r>
        <w:rPr>
          <w:rFonts w:ascii="Times New Roman" w:cs="Times New Roman" w:eastAsia="Times New Roman" w:hAnsi="Times New Roman"/>
          <w:sz w:val="20"/>
          <w:szCs w:val="20"/>
          <w:color w:val="auto"/>
        </w:rPr>
        <w:t>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200" w:lineRule="exact"/>
        <w:rPr>
          <w:sz w:val="20"/>
          <w:szCs w:val="20"/>
          <w:color w:val="auto"/>
        </w:rPr>
      </w:pPr>
    </w:p>
    <w:p>
      <w:pPr>
        <w:ind w:right="20" w:firstLine="619"/>
        <w:spacing w:after="0" w:line="242" w:lineRule="auto"/>
        <w:rPr>
          <w:sz w:val="20"/>
          <w:szCs w:val="20"/>
          <w:color w:val="auto"/>
        </w:rPr>
      </w:pPr>
      <w:r>
        <w:rPr>
          <w:rFonts w:ascii="Times New Roman" w:cs="Times New Roman" w:eastAsia="Times New Roman" w:hAnsi="Times New Roman"/>
          <w:sz w:val="20"/>
          <w:szCs w:val="20"/>
          <w:color w:val="auto"/>
        </w:rPr>
        <w:t>Separately from Fast Track or breakthrough therapy designation, we may seek accelerated approval for one or more of our product candidates. A product candidate intended to treat serious or life-threatening diseases or conditions may be eligible for accelerated approval if it is determined to have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post-approval clinical studies to verify and describe the anticipated effect on irreversible morbidity or mortality or other clinical benefit. In addition, the FDA currently requires pre-approval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required post-approval confirmatory clinical trials may fail to verify the predicted clinical benefit of the product, and we may be required to remove the product from the market or amend the product label in a way that adversely impacts its marketing. In addition, the Food and Drug Omnibus Reform Act made several changes to the FDA’s authorities and its regulatory framework, including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spacing w:after="0" w:line="324"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47" w:lineRule="exact"/>
        <w:rPr>
          <w:sz w:val="20"/>
          <w:szCs w:val="20"/>
          <w:color w:val="auto"/>
        </w:rPr>
      </w:pPr>
    </w:p>
    <w:p>
      <w:pPr>
        <w:ind w:right="80" w:firstLine="619"/>
        <w:spacing w:after="0" w:line="243" w:lineRule="auto"/>
        <w:rPr>
          <w:sz w:val="20"/>
          <w:szCs w:val="20"/>
          <w:color w:val="auto"/>
        </w:rPr>
      </w:pPr>
      <w:r>
        <w:rPr>
          <w:rFonts w:ascii="Times New Roman" w:cs="Times New Roman" w:eastAsia="Times New Roman" w:hAnsi="Times New Roman"/>
          <w:sz w:val="20"/>
          <w:szCs w:val="20"/>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209"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20"/>
          <w:szCs w:val="20"/>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360"/>
          </w:cols>
          <w:pgMar w:left="1440" w:top="1420" w:right="1440" w:bottom="175" w:gutter="0" w:footer="0" w:header="0"/>
        </w:sectPr>
      </w:pPr>
    </w:p>
    <w:bookmarkStart w:id="55" w:name="page56"/>
    <w:bookmarkEnd w:id="55"/>
    <w:p>
      <w:pPr>
        <w:ind w:right="4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Preclinical and clinical development involves a lengthy and expensive process with uncertain outcomes, and results of earlier studies and trials may not be predictive of future clinical trial results. We may encounter substantial delays in clinical trials, or may not be able to conduct or complete clinical trials on the expected timelines, if at all.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spacing w:after="0" w:line="80"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0"/>
          <w:szCs w:val="20"/>
          <w:color w:val="auto"/>
        </w:rPr>
        <w:t>Our lead product candidate, rezatapopt, is in clinical development and all of our other product candidates are in discovery or preclinical development and their risk of failure is high. It is impossible to predict when or if any of our product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product candidates in humans. Our clinical trials may not be conducted as planned or completed on schedule, if at all, and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Our preclinical studies and clinical trials may not be successful.</w:t>
      </w:r>
    </w:p>
    <w:p>
      <w:pPr>
        <w:spacing w:after="0" w:line="205" w:lineRule="exact"/>
        <w:rPr>
          <w:sz w:val="20"/>
          <w:szCs w:val="20"/>
          <w:color w:val="auto"/>
        </w:rPr>
      </w:pPr>
    </w:p>
    <w:p>
      <w:pPr>
        <w:ind w:right="80" w:firstLine="619"/>
        <w:spacing w:after="0" w:line="247" w:lineRule="auto"/>
        <w:rPr>
          <w:sz w:val="20"/>
          <w:szCs w:val="20"/>
          <w:color w:val="auto"/>
        </w:rPr>
      </w:pPr>
      <w:r>
        <w:rPr>
          <w:rFonts w:ascii="Times New Roman" w:cs="Times New Roman" w:eastAsia="Times New Roman" w:hAnsi="Times New Roman"/>
          <w:sz w:val="20"/>
          <w:szCs w:val="20"/>
          <w:color w:val="auto"/>
        </w:rPr>
        <w:t>We cannot be certain that our preclinical study and clinical trial results will be sufficient to support regulatory approval of our product candidates, or that FDA or other comparable regulatory authorities will find our planned clinical strategy to be acceptable. Clinical testing is expensive and can take many years to complete, and its outcome is inherently uncertain. Human clinical trials are expensive and difficult to design and implement, in part because they are subject to rigorous regulatory requirements. Failure or delay can occur at any time during the clinical trial process.</w:t>
      </w:r>
    </w:p>
    <w:p>
      <w:pPr>
        <w:spacing w:after="0" w:line="200" w:lineRule="exact"/>
        <w:rPr>
          <w:sz w:val="20"/>
          <w:szCs w:val="20"/>
          <w:color w:val="auto"/>
        </w:rPr>
      </w:pPr>
    </w:p>
    <w:p>
      <w:pPr>
        <w:ind w:firstLine="620"/>
        <w:spacing w:after="0" w:line="243" w:lineRule="auto"/>
        <w:rPr>
          <w:sz w:val="20"/>
          <w:szCs w:val="20"/>
          <w:color w:val="auto"/>
        </w:rPr>
      </w:pPr>
      <w:r>
        <w:rPr>
          <w:rFonts w:ascii="Times New Roman" w:cs="Times New Roman" w:eastAsia="Times New Roman" w:hAnsi="Times New Roman"/>
          <w:sz w:val="20"/>
          <w:szCs w:val="20"/>
          <w:color w:val="auto"/>
        </w:rPr>
        <w:t>Additionally, our rezatapopt Phase 1/2 clinical trial is, and other clinical trials we conduct in the future may be, open-label in study design and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204"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20"/>
          <w:szCs w:val="20"/>
          <w:color w:val="auto"/>
        </w:rPr>
        <w:t>We may experience delays in obtaining the FDA’s authorization to initiate clinical trials, completing ongoing clinical trials of rezatapopt and preclinical studies of our other product candidates and initiating our planned preclinical studies and clinical trials. Additionally, we cannot be certain that preclinical studies or clinical trials for our product candidates will begin on time, not require redesign, enroll an adequate number of research subjects or patients on time, or be completed on schedule, if at all. Clinical trials can be delayed or terminated for a variety of reasons, including delays or failures related to:</w:t>
      </w:r>
    </w:p>
    <w:p>
      <w:pPr>
        <w:spacing w:after="0" w:line="95" w:lineRule="exact"/>
        <w:rPr>
          <w:sz w:val="20"/>
          <w:szCs w:val="20"/>
          <w:color w:val="auto"/>
        </w:rPr>
      </w:pPr>
    </w:p>
    <w:p>
      <w:pPr>
        <w:ind w:left="900" w:hanging="281"/>
        <w:spacing w:after="0"/>
        <w:tabs>
          <w:tab w:leader="none" w:pos="90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availability of financial resources to commence and complete clinical trials;</w:t>
      </w:r>
    </w:p>
    <w:p>
      <w:pPr>
        <w:spacing w:after="0" w:line="132" w:lineRule="exact"/>
        <w:rPr>
          <w:rFonts w:ascii="Arial" w:cs="Arial" w:eastAsia="Arial" w:hAnsi="Arial"/>
          <w:sz w:val="20"/>
          <w:szCs w:val="20"/>
          <w:color w:val="auto"/>
        </w:rPr>
      </w:pPr>
    </w:p>
    <w:p>
      <w:pPr>
        <w:ind w:left="900" w:right="180" w:hanging="281"/>
        <w:spacing w:after="0" w:line="277" w:lineRule="auto"/>
        <w:tabs>
          <w:tab w:leader="none" w:pos="90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comparable foreign regulatory authorities disagreeing as to the design or implementation of our clinical trials;</w:t>
      </w:r>
    </w:p>
    <w:p>
      <w:pPr>
        <w:spacing w:after="0" w:line="60" w:lineRule="exact"/>
        <w:rPr>
          <w:rFonts w:ascii="Arial" w:cs="Arial" w:eastAsia="Arial" w:hAnsi="Arial"/>
          <w:sz w:val="20"/>
          <w:szCs w:val="20"/>
          <w:color w:val="auto"/>
        </w:rPr>
      </w:pPr>
    </w:p>
    <w:p>
      <w:pPr>
        <w:ind w:left="900" w:right="140" w:hanging="281"/>
        <w:spacing w:after="0" w:line="277" w:lineRule="auto"/>
        <w:tabs>
          <w:tab w:leader="none" w:pos="90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comparable foreign regulatory authorities disagreeing with our tumor-agnostic development strategy;</w:t>
      </w:r>
    </w:p>
    <w:p>
      <w:pPr>
        <w:spacing w:after="0" w:line="63" w:lineRule="exact"/>
        <w:rPr>
          <w:rFonts w:ascii="Arial" w:cs="Arial" w:eastAsia="Arial" w:hAnsi="Arial"/>
          <w:sz w:val="20"/>
          <w:szCs w:val="20"/>
          <w:color w:val="auto"/>
        </w:rPr>
      </w:pPr>
    </w:p>
    <w:p>
      <w:pPr>
        <w:ind w:left="900" w:right="100" w:hanging="281"/>
        <w:spacing w:after="0" w:line="276" w:lineRule="auto"/>
        <w:tabs>
          <w:tab w:leader="none" w:pos="90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obtaining regulatory approval or authorization to commence a clinical trial, including delays or issues relating to any future companion diagnostics which we may develop;</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360"/>
          </w:cols>
          <w:pgMar w:left="1440" w:top="1420" w:right="1440" w:bottom="175" w:gutter="0" w:footer="0" w:header="0"/>
        </w:sectPr>
      </w:pPr>
    </w:p>
    <w:bookmarkStart w:id="56" w:name="page57"/>
    <w:bookmarkEnd w:id="56"/>
    <w:p>
      <w:pPr>
        <w:ind w:left="900" w:right="440" w:hanging="281"/>
        <w:spacing w:after="0" w:line="258" w:lineRule="auto"/>
        <w:tabs>
          <w:tab w:leader="none" w:pos="90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81" w:lineRule="exact"/>
        <w:rPr>
          <w:rFonts w:ascii="Arial" w:cs="Arial" w:eastAsia="Arial" w:hAnsi="Arial"/>
          <w:sz w:val="20"/>
          <w:szCs w:val="20"/>
          <w:color w:val="auto"/>
        </w:rPr>
      </w:pPr>
    </w:p>
    <w:p>
      <w:pPr>
        <w:ind w:left="900" w:hanging="281"/>
        <w:spacing w:after="0"/>
        <w:tabs>
          <w:tab w:leader="none" w:pos="90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IRB or ethics committee approval at each clinical trial site;</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recruiting an adequate number of suitable patients to participate in a clinical trial;</w:t>
      </w:r>
    </w:p>
    <w:p>
      <w:pPr>
        <w:spacing w:after="0" w:line="133" w:lineRule="exact"/>
        <w:rPr>
          <w:rFonts w:ascii="Arial" w:cs="Arial" w:eastAsia="Arial" w:hAnsi="Arial"/>
          <w:sz w:val="20"/>
          <w:szCs w:val="20"/>
          <w:color w:val="auto"/>
        </w:rPr>
      </w:pPr>
    </w:p>
    <w:p>
      <w:pPr>
        <w:ind w:left="900" w:right="660" w:hanging="281"/>
        <w:spacing w:after="0" w:line="276" w:lineRule="auto"/>
        <w:tabs>
          <w:tab w:leader="none" w:pos="90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of patients required for clinical trials of our product candidates may be larger than we anticipate;</w:t>
      </w:r>
    </w:p>
    <w:p>
      <w:pPr>
        <w:spacing w:after="0" w:line="64" w:lineRule="exact"/>
        <w:rPr>
          <w:rFonts w:ascii="Arial" w:cs="Arial" w:eastAsia="Arial" w:hAnsi="Arial"/>
          <w:sz w:val="20"/>
          <w:szCs w:val="20"/>
          <w:color w:val="auto"/>
        </w:rPr>
      </w:pPr>
    </w:p>
    <w:p>
      <w:pPr>
        <w:ind w:left="900" w:right="120" w:hanging="281"/>
        <w:spacing w:after="0" w:line="252" w:lineRule="auto"/>
        <w:tabs>
          <w:tab w:leader="none" w:pos="90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clinical trials of our product candidates may be greater than we anticipate, for example, if we experience delays or challenges in identifying patients with the mutations required for our clinical trials, we may have to reimburse sites for genomic sequencing costs in order to encourage sequencing of additional patients;</w:t>
      </w:r>
    </w:p>
    <w:p>
      <w:pPr>
        <w:spacing w:after="0" w:line="88" w:lineRule="exact"/>
        <w:rPr>
          <w:rFonts w:ascii="Arial" w:cs="Arial" w:eastAsia="Arial" w:hAnsi="Arial"/>
          <w:sz w:val="20"/>
          <w:szCs w:val="20"/>
          <w:color w:val="auto"/>
        </w:rPr>
      </w:pPr>
    </w:p>
    <w:p>
      <w:pPr>
        <w:ind w:left="900" w:hanging="281"/>
        <w:spacing w:after="0"/>
        <w:tabs>
          <w:tab w:leader="none" w:pos="90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having subjects complete a clinical trial or return for post-treatment follow-up;</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clinical trial sites deviating from clinical trial protocol or dropping out of a clinical trial;</w:t>
      </w:r>
    </w:p>
    <w:p>
      <w:pPr>
        <w:spacing w:after="0" w:line="133" w:lineRule="exact"/>
        <w:rPr>
          <w:rFonts w:ascii="Arial" w:cs="Arial" w:eastAsia="Arial" w:hAnsi="Arial"/>
          <w:sz w:val="20"/>
          <w:szCs w:val="20"/>
          <w:color w:val="auto"/>
        </w:rPr>
      </w:pPr>
    </w:p>
    <w:p>
      <w:pPr>
        <w:ind w:left="900" w:right="220" w:hanging="281"/>
        <w:spacing w:after="0" w:line="276" w:lineRule="auto"/>
        <w:tabs>
          <w:tab w:leader="none" w:pos="90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having third-party contractors fail to complete their obligations in a timely manner or failing to comply with applicable regulatory requirements;</w:t>
      </w:r>
    </w:p>
    <w:p>
      <w:pPr>
        <w:spacing w:after="0" w:line="64" w:lineRule="exact"/>
        <w:rPr>
          <w:rFonts w:ascii="Arial" w:cs="Arial" w:eastAsia="Arial" w:hAnsi="Arial"/>
          <w:sz w:val="20"/>
          <w:szCs w:val="20"/>
          <w:color w:val="auto"/>
        </w:rPr>
      </w:pPr>
    </w:p>
    <w:p>
      <w:pPr>
        <w:ind w:left="900" w:hanging="281"/>
        <w:spacing w:after="0"/>
        <w:tabs>
          <w:tab w:leader="none" w:pos="90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addressing subject safety concerns that arise during the course of a clinical trial;</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adding a sufficient number of clinical trial sites; or</w:t>
      </w:r>
    </w:p>
    <w:p>
      <w:pPr>
        <w:spacing w:after="0" w:line="132" w:lineRule="exact"/>
        <w:rPr>
          <w:rFonts w:ascii="Arial" w:cs="Arial" w:eastAsia="Arial" w:hAnsi="Arial"/>
          <w:sz w:val="20"/>
          <w:szCs w:val="20"/>
          <w:color w:val="auto"/>
        </w:rPr>
      </w:pPr>
    </w:p>
    <w:p>
      <w:pPr>
        <w:ind w:left="900" w:right="360" w:hanging="281"/>
        <w:spacing w:after="0" w:line="277" w:lineRule="auto"/>
        <w:tabs>
          <w:tab w:leader="none" w:pos="90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sufficient product supply of product candidate for use in preclinical studies or clinical trials from third-party suppliers.</w:t>
      </w:r>
    </w:p>
    <w:p>
      <w:pPr>
        <w:spacing w:after="0" w:line="169" w:lineRule="exact"/>
        <w:rPr>
          <w:sz w:val="20"/>
          <w:szCs w:val="20"/>
          <w:color w:val="auto"/>
        </w:rPr>
      </w:pPr>
    </w:p>
    <w:p>
      <w:pPr>
        <w:ind w:right="20" w:firstLine="619"/>
        <w:spacing w:after="0" w:line="243" w:lineRule="auto"/>
        <w:rPr>
          <w:sz w:val="20"/>
          <w:szCs w:val="20"/>
          <w:color w:val="auto"/>
        </w:rPr>
      </w:pPr>
      <w:r>
        <w:rPr>
          <w:rFonts w:ascii="Times New Roman" w:cs="Times New Roman" w:eastAsia="Times New Roman" w:hAnsi="Times New Roman"/>
          <w:sz w:val="20"/>
          <w:szCs w:val="20"/>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moderately positive or if there are safety concerns, our business and results of operations may be adversely affected and we may incur significant additional costs. We could also encounter delays if a clinical trial is suspended or terminated by us, by the IRBs of the institutions in which such clinical trials are being conducted, by the Data Safety Monitoring Board, if any, for such clinical trial or by the FDA or other regulatory authorities. Such authorities may suspend or terminate a clinical trial due to a number of factors, including failure to conduct the clinical trial in accordance with regulatory requirements or our clinical trial protocols, inspection of the clinical trial operations or trial site by the FDA or other regulatory authorities resulting in the imposition of a clinical hold, unforeseen safety issues or adverse side effects, failure to demonstrate a benefit from the product candidates, changes in governmental regulations or administrative actions or lack of adequate funding to continue the clinical trial.</w:t>
      </w:r>
    </w:p>
    <w:p>
      <w:pPr>
        <w:spacing w:after="0" w:line="205" w:lineRule="exact"/>
        <w:rPr>
          <w:sz w:val="20"/>
          <w:szCs w:val="20"/>
          <w:color w:val="auto"/>
        </w:rPr>
      </w:pPr>
    </w:p>
    <w:p>
      <w:pPr>
        <w:ind w:right="40" w:firstLine="619"/>
        <w:spacing w:after="0" w:line="244" w:lineRule="auto"/>
        <w:rPr>
          <w:sz w:val="20"/>
          <w:szCs w:val="20"/>
          <w:color w:val="auto"/>
        </w:rPr>
      </w:pPr>
      <w:r>
        <w:rPr>
          <w:rFonts w:ascii="Times New Roman" w:cs="Times New Roman" w:eastAsia="Times New Roman" w:hAnsi="Times New Roman"/>
          <w:sz w:val="20"/>
          <w:szCs w:val="20"/>
          <w:color w:val="auto"/>
        </w:rPr>
        <w:t>Moreover, principal investigators for our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206"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20"/>
          <w:szCs w:val="20"/>
          <w:color w:val="auto"/>
        </w:rPr>
        <w:t>If we experience delays in the completion, or termination, of any preclinical study or clinical trial of our product candidates, the commercial prospects of our product candidates may be adversely affected, and our ability to generate revenue from any of these product candidates will be delayed or not realized at all. In addition, any delays in completing our preclinical studies or clinical trials may increase our costs, slow down our product candidate development and approval process and jeopardize our ability to commence product sales and generate revenue. Any of these occurrences may materially adversely affect our business, financial condition and prospects. In addition, many of the factors that cause, or lead to, a delay in the commencement or completion of clinical trials may also</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360"/>
          </w:cols>
          <w:pgMar w:left="1440" w:top="1435" w:right="1440" w:bottom="175" w:gutter="0" w:footer="0" w:header="0"/>
        </w:sectPr>
      </w:pPr>
    </w:p>
    <w:bookmarkStart w:id="57" w:name="page58"/>
    <w:bookmarkEnd w:id="57"/>
    <w:p>
      <w:pPr>
        <w:ind w:right="60"/>
        <w:spacing w:after="0" w:line="252" w:lineRule="auto"/>
        <w:rPr>
          <w:sz w:val="20"/>
          <w:szCs w:val="20"/>
          <w:color w:val="auto"/>
        </w:rPr>
      </w:pPr>
      <w:r>
        <w:rPr>
          <w:rFonts w:ascii="Times New Roman" w:cs="Times New Roman" w:eastAsia="Times New Roman" w:hAnsi="Times New Roman"/>
          <w:sz w:val="20"/>
          <w:szCs w:val="20"/>
          <w:color w:val="auto"/>
        </w:rPr>
        <w:t>ultimately lead to the denial of regulatory approval of our product candidates. If one or more of our product candidates generally prove to be ineffective, unsafe or commercially unviable, our entire pipeline and platform would have little, if any, value, which would have a material and adverse effect on our business, financial condition, results of operations and prospects.</w:t>
      </w:r>
    </w:p>
    <w:p>
      <w:pPr>
        <w:spacing w:after="0" w:line="193"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0"/>
          <w:szCs w:val="20"/>
          <w:color w:val="auto"/>
        </w:rPr>
        <w:t>In addition, the FDA and other regulatory authorities may change their policies, issue additional regulations or revise existing regulations, or take other actions, such as those implemented by the Department of Government Efficiency, which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 In view of the Loper Bright Enterprises v. Raimondo decision, this landmark Supreme Court decision may invite various stakeholders to bring lawsuits against the FDA to challenge longstanding decisions and policies. Additionally, changes in the leadership of the FDA and other federal agencies under the Trump administration may also lead to new policies and changes in the regulations and operations of the FDA, which may impact our clinical development plans.</w:t>
      </w:r>
    </w:p>
    <w:p>
      <w:pPr>
        <w:spacing w:after="0" w:line="32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Changes in funding or disruptions at the FDA, the SEC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77"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20"/>
          <w:szCs w:val="20"/>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Changes in the leadership of the FDA and other federal agencies under the Trump administration, including return- to-office policy, hiring freeze, and layoffs, may also lead to changes in the operations of the FDA, which may have a material impact on the industry.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206" w:lineRule="exact"/>
        <w:rPr>
          <w:sz w:val="20"/>
          <w:szCs w:val="20"/>
          <w:color w:val="auto"/>
        </w:rPr>
      </w:pPr>
    </w:p>
    <w:p>
      <w:pPr>
        <w:ind w:right="40" w:firstLine="619"/>
        <w:spacing w:after="0" w:line="245" w:lineRule="auto"/>
        <w:rPr>
          <w:sz w:val="20"/>
          <w:szCs w:val="20"/>
          <w:color w:val="auto"/>
        </w:rPr>
      </w:pPr>
      <w:r>
        <w:rPr>
          <w:rFonts w:ascii="Times New Roman" w:cs="Times New Roman" w:eastAsia="Times New Roman" w:hAnsi="Times New Roman"/>
          <w:sz w:val="20"/>
          <w:szCs w:val="20"/>
          <w:color w:val="auto"/>
        </w:rPr>
        <w:t>If a prolonged government shutdown, furlough or other disruption occurs, including delays or disruptions due to travel restrictions, foreign COVID-19-related policies, staffing shortages or public health reasons, or if global health or other concerns continue to prevent the FDA or other regulatory authorities from conducting their regular inspections, reviews or other regulatory activities in a timely manner, it could significantly impact the ability of the FDA to timely review and process our regulatory submissions, which could have a material adverse effect on our business. Further, in our operations as a public company, future government shutdowns or delays could impact our ability to access the public markets and obtain necessary capital in order to properly capitalize and continue our operations.</w:t>
      </w:r>
    </w:p>
    <w:p>
      <w:pPr>
        <w:spacing w:after="0" w:line="322"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Even if we receive regulatory approval of our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75" w:lineRule="exact"/>
        <w:rPr>
          <w:sz w:val="20"/>
          <w:szCs w:val="20"/>
          <w:color w:val="auto"/>
        </w:rPr>
      </w:pPr>
    </w:p>
    <w:p>
      <w:pPr>
        <w:ind w:right="60" w:firstLine="619"/>
        <w:spacing w:after="0" w:line="252" w:lineRule="auto"/>
        <w:rPr>
          <w:sz w:val="20"/>
          <w:szCs w:val="20"/>
          <w:color w:val="auto"/>
        </w:rPr>
      </w:pPr>
      <w:r>
        <w:rPr>
          <w:rFonts w:ascii="Times New Roman" w:cs="Times New Roman" w:eastAsia="Times New Roman" w:hAnsi="Times New Roman"/>
          <w:sz w:val="20"/>
          <w:szCs w:val="20"/>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w:t>
      </w:r>
    </w:p>
    <w:p>
      <w:pPr>
        <w:spacing w:after="0" w:line="193" w:lineRule="exact"/>
        <w:rPr>
          <w:sz w:val="20"/>
          <w:szCs w:val="20"/>
          <w:color w:val="auto"/>
        </w:rPr>
      </w:pPr>
    </w:p>
    <w:p>
      <w:pPr>
        <w:ind w:right="140" w:firstLine="619"/>
        <w:spacing w:after="0" w:line="249" w:lineRule="auto"/>
        <w:rPr>
          <w:sz w:val="20"/>
          <w:szCs w:val="20"/>
          <w:color w:val="auto"/>
        </w:rPr>
      </w:pPr>
      <w:r>
        <w:rPr>
          <w:rFonts w:ascii="Times New Roman" w:cs="Times New Roman" w:eastAsia="Times New Roman" w:hAnsi="Times New Roman"/>
          <w:sz w:val="20"/>
          <w:szCs w:val="20"/>
          <w:color w:val="auto"/>
        </w:rPr>
        <w:t>Following potential approval of any of our current or future product candidates, the FDA or other comparable regulatory authorities may impose significant restrictions on a product’s indicated uses or marketing or impose ongoing requirements for potentially costly and time-consuming post-approval studies, post-market surveillance or clinical trials to monitor the safety and efficacy of the product. The FDA may also require a risk evaluation and mitigation strategy, or REMS, in order to approve our product candidates, which could entail</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360"/>
          </w:cols>
          <w:pgMar w:left="1440" w:top="1420" w:right="1440" w:bottom="175" w:gutter="0" w:footer="0" w:header="0"/>
        </w:sectPr>
      </w:pPr>
    </w:p>
    <w:bookmarkStart w:id="58" w:name="page59"/>
    <w:bookmarkEnd w:id="58"/>
    <w:p>
      <w:pPr>
        <w:ind w:right="40"/>
        <w:spacing w:after="0" w:line="244" w:lineRule="auto"/>
        <w:rPr>
          <w:sz w:val="20"/>
          <w:szCs w:val="20"/>
          <w:color w:val="auto"/>
        </w:rPr>
      </w:pPr>
      <w:r>
        <w:rPr>
          <w:rFonts w:ascii="Times New Roman" w:cs="Times New Roman" w:eastAsia="Times New Roman" w:hAnsi="Times New Roman"/>
          <w:sz w:val="20"/>
          <w:szCs w:val="20"/>
          <w:color w:val="auto"/>
        </w:rPr>
        <w:t>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 requirements, GLP requirements and good clinical practice, or GCP, requirements,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96" w:lineRule="exact"/>
        <w:rPr>
          <w:sz w:val="20"/>
          <w:szCs w:val="20"/>
          <w:color w:val="auto"/>
        </w:rPr>
      </w:pPr>
    </w:p>
    <w:p>
      <w:pPr>
        <w:ind w:left="900" w:right="40" w:hanging="281"/>
        <w:spacing w:after="0" w:line="277" w:lineRule="auto"/>
        <w:tabs>
          <w:tab w:leader="none" w:pos="90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the marketing or manufacturing of our product candidates, withdrawal of the product from the market or voluntary or mandatory product recalls;</w:t>
      </w:r>
    </w:p>
    <w:p>
      <w:pPr>
        <w:spacing w:after="0" w:line="62" w:lineRule="exact"/>
        <w:rPr>
          <w:rFonts w:ascii="Arial" w:cs="Arial" w:eastAsia="Arial" w:hAnsi="Arial"/>
          <w:sz w:val="20"/>
          <w:szCs w:val="20"/>
          <w:color w:val="auto"/>
        </w:rPr>
      </w:pPr>
    </w:p>
    <w:p>
      <w:pPr>
        <w:ind w:left="900" w:right="560" w:hanging="281"/>
        <w:spacing w:after="0" w:line="277" w:lineRule="auto"/>
        <w:tabs>
          <w:tab w:leader="none" w:pos="90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manufacturing delays and supply disruptions where regulatory inspections identify observations of noncompliance requiring remediation;</w:t>
      </w:r>
    </w:p>
    <w:p>
      <w:pPr>
        <w:spacing w:after="0" w:line="63" w:lineRule="exact"/>
        <w:rPr>
          <w:rFonts w:ascii="Arial" w:cs="Arial" w:eastAsia="Arial" w:hAnsi="Arial"/>
          <w:sz w:val="20"/>
          <w:szCs w:val="20"/>
          <w:color w:val="auto"/>
        </w:rPr>
      </w:pPr>
    </w:p>
    <w:p>
      <w:pPr>
        <w:ind w:left="900" w:right="320" w:hanging="281"/>
        <w:spacing w:after="0" w:line="276" w:lineRule="auto"/>
        <w:tabs>
          <w:tab w:leader="none" w:pos="90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revisions to the labeling, including limitation on approved uses or the addition of additional warnings, contraindications or other safety information, including boxed warnings;</w:t>
      </w:r>
    </w:p>
    <w:p>
      <w:pPr>
        <w:spacing w:after="0" w:line="64" w:lineRule="exact"/>
        <w:rPr>
          <w:rFonts w:ascii="Arial" w:cs="Arial" w:eastAsia="Arial" w:hAnsi="Arial"/>
          <w:sz w:val="20"/>
          <w:szCs w:val="20"/>
          <w:color w:val="auto"/>
        </w:rPr>
      </w:pPr>
    </w:p>
    <w:p>
      <w:pPr>
        <w:ind w:left="900" w:hanging="281"/>
        <w:spacing w:after="0"/>
        <w:tabs>
          <w:tab w:leader="none" w:pos="90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imposition of a REMS, which may include distribution or use restrictions;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requirements to conduct additional post-market clinical trials to assess the safety of the product;</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fines, warning or untitled letters or holds on clinical trials;</w:t>
      </w:r>
    </w:p>
    <w:p>
      <w:pPr>
        <w:spacing w:after="0" w:line="133" w:lineRule="exact"/>
        <w:rPr>
          <w:rFonts w:ascii="Arial" w:cs="Arial" w:eastAsia="Arial" w:hAnsi="Arial"/>
          <w:sz w:val="20"/>
          <w:szCs w:val="20"/>
          <w:color w:val="auto"/>
        </w:rPr>
      </w:pPr>
    </w:p>
    <w:p>
      <w:pPr>
        <w:ind w:left="900" w:right="140" w:hanging="281"/>
        <w:spacing w:after="0" w:line="276" w:lineRule="auto"/>
        <w:tabs>
          <w:tab w:leader="none" w:pos="90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refusal by the FDA to approve pending applications or supplements to approved applications filed by us or suspension or revocation of approvals;</w:t>
      </w:r>
    </w:p>
    <w:p>
      <w:pPr>
        <w:spacing w:after="0" w:line="64" w:lineRule="exact"/>
        <w:rPr>
          <w:rFonts w:ascii="Arial" w:cs="Arial" w:eastAsia="Arial" w:hAnsi="Arial"/>
          <w:sz w:val="20"/>
          <w:szCs w:val="20"/>
          <w:color w:val="auto"/>
        </w:rPr>
      </w:pPr>
    </w:p>
    <w:p>
      <w:pPr>
        <w:ind w:left="900" w:hanging="281"/>
        <w:spacing w:after="0"/>
        <w:tabs>
          <w:tab w:leader="none" w:pos="90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product seizure or detention, or refusal to permit the import or export of our product candidates; and</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238" w:lineRule="exact"/>
        <w:rPr>
          <w:sz w:val="20"/>
          <w:szCs w:val="20"/>
          <w:color w:val="auto"/>
        </w:rPr>
      </w:pPr>
    </w:p>
    <w:p>
      <w:pPr>
        <w:ind w:right="20" w:firstLine="619"/>
        <w:spacing w:after="0" w:line="242" w:lineRule="auto"/>
        <w:rPr>
          <w:sz w:val="20"/>
          <w:szCs w:val="20"/>
          <w:color w:val="auto"/>
        </w:rPr>
      </w:pPr>
      <w:r>
        <w:rPr>
          <w:rFonts w:ascii="Times New Roman" w:cs="Times New Roman" w:eastAsia="Times New Roman" w:hAnsi="Times New Roman"/>
          <w:sz w:val="20"/>
          <w:szCs w:val="20"/>
          <w:color w:val="auto"/>
        </w:rPr>
        <w:t>The FDA’s and other regulatory authorities’ policies may change, and additional government regulations may be enacted that could prevent, limit or delay regulatory approval of our product candidates. The U.S. Supreme Court’s overturn of the Chevron doctrine in Loper Bright Enterprises v. Raimondo may invite various stakeholders to bring lawsuits against the FDA and other federal agencies to challenge longstanding decisions and policies, which could lead to uncertainty in the industry. Further, changes to the leadership of the FDA and other federal agencies under the Trump administration may result in changes in agencies’ funding, operations, and policies, which may impact our clinical development plans and timelines. We cannot predict the likelihood, nature or extent of government regulation that may arise from future legislation or administrative action, either in the United States or abroad. To the extent any current or future executive or legislative actions impose significant changes in or burdens on, or otherwise materially delay, FDA’s ability to engage in routine oversight activities, such as implementing regulations through rulemaking, issuance of guidance, and agency review and approval of marketing applications on a timely basis, our business and clinical development plans could be negatively impacted. If we, as well as our contractors, are slow or unable to adapt to changes in existing requirements or the adoption of new requirements or policies, or are not able to maintain regulatory compliance, we may be delayed in obtaining regulatory approval, lose any marketing approval that we may have obtained, and we may not achieve or sustain profitability.</w:t>
      </w:r>
    </w:p>
    <w:p>
      <w:pPr>
        <w:spacing w:after="0" w:line="212" w:lineRule="exact"/>
        <w:rPr>
          <w:sz w:val="20"/>
          <w:szCs w:val="20"/>
          <w:color w:val="auto"/>
        </w:rPr>
      </w:pPr>
    </w:p>
    <w:p>
      <w:pPr>
        <w:ind w:firstLine="619"/>
        <w:spacing w:after="0" w:line="278" w:lineRule="auto"/>
        <w:rPr>
          <w:sz w:val="20"/>
          <w:szCs w:val="20"/>
          <w:color w:val="auto"/>
        </w:rPr>
      </w:pPr>
      <w:r>
        <w:rPr>
          <w:rFonts w:ascii="Times New Roman" w:cs="Times New Roman" w:eastAsia="Times New Roman" w:hAnsi="Times New Roman"/>
          <w:sz w:val="20"/>
          <w:szCs w:val="20"/>
          <w:color w:val="auto"/>
        </w:rPr>
        <w:t>The occurrence of any event or penalty described above may inhibit our ability to commercialize our product candidates, if approved, and generate revenue.</w:t>
      </w:r>
    </w:p>
    <w:p>
      <w:pPr>
        <w:spacing w:after="0" w:line="287"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Healthcare legislative measures aimed at reducing healthcare costs may have a material adverse effect on our business and results of operations.</w:t>
      </w:r>
    </w:p>
    <w:p>
      <w:pPr>
        <w:spacing w:after="0" w:line="48" w:lineRule="exact"/>
        <w:rPr>
          <w:sz w:val="20"/>
          <w:szCs w:val="20"/>
          <w:color w:val="auto"/>
        </w:rPr>
      </w:pPr>
    </w:p>
    <w:p>
      <w:pPr>
        <w:ind w:right="80" w:firstLine="619"/>
        <w:spacing w:after="0" w:line="252" w:lineRule="auto"/>
        <w:rPr>
          <w:sz w:val="20"/>
          <w:szCs w:val="20"/>
          <w:color w:val="auto"/>
        </w:rPr>
      </w:pPr>
      <w:r>
        <w:rPr>
          <w:rFonts w:ascii="Times New Roman" w:cs="Times New Roman" w:eastAsia="Times New Roman" w:hAnsi="Times New Roman"/>
          <w:sz w:val="20"/>
          <w:szCs w:val="20"/>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360"/>
          </w:cols>
          <w:pgMar w:left="1440" w:top="1420" w:right="1440" w:bottom="175" w:gutter="0" w:footer="0" w:header="0"/>
        </w:sectPr>
      </w:pPr>
    </w:p>
    <w:bookmarkStart w:id="59" w:name="page60"/>
    <w:bookmarkEnd w:id="59"/>
    <w:p>
      <w:pPr>
        <w:ind w:right="100"/>
        <w:spacing w:after="0" w:line="252" w:lineRule="auto"/>
        <w:rPr>
          <w:sz w:val="20"/>
          <w:szCs w:val="20"/>
          <w:color w:val="auto"/>
        </w:rPr>
      </w:pPr>
      <w:r>
        <w:rPr>
          <w:rFonts w:ascii="Times New Roman" w:cs="Times New Roman" w:eastAsia="Times New Roman" w:hAnsi="Times New Roman"/>
          <w:sz w:val="20"/>
          <w:szCs w:val="20"/>
          <w:color w:val="auto"/>
        </w:rPr>
        <w:t>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93"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0"/>
          <w:szCs w:val="20"/>
          <w:color w:val="auto"/>
        </w:rPr>
        <w:t>In the United States, there have been and continue to be a number of legislative initiatives to contain healthcare costs. For example, in March 2010, the Affordable Care Act, or ACA, was passed, which substantially changed the way healthcare is financed by both governmental and private insurers, and significantly impacted the U.S. pharmaceutical industry. The ACA, among other things, subjected biological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w:t>
      </w:r>
    </w:p>
    <w:p>
      <w:pPr>
        <w:spacing w:after="0" w:line="204" w:lineRule="exact"/>
        <w:rPr>
          <w:sz w:val="20"/>
          <w:szCs w:val="20"/>
          <w:color w:val="auto"/>
        </w:rPr>
      </w:pPr>
    </w:p>
    <w:p>
      <w:pPr>
        <w:ind w:right="80" w:firstLine="619"/>
        <w:spacing w:after="0" w:line="243" w:lineRule="auto"/>
        <w:rPr>
          <w:sz w:val="20"/>
          <w:szCs w:val="20"/>
          <w:color w:val="auto"/>
        </w:rPr>
      </w:pPr>
      <w:r>
        <w:rPr>
          <w:rFonts w:ascii="Times New Roman" w:cs="Times New Roman" w:eastAsia="Times New Roman" w:hAnsi="Times New Roman"/>
          <w:sz w:val="20"/>
          <w:szCs w:val="20"/>
          <w:color w:val="auto"/>
        </w:rPr>
        <w:t>There have been executive, judicial and Congressional challenges to certain aspects of the ACA. For example, on June 17, 2021 the U.S. Supreme Court dismissed a challenge on procedural grounds that argued the ACA is unconstitutional in its entirety because the “individual mandate” was repealed by Congress. Thus, the ACA will remain in effect in its current form.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such challenges and the healthcare reform measures of the Trump administration will impact the ACA and our business.</w:t>
      </w:r>
    </w:p>
    <w:p>
      <w:pPr>
        <w:spacing w:after="0" w:line="209" w:lineRule="exact"/>
        <w:rPr>
          <w:sz w:val="20"/>
          <w:szCs w:val="20"/>
          <w:color w:val="auto"/>
        </w:rPr>
      </w:pPr>
    </w:p>
    <w:p>
      <w:pPr>
        <w:ind w:right="40" w:firstLine="619"/>
        <w:spacing w:after="0" w:line="246" w:lineRule="auto"/>
        <w:rPr>
          <w:sz w:val="20"/>
          <w:szCs w:val="20"/>
          <w:color w:val="auto"/>
        </w:rPr>
      </w:pPr>
      <w:r>
        <w:rPr>
          <w:rFonts w:ascii="Times New Roman" w:cs="Times New Roman" w:eastAsia="Times New Roman" w:hAnsi="Times New Roman"/>
          <w:sz w:val="20"/>
          <w:szCs w:val="20"/>
          <w:color w:val="auto"/>
        </w:rPr>
        <w:t>In addition, other legislative changes have been proposed and adopted in the United States since the ACA was enacted. For example, the American Taxpayer Relief Act of 2012, among other things, reduced Medicare payments to several providers, including hospitals, imaging centers and cancer treatment centers, and increased the statute of limitations period for the government to recover overpayments to providers from three to five years. Other legislative changes include aggregate reductions to Medicare payments to providers of 2% per fiscal year pursuant to the Budget Control Act of 2011, which began in 2013 and will remain in effect through 2032, unless additional Congressional action is taken.</w:t>
      </w:r>
    </w:p>
    <w:p>
      <w:pPr>
        <w:spacing w:after="0" w:line="199" w:lineRule="exact"/>
        <w:rPr>
          <w:sz w:val="20"/>
          <w:szCs w:val="20"/>
          <w:color w:val="auto"/>
        </w:rPr>
      </w:pPr>
    </w:p>
    <w:p>
      <w:pPr>
        <w:ind w:right="60" w:firstLine="619"/>
        <w:spacing w:after="0" w:line="242" w:lineRule="auto"/>
        <w:rPr>
          <w:sz w:val="20"/>
          <w:szCs w:val="20"/>
          <w:color w:val="auto"/>
        </w:rPr>
      </w:pPr>
      <w:r>
        <w:rPr>
          <w:rFonts w:ascii="Times New Roman" w:cs="Times New Roman" w:eastAsia="Times New Roman" w:hAnsi="Times New Roman"/>
          <w:sz w:val="20"/>
          <w:szCs w:val="20"/>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for example, the American Rescue Plan Act of 2021 eliminated the statutory cap on Medicaid Drug Rebate Program rebates that manufacturers pay to state Medicaid programs. Elimination of this cap may require pharmaceutical manufacturers to pay more in rebates than it receives on the sale of products, which could have a material impact on our business.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 -priced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7 years (11 years for single-source biologics) can qualify for negotiation, with the negotiated price taking effect two years after the selection year. For 2026, CMS selected 10 high-cost Medicare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360"/>
          </w:cols>
          <w:pgMar w:left="1440" w:top="1420" w:right="1440" w:bottom="175" w:gutter="0" w:footer="0" w:header="0"/>
        </w:sectPr>
      </w:pPr>
    </w:p>
    <w:bookmarkStart w:id="60" w:name="page61"/>
    <w:bookmarkEnd w:id="60"/>
    <w:p>
      <w:pPr>
        <w:ind w:right="20"/>
        <w:spacing w:after="0" w:line="243" w:lineRule="auto"/>
        <w:rPr>
          <w:sz w:val="20"/>
          <w:szCs w:val="20"/>
          <w:color w:val="auto"/>
        </w:rPr>
      </w:pPr>
      <w:r>
        <w:rPr>
          <w:rFonts w:ascii="Times New Roman" w:cs="Times New Roman" w:eastAsia="Times New Roman" w:hAnsi="Times New Roman"/>
          <w:sz w:val="20"/>
          <w:szCs w:val="20"/>
          <w:color w:val="auto"/>
        </w:rPr>
        <w:t>Part D drugs in 2023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Various industry stakeholders, including certain pharmaceutical companies and the Pharmaceutical Research and Manufacturers of America, have initiated lawsuits against the federal government asserting that the price negotiation provisions of the Inflation Reduction Act of 2022 are unconstitutional. The impact of these judicial challenges, legislative, executive, and administrative actions and any future healthcare measures and agency rules implemented by the Trump administration us and the pharmaceutical industry as a whole is unclear. The implementation of cost containment measures or other healthcare reforms may prevent us from being able to generate revenue, attain profitability, or commercialize our product candidates if approved.</w:t>
      </w:r>
    </w:p>
    <w:p>
      <w:pPr>
        <w:spacing w:after="0" w:line="209"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FDA has authorized the state of Florida to develop Section 804 Importation Programs to import certain prescription drugs from Canada for a limited period, provided that Florida’s Agency for Health Care Administration meets the requirements set forth by the FDA. Other states may follow Florida.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03" w:lineRule="exact"/>
        <w:rPr>
          <w:sz w:val="20"/>
          <w:szCs w:val="20"/>
          <w:color w:val="auto"/>
        </w:rPr>
      </w:pPr>
    </w:p>
    <w:p>
      <w:pPr>
        <w:ind w:right="80" w:firstLine="619"/>
        <w:spacing w:after="0" w:line="249" w:lineRule="auto"/>
        <w:rPr>
          <w:sz w:val="20"/>
          <w:szCs w:val="20"/>
          <w:color w:val="auto"/>
        </w:rPr>
      </w:pPr>
      <w:r>
        <w:rPr>
          <w:rFonts w:ascii="Times New Roman" w:cs="Times New Roman" w:eastAsia="Times New Roman" w:hAnsi="Times New Roman"/>
          <w:sz w:val="20"/>
          <w:szCs w:val="20"/>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98" w:lineRule="exact"/>
        <w:rPr>
          <w:sz w:val="20"/>
          <w:szCs w:val="20"/>
          <w:color w:val="auto"/>
        </w:rPr>
      </w:pPr>
    </w:p>
    <w:p>
      <w:pPr>
        <w:ind w:right="260" w:firstLine="619"/>
        <w:spacing w:after="0" w:line="247" w:lineRule="auto"/>
        <w:rPr>
          <w:sz w:val="20"/>
          <w:szCs w:val="20"/>
          <w:color w:val="auto"/>
        </w:rPr>
      </w:pPr>
      <w:r>
        <w:rPr>
          <w:rFonts w:ascii="Times New Roman" w:cs="Times New Roman" w:eastAsia="Times New Roman" w:hAnsi="Times New Roman"/>
          <w:sz w:val="20"/>
          <w:szCs w:val="20"/>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93" w:lineRule="exact"/>
        <w:rPr>
          <w:sz w:val="20"/>
          <w:szCs w:val="20"/>
          <w:color w:val="auto"/>
        </w:rPr>
      </w:pPr>
    </w:p>
    <w:p>
      <w:pPr>
        <w:ind w:left="900" w:hanging="281"/>
        <w:spacing w:after="0"/>
        <w:tabs>
          <w:tab w:leader="none" w:pos="9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the demand for our product candidates, if we obtain regulatory approval;</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set a price that we believe is fair for our products;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coverage and reimbursement approval for a product;</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generate revenue and achieve or maintain profitability;</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the level of taxes that we are required to pay; and</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the availability of capital.</w:t>
      </w:r>
    </w:p>
    <w:p>
      <w:pPr>
        <w:spacing w:after="0" w:line="239" w:lineRule="exact"/>
        <w:rPr>
          <w:sz w:val="20"/>
          <w:szCs w:val="20"/>
          <w:color w:val="auto"/>
        </w:rPr>
      </w:pPr>
    </w:p>
    <w:p>
      <w:pPr>
        <w:ind w:right="560" w:firstLine="619"/>
        <w:spacing w:after="0" w:line="278" w:lineRule="auto"/>
        <w:rPr>
          <w:sz w:val="20"/>
          <w:szCs w:val="20"/>
          <w:color w:val="auto"/>
        </w:rPr>
      </w:pPr>
      <w:r>
        <w:rPr>
          <w:rFonts w:ascii="Times New Roman" w:cs="Times New Roman" w:eastAsia="Times New Roman" w:hAnsi="Times New Roman"/>
          <w:sz w:val="20"/>
          <w:szCs w:val="20"/>
          <w:color w:val="auto"/>
        </w:rPr>
        <w:t>Any reduction in reimbursement from Medicare or other government programs may result in a similar reduction in payments from private payors, which may adversely affect our future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360"/>
          </w:cols>
          <w:pgMar w:left="1440" w:top="1420" w:right="1440" w:bottom="175" w:gutter="0" w:footer="0" w:header="0"/>
        </w:sectPr>
      </w:pPr>
    </w:p>
    <w:bookmarkStart w:id="61" w:name="page62"/>
    <w:bookmarkEnd w:id="61"/>
    <w:p>
      <w:pPr>
        <w:ind w:right="2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FDA and other regulatory agencies actively enforce the laws and regulations prohibiting the promotion of off-label uses.</w:t>
      </w:r>
    </w:p>
    <w:p>
      <w:pPr>
        <w:spacing w:after="0" w:line="49" w:lineRule="exact"/>
        <w:rPr>
          <w:sz w:val="20"/>
          <w:szCs w:val="20"/>
          <w:color w:val="auto"/>
        </w:rPr>
      </w:pPr>
    </w:p>
    <w:p>
      <w:pPr>
        <w:ind w:right="120" w:firstLine="619"/>
        <w:spacing w:after="0" w:line="257" w:lineRule="auto"/>
        <w:rPr>
          <w:sz w:val="20"/>
          <w:szCs w:val="20"/>
          <w:color w:val="auto"/>
        </w:rPr>
      </w:pPr>
      <w:r>
        <w:rPr>
          <w:rFonts w:ascii="Times New Roman" w:cs="Times New Roman" w:eastAsia="Times New Roman" w:hAnsi="Times New Roman"/>
          <w:sz w:val="19"/>
          <w:szCs w:val="19"/>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31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68" w:lineRule="exact"/>
        <w:rPr>
          <w:sz w:val="20"/>
          <w:szCs w:val="20"/>
          <w:color w:val="auto"/>
        </w:rPr>
      </w:pPr>
    </w:p>
    <w:p>
      <w:pPr>
        <w:ind w:right="20" w:firstLine="619"/>
        <w:spacing w:after="0" w:line="242" w:lineRule="auto"/>
        <w:rPr>
          <w:sz w:val="20"/>
          <w:szCs w:val="20"/>
          <w:color w:val="auto"/>
        </w:rPr>
      </w:pPr>
      <w:r>
        <w:rPr>
          <w:rFonts w:ascii="Times New Roman" w:cs="Times New Roman" w:eastAsia="Times New Roman" w:hAnsi="Times New Roman"/>
          <w:sz w:val="20"/>
          <w:szCs w:val="20"/>
          <w:color w:val="auto"/>
        </w:rPr>
        <w:t>We are exposed to the risk that our employees, independent contractors, consultants, commercial collaborators, principal investigators, CROs, suppliers and vendors acting for or on our behalf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material adversely affect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323"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68" w:lineRule="exact"/>
        <w:rPr>
          <w:sz w:val="20"/>
          <w:szCs w:val="20"/>
          <w:color w:val="auto"/>
        </w:rPr>
      </w:pPr>
    </w:p>
    <w:p>
      <w:pPr>
        <w:ind w:right="120" w:firstLine="619"/>
        <w:spacing w:after="0" w:line="249" w:lineRule="auto"/>
        <w:rPr>
          <w:sz w:val="20"/>
          <w:szCs w:val="20"/>
          <w:color w:val="auto"/>
        </w:rPr>
      </w:pPr>
      <w:r>
        <w:rPr>
          <w:rFonts w:ascii="Times New Roman" w:cs="Times New Roman" w:eastAsia="Times New Roman" w:hAnsi="Times New Roman"/>
          <w:sz w:val="20"/>
          <w:szCs w:val="20"/>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The laws that may affect our ability to operate include, but are not limited to:</w:t>
      </w:r>
    </w:p>
    <w:p>
      <w:pPr>
        <w:spacing w:after="0" w:line="91" w:lineRule="exact"/>
        <w:rPr>
          <w:sz w:val="20"/>
          <w:szCs w:val="20"/>
          <w:color w:val="auto"/>
        </w:rPr>
      </w:pPr>
    </w:p>
    <w:p>
      <w:pPr>
        <w:ind w:left="900" w:right="60" w:hanging="281"/>
        <w:spacing w:after="0" w:line="262" w:lineRule="auto"/>
        <w:tabs>
          <w:tab w:leader="none" w:pos="900" w:val="left"/>
        </w:tabs>
        <w:numPr>
          <w:ilvl w:val="0"/>
          <w:numId w:val="40"/>
        </w:numPr>
        <w:rPr>
          <w:rFonts w:ascii="Arial" w:cs="Arial" w:eastAsia="Arial" w:hAnsi="Arial"/>
          <w:sz w:val="19"/>
          <w:szCs w:val="19"/>
          <w:color w:val="auto"/>
        </w:rPr>
      </w:pPr>
      <w:r>
        <w:rPr>
          <w:rFonts w:ascii="Times New Roman" w:cs="Times New Roman" w:eastAsia="Times New Roman" w:hAnsi="Times New Roman"/>
          <w:sz w:val="19"/>
          <w:szCs w:val="19"/>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360"/>
          </w:cols>
          <w:pgMar w:left="1440" w:top="1420" w:right="1440" w:bottom="175" w:gutter="0" w:footer="0" w:header="0"/>
        </w:sectPr>
      </w:pPr>
    </w:p>
    <w:bookmarkStart w:id="62" w:name="page63"/>
    <w:bookmarkEnd w:id="62"/>
    <w:p>
      <w:pPr>
        <w:ind w:left="900" w:right="20"/>
        <w:spacing w:after="0" w:line="252" w:lineRule="auto"/>
        <w:rPr>
          <w:sz w:val="20"/>
          <w:szCs w:val="20"/>
          <w:color w:val="auto"/>
        </w:rPr>
      </w:pPr>
      <w:r>
        <w:rPr>
          <w:rFonts w:ascii="Times New Roman" w:cs="Times New Roman" w:eastAsia="Times New Roman" w:hAnsi="Times New Roman"/>
          <w:sz w:val="20"/>
          <w:szCs w:val="20"/>
          <w:color w:val="auto"/>
        </w:rPr>
        <w:t>statute or specific intent to violate it in order to have committed a violation. Violations are subject to civil and criminal fines and penalties for each violation, plus up to three times the remuneration involved, imprisonment and exclusion from government healthcare programs. There are a number of statutory exceptions and regulatory safe harbors protecting some common activities from prosecution;</w:t>
      </w:r>
    </w:p>
    <w:p>
      <w:pPr>
        <w:spacing w:after="0" w:line="88" w:lineRule="exact"/>
        <w:rPr>
          <w:sz w:val="20"/>
          <w:szCs w:val="20"/>
          <w:color w:val="auto"/>
        </w:rPr>
      </w:pPr>
    </w:p>
    <w:p>
      <w:pPr>
        <w:ind w:left="900" w:right="60" w:hanging="281"/>
        <w:spacing w:after="0" w:line="242" w:lineRule="auto"/>
        <w:tabs>
          <w:tab w:leader="none" w:pos="9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federal civil and criminal false claims laws, including the False Claims Act, or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In addition, the government may assert that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w:t>
      </w:r>
    </w:p>
    <w:p>
      <w:pPr>
        <w:spacing w:after="0" w:line="104" w:lineRule="exact"/>
        <w:rPr>
          <w:rFonts w:ascii="Arial" w:cs="Arial" w:eastAsia="Arial" w:hAnsi="Arial"/>
          <w:sz w:val="20"/>
          <w:szCs w:val="20"/>
          <w:color w:val="auto"/>
        </w:rPr>
      </w:pPr>
    </w:p>
    <w:p>
      <w:pPr>
        <w:ind w:left="900" w:right="100" w:hanging="281"/>
        <w:spacing w:after="0" w:line="244" w:lineRule="auto"/>
        <w:tabs>
          <w:tab w:leader="none" w:pos="9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 in order to have committed a violation;</w:t>
      </w:r>
    </w:p>
    <w:p>
      <w:pPr>
        <w:spacing w:after="0" w:line="95" w:lineRule="exact"/>
        <w:rPr>
          <w:rFonts w:ascii="Arial" w:cs="Arial" w:eastAsia="Arial" w:hAnsi="Arial"/>
          <w:sz w:val="20"/>
          <w:szCs w:val="20"/>
          <w:color w:val="auto"/>
        </w:rPr>
      </w:pPr>
    </w:p>
    <w:p>
      <w:pPr>
        <w:ind w:left="900" w:hanging="281"/>
        <w:spacing w:after="0" w:line="245" w:lineRule="auto"/>
        <w:tabs>
          <w:tab w:leader="none" w:pos="9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Physician Payment Sunshine Act, created under the ACA and its implementing regulations, which require applicable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covered recipients, including physicians (defined to include doctors, dentists, optometrists, podiatrists and chiropractors), other non-physician healthcare providers (such as physician assistants and nurse practitioners, among others), and teaching hospitals, as well as ownership and investment interests held by physicians, as defined by law, and their immediate family members;</w:t>
      </w:r>
    </w:p>
    <w:p>
      <w:pPr>
        <w:spacing w:after="0" w:line="95" w:lineRule="exact"/>
        <w:rPr>
          <w:rFonts w:ascii="Arial" w:cs="Arial" w:eastAsia="Arial" w:hAnsi="Arial"/>
          <w:sz w:val="20"/>
          <w:szCs w:val="20"/>
          <w:color w:val="auto"/>
        </w:rPr>
      </w:pPr>
    </w:p>
    <w:p>
      <w:pPr>
        <w:ind w:left="900" w:right="180" w:hanging="281"/>
        <w:spacing w:after="0" w:line="277" w:lineRule="auto"/>
        <w:tabs>
          <w:tab w:leader="none" w:pos="9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federal consumer protection and unfair competition laws, which broadly regulate marketplace activities and activities that potentially harm consumers; and</w:t>
      </w:r>
    </w:p>
    <w:p>
      <w:pPr>
        <w:spacing w:after="0" w:line="62" w:lineRule="exact"/>
        <w:rPr>
          <w:rFonts w:ascii="Arial" w:cs="Arial" w:eastAsia="Arial" w:hAnsi="Arial"/>
          <w:sz w:val="20"/>
          <w:szCs w:val="20"/>
          <w:color w:val="auto"/>
        </w:rPr>
      </w:pPr>
    </w:p>
    <w:p>
      <w:pPr>
        <w:ind w:left="900" w:right="80" w:hanging="281"/>
        <w:spacing w:after="0" w:line="243" w:lineRule="auto"/>
        <w:tabs>
          <w:tab w:leader="none" w:pos="9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local laws requiring the registration of pharmaceutical sales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360"/>
          </w:cols>
          <w:pgMar w:left="1440" w:top="1420" w:right="1440" w:bottom="175" w:gutter="0" w:footer="0" w:header="0"/>
        </w:sectPr>
      </w:pPr>
    </w:p>
    <w:bookmarkStart w:id="63" w:name="page64"/>
    <w:bookmarkEnd w:id="63"/>
    <w:p>
      <w:pPr>
        <w:ind w:right="40" w:firstLine="619"/>
        <w:spacing w:after="0" w:line="242" w:lineRule="auto"/>
        <w:rPr>
          <w:sz w:val="20"/>
          <w:szCs w:val="20"/>
          <w:color w:val="auto"/>
        </w:rPr>
      </w:pPr>
      <w:r>
        <w:rPr>
          <w:rFonts w:ascii="Times New Roman" w:cs="Times New Roman" w:eastAsia="Times New Roman" w:hAnsi="Times New Roman"/>
          <w:sz w:val="20"/>
          <w:szCs w:val="20"/>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are compensated in the form of stock or stock options for services provided to us and may be in the position to influence the ordering of or use of our product candidates, if approved,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326"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Data collection is governed by restrictive regulations governing the use, processing and cross-border transfer of personal information.</w:t>
      </w:r>
    </w:p>
    <w:p>
      <w:pPr>
        <w:spacing w:after="0" w:line="48" w:lineRule="exact"/>
        <w:rPr>
          <w:sz w:val="20"/>
          <w:szCs w:val="20"/>
          <w:color w:val="auto"/>
        </w:rPr>
      </w:pPr>
    </w:p>
    <w:p>
      <w:pPr>
        <w:ind w:firstLine="620"/>
        <w:spacing w:after="0" w:line="241" w:lineRule="auto"/>
        <w:rPr>
          <w:sz w:val="20"/>
          <w:szCs w:val="20"/>
          <w:color w:val="auto"/>
        </w:rPr>
      </w:pPr>
      <w:r>
        <w:rPr>
          <w:rFonts w:ascii="Times New Roman" w:cs="Times New Roman" w:eastAsia="Times New Roman" w:hAnsi="Times New Roman"/>
          <w:sz w:val="20"/>
          <w:szCs w:val="20"/>
          <w:color w:val="auto"/>
        </w:rPr>
        <w:t>In connection with our clinical trials or enrollment of patients in any future clinical trials, we will be subject to additional privacy restrictions. The collection, use, storage, disclosure, transfer, or other processing of personal data regarding individuals in the EU, 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vote in favor of exiting the EU, often referred to as Brexit, has created uncertainty with regard to data protection regulation in the United Kingdom. In particular, it is unclear how data transfers to and from the United Kingdom will be regulated.</w:t>
      </w:r>
    </w:p>
    <w:p>
      <w:pPr>
        <w:spacing w:after="0" w:line="220"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color w:val="auto"/>
        </w:rPr>
        <w:t>In the United States, most healthcare providers, including research institutions from which we obtain patient health information, are subject to privacy and security regulations promulgated under HIPAA, as amended by the Health Information Technology for Economic and Clinical Health Act of 2009, or HITECH, and their respective implementing regulations. HIPAA imposes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Even when HIPAA does not apply, according to the Federal Trade Commission, or FTC, failing to take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360"/>
          </w:cols>
          <w:pgMar w:left="1440" w:top="1420" w:right="1440" w:bottom="175" w:gutter="0" w:footer="0" w:header="0"/>
        </w:sectPr>
      </w:pPr>
    </w:p>
    <w:bookmarkStart w:id="64" w:name="page65"/>
    <w:bookmarkEnd w:id="64"/>
    <w:p>
      <w:pPr>
        <w:ind w:right="160"/>
        <w:spacing w:after="0" w:line="247" w:lineRule="auto"/>
        <w:rPr>
          <w:sz w:val="20"/>
          <w:szCs w:val="20"/>
          <w:color w:val="auto"/>
        </w:rPr>
      </w:pPr>
      <w:r>
        <w:rPr>
          <w:rFonts w:ascii="Times New Roman" w:cs="Times New Roman" w:eastAsia="Times New Roman" w:hAnsi="Times New Roman"/>
          <w:sz w:val="20"/>
          <w:szCs w:val="20"/>
          <w:color w:val="auto"/>
        </w:rPr>
        <w:t>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200"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color w:val="auto"/>
        </w:rPr>
        <w:t>In addition, certain states have enacted additional laws governing the privacy and security of health information in certain circumstances, many of which differ from each other in significant ways and may not have the same effect, thus complicating compliance efforts. By way of example, California recently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 out of certain sales or transfers of personal information, and provide consumers with additional causes of action. In November 2020, California passed the California Privacy Rights Act, or CPRA, which amends and expands the CCPA. Although the CCPA includes exemptions for certain clinical trial data, the law may increase our compliance costs and potential liability with respect to other personal information. The CCPA and CPRA may impact our business activities and exemplifies the vulnerability of our business to the evolving regulatory environment related to personal data and protected health information.</w:t>
      </w:r>
    </w:p>
    <w:p>
      <w:pPr>
        <w:spacing w:after="0" w:line="203" w:lineRule="exact"/>
        <w:rPr>
          <w:sz w:val="20"/>
          <w:szCs w:val="20"/>
          <w:color w:val="auto"/>
        </w:rPr>
      </w:pPr>
    </w:p>
    <w:p>
      <w:pPr>
        <w:ind w:right="160" w:firstLine="619"/>
        <w:spacing w:after="0" w:line="249" w:lineRule="auto"/>
        <w:rPr>
          <w:sz w:val="20"/>
          <w:szCs w:val="20"/>
          <w:color w:val="auto"/>
        </w:rPr>
      </w:pPr>
      <w:r>
        <w:rPr>
          <w:rFonts w:ascii="Times New Roman" w:cs="Times New Roman" w:eastAsia="Times New Roman" w:hAnsi="Times New Roman"/>
          <w:sz w:val="20"/>
          <w:szCs w:val="20"/>
          <w:color w:val="auto"/>
        </w:rPr>
        <w:t>Further, national security concerns or changing geopolitical tensions could spur regulations that limit our ability to transfer certain types of data abroad. For example, the Department of Justice recently issued a final rule which takes effect in April 2025 that places limitations, and in some cases prohibitions, on certain transfers of sensitive personal data to business partners located in China and other designated countries, or with other specified links to China and other designated countries.</w:t>
      </w:r>
    </w:p>
    <w:p>
      <w:pPr>
        <w:spacing w:after="0" w:line="197"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0"/>
          <w:szCs w:val="20"/>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or adverse publicity and could materially adversely affect our business, financial condition and results of operations.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adversely affect our business.</w:t>
      </w:r>
    </w:p>
    <w:p>
      <w:pPr>
        <w:spacing w:after="0" w:line="323"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4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We are subject to numerous environmental, health and safety laws and regulations, including those</w:t>
      </w:r>
    </w:p>
    <w:p>
      <w:pPr>
        <w:spacing w:after="0" w:line="28"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governing laboratory procedures and the handling, use, storage, treatment and disposal of hazardous materials and wastes. Our operations may involve the use of hazardous and flammable materials, including chemicals and biological and radioactive materials. Our operations may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12" w:lineRule="exact"/>
        <w:rPr>
          <w:sz w:val="20"/>
          <w:szCs w:val="20"/>
          <w:color w:val="auto"/>
        </w:rPr>
      </w:pPr>
    </w:p>
    <w:p>
      <w:pPr>
        <w:ind w:right="80" w:firstLine="619"/>
        <w:spacing w:after="0" w:line="278" w:lineRule="auto"/>
        <w:rPr>
          <w:sz w:val="20"/>
          <w:szCs w:val="20"/>
          <w:color w:val="auto"/>
        </w:rPr>
      </w:pPr>
      <w:r>
        <w:rPr>
          <w:rFonts w:ascii="Times New Roman" w:cs="Times New Roman" w:eastAsia="Times New Roman" w:hAnsi="Times New Roman"/>
          <w:sz w:val="20"/>
          <w:szCs w:val="20"/>
          <w:color w:val="auto"/>
        </w:rPr>
        <w:t>In addition, we may incur substantial costs in order to comply with current or future environmental, health and safety laws and regulations. These current or future laws and regulations may impair our research, development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360"/>
          </w:cols>
          <w:pgMar w:left="1440" w:top="1420" w:right="1440" w:bottom="175" w:gutter="0" w:footer="0" w:header="0"/>
        </w:sectPr>
      </w:pPr>
    </w:p>
    <w:bookmarkStart w:id="65" w:name="page66"/>
    <w:bookmarkEnd w:id="65"/>
    <w:p>
      <w:pPr>
        <w:ind w:right="140"/>
        <w:spacing w:after="0" w:line="277" w:lineRule="auto"/>
        <w:rPr>
          <w:sz w:val="20"/>
          <w:szCs w:val="20"/>
          <w:color w:val="auto"/>
        </w:rPr>
      </w:pPr>
      <w:r>
        <w:rPr>
          <w:rFonts w:ascii="Times New Roman" w:cs="Times New Roman" w:eastAsia="Times New Roman" w:hAnsi="Times New Roman"/>
          <w:sz w:val="20"/>
          <w:szCs w:val="20"/>
          <w:color w:val="auto"/>
        </w:rPr>
        <w:t>or commercialization efforts. Failure to comply with these laws and regulations also may result in substantial fines, penalties or other sanctions.</w:t>
      </w:r>
    </w:p>
    <w:p>
      <w:pPr>
        <w:spacing w:after="0" w:line="289" w:lineRule="exact"/>
        <w:rPr>
          <w:sz w:val="20"/>
          <w:szCs w:val="20"/>
          <w:color w:val="auto"/>
        </w:rPr>
      </w:pPr>
    </w:p>
    <w:p>
      <w:pPr>
        <w:jc w:val="both"/>
        <w:ind w:right="3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certain U.S. and foreign anti-corruption, anti-money laundering, export control, sanctions, foreign investment, data transfer and other trade laws and regulations. We can face serious consequences for violations.</w:t>
      </w:r>
    </w:p>
    <w:p>
      <w:pPr>
        <w:spacing w:after="0" w:line="68"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0"/>
          <w:szCs w:val="20"/>
          <w:color w:val="auto"/>
        </w:rPr>
        <w:t>Among other matters, we are subject to U.S. and foreign anti-corruption, anti-money laundering, export control, sanctions, foreign investment, data transfer, and other trade laws and regulations, which are collectively referred to as Trade Laws. These Trade Laws can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Risks Related to Employee Matters, Managing Our Growth and Other Risks Related to Our Business</w:t>
      </w:r>
    </w:p>
    <w:p>
      <w:pPr>
        <w:spacing w:after="0" w:line="244"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68" w:lineRule="exact"/>
        <w:rPr>
          <w:sz w:val="20"/>
          <w:szCs w:val="20"/>
          <w:color w:val="auto"/>
        </w:rPr>
      </w:pPr>
    </w:p>
    <w:p>
      <w:pPr>
        <w:ind w:right="60" w:firstLine="619"/>
        <w:spacing w:after="0" w:line="245" w:lineRule="auto"/>
        <w:rPr>
          <w:sz w:val="20"/>
          <w:szCs w:val="20"/>
          <w:color w:val="auto"/>
        </w:rPr>
      </w:pPr>
      <w:r>
        <w:rPr>
          <w:rFonts w:ascii="Times New Roman" w:cs="Times New Roman" w:eastAsia="Times New Roman" w:hAnsi="Times New Roman"/>
          <w:sz w:val="20"/>
          <w:szCs w:val="20"/>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including our Chief Executive Officer and President, our Chief Financial Officer, our Chief Development Officer and our General Counsel and Chief Operating Officer. If we do not succeed in attracting and retaining qualified personnel, particularly at the management level, it could materially adversely affect our business, financial condition and results of operations. We could in the future have difficulty attracting and retaining experienced personnel and may be required to expend significant financial resources in our employee recruitment and retention efforts.</w:t>
      </w:r>
    </w:p>
    <w:p>
      <w:pPr>
        <w:spacing w:after="0" w:line="202" w:lineRule="exact"/>
        <w:rPr>
          <w:sz w:val="20"/>
          <w:szCs w:val="20"/>
          <w:color w:val="auto"/>
        </w:rPr>
      </w:pPr>
    </w:p>
    <w:p>
      <w:pPr>
        <w:ind w:right="40" w:firstLine="619"/>
        <w:spacing w:after="0" w:line="246" w:lineRule="auto"/>
        <w:rPr>
          <w:sz w:val="20"/>
          <w:szCs w:val="20"/>
          <w:color w:val="auto"/>
        </w:rPr>
      </w:pPr>
      <w:r>
        <w:rPr>
          <w:rFonts w:ascii="Times New Roman" w:cs="Times New Roman" w:eastAsia="Times New Roman" w:hAnsi="Times New Roman"/>
          <w:sz w:val="20"/>
          <w:szCs w:val="20"/>
          <w:color w:val="auto"/>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adversely affected.</w:t>
      </w:r>
    </w:p>
    <w:p>
      <w:pPr>
        <w:spacing w:after="0" w:line="201" w:lineRule="exact"/>
        <w:rPr>
          <w:sz w:val="20"/>
          <w:szCs w:val="20"/>
          <w:color w:val="auto"/>
        </w:rPr>
      </w:pPr>
    </w:p>
    <w:p>
      <w:pPr>
        <w:ind w:firstLine="619"/>
        <w:spacing w:after="0" w:line="259" w:lineRule="auto"/>
        <w:rPr>
          <w:sz w:val="20"/>
          <w:szCs w:val="20"/>
          <w:color w:val="auto"/>
        </w:rPr>
      </w:pPr>
      <w:r>
        <w:rPr>
          <w:rFonts w:ascii="Times New Roman" w:cs="Times New Roman" w:eastAsia="Times New Roman" w:hAnsi="Times New Roman"/>
          <w:sz w:val="19"/>
          <w:szCs w:val="19"/>
          <w:color w:val="auto"/>
        </w:rPr>
        <w:t>Additionally, we rely on our founders, members of our board of directors,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360"/>
          </w:cols>
          <w:pgMar w:left="1440" w:top="1420" w:right="1440" w:bottom="175" w:gutter="0" w:footer="0" w:header="0"/>
        </w:sectPr>
      </w:pPr>
    </w:p>
    <w:bookmarkStart w:id="66" w:name="page67"/>
    <w:bookmarkEnd w:id="66"/>
    <w:p>
      <w:pPr>
        <w:ind w:right="3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In order to successfully implement our plans and strategies, we will need to grow the size of our organization, and we may experience difficulties in managing this growth.</w:t>
      </w:r>
    </w:p>
    <w:p>
      <w:pPr>
        <w:spacing w:after="0" w:line="49" w:lineRule="exact"/>
        <w:rPr>
          <w:sz w:val="20"/>
          <w:szCs w:val="20"/>
          <w:color w:val="auto"/>
        </w:rPr>
      </w:pPr>
    </w:p>
    <w:p>
      <w:pPr>
        <w:ind w:right="400" w:firstLine="619"/>
        <w:spacing w:after="0" w:line="252" w:lineRule="auto"/>
        <w:rPr>
          <w:sz w:val="20"/>
          <w:szCs w:val="20"/>
          <w:color w:val="auto"/>
        </w:rPr>
      </w:pPr>
      <w:r>
        <w:rPr>
          <w:rFonts w:ascii="Times New Roman" w:cs="Times New Roman" w:eastAsia="Times New Roman" w:hAnsi="Times New Roman"/>
          <w:sz w:val="20"/>
          <w:szCs w:val="20"/>
          <w:color w:val="auto"/>
        </w:rPr>
        <w:t>As of March 3, 2025, we had 47 full-time employees, including 36 employees engaged in research and development activities. In order to successfully implement our development and commercialization plans and strategies, we expect to need additional managerial, operational, sales, marketing, financial and other personnel. Future growth would impose significant added responsibilities on members of management, including:</w:t>
      </w:r>
    </w:p>
    <w:p>
      <w:pPr>
        <w:spacing w:after="0" w:line="89" w:lineRule="exact"/>
        <w:rPr>
          <w:sz w:val="20"/>
          <w:szCs w:val="20"/>
          <w:color w:val="auto"/>
        </w:rPr>
      </w:pPr>
    </w:p>
    <w:p>
      <w:pPr>
        <w:ind w:left="900" w:hanging="281"/>
        <w:spacing w:after="0"/>
        <w:tabs>
          <w:tab w:leader="none" w:pos="90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identifying, recruiting, integrating, maintaining and motivating additional employees;</w:t>
      </w:r>
    </w:p>
    <w:p>
      <w:pPr>
        <w:spacing w:after="0" w:line="132" w:lineRule="exact"/>
        <w:rPr>
          <w:rFonts w:ascii="Arial" w:cs="Arial" w:eastAsia="Arial" w:hAnsi="Arial"/>
          <w:sz w:val="20"/>
          <w:szCs w:val="20"/>
          <w:color w:val="auto"/>
        </w:rPr>
      </w:pPr>
    </w:p>
    <w:p>
      <w:pPr>
        <w:ind w:left="900" w:right="60" w:hanging="281"/>
        <w:spacing w:after="0" w:line="258" w:lineRule="auto"/>
        <w:tabs>
          <w:tab w:leader="none" w:pos="90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managing our internal development efforts effectively, including the clinical, FDA and other comparable foreign regulatory agencies’ review process for rezatapopt and any future product candidates, while complying with any contractual obligations to contractors and other third parties we may have; and</w:t>
      </w:r>
    </w:p>
    <w:p>
      <w:pPr>
        <w:spacing w:after="0" w:line="81" w:lineRule="exact"/>
        <w:rPr>
          <w:rFonts w:ascii="Arial" w:cs="Arial" w:eastAsia="Arial" w:hAnsi="Arial"/>
          <w:sz w:val="20"/>
          <w:szCs w:val="20"/>
          <w:color w:val="auto"/>
        </w:rPr>
      </w:pPr>
    </w:p>
    <w:p>
      <w:pPr>
        <w:ind w:left="900" w:hanging="281"/>
        <w:spacing w:after="0"/>
        <w:tabs>
          <w:tab w:leader="none" w:pos="90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improving our operational, financial and management controls, reporting systems and procedures.</w:t>
      </w:r>
    </w:p>
    <w:p>
      <w:pPr>
        <w:spacing w:after="0" w:line="239" w:lineRule="exact"/>
        <w:rPr>
          <w:sz w:val="20"/>
          <w:szCs w:val="20"/>
          <w:color w:val="auto"/>
        </w:rPr>
      </w:pPr>
    </w:p>
    <w:p>
      <w:pPr>
        <w:ind w:firstLine="619"/>
        <w:spacing w:after="0" w:line="252" w:lineRule="auto"/>
        <w:rPr>
          <w:sz w:val="20"/>
          <w:szCs w:val="20"/>
          <w:color w:val="auto"/>
        </w:rPr>
      </w:pPr>
      <w:r>
        <w:rPr>
          <w:rFonts w:ascii="Times New Roman" w:cs="Times New Roman" w:eastAsia="Times New Roman" w:hAnsi="Times New Roman"/>
          <w:sz w:val="20"/>
          <w:szCs w:val="20"/>
          <w:color w:val="auto"/>
        </w:rPr>
        <w:t>Our future financial performance and our ability to successfully develop and, if approved, commercialize rezatapopt and future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spacing w:after="0" w:line="193"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20"/>
          <w:szCs w:val="20"/>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rezatapopt and any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203" w:lineRule="exact"/>
        <w:rPr>
          <w:sz w:val="20"/>
          <w:szCs w:val="20"/>
          <w:color w:val="auto"/>
        </w:rPr>
      </w:pPr>
    </w:p>
    <w:p>
      <w:pPr>
        <w:ind w:right="60" w:firstLine="619"/>
        <w:spacing w:after="0" w:line="252" w:lineRule="auto"/>
        <w:rPr>
          <w:sz w:val="20"/>
          <w:szCs w:val="20"/>
          <w:color w:val="auto"/>
        </w:rPr>
      </w:pPr>
      <w:r>
        <w:rPr>
          <w:rFonts w:ascii="Times New Roman" w:cs="Times New Roman" w:eastAsia="Times New Roman" w:hAnsi="Times New Roman"/>
          <w:sz w:val="20"/>
          <w:szCs w:val="20"/>
          <w:color w:val="auto"/>
        </w:rPr>
        <w:t>If we are not able to effectively expand our organization by hiring new employees and/or engaging additional third-party service providers, we may not be able to successfully implement the tasks necessary to further develop and commercialize rezatapopt and future product candidates and, accordingly, may not achieve our research, development and commercialization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360"/>
          </w:cols>
          <w:pgMar w:left="1440" w:top="1420" w:right="1440" w:bottom="175" w:gutter="0" w:footer="0" w:header="0"/>
        </w:sectPr>
      </w:pPr>
    </w:p>
    <w:bookmarkStart w:id="67" w:name="page68"/>
    <w:bookmarkEnd w:id="67"/>
    <w:p>
      <w:pPr>
        <w:ind w:right="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Our internal computer systems, or those of any of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7" w:lineRule="exact"/>
        <w:rPr>
          <w:sz w:val="20"/>
          <w:szCs w:val="20"/>
          <w:color w:val="auto"/>
        </w:rPr>
      </w:pPr>
    </w:p>
    <w:p>
      <w:pPr>
        <w:ind w:right="40" w:firstLine="620"/>
        <w:spacing w:after="0" w:line="241" w:lineRule="auto"/>
        <w:rPr>
          <w:sz w:val="20"/>
          <w:szCs w:val="20"/>
          <w:color w:val="auto"/>
        </w:rPr>
      </w:pPr>
      <w:r>
        <w:rPr>
          <w:rFonts w:ascii="Times New Roman" w:cs="Times New Roman" w:eastAsia="Times New Roman" w:hAnsi="Times New Roman"/>
          <w:sz w:val="20"/>
          <w:szCs w:val="20"/>
          <w:color w:val="auto"/>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the loss, destruction, alteration or dissemination of, or damage to, our data. To the extent that any disruption or security breach were to result in a loss, destruction, unavailability, alteration or dissemination of, or damage to, our data or applications, or for it to be believed or reported that any of these occurred, we could incur liability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will prevent significant breakdowns or breaches in systems or other cyber incidents that cause loss, destruction, unavailability, alteration or dissemination of, or damage to, our data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 security breaches could result in the loss, misappropriation and/or unauthorized access, use or disclosure of, or the prevention of access to, data (including trade secrets or other confidential information,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212"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color w:val="auto"/>
        </w:rPr>
        <w:t>Notifications and follow-up actions related to a security incident could impact our reputation and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breach. We also rely on third parties to manufacture our product candidates, and similar events relating to their computer systems could also have a material adverse effect on our business. To the extent that any disruption or security incident were to result in a loss, destruction or alteration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and/or international privacy and security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360"/>
          </w:cols>
          <w:pgMar w:left="1440" w:top="1420" w:right="1440" w:bottom="175" w:gutter="0" w:footer="0" w:header="0"/>
        </w:sectPr>
      </w:pPr>
    </w:p>
    <w:bookmarkStart w:id="68" w:name="page69"/>
    <w:bookmarkEnd w:id="68"/>
    <w:p>
      <w:pPr>
        <w:ind w:right="120" w:firstLine="619"/>
        <w:spacing w:after="0" w:line="247" w:lineRule="auto"/>
        <w:rPr>
          <w:sz w:val="20"/>
          <w:szCs w:val="20"/>
          <w:color w:val="auto"/>
        </w:rPr>
      </w:pPr>
      <w:r>
        <w:rPr>
          <w:rFonts w:ascii="Times New Roman" w:cs="Times New Roman" w:eastAsia="Times New Roman" w:hAnsi="Times New Roman"/>
          <w:sz w:val="20"/>
          <w:szCs w:val="20"/>
          <w:color w:val="auto"/>
        </w:rPr>
        <w:t>Our insurance policies may not be adequate to compensate us for the potential losses arising from any such disruption in or, failure or security breach of our systems or third-party systems where information important to our business operations or commercial development is stored.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320"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Business disruptions could materially adversely affect our future revenue and financial condition and increase our costs and expenses.</w:t>
      </w:r>
    </w:p>
    <w:p>
      <w:pPr>
        <w:spacing w:after="0" w:line="49" w:lineRule="exact"/>
        <w:rPr>
          <w:sz w:val="20"/>
          <w:szCs w:val="20"/>
          <w:color w:val="auto"/>
        </w:rPr>
      </w:pPr>
    </w:p>
    <w:p>
      <w:pPr>
        <w:ind w:right="40" w:firstLine="619"/>
        <w:spacing w:after="0" w:line="245" w:lineRule="auto"/>
        <w:rPr>
          <w:sz w:val="20"/>
          <w:szCs w:val="20"/>
          <w:color w:val="auto"/>
        </w:rPr>
      </w:pPr>
      <w:r>
        <w:rPr>
          <w:rFonts w:ascii="Times New Roman" w:cs="Times New Roman" w:eastAsia="Times New Roman" w:hAnsi="Times New Roman"/>
          <w:sz w:val="20"/>
          <w:szCs w:val="20"/>
          <w:color w:val="auto"/>
        </w:rPr>
        <w:t>Our operations, and those of our CROs, CMOs and other contractors, consultants and third parties could be subject to earthquakes, power shortages, telecommunications failures, water shortages, floods, hurricanes, typhoons, fires, extreme weather conditions, pandemics and other natural or man-made disasters or business interruptions, for which we are predominantly self-insured. The occurrence of any of these business disruptions could seriously adversely affect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322"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ability to utilize our net operating loss carryforwards and certain other tax attributes to offset future taxable income may be limited.</w:t>
      </w:r>
    </w:p>
    <w:p>
      <w:pPr>
        <w:spacing w:after="0" w:line="47"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0"/>
          <w:szCs w:val="20"/>
          <w:color w:val="auto"/>
        </w:rPr>
        <w:t>As of December 31, 2024, we had federal and state net operating loss, or NOL, carryforwards of $214.7 million and $66.3 million, respectively, and federal and state research and development credit carryforwards of approximately $11.6 million and $1.4 million, respectively. Our federal NOLs generated in tax years beginning before January 1, 2028 are only permitted to be carried forward for 20 taxable years, and therefore could expire unused. Under the Tax Cuts and Jobs Act of 2017, or TCJA, as modified by the Coronavirus Aid, Relief, and Economic Stability Act, our federal NOLs generated in tax years beginning after December 31, 2017 may be carried forward indefinitely, but for taxable years beginning after December 31, 2020, the deductibility of federal NOLs generated in tax years beginning after December 31, 2017 is limited to 80% of current year taxable income. Our federal NOL carryforwards will begin to expire in 2033, and our federal research and development credit carryforwards will begin to expire in 2034, if not fully utilized. Some of our state NOL carryforwards and state credit carryforwards may also expire unused.</w:t>
      </w:r>
    </w:p>
    <w:p>
      <w:pPr>
        <w:spacing w:after="0" w:line="210" w:lineRule="exact"/>
        <w:rPr>
          <w:sz w:val="20"/>
          <w:szCs w:val="20"/>
          <w:color w:val="auto"/>
        </w:rPr>
      </w:pPr>
    </w:p>
    <w:p>
      <w:pPr>
        <w:ind w:right="60" w:firstLine="619"/>
        <w:spacing w:after="0" w:line="243" w:lineRule="auto"/>
        <w:rPr>
          <w:sz w:val="20"/>
          <w:szCs w:val="20"/>
          <w:color w:val="auto"/>
        </w:rPr>
      </w:pPr>
      <w:r>
        <w:rPr>
          <w:rFonts w:ascii="Times New Roman" w:cs="Times New Roman" w:eastAsia="Times New Roman" w:hAnsi="Times New Roman"/>
          <w:sz w:val="20"/>
          <w:szCs w:val="20"/>
          <w:color w:val="auto"/>
        </w:rPr>
        <w:t>In addition, under Sections 382 and 383 of the Code, if a corporation undergoes an “ownership change” (generally defined as a cumulative change (by value) in the corporation’s ownership by “5-percent shareholders” that exceeds 50 percentage points over a rolling three-year period), the corporation’s ability to use its pre-change NOLs and certain other pre-change tax attributes to offset its post-change taxable income or tax liabilities may be limited. Similar rules may apply under state tax laws. We have experienced such ownership changes in the past, and we may experience ownership changes in the future as a result of shifts in our stock ownership, some of which are outside our control. At this time, we have not conducted any studies to determine the annual limitations, if any, that resulted from such an ownership change. Our ability to utilize our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 There is also a risk that due to federal or state regulatory changes, such as suspensions on the use of NOLs, our existing NOLs could expire or otherwise be unavailable to offset future income tax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360"/>
          </w:cols>
          <w:pgMar w:left="1440" w:top="1420" w:right="1440" w:bottom="175" w:gutter="0" w:footer="0" w:header="0"/>
        </w:sectPr>
      </w:pPr>
    </w:p>
    <w:bookmarkStart w:id="69" w:name="page70"/>
    <w:bookmarkEnd w:id="69"/>
    <w:p>
      <w:pPr>
        <w:ind w:right="2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Changes in tax laws or regulations that are applied adversely to us could have a material adverse effect on our business, financial condition and results of operations.</w:t>
      </w:r>
    </w:p>
    <w:p>
      <w:pPr>
        <w:spacing w:after="0" w:line="49" w:lineRule="exact"/>
        <w:rPr>
          <w:sz w:val="20"/>
          <w:szCs w:val="20"/>
          <w:color w:val="auto"/>
        </w:rPr>
      </w:pPr>
    </w:p>
    <w:p>
      <w:pPr>
        <w:ind w:right="60" w:firstLine="619"/>
        <w:spacing w:after="0" w:line="244" w:lineRule="auto"/>
        <w:rPr>
          <w:sz w:val="20"/>
          <w:szCs w:val="20"/>
          <w:color w:val="auto"/>
        </w:rPr>
      </w:pPr>
      <w:r>
        <w:rPr>
          <w:rFonts w:ascii="Times New Roman" w:cs="Times New Roman" w:eastAsia="Times New Roman" w:hAnsi="Times New Roman"/>
          <w:sz w:val="20"/>
          <w:szCs w:val="20"/>
          <w:color w:val="auto"/>
        </w:rPr>
        <w:t>New income, sales, use or other tax laws or regulations could be enacted at any time, which could affect our tax profile and our business and financial performance. Further, existing tax laws, statutes, rules, regulations or ordinances could be interpreted, changed, modified or applied adversely to us. For example, the TCJA eliminated the option to deduct research and development expenditures currently and requires taxpayers to capitalize and amortize such expenditures over five or 15 years pursuant to Section 174 of the Code, beginning in 2022. When and if we achieve profitability, these changes may cause us to pay federal income taxes earlier than under prior law and may increase our total federal tax liability attributable to orphan drug programs and other research and development activities. Further, the Inflation Reduction Act of 2022, among other changes, imposes a one-percent excise tax on stock repurchases made on or after January 1, 2023. Any further changes in tax laws or regulations that are applied adversely to us could have a material adverse effect on our business, financial condition and results of operations.</w:t>
      </w:r>
    </w:p>
    <w:p>
      <w:pPr>
        <w:spacing w:after="0" w:line="322" w:lineRule="exact"/>
        <w:rPr>
          <w:sz w:val="20"/>
          <w:szCs w:val="20"/>
          <w:color w:val="auto"/>
        </w:rPr>
      </w:pPr>
    </w:p>
    <w:p>
      <w:pPr>
        <w:jc w:val="both"/>
        <w:ind w:right="1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A portion of our chemistry-based product development and sourcing of certain manufacturing raw materials for our product candidates takes place in China through third-party manufacturers. A significant disruption in the operation of those manufacturers, a trade war or political unrest in China could materially adversely affect our business, financial condition and results of operations.</w:t>
      </w:r>
    </w:p>
    <w:p>
      <w:pPr>
        <w:spacing w:after="0" w:line="75" w:lineRule="exact"/>
        <w:rPr>
          <w:sz w:val="20"/>
          <w:szCs w:val="20"/>
          <w:color w:val="auto"/>
        </w:rPr>
      </w:pPr>
    </w:p>
    <w:p>
      <w:pPr>
        <w:ind w:firstLine="619"/>
        <w:spacing w:after="0" w:line="242" w:lineRule="auto"/>
        <w:rPr>
          <w:sz w:val="20"/>
          <w:szCs w:val="20"/>
          <w:color w:val="auto"/>
        </w:rPr>
      </w:pPr>
      <w:r>
        <w:rPr>
          <w:rFonts w:ascii="Times New Roman" w:cs="Times New Roman" w:eastAsia="Times New Roman" w:hAnsi="Times New Roman"/>
          <w:sz w:val="20"/>
          <w:szCs w:val="20"/>
          <w:color w:val="auto"/>
        </w:rPr>
        <w:t>We currently contract certain product development and manufacturing operations to third parties outside the United States, including in China, and we expect to continue to use such third-party manufacturers for such product candidates. Any disruption in production or inability of our manufacturers in China to produce adequate quantities to meet our needs, whether as a result of a natural disaster or other causes could impair our ability to operate our business on a day-to-day basis and to continue our development of our product candidates. Furthermore, since these manufacturers are located in China, we are exposed to the possibility of product supply disruption and increased costs in the event of changes in the policies of the United States or Chinese governments, political unrest or unstable economic conditions in China. For example, a trade war could lead to tariffs on the chemical intermediates we use that are manufactured in China. Any of these matters could materially adversely affect our business, financial condition and results of operations. Any recall of the manufacturing lots or similar action regarding our product candidates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207"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0"/>
          <w:szCs w:val="20"/>
          <w:color w:val="auto"/>
        </w:rPr>
        <w:t>In addition to the use of tariffs and other traditional trade tools, the U.S. government has made and continues to make significant additional changes in U.S. trade policy and may continue to take future actions that could negatively impact U.S. trade. In particular, the U.S. has made or considered making a broad set of trade-related or security-related policy changes with respect to specific counterparty countries, most significantly China, to create various limitations on cross-border operations.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financial condition, and results of operations would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360"/>
          </w:cols>
          <w:pgMar w:left="1440" w:top="1420" w:right="1440" w:bottom="175"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20"/>
          <w:szCs w:val="20"/>
          <w:b w:val="1"/>
          <w:bCs w:val="1"/>
          <w:color w:val="auto"/>
        </w:rPr>
        <w:t>Risks Related to Reliance on Third Parties</w:t>
      </w:r>
    </w:p>
    <w:p>
      <w:pPr>
        <w:spacing w:after="0" w:line="243"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75" w:lineRule="exact"/>
        <w:rPr>
          <w:sz w:val="20"/>
          <w:szCs w:val="20"/>
          <w:color w:val="auto"/>
        </w:rPr>
      </w:pPr>
    </w:p>
    <w:p>
      <w:pPr>
        <w:ind w:right="60" w:firstLine="619"/>
        <w:spacing w:after="0" w:line="247" w:lineRule="auto"/>
        <w:rPr>
          <w:sz w:val="20"/>
          <w:szCs w:val="20"/>
          <w:color w:val="auto"/>
        </w:rPr>
      </w:pPr>
      <w:r>
        <w:rPr>
          <w:rFonts w:ascii="Times New Roman" w:cs="Times New Roman" w:eastAsia="Times New Roman" w:hAnsi="Times New Roman"/>
          <w:sz w:val="20"/>
          <w:szCs w:val="20"/>
          <w:color w:val="auto"/>
        </w:rPr>
        <w:t>We have utilized and plan to continue to utilize and depend upon independent investigators and collaborators, such as medical institutions, CROs, CMOs and strategic partners to conduct and support our preclinical studies and clinical trials under agreements with us. We are continuing to build our internal chemistry, manufacturing and controls, biology and preclinical development capabilities to supplement activities conducted by third parties on our behalf. As part of this personnel build out, we may incur additional costs or experience delays in engaging directly with other third-party CROs and CMOs.</w:t>
      </w:r>
    </w:p>
    <w:p>
      <w:pPr>
        <w:spacing w:after="0" w:line="200" w:lineRule="exact"/>
        <w:rPr>
          <w:sz w:val="20"/>
          <w:szCs w:val="20"/>
          <w:color w:val="auto"/>
        </w:rPr>
      </w:pPr>
    </w:p>
    <w:p>
      <w:pPr>
        <w:ind w:firstLine="619"/>
        <w:spacing w:after="0" w:line="241" w:lineRule="auto"/>
        <w:rPr>
          <w:sz w:val="20"/>
          <w:szCs w:val="20"/>
          <w:color w:val="auto"/>
        </w:rPr>
      </w:pPr>
      <w:r>
        <w:rPr>
          <w:rFonts w:ascii="Times New Roman" w:cs="Times New Roman" w:eastAsia="Times New Roman" w:hAnsi="Times New Roman"/>
          <w:sz w:val="20"/>
          <w:szCs w:val="20"/>
          <w:color w:val="auto"/>
        </w:rPr>
        <w:t>We expect to have to negotiate budgets and contracts with CROs, trial sites and CMOs and we may not be able to do so on favorable terms, which may result in delays to our development timelines and increased costs.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220" w:lineRule="exact"/>
        <w:rPr>
          <w:sz w:val="20"/>
          <w:szCs w:val="20"/>
          <w:color w:val="auto"/>
        </w:rPr>
      </w:pPr>
    </w:p>
    <w:p>
      <w:pPr>
        <w:ind w:right="80" w:firstLine="620"/>
        <w:spacing w:after="0" w:line="243" w:lineRule="auto"/>
        <w:rPr>
          <w:sz w:val="20"/>
          <w:szCs w:val="20"/>
          <w:color w:val="auto"/>
        </w:rPr>
      </w:pPr>
      <w:r>
        <w:rPr>
          <w:rFonts w:ascii="Times New Roman" w:cs="Times New Roman" w:eastAsia="Times New Roman" w:hAnsi="Times New Roman"/>
          <w:sz w:val="20"/>
          <w:szCs w:val="20"/>
          <w:color w:val="auto"/>
        </w:rPr>
        <w:t>Any third parties conducting our clinical trials will not be our employees and, except for remedies available to us under our agreements with such third parties, we cannot control whether or not they devote sufficient time and resources to our product candidates.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adversely affected, our costs could increase and our ability to generate revenue could be delayed.</w:t>
      </w:r>
    </w:p>
    <w:p>
      <w:pPr>
        <w:spacing w:after="0" w:line="210" w:lineRule="exact"/>
        <w:rPr>
          <w:sz w:val="20"/>
          <w:szCs w:val="20"/>
          <w:color w:val="auto"/>
        </w:rPr>
      </w:pPr>
    </w:p>
    <w:p>
      <w:pPr>
        <w:ind w:right="120" w:firstLine="619"/>
        <w:spacing w:after="0" w:line="252" w:lineRule="auto"/>
        <w:rPr>
          <w:sz w:val="20"/>
          <w:szCs w:val="20"/>
          <w:color w:val="auto"/>
        </w:rPr>
      </w:pPr>
      <w:r>
        <w:rPr>
          <w:rFonts w:ascii="Times New Roman" w:cs="Times New Roman" w:eastAsia="Times New Roman" w:hAnsi="Times New Roman"/>
          <w:sz w:val="20"/>
          <w:szCs w:val="20"/>
          <w:color w:val="auto"/>
        </w:rPr>
        <w:t>Switching or adding third parties to conduct our preclinical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360"/>
          </w:cols>
          <w:pgMar w:left="1440" w:top="1416" w:right="1440" w:bottom="175" w:gutter="0" w:footer="0" w:header="0"/>
        </w:sectPr>
      </w:pPr>
    </w:p>
    <w:bookmarkStart w:id="71" w:name="page72"/>
    <w:bookmarkEnd w:id="71"/>
    <w:p>
      <w:pPr>
        <w:jc w:val="both"/>
        <w:ind w:right="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We currently rely and expect to rely in the future on the use of manufacturing suites in third-party facilities or on third parties to manufacture our product candidates, and we may rely on third parties to produce and process our products, if approved. Our business could be adversely affected if we are unable to use third-party manufacturing suites or if the third-party manufacturers fail to provide us with sufficient quantities of our product candidates or fail to do so at acceptable quality levels or prices.</w:t>
      </w:r>
    </w:p>
    <w:p>
      <w:pPr>
        <w:spacing w:after="0" w:line="77" w:lineRule="exact"/>
        <w:rPr>
          <w:sz w:val="20"/>
          <w:szCs w:val="20"/>
          <w:color w:val="auto"/>
        </w:rPr>
      </w:pPr>
    </w:p>
    <w:p>
      <w:pPr>
        <w:ind w:right="80" w:firstLine="619"/>
        <w:spacing w:after="0" w:line="246" w:lineRule="auto"/>
        <w:rPr>
          <w:sz w:val="20"/>
          <w:szCs w:val="20"/>
          <w:color w:val="auto"/>
        </w:rPr>
      </w:pPr>
      <w:r>
        <w:rPr>
          <w:rFonts w:ascii="Times New Roman" w:cs="Times New Roman" w:eastAsia="Times New Roman" w:hAnsi="Times New Roman"/>
          <w:sz w:val="20"/>
          <w:szCs w:val="20"/>
          <w:color w:val="auto"/>
        </w:rPr>
        <w:t>We do not currently own any facility that may be used as our clinical-scale manufacturing and processing facility and must currently rely on outside vendors to manufacture our product candidates. We have not yet caused our product candidates to be manufactured on a commercial scale and may not be able to do so for any of our product candidates. We will need to negotiate and maintain contractual arrangements with these outside vendors for the supply of our product candidates and we may not be able to do so on favorable terms. We have not yet caused any product candidates to be manufactured on a commercial scale and may not be able to do so for any of our product candidates, if approved.</w:t>
      </w:r>
    </w:p>
    <w:p>
      <w:pPr>
        <w:spacing w:after="0" w:line="199" w:lineRule="exact"/>
        <w:rPr>
          <w:sz w:val="20"/>
          <w:szCs w:val="20"/>
          <w:color w:val="auto"/>
        </w:rPr>
      </w:pPr>
    </w:p>
    <w:p>
      <w:pPr>
        <w:ind w:right="20" w:firstLine="619"/>
        <w:spacing w:after="0" w:line="256" w:lineRule="auto"/>
        <w:rPr>
          <w:sz w:val="20"/>
          <w:szCs w:val="20"/>
          <w:color w:val="auto"/>
        </w:rPr>
      </w:pPr>
      <w:r>
        <w:rPr>
          <w:rFonts w:ascii="Times New Roman" w:cs="Times New Roman" w:eastAsia="Times New Roman" w:hAnsi="Times New Roman"/>
          <w:sz w:val="19"/>
          <w:szCs w:val="19"/>
          <w:color w:val="auto"/>
        </w:rPr>
        <w:t>The facilities used by our contract manufacturers to manufacture our product candidates must be approved by the FDA or other comparable foreign regulatory authorities following inspections that will be conducted after we submit an application to the FDA or other comparable foreign regulatory authorities. We may not control the manufacturing process of, and may be completely dependent on, our contract manufacturing partners for compliance with cGMP requirements and any other regulatory requirements of the FDA or other regulatory authorities for the manufacture of our product candidates. Beyond periodic audits,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approval in the future, we may need to find alternative manufacturing facilities, which would require the incurrence of significant additional costs and materially adversely affect our ability to develop, obtain regulatory approval for or market our product candidates, if approved. Similarly, if any third-party manufacturers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adversely affected.</w:t>
      </w:r>
    </w:p>
    <w:p>
      <w:pPr>
        <w:spacing w:after="0" w:line="199" w:lineRule="exact"/>
        <w:rPr>
          <w:sz w:val="20"/>
          <w:szCs w:val="20"/>
          <w:color w:val="auto"/>
        </w:rPr>
      </w:pPr>
    </w:p>
    <w:p>
      <w:pPr>
        <w:ind w:right="220" w:firstLine="619"/>
        <w:spacing w:after="0" w:line="277" w:lineRule="auto"/>
        <w:rPr>
          <w:sz w:val="20"/>
          <w:szCs w:val="20"/>
          <w:color w:val="auto"/>
        </w:rPr>
      </w:pPr>
      <w:r>
        <w:rPr>
          <w:rFonts w:ascii="Times New Roman" w:cs="Times New Roman" w:eastAsia="Times New Roman" w:hAnsi="Times New Roman"/>
          <w:sz w:val="20"/>
          <w:szCs w:val="20"/>
          <w:color w:val="auto"/>
        </w:rPr>
        <w:t>Our anticipated reliance on a limited number of third-party manufacturers exposes us to a number of risks, including the following:</w:t>
      </w:r>
    </w:p>
    <w:p>
      <w:pPr>
        <w:spacing w:after="0" w:line="63" w:lineRule="exact"/>
        <w:rPr>
          <w:sz w:val="20"/>
          <w:szCs w:val="20"/>
          <w:color w:val="auto"/>
        </w:rPr>
      </w:pPr>
    </w:p>
    <w:p>
      <w:pPr>
        <w:ind w:left="900" w:right="40" w:hanging="281"/>
        <w:spacing w:after="0" w:line="258" w:lineRule="auto"/>
        <w:tabs>
          <w:tab w:leader="none" w:pos="90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unable to identify manufacturers on acceptable terms or at all because the number of potential manufacturers is limited and the FDA must inspect any manufacturers for cGMP compliance as part of our marketing application;</w:t>
      </w:r>
    </w:p>
    <w:p>
      <w:pPr>
        <w:spacing w:after="0" w:line="81" w:lineRule="exact"/>
        <w:rPr>
          <w:rFonts w:ascii="Arial" w:cs="Arial" w:eastAsia="Arial" w:hAnsi="Arial"/>
          <w:sz w:val="20"/>
          <w:szCs w:val="20"/>
          <w:color w:val="auto"/>
        </w:rPr>
      </w:pPr>
    </w:p>
    <w:p>
      <w:pPr>
        <w:ind w:left="900" w:right="140" w:hanging="281"/>
        <w:spacing w:after="0" w:line="276" w:lineRule="auto"/>
        <w:tabs>
          <w:tab w:leader="none" w:pos="90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a new manufacturer would have to be educated in, or develop substantially equivalent processes for, the production of our product candidates;</w:t>
      </w:r>
    </w:p>
    <w:p>
      <w:pPr>
        <w:spacing w:after="0" w:line="64" w:lineRule="exact"/>
        <w:rPr>
          <w:rFonts w:ascii="Arial" w:cs="Arial" w:eastAsia="Arial" w:hAnsi="Arial"/>
          <w:sz w:val="20"/>
          <w:szCs w:val="20"/>
          <w:color w:val="auto"/>
        </w:rPr>
      </w:pPr>
    </w:p>
    <w:p>
      <w:pPr>
        <w:ind w:left="900" w:right="160" w:hanging="281"/>
        <w:spacing w:after="0" w:line="277" w:lineRule="auto"/>
        <w:tabs>
          <w:tab w:leader="none" w:pos="90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our third-party manufacturers might be unable to timely manufacture our product candidates or produce the quantity and quality required to meet our clinical and commercial needs, if any;</w:t>
      </w:r>
    </w:p>
    <w:p>
      <w:pPr>
        <w:spacing w:after="0" w:line="62" w:lineRule="exact"/>
        <w:rPr>
          <w:rFonts w:ascii="Arial" w:cs="Arial" w:eastAsia="Arial" w:hAnsi="Arial"/>
          <w:sz w:val="20"/>
          <w:szCs w:val="20"/>
          <w:color w:val="auto"/>
        </w:rPr>
      </w:pPr>
    </w:p>
    <w:p>
      <w:pPr>
        <w:ind w:left="900" w:right="400" w:hanging="281"/>
        <w:spacing w:after="0" w:line="277" w:lineRule="auto"/>
        <w:tabs>
          <w:tab w:leader="none" w:pos="90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contract manufacturers may not be able to execute our manufacturing procedures and other logistical support requirements appropriately;</w:t>
      </w:r>
    </w:p>
    <w:p>
      <w:pPr>
        <w:spacing w:after="0" w:line="63" w:lineRule="exact"/>
        <w:rPr>
          <w:rFonts w:ascii="Arial" w:cs="Arial" w:eastAsia="Arial" w:hAnsi="Arial"/>
          <w:sz w:val="20"/>
          <w:szCs w:val="20"/>
          <w:color w:val="auto"/>
        </w:rPr>
      </w:pPr>
    </w:p>
    <w:p>
      <w:pPr>
        <w:ind w:left="900" w:right="120" w:hanging="281"/>
        <w:spacing w:after="0" w:line="258" w:lineRule="auto"/>
        <w:tabs>
          <w:tab w:leader="none" w:pos="90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our future contract manufacturers may not perform as agreed, may not devote sufficient resources to our product candidates or may not remain in the contract manufacturing business for the time required to supply our clinical trials or to successfully produce, store and distribute our products, if any;</w:t>
      </w:r>
    </w:p>
    <w:p>
      <w:pPr>
        <w:spacing w:after="0" w:line="80" w:lineRule="exact"/>
        <w:rPr>
          <w:rFonts w:ascii="Arial" w:cs="Arial" w:eastAsia="Arial" w:hAnsi="Arial"/>
          <w:sz w:val="20"/>
          <w:szCs w:val="20"/>
          <w:color w:val="auto"/>
        </w:rPr>
      </w:pPr>
    </w:p>
    <w:p>
      <w:pPr>
        <w:ind w:left="900" w:right="20" w:hanging="281"/>
        <w:spacing w:after="0" w:line="252" w:lineRule="auto"/>
        <w:tabs>
          <w:tab w:leader="none" w:pos="90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manufacturers are subject to ongoing periodic unannounced inspection by the FDA and corresponding state agencies to ensure strict compliance with cGMP and other government regulations and corresponding foreign standards and we have no control over third-party manufacturers’ compliance with these regulations and standards;</w:t>
      </w:r>
    </w:p>
    <w:p>
      <w:pPr>
        <w:spacing w:after="0" w:line="88" w:lineRule="exact"/>
        <w:rPr>
          <w:rFonts w:ascii="Arial" w:cs="Arial" w:eastAsia="Arial" w:hAnsi="Arial"/>
          <w:sz w:val="20"/>
          <w:szCs w:val="20"/>
          <w:color w:val="auto"/>
        </w:rPr>
      </w:pPr>
    </w:p>
    <w:p>
      <w:pPr>
        <w:ind w:left="900" w:right="60" w:hanging="281"/>
        <w:spacing w:after="0" w:line="277" w:lineRule="auto"/>
        <w:tabs>
          <w:tab w:leader="none" w:pos="90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own, or may have to share, the intellectual property rights to any improvements made by our third-party manufacturers in the manufacturing process for our product candidates;</w:t>
      </w:r>
    </w:p>
    <w:p>
      <w:pPr>
        <w:spacing w:after="0" w:line="62" w:lineRule="exact"/>
        <w:rPr>
          <w:rFonts w:ascii="Arial" w:cs="Arial" w:eastAsia="Arial" w:hAnsi="Arial"/>
          <w:sz w:val="20"/>
          <w:szCs w:val="20"/>
          <w:color w:val="auto"/>
        </w:rPr>
      </w:pPr>
    </w:p>
    <w:p>
      <w:pPr>
        <w:ind w:left="900" w:hanging="281"/>
        <w:spacing w:after="0"/>
        <w:tabs>
          <w:tab w:leader="none" w:pos="90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our third-party manufacturers could breach or terminate their agreements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360"/>
          </w:cols>
          <w:pgMar w:left="1440" w:top="1420" w:right="1440" w:bottom="175" w:gutter="0" w:footer="0" w:header="0"/>
        </w:sectPr>
      </w:pPr>
    </w:p>
    <w:bookmarkStart w:id="72" w:name="page73"/>
    <w:bookmarkEnd w:id="72"/>
    <w:p>
      <w:pPr>
        <w:ind w:left="900" w:right="220" w:hanging="281"/>
        <w:spacing w:after="0" w:line="258" w:lineRule="auto"/>
        <w:tabs>
          <w:tab w:leader="none" w:pos="90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raw materials and components used in the manufacturing process, particularly those for which we have no other source or supplier, may not be available or may not be suitable or acceptable for use due to material or component defects;</w:t>
      </w:r>
    </w:p>
    <w:p>
      <w:pPr>
        <w:spacing w:after="0" w:line="81" w:lineRule="exact"/>
        <w:rPr>
          <w:rFonts w:ascii="Arial" w:cs="Arial" w:eastAsia="Arial" w:hAnsi="Arial"/>
          <w:sz w:val="20"/>
          <w:szCs w:val="20"/>
          <w:color w:val="auto"/>
        </w:rPr>
      </w:pPr>
    </w:p>
    <w:p>
      <w:pPr>
        <w:ind w:left="900" w:right="100" w:hanging="281"/>
        <w:spacing w:after="0" w:line="276" w:lineRule="auto"/>
        <w:tabs>
          <w:tab w:leader="none" w:pos="90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our contract manufacturers and critical reagent suppliers may be subject to inclement weather, as well as natural or man-made disasters; and</w:t>
      </w:r>
    </w:p>
    <w:p>
      <w:pPr>
        <w:spacing w:after="0" w:line="64" w:lineRule="exact"/>
        <w:rPr>
          <w:rFonts w:ascii="Arial" w:cs="Arial" w:eastAsia="Arial" w:hAnsi="Arial"/>
          <w:sz w:val="20"/>
          <w:szCs w:val="20"/>
          <w:color w:val="auto"/>
        </w:rPr>
      </w:pPr>
    </w:p>
    <w:p>
      <w:pPr>
        <w:ind w:left="900" w:right="500" w:hanging="281"/>
        <w:spacing w:after="0" w:line="258" w:lineRule="auto"/>
        <w:tabs>
          <w:tab w:leader="none" w:pos="90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our contract manufacturers may have unacceptable or inconsistent product quality success rates and yields, and we have no direct control over our contract manufacturers’ ability to maintain adequate quality control, quality assurance and qualified personnel.</w:t>
      </w:r>
    </w:p>
    <w:p>
      <w:pPr>
        <w:spacing w:after="0" w:line="187" w:lineRule="exact"/>
        <w:rPr>
          <w:sz w:val="20"/>
          <w:szCs w:val="20"/>
          <w:color w:val="auto"/>
        </w:rPr>
      </w:pPr>
    </w:p>
    <w:p>
      <w:pPr>
        <w:ind w:right="100" w:firstLine="619"/>
        <w:spacing w:after="0" w:line="245" w:lineRule="auto"/>
        <w:rPr>
          <w:sz w:val="20"/>
          <w:szCs w:val="20"/>
          <w:color w:val="auto"/>
        </w:rPr>
      </w:pPr>
      <w:r>
        <w:rPr>
          <w:rFonts w:ascii="Times New Roman" w:cs="Times New Roman" w:eastAsia="Times New Roman" w:hAnsi="Times New Roman"/>
          <w:sz w:val="20"/>
          <w:szCs w:val="20"/>
          <w:color w:val="auto"/>
        </w:rPr>
        <w:t>Our business could be materially adversely affected by business disruptions to our third-party providers that could materially adversely affect our potential future revenue and financial condition and increase our costs and expenses. Each of these risks could delay or prevent the completion of our clinical trials or the approval of any of our product candidates by the FDA,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w:t>
      </w:r>
    </w:p>
    <w:p>
      <w:pPr>
        <w:spacing w:after="0" w:line="322" w:lineRule="exact"/>
        <w:rPr>
          <w:sz w:val="20"/>
          <w:szCs w:val="20"/>
          <w:color w:val="auto"/>
        </w:rPr>
      </w:pPr>
    </w:p>
    <w:p>
      <w:pPr>
        <w:ind w:right="16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We currently, and may in the future, depend on single-source suppliers for some of the ingredients, components and materials used in, and the manufacturing processes required to develop, our product candidates.</w:t>
      </w:r>
    </w:p>
    <w:p>
      <w:pPr>
        <w:spacing w:after="0" w:line="24"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0"/>
          <w:szCs w:val="20"/>
          <w:color w:val="auto"/>
        </w:rPr>
        <w:t>We currently, and may in the future, depend on single-source suppliers for some of the ingredients, components and materials used in, and manufacturing processes required to develop, our product candidates. There are, for certain of these components, relatively few alternative sources of supply and there is limited need for multiple suppliers at this stage of our business. We cannot ensure that these suppliers or service providers will remain in business, have sufficient capacity or supply to meet our needs or that they will not be purchased by one of our competitors or another company that is not interested in continuing to work with us. Our use of single-source suppliers of raw materials, ingredients, components, key processes and finished goods exposes us to several risks, including disruptions in supply, price increases or late deliveries. These suppliers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materially adversely affect our business, financial condition and results of operations.</w:t>
      </w:r>
    </w:p>
    <w:p>
      <w:pPr>
        <w:spacing w:after="0" w:line="204" w:lineRule="exact"/>
        <w:rPr>
          <w:sz w:val="20"/>
          <w:szCs w:val="20"/>
          <w:color w:val="auto"/>
        </w:rPr>
      </w:pPr>
    </w:p>
    <w:p>
      <w:pPr>
        <w:ind w:right="80" w:firstLine="619"/>
        <w:spacing w:after="0" w:line="244" w:lineRule="auto"/>
        <w:rPr>
          <w:sz w:val="20"/>
          <w:szCs w:val="20"/>
          <w:color w:val="auto"/>
        </w:rPr>
      </w:pPr>
      <w:r>
        <w:rPr>
          <w:rFonts w:ascii="Times New Roman" w:cs="Times New Roman" w:eastAsia="Times New Roman" w:hAnsi="Times New Roman"/>
          <w:sz w:val="20"/>
          <w:szCs w:val="20"/>
          <w:color w:val="auto"/>
        </w:rPr>
        <w:t>If we have to switch to a replacement supplier, the manufacture and delivery of our product candidates may be interrupted for an extended period, which could materially adversely affect our business. Establishing additional or replacement suppliers for any of the components or processes used in or for our product candidates, if required, may not be accomplished quickly and would create increased cost. If we are able to find a replacement supplier, the replacement supplier would need to be qualified, would need to process our technology transfer and may require additional regulatory authority approval, which could result in further delay. While we seek to maintain adequate inventory of the single-source ingredients, components and materials used in our products, any interruption or delay in the supply of ingredients, components or materials or our inability to obtain ingredients, components or materials from alternate sources at acceptable prices in a timely manner, could impair our ability to meet the demand for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360"/>
          </w:cols>
          <w:pgMar w:left="1440" w:top="1435" w:right="1440" w:bottom="175" w:gutter="0" w:footer="0" w:header="0"/>
        </w:sectPr>
      </w:pPr>
    </w:p>
    <w:bookmarkStart w:id="73" w:name="page74"/>
    <w:bookmarkEnd w:id="73"/>
    <w:p>
      <w:pPr>
        <w:ind w:right="5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our third-party manufacturers use hazardous and biological materials in a manner that causes injury or violates applicable law, we may be liable for damages.</w:t>
      </w:r>
    </w:p>
    <w:p>
      <w:pPr>
        <w:spacing w:after="0" w:line="49"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0"/>
          <w:szCs w:val="20"/>
          <w:color w:val="auto"/>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326"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manufacturing process needs to comply with FDA regulations relating to the quality and reliability of such processes. Any failure by us or our third-party manufacturers to comply with relevant regulations could result in delays in or termination of our clinical programs and suspension or withdrawal of any regulatory approvals.</w:t>
      </w:r>
    </w:p>
    <w:p>
      <w:pPr>
        <w:spacing w:after="0" w:line="68" w:lineRule="exact"/>
        <w:rPr>
          <w:sz w:val="20"/>
          <w:szCs w:val="20"/>
          <w:color w:val="auto"/>
        </w:rPr>
      </w:pPr>
    </w:p>
    <w:p>
      <w:pPr>
        <w:ind w:right="20" w:firstLine="619"/>
        <w:spacing w:after="0" w:line="242" w:lineRule="auto"/>
        <w:rPr>
          <w:sz w:val="20"/>
          <w:szCs w:val="20"/>
          <w:color w:val="auto"/>
        </w:rPr>
      </w:pPr>
      <w:r>
        <w:rPr>
          <w:rFonts w:ascii="Times New Roman" w:cs="Times New Roman" w:eastAsia="Times New Roman" w:hAnsi="Times New Roman"/>
          <w:sz w:val="20"/>
          <w:szCs w:val="20"/>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331"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in the future, form or seek collaborations or strategic alliances or enter into licensing arrangements, and we may not realize the benefits of such collaborations, alliances or licensing arrangements.</w:t>
      </w:r>
    </w:p>
    <w:p>
      <w:pPr>
        <w:spacing w:after="0" w:line="48" w:lineRule="exact"/>
        <w:rPr>
          <w:sz w:val="20"/>
          <w:szCs w:val="20"/>
          <w:color w:val="auto"/>
        </w:rPr>
      </w:pPr>
    </w:p>
    <w:p>
      <w:pPr>
        <w:ind w:right="200" w:firstLine="619"/>
        <w:spacing w:after="0" w:line="247" w:lineRule="auto"/>
        <w:rPr>
          <w:sz w:val="20"/>
          <w:szCs w:val="20"/>
          <w:color w:val="auto"/>
        </w:rPr>
      </w:pPr>
      <w:r>
        <w:rPr>
          <w:rFonts w:ascii="Times New Roman" w:cs="Times New Roman" w:eastAsia="Times New Roman" w:hAnsi="Times New Roman"/>
          <w:sz w:val="20"/>
          <w:szCs w:val="20"/>
          <w:color w:val="auto"/>
        </w:rPr>
        <w:t>We may, in the future, form or seek strategic alliances, create joint ventures or collaborations, or enter into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spacing w:after="0" w:line="200" w:lineRule="exact"/>
        <w:rPr>
          <w:sz w:val="20"/>
          <w:szCs w:val="20"/>
          <w:color w:val="auto"/>
        </w:rPr>
      </w:pPr>
    </w:p>
    <w:p>
      <w:pPr>
        <w:ind w:right="200" w:firstLine="619"/>
        <w:spacing w:after="0" w:line="249" w:lineRule="auto"/>
        <w:rPr>
          <w:sz w:val="20"/>
          <w:szCs w:val="20"/>
          <w:color w:val="auto"/>
        </w:rPr>
      </w:pPr>
      <w:r>
        <w:rPr>
          <w:rFonts w:ascii="Times New Roman" w:cs="Times New Roman" w:eastAsia="Times New Roman" w:hAnsi="Times New Roman"/>
          <w:sz w:val="20"/>
          <w:szCs w:val="20"/>
          <w:color w:val="auto"/>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9360"/>
          </w:cols>
          <w:pgMar w:left="1440" w:top="1420" w:right="1440" w:bottom="175" w:gutter="0" w:footer="0" w:header="0"/>
        </w:sectPr>
      </w:pPr>
    </w:p>
    <w:bookmarkStart w:id="74" w:name="page75"/>
    <w:bookmarkEnd w:id="74"/>
    <w:p>
      <w:pPr>
        <w:ind w:right="220" w:firstLine="619"/>
        <w:spacing w:after="0" w:line="277" w:lineRule="auto"/>
        <w:rPr>
          <w:sz w:val="20"/>
          <w:szCs w:val="20"/>
          <w:color w:val="auto"/>
        </w:rPr>
      </w:pPr>
      <w:r>
        <w:rPr>
          <w:rFonts w:ascii="Times New Roman" w:cs="Times New Roman" w:eastAsia="Times New Roman" w:hAnsi="Times New Roman"/>
          <w:sz w:val="20"/>
          <w:szCs w:val="20"/>
          <w:color w:val="auto"/>
        </w:rPr>
        <w:t>Further, collaborations involving our product candidates are subject to numerous risks, which may include the following:</w:t>
      </w:r>
    </w:p>
    <w:p>
      <w:pPr>
        <w:spacing w:after="0" w:line="63" w:lineRule="exact"/>
        <w:rPr>
          <w:sz w:val="20"/>
          <w:szCs w:val="20"/>
          <w:color w:val="auto"/>
        </w:rPr>
      </w:pPr>
    </w:p>
    <w:p>
      <w:pPr>
        <w:ind w:left="900" w:right="80" w:hanging="281"/>
        <w:spacing w:after="0" w:line="277" w:lineRule="auto"/>
        <w:tabs>
          <w:tab w:leader="none" w:pos="90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have significant discretion in determining the efforts and resources that they will apply to a collaboration;</w:t>
      </w:r>
    </w:p>
    <w:p>
      <w:pPr>
        <w:spacing w:after="0" w:line="62" w:lineRule="exact"/>
        <w:rPr>
          <w:rFonts w:ascii="Arial" w:cs="Arial" w:eastAsia="Arial" w:hAnsi="Arial"/>
          <w:sz w:val="20"/>
          <w:szCs w:val="20"/>
          <w:color w:val="auto"/>
        </w:rPr>
      </w:pPr>
    </w:p>
    <w:p>
      <w:pPr>
        <w:ind w:left="900" w:right="40" w:hanging="281"/>
        <w:spacing w:after="0" w:line="249" w:lineRule="auto"/>
        <w:tabs>
          <w:tab w:leader="none" w:pos="90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90" w:lineRule="exact"/>
        <w:rPr>
          <w:rFonts w:ascii="Arial" w:cs="Arial" w:eastAsia="Arial" w:hAnsi="Arial"/>
          <w:sz w:val="20"/>
          <w:szCs w:val="20"/>
          <w:color w:val="auto"/>
        </w:rPr>
      </w:pPr>
    </w:p>
    <w:p>
      <w:pPr>
        <w:ind w:left="900" w:right="40" w:hanging="281"/>
        <w:spacing w:after="0" w:line="259" w:lineRule="auto"/>
        <w:tabs>
          <w:tab w:leader="none" w:pos="90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78" w:lineRule="exact"/>
        <w:rPr>
          <w:rFonts w:ascii="Arial" w:cs="Arial" w:eastAsia="Arial" w:hAnsi="Arial"/>
          <w:sz w:val="20"/>
          <w:szCs w:val="20"/>
          <w:color w:val="auto"/>
        </w:rPr>
      </w:pPr>
    </w:p>
    <w:p>
      <w:pPr>
        <w:ind w:left="900" w:right="160" w:hanging="281"/>
        <w:spacing w:after="0" w:line="277" w:lineRule="auto"/>
        <w:tabs>
          <w:tab w:leader="none" w:pos="90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could independently develop, or develop with third parties, products that compete directly or indirectly with our product candidates;</w:t>
      </w:r>
    </w:p>
    <w:p>
      <w:pPr>
        <w:spacing w:after="0" w:line="63" w:lineRule="exact"/>
        <w:rPr>
          <w:rFonts w:ascii="Arial" w:cs="Arial" w:eastAsia="Arial" w:hAnsi="Arial"/>
          <w:sz w:val="20"/>
          <w:szCs w:val="20"/>
          <w:color w:val="auto"/>
        </w:rPr>
      </w:pPr>
    </w:p>
    <w:p>
      <w:pPr>
        <w:ind w:left="900" w:right="160" w:hanging="281"/>
        <w:spacing w:after="0" w:line="276" w:lineRule="auto"/>
        <w:tabs>
          <w:tab w:leader="none" w:pos="90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a collaborator with marketing and distribution rights to one or more products may not commit sufficient resources to their marketing and distribution;</w:t>
      </w:r>
    </w:p>
    <w:p>
      <w:pPr>
        <w:spacing w:after="0" w:line="64" w:lineRule="exact"/>
        <w:rPr>
          <w:rFonts w:ascii="Arial" w:cs="Arial" w:eastAsia="Arial" w:hAnsi="Arial"/>
          <w:sz w:val="20"/>
          <w:szCs w:val="20"/>
          <w:color w:val="auto"/>
        </w:rPr>
      </w:pPr>
    </w:p>
    <w:p>
      <w:pPr>
        <w:ind w:left="900" w:right="200" w:hanging="281"/>
        <w:spacing w:after="0" w:line="252" w:lineRule="auto"/>
        <w:tabs>
          <w:tab w:leader="none" w:pos="90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86" w:lineRule="exact"/>
        <w:rPr>
          <w:rFonts w:ascii="Arial" w:cs="Arial" w:eastAsia="Arial" w:hAnsi="Arial"/>
          <w:sz w:val="20"/>
          <w:szCs w:val="20"/>
          <w:color w:val="auto"/>
        </w:rPr>
      </w:pPr>
    </w:p>
    <w:p>
      <w:pPr>
        <w:ind w:left="900" w:right="460" w:hanging="281"/>
        <w:spacing w:after="0" w:line="259" w:lineRule="auto"/>
        <w:tabs>
          <w:tab w:leader="none" w:pos="90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78" w:lineRule="exact"/>
        <w:rPr>
          <w:rFonts w:ascii="Arial" w:cs="Arial" w:eastAsia="Arial" w:hAnsi="Arial"/>
          <w:sz w:val="20"/>
          <w:szCs w:val="20"/>
          <w:color w:val="auto"/>
        </w:rPr>
      </w:pPr>
    </w:p>
    <w:p>
      <w:pPr>
        <w:ind w:left="900" w:right="120" w:hanging="281"/>
        <w:spacing w:after="0" w:line="277" w:lineRule="auto"/>
        <w:tabs>
          <w:tab w:leader="none" w:pos="90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collaborations may be terminated and, if terminated, may result in a need for additional capital to pursue further development or commercialization of the applicable product candidates; and</w:t>
      </w:r>
    </w:p>
    <w:p>
      <w:pPr>
        <w:spacing w:after="0" w:line="63" w:lineRule="exact"/>
        <w:rPr>
          <w:rFonts w:ascii="Arial" w:cs="Arial" w:eastAsia="Arial" w:hAnsi="Arial"/>
          <w:sz w:val="20"/>
          <w:szCs w:val="20"/>
          <w:color w:val="auto"/>
        </w:rPr>
      </w:pPr>
    </w:p>
    <w:p>
      <w:pPr>
        <w:ind w:left="900" w:right="80" w:hanging="281"/>
        <w:spacing w:after="0" w:line="258" w:lineRule="auto"/>
        <w:tabs>
          <w:tab w:leader="none" w:pos="90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87" w:lineRule="exact"/>
        <w:rPr>
          <w:sz w:val="20"/>
          <w:szCs w:val="20"/>
          <w:color w:val="auto"/>
        </w:rPr>
      </w:pPr>
    </w:p>
    <w:p>
      <w:pPr>
        <w:ind w:right="80" w:firstLine="619"/>
        <w:spacing w:after="0" w:line="245" w:lineRule="auto"/>
        <w:rPr>
          <w:sz w:val="20"/>
          <w:szCs w:val="20"/>
          <w:color w:val="auto"/>
        </w:rPr>
      </w:pPr>
      <w:r>
        <w:rPr>
          <w:rFonts w:ascii="Times New Roman" w:cs="Times New Roman" w:eastAsia="Times New Roman" w:hAnsi="Times New Roman"/>
          <w:sz w:val="20"/>
          <w:szCs w:val="20"/>
          <w:color w:val="auto"/>
        </w:rPr>
        <w:t>As a result, if we enter into future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future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9360"/>
          </w:cols>
          <w:pgMar w:left="1440" w:top="1420" w:right="1440" w:bottom="175" w:gutter="0" w:footer="0" w:header="0"/>
        </w:sectPr>
      </w:pPr>
    </w:p>
    <w:bookmarkStart w:id="75" w:name="page76"/>
    <w:bookmarkEnd w:id="75"/>
    <w:p>
      <w:pPr>
        <w:ind w:right="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49"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20"/>
          <w:szCs w:val="20"/>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our current or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adversely affect our product development efforts.</w:t>
      </w:r>
    </w:p>
    <w:p>
      <w:pPr>
        <w:spacing w:after="0" w:line="322"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48" w:lineRule="exact"/>
        <w:rPr>
          <w:sz w:val="20"/>
          <w:szCs w:val="20"/>
          <w:color w:val="auto"/>
        </w:rPr>
      </w:pPr>
    </w:p>
    <w:p>
      <w:pPr>
        <w:jc w:val="both"/>
        <w:ind w:right="620" w:firstLine="619"/>
        <w:spacing w:after="0" w:line="258" w:lineRule="auto"/>
        <w:rPr>
          <w:sz w:val="20"/>
          <w:szCs w:val="20"/>
          <w:color w:val="auto"/>
        </w:rPr>
      </w:pPr>
      <w:r>
        <w:rPr>
          <w:rFonts w:ascii="Times New Roman" w:cs="Times New Roman" w:eastAsia="Times New Roman" w:hAnsi="Times New Roman"/>
          <w:sz w:val="20"/>
          <w:szCs w:val="20"/>
          <w:color w:val="auto"/>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83" w:lineRule="exact"/>
        <w:rPr>
          <w:sz w:val="20"/>
          <w:szCs w:val="20"/>
          <w:color w:val="auto"/>
        </w:rPr>
      </w:pPr>
    </w:p>
    <w:p>
      <w:pPr>
        <w:ind w:left="900" w:hanging="281"/>
        <w:spacing w:after="0"/>
        <w:tabs>
          <w:tab w:leader="none" w:pos="90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increased operating expenses and cash requirements;</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the assumption of additional indebtedness or contingent liabilities;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the issuance of our equity securities;</w:t>
      </w:r>
    </w:p>
    <w:p>
      <w:pPr>
        <w:spacing w:after="0" w:line="133" w:lineRule="exact"/>
        <w:rPr>
          <w:rFonts w:ascii="Arial" w:cs="Arial" w:eastAsia="Arial" w:hAnsi="Arial"/>
          <w:sz w:val="20"/>
          <w:szCs w:val="20"/>
          <w:color w:val="auto"/>
        </w:rPr>
      </w:pPr>
    </w:p>
    <w:p>
      <w:pPr>
        <w:ind w:left="900" w:right="780" w:hanging="281"/>
        <w:spacing w:after="0" w:line="276" w:lineRule="auto"/>
        <w:tabs>
          <w:tab w:leader="none" w:pos="90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assimilation of operations, intellectual property and products of an acquired company, including difficulties associated with integrating new personnel;</w:t>
      </w:r>
    </w:p>
    <w:p>
      <w:pPr>
        <w:spacing w:after="0" w:line="64" w:lineRule="exact"/>
        <w:rPr>
          <w:rFonts w:ascii="Arial" w:cs="Arial" w:eastAsia="Arial" w:hAnsi="Arial"/>
          <w:sz w:val="20"/>
          <w:szCs w:val="20"/>
          <w:color w:val="auto"/>
        </w:rPr>
      </w:pPr>
    </w:p>
    <w:p>
      <w:pPr>
        <w:ind w:left="900" w:right="140" w:hanging="281"/>
        <w:spacing w:after="0" w:line="276" w:lineRule="auto"/>
        <w:tabs>
          <w:tab w:leader="none" w:pos="90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the diversion of our management’s attention from our existing programs and initiatives in pursuing such a strategic merger or acquisition;</w:t>
      </w:r>
    </w:p>
    <w:p>
      <w:pPr>
        <w:spacing w:after="0" w:line="64" w:lineRule="exact"/>
        <w:rPr>
          <w:rFonts w:ascii="Arial" w:cs="Arial" w:eastAsia="Arial" w:hAnsi="Arial"/>
          <w:sz w:val="20"/>
          <w:szCs w:val="20"/>
          <w:color w:val="auto"/>
        </w:rPr>
      </w:pPr>
    </w:p>
    <w:p>
      <w:pPr>
        <w:ind w:left="900" w:right="420" w:hanging="281"/>
        <w:spacing w:after="0" w:line="277" w:lineRule="auto"/>
        <w:tabs>
          <w:tab w:leader="none" w:pos="90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retention of key employees, the loss of key personnel and uncertainties in our ability to maintain key business relationships;</w:t>
      </w:r>
    </w:p>
    <w:p>
      <w:pPr>
        <w:spacing w:after="0" w:line="62" w:lineRule="exact"/>
        <w:rPr>
          <w:rFonts w:ascii="Arial" w:cs="Arial" w:eastAsia="Arial" w:hAnsi="Arial"/>
          <w:sz w:val="20"/>
          <w:szCs w:val="20"/>
          <w:color w:val="auto"/>
        </w:rPr>
      </w:pPr>
    </w:p>
    <w:p>
      <w:pPr>
        <w:ind w:left="900" w:right="320" w:hanging="281"/>
        <w:spacing w:after="0" w:line="277" w:lineRule="auto"/>
        <w:tabs>
          <w:tab w:leader="none" w:pos="90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risks and uncertainties associated with the other party to such a transaction, including the prospects of that party and their existing products or product candidates and marketing approvals; and</w:t>
      </w:r>
    </w:p>
    <w:p>
      <w:pPr>
        <w:spacing w:after="0" w:line="63" w:lineRule="exact"/>
        <w:rPr>
          <w:rFonts w:ascii="Arial" w:cs="Arial" w:eastAsia="Arial" w:hAnsi="Arial"/>
          <w:sz w:val="20"/>
          <w:szCs w:val="20"/>
          <w:color w:val="auto"/>
        </w:rPr>
      </w:pPr>
    </w:p>
    <w:p>
      <w:pPr>
        <w:ind w:left="900" w:right="380" w:hanging="281"/>
        <w:spacing w:after="0" w:line="258" w:lineRule="auto"/>
        <w:tabs>
          <w:tab w:leader="none" w:pos="90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generate revenue from acquired technology and/or products sufficient to meet our objectives in undertaking the acquisition or even to offset the associated acquisition and maintenance costs.</w:t>
      </w:r>
    </w:p>
    <w:p>
      <w:pPr>
        <w:spacing w:after="0" w:line="187"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20"/>
          <w:szCs w:val="20"/>
          <w:color w:val="auto"/>
        </w:rPr>
        <w:t>In addition, if we undertake acquisitions or pursue partnerships in the future, we may issue dilutive securities, assume or incur debt obligations, incur large one-time expenses and/or acquire intangible assets that could result in significant future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9360"/>
          </w:cols>
          <w:pgMar w:left="1440" w:top="1420" w:right="1440" w:bottom="175"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20"/>
          <w:szCs w:val="20"/>
          <w:b w:val="1"/>
          <w:bCs w:val="1"/>
          <w:color w:val="auto"/>
        </w:rPr>
        <w:t>Risks Related to Intellectual Property</w:t>
      </w:r>
    </w:p>
    <w:p>
      <w:pPr>
        <w:spacing w:after="0" w:line="243"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w:t>
      </w:r>
    </w:p>
    <w:p>
      <w:pPr>
        <w:spacing w:after="0" w:line="75" w:lineRule="exact"/>
        <w:rPr>
          <w:sz w:val="20"/>
          <w:szCs w:val="20"/>
          <w:color w:val="auto"/>
        </w:rPr>
      </w:pPr>
    </w:p>
    <w:p>
      <w:pPr>
        <w:ind w:right="100" w:firstLine="619"/>
        <w:spacing w:after="0" w:line="247" w:lineRule="auto"/>
        <w:rPr>
          <w:sz w:val="20"/>
          <w:szCs w:val="20"/>
          <w:color w:val="auto"/>
        </w:rPr>
      </w:pPr>
      <w:r>
        <w:rPr>
          <w:rFonts w:ascii="Times New Roman" w:cs="Times New Roman" w:eastAsia="Times New Roman" w:hAnsi="Times New Roman"/>
          <w:sz w:val="20"/>
          <w:szCs w:val="20"/>
          <w:color w:val="auto"/>
        </w:rPr>
        <w:t>We rely upon a combination of patents, trade secret protection and confidentiality agreements to protect the intellectual property related to our technologies. We will only be able to protect our product candidates, proprietary technologies and their uses from unauthorized use by third parties to the extent that valid and enforceable patents or trade secret protections cover them. Any disclosure to or misappropriation by third parties of our confidential proprietary information could enable competitors to quickly duplicate or surpass our technological achievements, thus eroding our competitive position in our market.</w:t>
      </w:r>
    </w:p>
    <w:p>
      <w:pPr>
        <w:spacing w:after="0" w:line="200" w:lineRule="exact"/>
        <w:rPr>
          <w:sz w:val="20"/>
          <w:szCs w:val="20"/>
          <w:color w:val="auto"/>
        </w:rPr>
      </w:pPr>
    </w:p>
    <w:p>
      <w:pPr>
        <w:ind w:right="280" w:firstLine="619"/>
        <w:spacing w:after="0" w:line="245" w:lineRule="auto"/>
        <w:rPr>
          <w:sz w:val="20"/>
          <w:szCs w:val="20"/>
          <w:color w:val="auto"/>
        </w:rPr>
      </w:pPr>
      <w:r>
        <w:rPr>
          <w:rFonts w:ascii="Times New Roman" w:cs="Times New Roman" w:eastAsia="Times New Roman" w:hAnsi="Times New Roman"/>
          <w:sz w:val="20"/>
          <w:szCs w:val="20"/>
          <w:color w:val="auto"/>
        </w:rPr>
        <w:t>Composition-of-matter patents on the active pharmaceutical ingredient are generally considered to be the strongest form of intellectual property protection for pharmaceutical products, as such patents provide protection without regard to any method of use. Method-of-use patents protect the use of a product for the specified method. This type of patent does not prevent a competitor from making and marketing a product that is identical to our products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method-of use patents, the practice is common and such infringement is difficult to prevent or prosecute.</w:t>
      </w:r>
    </w:p>
    <w:p>
      <w:pPr>
        <w:spacing w:after="0" w:line="202"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0"/>
          <w:szCs w:val="20"/>
          <w:color w:val="auto"/>
        </w:rPr>
        <w:t>The strength of patents in the biotechnology and pharmaceutical field involves complex legal and scientific questions and can be uncertain. The patent applications that we own may fail to result in issued patents in the United States or in other foreign countries. Even if the patents do successfully issue, third parties may challenge the validity, enforceability, inventorship or scope thereof. Such a challenge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patents and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This will require us to be cognizant of the time from invention to filing of a patent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360"/>
          </w:cols>
          <w:pgMar w:left="1440" w:top="1416" w:right="1440" w:bottom="175" w:gutter="0" w:footer="0" w:header="0"/>
        </w:sectPr>
      </w:pPr>
    </w:p>
    <w:bookmarkStart w:id="77" w:name="page78"/>
    <w:bookmarkEnd w:id="77"/>
    <w:p>
      <w:pPr>
        <w:ind w:firstLine="619"/>
        <w:spacing w:after="0" w:line="242" w:lineRule="auto"/>
        <w:rPr>
          <w:sz w:val="20"/>
          <w:szCs w:val="20"/>
          <w:color w:val="auto"/>
        </w:rPr>
      </w:pPr>
      <w:r>
        <w:rPr>
          <w:rFonts w:ascii="Times New Roman" w:cs="Times New Roman" w:eastAsia="Times New Roman" w:hAnsi="Times New Roman"/>
          <w:sz w:val="20"/>
          <w:szCs w:val="20"/>
          <w:color w:val="auto"/>
        </w:rPr>
        <w:t>In addition to the protection afforded by patents, we seek to rely on trade secret protection and confidentiality agreements to protect proprietary know-how that is not patentable, processes for which patents are difficult to enforce and any other elements of our drug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 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commercially-viable terms, then we may not be able to launch our product.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and this scenario could materially adversely affect our business, financial condition and results of operations.</w:t>
      </w:r>
    </w:p>
    <w:p>
      <w:pPr>
        <w:spacing w:after="0" w:line="32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success depends in part on our ability to protect our intellectual property. It is difficult and costly to protect our proprietary rights and technology, and we may not be able to protect our intellectual property rights throughout the world.</w:t>
      </w:r>
    </w:p>
    <w:p>
      <w:pPr>
        <w:spacing w:after="0" w:line="68" w:lineRule="exact"/>
        <w:rPr>
          <w:sz w:val="20"/>
          <w:szCs w:val="20"/>
          <w:color w:val="auto"/>
        </w:rPr>
      </w:pPr>
    </w:p>
    <w:p>
      <w:pPr>
        <w:ind w:right="20" w:firstLine="620"/>
        <w:spacing w:after="0" w:line="246" w:lineRule="auto"/>
        <w:rPr>
          <w:sz w:val="20"/>
          <w:szCs w:val="20"/>
          <w:color w:val="auto"/>
        </w:rPr>
      </w:pPr>
      <w:r>
        <w:rPr>
          <w:rFonts w:ascii="Times New Roman" w:cs="Times New Roman" w:eastAsia="Times New Roman" w:hAnsi="Times New Roman"/>
          <w:sz w:val="20"/>
          <w:szCs w:val="20"/>
          <w:color w:val="auto"/>
        </w:rPr>
        <w:t>Our commercial success will depend in large part on obtaining and maintaining patent, trademark and trade secret protection of our proprietary technologies and our product candidates. These candidates include rezatapopt and others, their respective components, formulations, methods used to manufacture them and methods of treatment. Our commercial success will also depend on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or trade secrets that cover these activities.</w:t>
      </w:r>
    </w:p>
    <w:p>
      <w:pPr>
        <w:spacing w:after="0" w:line="199" w:lineRule="exact"/>
        <w:rPr>
          <w:sz w:val="20"/>
          <w:szCs w:val="20"/>
          <w:color w:val="auto"/>
        </w:rPr>
      </w:pPr>
    </w:p>
    <w:p>
      <w:pPr>
        <w:ind w:right="20" w:firstLine="619"/>
        <w:spacing w:after="0" w:line="246" w:lineRule="auto"/>
        <w:rPr>
          <w:sz w:val="20"/>
          <w:szCs w:val="20"/>
          <w:color w:val="auto"/>
        </w:rPr>
      </w:pPr>
      <w:r>
        <w:rPr>
          <w:rFonts w:ascii="Times New Roman" w:cs="Times New Roman" w:eastAsia="Times New Roman" w:hAnsi="Times New Roman"/>
          <w:sz w:val="20"/>
          <w:szCs w:val="20"/>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technology or products, in whole or in part. In addition, our existing patents and any future patents we obtain may not be sufficiently broad to prevent others from using our technology or from developing competing products and technologies.</w:t>
      </w:r>
    </w:p>
    <w:p>
      <w:pPr>
        <w:spacing w:after="0" w:line="201" w:lineRule="exact"/>
        <w:rPr>
          <w:sz w:val="20"/>
          <w:szCs w:val="20"/>
          <w:color w:val="auto"/>
        </w:rPr>
      </w:pPr>
    </w:p>
    <w:p>
      <w:pPr>
        <w:ind w:right="60" w:firstLine="619"/>
        <w:spacing w:after="0" w:line="244" w:lineRule="auto"/>
        <w:rPr>
          <w:sz w:val="20"/>
          <w:szCs w:val="20"/>
          <w:color w:val="auto"/>
        </w:rPr>
      </w:pPr>
      <w:r>
        <w:rPr>
          <w:rFonts w:ascii="Times New Roman" w:cs="Times New Roman" w:eastAsia="Times New Roman" w:hAnsi="Times New Roman"/>
          <w:sz w:val="20"/>
          <w:szCs w:val="20"/>
          <w:color w:val="auto"/>
        </w:rPr>
        <w:t>If we delay in filing a patent application, and a competitor files a patent application on the same or a similar technology before we do, we may face a limited ability to secure patent rights. We may not be able to patent the technology at all. Even if we can patent the technology, we may be able to patent only a limited scope of the technology, and the limited scope may be inadequate to protect our products, or to block competitor products that are similar or adjacent to ours. Our earliest patent filings have been published. A competitor may review our published patents and arrive at the same or similar technology advances for our products as we developed. If the competitor files a patent application on such an advance before we do, then we may no longer be able to protect the technology, we may require a license from the competitor, and if the license is not available on commercially-viable terms, then we may not be able to launch our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9360"/>
          </w:cols>
          <w:pgMar w:left="1440" w:top="1420" w:right="1440" w:bottom="175" w:gutter="0" w:footer="0" w:header="0"/>
        </w:sectPr>
      </w:pPr>
    </w:p>
    <w:bookmarkStart w:id="78" w:name="page79"/>
    <w:bookmarkEnd w:id="78"/>
    <w:p>
      <w:pPr>
        <w:ind w:right="60" w:firstLine="619"/>
        <w:spacing w:after="0" w:line="244" w:lineRule="auto"/>
        <w:rPr>
          <w:sz w:val="20"/>
          <w:szCs w:val="20"/>
          <w:color w:val="auto"/>
        </w:rPr>
      </w:pPr>
      <w:r>
        <w:rPr>
          <w:rFonts w:ascii="Times New Roman" w:cs="Times New Roman" w:eastAsia="Times New Roman" w:hAnsi="Times New Roman"/>
          <w:sz w:val="20"/>
          <w:szCs w:val="20"/>
          <w:color w:val="auto"/>
        </w:rPr>
        <w:t>In the future we may in-license intellectual property from licensors. We may rely on these licensors to file and prosecute patent applications and maintain patents and otherwise protect the intellectual property we license from them. We may have limited control over these activities or any other intellectual property that may be in-licensed. For example, we cannot be certain that such activities by licensors have been or will be conducted in compliance with applicable laws and regulations or will result in valid and enforceable patents and other intellectual property rights. We may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206" w:lineRule="exact"/>
        <w:rPr>
          <w:sz w:val="20"/>
          <w:szCs w:val="20"/>
          <w:color w:val="auto"/>
        </w:rPr>
      </w:pPr>
    </w:p>
    <w:p>
      <w:pPr>
        <w:ind w:right="40" w:firstLine="619"/>
        <w:spacing w:after="0" w:line="242" w:lineRule="auto"/>
        <w:rPr>
          <w:sz w:val="20"/>
          <w:szCs w:val="20"/>
          <w:color w:val="auto"/>
        </w:rPr>
      </w:pPr>
      <w:r>
        <w:rPr>
          <w:rFonts w:ascii="Times New Roman" w:cs="Times New Roman" w:eastAsia="Times New Roman" w:hAnsi="Times New Roman"/>
          <w:sz w:val="20"/>
          <w:szCs w:val="20"/>
          <w:color w:val="auto"/>
        </w:rPr>
        <w:t>The growth of our business may depend in part on our ability to acquire or in-license additional proprietary rights. For example, our programs may involve additional product candidates that may require the use of additional proprietary rights held by third parties. Our product candidates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We may be required by the FDA or comparable foreign regulatory authorities to provide a companion diagnostic test or tests with our product candidates. These diagnostic test or tests may be covered by intellectual property rights held by others. We may be unable to acquire or in-license any relevant third-party intellectual property rights that we identify as necessary or important to our business operations. We may fail to obtain any of these licenses at a reasonable cost or on reasonable terms, if at all, which would adversely affect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and may allow our competitors access to the same technologies licensed to us.</w:t>
      </w:r>
    </w:p>
    <w:p>
      <w:pPr>
        <w:spacing w:after="0" w:line="210"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20"/>
          <w:szCs w:val="20"/>
          <w:color w:val="auto"/>
        </w:rPr>
        <w:t>Additionally, we may sometimes collaborate with academic institutions to accelerate our preclinical research or development under written agreements with these institutions.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202" w:lineRule="exact"/>
        <w:rPr>
          <w:sz w:val="20"/>
          <w:szCs w:val="20"/>
          <w:color w:val="auto"/>
        </w:rPr>
      </w:pPr>
    </w:p>
    <w:p>
      <w:pPr>
        <w:ind w:right="40" w:firstLine="619"/>
        <w:spacing w:after="0" w:line="246" w:lineRule="auto"/>
        <w:rPr>
          <w:sz w:val="20"/>
          <w:szCs w:val="20"/>
          <w:color w:val="auto"/>
        </w:rPr>
      </w:pPr>
      <w:r>
        <w:rPr>
          <w:rFonts w:ascii="Times New Roman" w:cs="Times New Roman" w:eastAsia="Times New Roman" w:hAnsi="Times New Roman"/>
          <w:sz w:val="20"/>
          <w:szCs w:val="20"/>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201"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20"/>
          <w:szCs w:val="20"/>
          <w:color w:val="auto"/>
        </w:rPr>
        <w:t>During the course of business we have decided not to pursue certain products or processes and have terminated certain corresponding intellectual property license agreements, and we may do so again in the future. If it is later determined that our activities or product candidates infringe this intellectual property we may be liable for damages, enhanced damages or subjected to an injunction, any of which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9360"/>
          </w:cols>
          <w:pgMar w:left="1440" w:top="1420" w:right="1440" w:bottom="175" w:gutter="0" w:footer="0" w:header="0"/>
        </w:sectPr>
      </w:pPr>
    </w:p>
    <w:bookmarkStart w:id="79" w:name="page80"/>
    <w:bookmarkEnd w:id="79"/>
    <w:p>
      <w:pPr>
        <w:ind w:firstLine="619"/>
        <w:spacing w:after="0" w:line="242" w:lineRule="auto"/>
        <w:rPr>
          <w:sz w:val="20"/>
          <w:szCs w:val="20"/>
          <w:color w:val="auto"/>
        </w:rPr>
      </w:pPr>
      <w:r>
        <w:rPr>
          <w:rFonts w:ascii="Times New Roman" w:cs="Times New Roman" w:eastAsia="Times New Roman" w:hAnsi="Times New Roman"/>
          <w:sz w:val="20"/>
          <w:szCs w:val="20"/>
          <w:color w:val="auto"/>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our patent rights are highly uncertain. Our pending and future patent applications may not result in patents being issued in the United States or in other jurisdictions which protect our technology or products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 term of another patent that is commonly owned or names a common inventor. As a result, the issuance, scope, validity, enforceability and commercial value of our patent rights are highly uncertain.</w:t>
      </w:r>
    </w:p>
    <w:p>
      <w:pPr>
        <w:spacing w:after="0" w:line="210" w:lineRule="exact"/>
        <w:rPr>
          <w:sz w:val="20"/>
          <w:szCs w:val="20"/>
          <w:color w:val="auto"/>
        </w:rPr>
      </w:pPr>
    </w:p>
    <w:p>
      <w:pPr>
        <w:ind w:firstLine="619"/>
        <w:spacing w:after="0" w:line="242" w:lineRule="auto"/>
        <w:rPr>
          <w:sz w:val="20"/>
          <w:szCs w:val="20"/>
          <w:color w:val="auto"/>
        </w:rPr>
      </w:pPr>
      <w:r>
        <w:rPr>
          <w:rFonts w:ascii="Times New Roman" w:cs="Times New Roman" w:eastAsia="Times New Roman" w:hAnsi="Times New Roman"/>
          <w:sz w:val="20"/>
          <w:szCs w:val="20"/>
          <w:color w:val="auto"/>
        </w:rPr>
        <w:t xml:space="preserve">Even if our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to its scope, validity or enforceability, and our owned and in-licensed patents may be challenged in the courts or patent offices in the United States and abroad. For example, we may become involved in opposition, interference, derivation,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or other proceedings challenging our patent rights, and the outcome of any proceedings are highly uncertain. Such challenges may result in the patent claims of our owned or in-licensed patents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 or otherwise provide us with a competitive advantage.</w:t>
      </w:r>
    </w:p>
    <w:p>
      <w:pPr>
        <w:spacing w:after="0" w:line="212"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20"/>
          <w:szCs w:val="20"/>
          <w:color w:val="auto"/>
        </w:rPr>
        <w:t>We also may rely on trade secrets to protect our technology, especially where we do not believe patent protection is appropriate or obtainable. However, trade secrets are difficult to protect, and we have limited control over the protection of trade secrets used by our collaborators and suppliers. Although we use reasonable efforts to protect our trade secrets, our employees, consultants, contractors, outside scientific collaborators and other advisors may unintentionally or willfully disclose our information to competitors or use such information to compete with us. Moreover, our competitors may independently develop equivalent knowledge, methods and know-how. If our confidential or proprietary information is divulged to or acquired by third parties, including our competitors, our competitive position in the marketplace will be adversely affected and this would have a material adverse effect on our business.</w:t>
      </w:r>
    </w:p>
    <w:p>
      <w:pPr>
        <w:spacing w:after="0" w:line="206" w:lineRule="exact"/>
        <w:rPr>
          <w:sz w:val="20"/>
          <w:szCs w:val="20"/>
          <w:color w:val="auto"/>
        </w:rPr>
      </w:pPr>
    </w:p>
    <w:p>
      <w:pPr>
        <w:ind w:right="40" w:firstLine="619"/>
        <w:spacing w:after="0" w:line="246" w:lineRule="auto"/>
        <w:rPr>
          <w:sz w:val="20"/>
          <w:szCs w:val="20"/>
          <w:color w:val="auto"/>
        </w:rPr>
      </w:pPr>
      <w:r>
        <w:rPr>
          <w:rFonts w:ascii="Times New Roman" w:cs="Times New Roman" w:eastAsia="Times New Roman" w:hAnsi="Times New Roman"/>
          <w:sz w:val="20"/>
          <w:szCs w:val="20"/>
          <w:color w:val="auto"/>
        </w:rPr>
        <w:t>If any of our patents are found to be invalid or unenforceable, or if we are otherwise unable to adequately protect our rights, it could have a material adverse impact on our business and our ability to commercialize or license our technology and product candidates. Likewise, our current patents covering our proprietary technologies and our product candidates are expected to expire through 2037, without taking into account any possible patent term adjustments or extensions. Upon the expiration of our current patents, we may lose the right to exclude others from practicing these inventions. The expiration of these patents could also have a similar material adverse effect on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9360"/>
          </w:cols>
          <w:pgMar w:left="1440" w:top="1420" w:right="1440" w:bottom="175" w:gutter="0" w:footer="0" w:header="0"/>
        </w:sectPr>
      </w:pPr>
    </w:p>
    <w:bookmarkStart w:id="80" w:name="page81"/>
    <w:bookmarkEnd w:id="80"/>
    <w:p>
      <w:pPr>
        <w:ind w:right="100" w:firstLine="619"/>
        <w:spacing w:after="0" w:line="244" w:lineRule="auto"/>
        <w:rPr>
          <w:sz w:val="20"/>
          <w:szCs w:val="20"/>
          <w:color w:val="auto"/>
        </w:rPr>
      </w:pPr>
      <w:r>
        <w:rPr>
          <w:rFonts w:ascii="Times New Roman" w:cs="Times New Roman" w:eastAsia="Times New Roman" w:hAnsi="Times New Roman"/>
          <w:sz w:val="20"/>
          <w:szCs w:val="20"/>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w:t>
      </w:r>
    </w:p>
    <w:p>
      <w:pPr>
        <w:spacing w:after="0" w:line="202" w:lineRule="exact"/>
        <w:rPr>
          <w:sz w:val="20"/>
          <w:szCs w:val="20"/>
          <w:color w:val="auto"/>
        </w:rPr>
      </w:pPr>
    </w:p>
    <w:p>
      <w:pPr>
        <w:ind w:right="60" w:firstLine="619"/>
        <w:spacing w:after="0" w:line="243" w:lineRule="auto"/>
        <w:rPr>
          <w:sz w:val="20"/>
          <w:szCs w:val="20"/>
          <w:color w:val="auto"/>
        </w:rPr>
      </w:pPr>
      <w:r>
        <w:rPr>
          <w:rFonts w:ascii="Times New Roman" w:cs="Times New Roman" w:eastAsia="Times New Roman" w:hAnsi="Times New Roman"/>
          <w:sz w:val="20"/>
          <w:szCs w:val="20"/>
          <w:color w:val="auto"/>
        </w:rPr>
        <w:t>Many companies have encountered significant problems in protecting and defending intellectual property rights in certain countries. The legal systems of certain countries, particularly certain developing countries, do not favor the enforcement or protection of patents, trade secrets and other intellectual property, particularly those relating to pharmaceutical and biotechnology products, which could make it difficult for us to stop the infringement of our patents or marketing of competing products in violation of our proprietary rights generally. Proceedings to enforce our patent rights in foreign countries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We have contract research and manufacturing relationships with contract organizations that operate in certain countries that are at heightened risk of theft of technology, data and intellectual property through direct intrusion by private parties or foreign actors, including those affiliated with or controlled by state actors. Accordingly, our efforts to protect or enforce our intellectual property rights around the world may be inadequate to obtain a significant commercial advantage from the intellectual property that we develop or license.</w:t>
      </w:r>
    </w:p>
    <w:p>
      <w:pPr>
        <w:spacing w:after="0" w:line="320"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p>
      <w:pPr>
        <w:spacing w:after="0" w:line="65"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0"/>
          <w:szCs w:val="20"/>
          <w:color w:val="auto"/>
        </w:rPr>
        <w:t>Periodic maintenance fees on any issued patent are due to be paid to the USPTO and foreign patent agencies in several stages over the lifetime of the patent. The USPTO and various foreign governmental patent agencies also require compliance with a number of procedural, documentary, fee payment (such as annuities)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 -compliance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9360"/>
          </w:cols>
          <w:pgMar w:left="1440" w:top="1420" w:right="1440" w:bottom="175" w:gutter="0" w:footer="0" w:header="0"/>
        </w:sectPr>
      </w:pPr>
    </w:p>
    <w:bookmarkStart w:id="81" w:name="page82"/>
    <w:bookmarkEnd w:id="81"/>
    <w:p>
      <w:pPr>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Any issued patents we may own covering our product candidates could be narrowed or found invalid or unenforceable if challenged in court or before administrative bodies in the United States or abroad, including the USPTO.</w:t>
      </w:r>
    </w:p>
    <w:p>
      <w:pPr>
        <w:spacing w:after="0" w:line="68" w:lineRule="exact"/>
        <w:rPr>
          <w:sz w:val="20"/>
          <w:szCs w:val="20"/>
          <w:color w:val="auto"/>
        </w:rPr>
      </w:pPr>
    </w:p>
    <w:p>
      <w:pPr>
        <w:ind w:right="60" w:firstLine="619"/>
        <w:spacing w:after="0" w:line="243" w:lineRule="auto"/>
        <w:rPr>
          <w:sz w:val="20"/>
          <w:szCs w:val="20"/>
          <w:color w:val="auto"/>
        </w:rPr>
      </w:pPr>
      <w:r>
        <w:rPr>
          <w:rFonts w:ascii="Times New Roman" w:cs="Times New Roman" w:eastAsia="Times New Roman" w:hAnsi="Times New Roman"/>
          <w:sz w:val="20"/>
          <w:szCs w:val="20"/>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205" w:lineRule="exact"/>
        <w:rPr>
          <w:sz w:val="20"/>
          <w:szCs w:val="20"/>
          <w:color w:val="auto"/>
        </w:rPr>
      </w:pPr>
    </w:p>
    <w:p>
      <w:pPr>
        <w:ind w:right="60" w:firstLine="619"/>
        <w:spacing w:after="0" w:line="243" w:lineRule="auto"/>
        <w:rPr>
          <w:sz w:val="20"/>
          <w:szCs w:val="20"/>
          <w:color w:val="auto"/>
        </w:rPr>
      </w:pPr>
      <w:r>
        <w:rPr>
          <w:rFonts w:ascii="Times New Roman" w:cs="Times New Roman" w:eastAsia="Times New Roman" w:hAnsi="Times New Roman"/>
          <w:sz w:val="20"/>
          <w:szCs w:val="20"/>
          <w:color w:val="auto"/>
        </w:rPr>
        <w:t>With respect to challenges to the validity of our patents,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326" w:lineRule="exact"/>
        <w:rPr>
          <w:sz w:val="20"/>
          <w:szCs w:val="20"/>
          <w:color w:val="auto"/>
        </w:rPr>
      </w:pPr>
    </w:p>
    <w:p>
      <w:pPr>
        <w:ind w:right="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become involved in lawsuits or litigation at the USPTO to protect or enforce our patents or other intellectual property, which could be expensive, time consuming and unsuccessful.</w:t>
      </w:r>
    </w:p>
    <w:p>
      <w:pPr>
        <w:spacing w:after="0" w:line="48"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w:t>
      </w:r>
    </w:p>
    <w:p>
      <w:pPr>
        <w:spacing w:after="0" w:line="209" w:lineRule="exact"/>
        <w:rPr>
          <w:sz w:val="20"/>
          <w:szCs w:val="20"/>
          <w:color w:val="auto"/>
        </w:rPr>
      </w:pPr>
    </w:p>
    <w:p>
      <w:pPr>
        <w:ind w:right="120" w:firstLine="619"/>
        <w:spacing w:after="0" w:line="249" w:lineRule="auto"/>
        <w:rPr>
          <w:sz w:val="20"/>
          <w:szCs w:val="20"/>
          <w:color w:val="auto"/>
        </w:rPr>
      </w:pPr>
      <w:r>
        <w:rPr>
          <w:rFonts w:ascii="Times New Roman" w:cs="Times New Roman" w:eastAsia="Times New Roman" w:hAnsi="Times New Roman"/>
          <w:sz w:val="20"/>
          <w:szCs w:val="20"/>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other companies from collaborating with us to license, develop or commercialize current or future product candidates. Such a loss of patent protection would have a material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9360"/>
          </w:cols>
          <w:pgMar w:left="1440" w:top="1420" w:right="1440" w:bottom="175" w:gutter="0" w:footer="0" w:header="0"/>
        </w:sectPr>
      </w:pPr>
    </w:p>
    <w:bookmarkStart w:id="82" w:name="page83"/>
    <w:bookmarkEnd w:id="82"/>
    <w:p>
      <w:pPr>
        <w:ind w:right="60" w:firstLine="619"/>
        <w:spacing w:after="0" w:line="245" w:lineRule="auto"/>
        <w:rPr>
          <w:sz w:val="20"/>
          <w:szCs w:val="20"/>
          <w:color w:val="auto"/>
        </w:rPr>
      </w:pPr>
      <w:r>
        <w:rPr>
          <w:rFonts w:ascii="Times New Roman" w:cs="Times New Roman" w:eastAsia="Times New Roman" w:hAnsi="Times New Roman"/>
          <w:sz w:val="20"/>
          <w:szCs w:val="20"/>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202" w:lineRule="exact"/>
        <w:rPr>
          <w:sz w:val="20"/>
          <w:szCs w:val="20"/>
          <w:color w:val="auto"/>
        </w:rPr>
      </w:pPr>
    </w:p>
    <w:p>
      <w:pPr>
        <w:ind w:right="60" w:firstLine="619"/>
        <w:spacing w:after="0" w:line="258" w:lineRule="auto"/>
        <w:rPr>
          <w:sz w:val="20"/>
          <w:szCs w:val="20"/>
          <w:color w:val="auto"/>
        </w:rPr>
      </w:pPr>
      <w:r>
        <w:rPr>
          <w:rFonts w:ascii="Times New Roman" w:cs="Times New Roman" w:eastAsia="Times New Roman" w:hAnsi="Times New Roman"/>
          <w:sz w:val="20"/>
          <w:szCs w:val="20"/>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88"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0"/>
          <w:szCs w:val="20"/>
          <w:color w:val="auto"/>
        </w:rPr>
        <w:t xml:space="preserve">We may be required to protect our patents through procedures created to attack the validity of a patent at the USPTO. The USPTO hears post-grant proceedings, including post-grant review,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and derivation proceedings.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possibility of post-grant proceedings could have a material adverse effect on our business, financial condition, results of operations and prospects.</w:t>
      </w:r>
    </w:p>
    <w:p>
      <w:pPr>
        <w:spacing w:after="0" w:line="329"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Patent terms may be inadequate to protect our competitive position on our product candidates for an adequate amount of time.</w:t>
      </w:r>
    </w:p>
    <w:p>
      <w:pPr>
        <w:spacing w:after="0" w:line="47" w:lineRule="exact"/>
        <w:rPr>
          <w:sz w:val="20"/>
          <w:szCs w:val="20"/>
          <w:color w:val="auto"/>
        </w:rPr>
      </w:pPr>
    </w:p>
    <w:p>
      <w:pPr>
        <w:ind w:right="40" w:firstLine="619"/>
        <w:spacing w:after="0" w:line="244" w:lineRule="auto"/>
        <w:rPr>
          <w:sz w:val="20"/>
          <w:szCs w:val="20"/>
          <w:color w:val="auto"/>
        </w:rPr>
      </w:pPr>
      <w:r>
        <w:rPr>
          <w:rFonts w:ascii="Times New Roman" w:cs="Times New Roman" w:eastAsia="Times New Roman" w:hAnsi="Times New Roman"/>
          <w:sz w:val="20"/>
          <w:szCs w:val="20"/>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medications, including generic medications. Given the amount of time required for the development, testing and regulatory review of new product candidates, patents protecting such product candidates might expire before or shortly after such product candidates are commercialized. As a result, our patent portfolio may not provide us with sufficient rights to exclude others from commercializing product candidates similar or identical to ours for a meaningful amount of time, or at all.</w:t>
      </w:r>
    </w:p>
    <w:p>
      <w:pPr>
        <w:spacing w:after="0" w:line="206" w:lineRule="exact"/>
        <w:rPr>
          <w:sz w:val="20"/>
          <w:szCs w:val="20"/>
          <w:color w:val="auto"/>
        </w:rPr>
      </w:pPr>
    </w:p>
    <w:p>
      <w:pPr>
        <w:ind w:right="40" w:firstLine="619"/>
        <w:spacing w:after="0" w:line="242" w:lineRule="auto"/>
        <w:rPr>
          <w:sz w:val="20"/>
          <w:szCs w:val="20"/>
          <w:color w:val="auto"/>
        </w:rPr>
      </w:pPr>
      <w:r>
        <w:rPr>
          <w:rFonts w:ascii="Times New Roman" w:cs="Times New Roman" w:eastAsia="Times New Roman" w:hAnsi="Times New Roman"/>
          <w:sz w:val="20"/>
          <w:szCs w:val="20"/>
          <w:color w:val="auto"/>
        </w:rPr>
        <w:t>Depending upon the timing, duration and conditions of any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and certain other countries.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expected, and our competitive position, business, financial condition, results of operations and prospects could be materially adversely affected.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9360"/>
          </w:cols>
          <w:pgMar w:left="1440" w:top="1420" w:right="1440" w:bottom="175" w:gutter="0" w:footer="0" w:header="0"/>
        </w:sectPr>
      </w:pPr>
    </w:p>
    <w:bookmarkStart w:id="83" w:name="page84"/>
    <w:bookmarkEnd w:id="83"/>
    <w:p>
      <w:pPr>
        <w:ind w:right="40" w:firstLine="619"/>
        <w:spacing w:after="0" w:line="244" w:lineRule="auto"/>
        <w:rPr>
          <w:sz w:val="20"/>
          <w:szCs w:val="20"/>
          <w:color w:val="auto"/>
        </w:rPr>
      </w:pPr>
      <w:r>
        <w:rPr>
          <w:rFonts w:ascii="Times New Roman" w:cs="Times New Roman" w:eastAsia="Times New Roman" w:hAnsi="Times New Roman"/>
          <w:sz w:val="20"/>
          <w:szCs w:val="20"/>
          <w:color w:val="auto"/>
        </w:rPr>
        <w:t>Also, there are detailed rules and requirements regarding the patents that may be submitted to the FDA for listing in the Approved Drug Products with Therapeutic Equivalence Evaluations, or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 Any of the foregoing could adversely affect our competitive position, business, financial condition, results of operations and prospects.</w:t>
      </w:r>
    </w:p>
    <w:p>
      <w:pPr>
        <w:spacing w:after="0" w:line="326"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Changes in U.S. patent law, or laws in other countries, could diminish the value of patents in general, thereby impairing our ability to protect our product candidates.</w:t>
      </w:r>
    </w:p>
    <w:p>
      <w:pPr>
        <w:spacing w:after="0" w:line="49" w:lineRule="exact"/>
        <w:rPr>
          <w:sz w:val="20"/>
          <w:szCs w:val="20"/>
          <w:color w:val="auto"/>
        </w:rPr>
      </w:pPr>
    </w:p>
    <w:p>
      <w:pPr>
        <w:ind w:right="40" w:firstLine="619"/>
        <w:spacing w:after="0" w:line="242" w:lineRule="auto"/>
        <w:rPr>
          <w:sz w:val="20"/>
          <w:szCs w:val="20"/>
          <w:color w:val="auto"/>
        </w:rPr>
      </w:pPr>
      <w:r>
        <w:rPr>
          <w:rFonts w:ascii="Times New Roman" w:cs="Times New Roman" w:eastAsia="Times New Roman" w:hAnsi="Times New Roman"/>
          <w:sz w:val="20"/>
          <w:szCs w:val="20"/>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 United States Congress has in recent years considered legislation to reduce the term of certain drug patents in order to ease generic entry and increase competition. Evolving judicial interpretation of patent law could also adversely affect our business.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patents we might obtain in the future.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claims challenging the inventorship of our patents and other intellectual property.</w:t>
      </w:r>
    </w:p>
    <w:p>
      <w:pPr>
        <w:spacing w:after="0" w:line="120" w:lineRule="exact"/>
        <w:rPr>
          <w:sz w:val="20"/>
          <w:szCs w:val="20"/>
          <w:color w:val="auto"/>
        </w:rPr>
      </w:pPr>
    </w:p>
    <w:p>
      <w:pPr>
        <w:ind w:right="100" w:firstLine="619"/>
        <w:spacing w:after="0" w:line="242" w:lineRule="auto"/>
        <w:rPr>
          <w:sz w:val="20"/>
          <w:szCs w:val="20"/>
          <w:color w:val="auto"/>
        </w:rPr>
      </w:pPr>
      <w:r>
        <w:rPr>
          <w:rFonts w:ascii="Times New Roman" w:cs="Times New Roman" w:eastAsia="Times New Roman" w:hAnsi="Times New Roman"/>
          <w:sz w:val="20"/>
          <w:szCs w:val="20"/>
          <w:color w:val="auto"/>
        </w:rPr>
        <w:t>We may be subject to claims that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product candidates. Also, former employees may become employed by competitors who develop similar technology, and could assist the competitor in designing around our patents.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ownership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9360"/>
          </w:cols>
          <w:pgMar w:left="1440" w:top="1420" w:right="1440" w:bottom="175" w:gutter="0" w:footer="0" w:header="0"/>
        </w:sectPr>
      </w:pPr>
    </w:p>
    <w:bookmarkStart w:id="84" w:name="page85"/>
    <w:bookmarkEnd w:id="84"/>
    <w:p>
      <w:pPr>
        <w:ind w:right="8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49" w:lineRule="exact"/>
        <w:rPr>
          <w:sz w:val="20"/>
          <w:szCs w:val="20"/>
          <w:color w:val="auto"/>
        </w:rPr>
      </w:pPr>
    </w:p>
    <w:p>
      <w:pPr>
        <w:ind w:firstLine="619"/>
        <w:spacing w:after="0" w:line="242" w:lineRule="auto"/>
        <w:rPr>
          <w:sz w:val="20"/>
          <w:szCs w:val="20"/>
          <w:color w:val="auto"/>
        </w:rPr>
      </w:pPr>
      <w:r>
        <w:rPr>
          <w:rFonts w:ascii="Times New Roman" w:cs="Times New Roman" w:eastAsia="Times New Roman" w:hAnsi="Times New Roman"/>
          <w:sz w:val="20"/>
          <w:szCs w:val="20"/>
          <w:color w:val="auto"/>
        </w:rPr>
        <w:t>We use and will continue to use registered and/or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spacing w:after="0" w:line="330"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Third parties may initiate legal proceedings alleging that we are infringing, misappropriating or otherwise violating their intellectual property rights, the outcome of which would be uncertain. Defending against such lawsuits will be costly and time consuming, and an unfavorable outcome in that litigation would have a material adverse effect on our business.</w:t>
      </w:r>
    </w:p>
    <w:p>
      <w:pPr>
        <w:spacing w:after="0" w:line="75" w:lineRule="exact"/>
        <w:rPr>
          <w:sz w:val="20"/>
          <w:szCs w:val="20"/>
          <w:color w:val="auto"/>
        </w:rPr>
      </w:pPr>
    </w:p>
    <w:p>
      <w:pPr>
        <w:ind w:right="120" w:firstLine="619"/>
        <w:spacing w:after="0" w:line="244" w:lineRule="auto"/>
        <w:rPr>
          <w:sz w:val="20"/>
          <w:szCs w:val="20"/>
          <w:color w:val="auto"/>
        </w:rPr>
      </w:pPr>
      <w:r>
        <w:rPr>
          <w:rFonts w:ascii="Times New Roman" w:cs="Times New Roman" w:eastAsia="Times New Roman" w:hAnsi="Times New Roman"/>
          <w:sz w:val="20"/>
          <w:szCs w:val="20"/>
          <w:color w:val="auto"/>
        </w:rPr>
        <w:t>Our commercial success depends upon our ability to develop, manufacture, market and sell our product candidates and use our proprietary technologies without infringing the proprietary rights of third parties. U.S. and foreign issued patents and pending patent applications, which are owned by third parties, exist in the fields relating to our product candidates. As the biotechnology and pharmaceutical industries expand and more patents are issued, the risk increases that others may assert our product candidates infringe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206" w:lineRule="exact"/>
        <w:rPr>
          <w:sz w:val="20"/>
          <w:szCs w:val="20"/>
          <w:color w:val="auto"/>
        </w:rPr>
      </w:pPr>
    </w:p>
    <w:p>
      <w:pPr>
        <w:ind w:right="40" w:firstLine="619"/>
        <w:spacing w:after="0" w:line="245" w:lineRule="auto"/>
        <w:rPr>
          <w:sz w:val="20"/>
          <w:szCs w:val="20"/>
          <w:color w:val="auto"/>
        </w:rPr>
      </w:pPr>
      <w:r>
        <w:rPr>
          <w:rFonts w:ascii="Times New Roman" w:cs="Times New Roman" w:eastAsia="Times New Roman" w:hAnsi="Times New Roman"/>
          <w:sz w:val="20"/>
          <w:szCs w:val="20"/>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covering such technologies.</w:t>
      </w:r>
    </w:p>
    <w:p>
      <w:pPr>
        <w:spacing w:after="0" w:line="202" w:lineRule="exact"/>
        <w:rPr>
          <w:sz w:val="20"/>
          <w:szCs w:val="20"/>
          <w:color w:val="auto"/>
        </w:rPr>
      </w:pPr>
    </w:p>
    <w:p>
      <w:pPr>
        <w:ind w:right="160" w:firstLine="619"/>
        <w:spacing w:after="0" w:line="252" w:lineRule="auto"/>
        <w:rPr>
          <w:sz w:val="20"/>
          <w:szCs w:val="20"/>
          <w:color w:val="auto"/>
        </w:rPr>
      </w:pPr>
      <w:r>
        <w:rPr>
          <w:rFonts w:ascii="Times New Roman" w:cs="Times New Roman" w:eastAsia="Times New Roman" w:hAnsi="Times New Roman"/>
          <w:sz w:val="20"/>
          <w:szCs w:val="20"/>
          <w:color w:val="auto"/>
        </w:rPr>
        <w:t>There is a substantial amount of litigation involving patent and other intellectual property rights in the biotechnology and pharmaceutical industries generally. We may be exposed to, or threatened with, future litigation by third parties having patent or other intellectual property rights alleging that our product candidates and/or proprietary technologies infringe their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9360"/>
          </w:cols>
          <w:pgMar w:left="1440" w:top="1420" w:right="1440" w:bottom="175" w:gutter="0" w:footer="0" w:header="0"/>
        </w:sectPr>
      </w:pPr>
    </w:p>
    <w:bookmarkStart w:id="85" w:name="page86"/>
    <w:bookmarkEnd w:id="85"/>
    <w:p>
      <w:pPr>
        <w:ind w:right="120" w:firstLine="619"/>
        <w:spacing w:after="0" w:line="243" w:lineRule="auto"/>
        <w:rPr>
          <w:sz w:val="20"/>
          <w:szCs w:val="20"/>
          <w:color w:val="auto"/>
        </w:rPr>
      </w:pPr>
      <w:r>
        <w:rPr>
          <w:rFonts w:ascii="Times New Roman" w:cs="Times New Roman" w:eastAsia="Times New Roman" w:hAnsi="Times New Roman"/>
          <w:sz w:val="20"/>
          <w:szCs w:val="20"/>
          <w:color w:val="auto"/>
        </w:rPr>
        <w:t>If a third party claims that we infringe its intellectual property rights, we may face a number of issues, including, but not limited to: infringement and other intellectual property claims which, regardless of merit, may be expensive and time-consuming to litigate and may divert our management’s attention from our core business; 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 a court prohibiting us from developing, manufacturing, marketing or selling our product candidates, or from using our proprietary technologies, unless the third party licenses its product rights to us; however, the third party is not required to grant the license; if a license is available from a third party, we may have to pay substantial royalties, upfront fees and other amounts, and/or grant cross-licenses to intellectual property rights for our products; and redesigning our product candidates or processes so they do not infringe; redesign may not be possible or may require substantial monetary expenditures and time.</w:t>
      </w:r>
    </w:p>
    <w:p>
      <w:pPr>
        <w:spacing w:after="0" w:line="205" w:lineRule="exact"/>
        <w:rPr>
          <w:sz w:val="20"/>
          <w:szCs w:val="20"/>
          <w:color w:val="auto"/>
        </w:rPr>
      </w:pPr>
    </w:p>
    <w:p>
      <w:pPr>
        <w:ind w:right="140" w:firstLine="619"/>
        <w:spacing w:after="0" w:line="249" w:lineRule="auto"/>
        <w:rPr>
          <w:sz w:val="20"/>
          <w:szCs w:val="20"/>
          <w:color w:val="auto"/>
        </w:rPr>
      </w:pPr>
      <w:r>
        <w:rPr>
          <w:rFonts w:ascii="Times New Roman" w:cs="Times New Roman" w:eastAsia="Times New Roman" w:hAnsi="Times New Roman"/>
          <w:sz w:val="20"/>
          <w:szCs w:val="20"/>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98" w:lineRule="exact"/>
        <w:rPr>
          <w:sz w:val="20"/>
          <w:szCs w:val="20"/>
          <w:color w:val="auto"/>
        </w:rPr>
      </w:pPr>
    </w:p>
    <w:p>
      <w:pPr>
        <w:ind w:right="20" w:firstLine="619"/>
        <w:spacing w:after="0" w:line="246" w:lineRule="auto"/>
        <w:rPr>
          <w:sz w:val="20"/>
          <w:szCs w:val="20"/>
          <w:color w:val="auto"/>
        </w:rPr>
      </w:pPr>
      <w:r>
        <w:rPr>
          <w:rFonts w:ascii="Times New Roman" w:cs="Times New Roman" w:eastAsia="Times New Roman" w:hAnsi="Times New Roman"/>
          <w:sz w:val="20"/>
          <w:szCs w:val="20"/>
          <w:color w:val="auto"/>
        </w:rPr>
        <w:t xml:space="preserve">We may choose to challenge the patentability of claims in a third party’s U.S. patent by requesting that the USPTO review the patent claims in an </w:t>
      </w:r>
      <w:r>
        <w:rPr>
          <w:rFonts w:ascii="Times New Roman" w:cs="Times New Roman" w:eastAsia="Times New Roman" w:hAnsi="Times New Roman"/>
          <w:sz w:val="20"/>
          <w:szCs w:val="20"/>
          <w:i w:val="1"/>
          <w:iCs w:val="1"/>
          <w:color w:val="auto"/>
        </w:rPr>
        <w:t>ex-parte</w:t>
      </w:r>
      <w:r>
        <w:rPr>
          <w:rFonts w:ascii="Times New Roman" w:cs="Times New Roman" w:eastAsia="Times New Roman" w:hAnsi="Times New Roman"/>
          <w:sz w:val="20"/>
          <w:szCs w:val="20"/>
          <w:color w:val="auto"/>
        </w:rPr>
        <w:t xml:space="preserve"> re-exam,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or post -grant review proceedings. These proceedings are expensive and may consume our time or other resources. We may choose to challenge a third party’s patent in patent opposition proceedings in the European Patent Office, or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spacing w:after="0" w:line="319"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spacing w:after="0" w:line="65" w:lineRule="exact"/>
        <w:rPr>
          <w:sz w:val="20"/>
          <w:szCs w:val="20"/>
          <w:color w:val="auto"/>
        </w:rPr>
      </w:pPr>
    </w:p>
    <w:p>
      <w:pPr>
        <w:ind w:right="60" w:firstLine="619"/>
        <w:spacing w:after="0" w:line="242" w:lineRule="auto"/>
        <w:rPr>
          <w:sz w:val="20"/>
          <w:szCs w:val="20"/>
          <w:color w:val="auto"/>
        </w:rPr>
      </w:pPr>
      <w:r>
        <w:rPr>
          <w:rFonts w:ascii="Times New Roman" w:cs="Times New Roman" w:eastAsia="Times New Roman" w:hAnsi="Times New Roman"/>
          <w:sz w:val="20"/>
          <w:szCs w:val="20"/>
          <w:color w:val="auto"/>
        </w:rPr>
        <w:t>As is common in the biotechnology and pharmaceutical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9360"/>
          </w:cols>
          <w:pgMar w:left="1440" w:top="1420" w:right="1440" w:bottom="175" w:gutter="0" w:footer="0" w:header="0"/>
        </w:sectPr>
      </w:pPr>
    </w:p>
    <w:bookmarkStart w:id="86" w:name="page87"/>
    <w:bookmarkEnd w:id="86"/>
    <w:p>
      <w:pPr>
        <w:ind w:right="1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68"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20"/>
          <w:szCs w:val="20"/>
          <w:color w:val="auto"/>
        </w:rPr>
        <w:t>We may in the future enter into license agreements with third parties under which we receive rights to intellectual property that are important to our business. These intellectual property license agreements may impose on us various development, regulatory and/or commercial diligence obligations, payment of milestones and/or royalties and other obligations. If we fail to comply with our obligations under these agreements, or we are subject to bankruptcy-related proceedings, the licensor may have the right to terminate the license, in which event we would not be able to market products covered by the license.</w:t>
      </w:r>
    </w:p>
    <w:p>
      <w:pPr>
        <w:spacing w:after="0" w:line="200" w:lineRule="exact"/>
        <w:rPr>
          <w:sz w:val="20"/>
          <w:szCs w:val="20"/>
          <w:color w:val="auto"/>
        </w:rPr>
      </w:pPr>
    </w:p>
    <w:p>
      <w:pPr>
        <w:ind w:right="100" w:firstLine="619"/>
        <w:spacing w:after="0" w:line="246" w:lineRule="auto"/>
        <w:rPr>
          <w:sz w:val="20"/>
          <w:szCs w:val="20"/>
          <w:color w:val="auto"/>
        </w:rPr>
      </w:pPr>
      <w:r>
        <w:rPr>
          <w:rFonts w:ascii="Times New Roman" w:cs="Times New Roman" w:eastAsia="Times New Roman" w:hAnsi="Times New Roman"/>
          <w:sz w:val="20"/>
          <w:szCs w:val="20"/>
          <w:color w:val="auto"/>
        </w:rPr>
        <w:t>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199" w:lineRule="exact"/>
        <w:rPr>
          <w:sz w:val="20"/>
          <w:szCs w:val="20"/>
          <w:color w:val="auto"/>
        </w:rPr>
      </w:pPr>
    </w:p>
    <w:p>
      <w:pPr>
        <w:ind w:right="20" w:firstLine="619"/>
        <w:spacing w:after="0" w:line="243" w:lineRule="auto"/>
        <w:rPr>
          <w:sz w:val="20"/>
          <w:szCs w:val="20"/>
          <w:color w:val="auto"/>
        </w:rPr>
      </w:pPr>
      <w:r>
        <w:rPr>
          <w:rFonts w:ascii="Times New Roman" w:cs="Times New Roman" w:eastAsia="Times New Roman" w:hAnsi="Times New Roman"/>
          <w:sz w:val="20"/>
          <w:szCs w:val="20"/>
          <w:color w:val="auto"/>
        </w:rPr>
        <w:t>We may need to obtain licenses in the future from third parties to advance our research or allow commercialization of our product candidates, and we cannot provide any assurances that there are no third-party patents which might be enforced against our product candidates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01" w:lineRule="exact"/>
        <w:rPr>
          <w:sz w:val="20"/>
          <w:szCs w:val="20"/>
          <w:color w:val="auto"/>
        </w:rPr>
      </w:pPr>
    </w:p>
    <w:p>
      <w:pPr>
        <w:ind w:left="900" w:hanging="281"/>
        <w:spacing w:after="0"/>
        <w:tabs>
          <w:tab w:leader="none" w:pos="9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the scope of rights granted under the license agreement and other interpretation-related issues;</w:t>
      </w:r>
    </w:p>
    <w:p>
      <w:pPr>
        <w:spacing w:after="0" w:line="132" w:lineRule="exact"/>
        <w:rPr>
          <w:rFonts w:ascii="Arial" w:cs="Arial" w:eastAsia="Arial" w:hAnsi="Arial"/>
          <w:sz w:val="20"/>
          <w:szCs w:val="20"/>
          <w:color w:val="auto"/>
        </w:rPr>
      </w:pPr>
    </w:p>
    <w:p>
      <w:pPr>
        <w:ind w:left="900" w:right="380" w:hanging="281"/>
        <w:spacing w:after="0" w:line="277" w:lineRule="auto"/>
        <w:tabs>
          <w:tab w:leader="none" w:pos="9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whether and the extent to which our technology and processes infringe on intellectual property of the licensor that is not subject to the licensing agreement;</w:t>
      </w:r>
    </w:p>
    <w:p>
      <w:pPr>
        <w:spacing w:after="0" w:line="63" w:lineRule="exact"/>
        <w:rPr>
          <w:rFonts w:ascii="Arial" w:cs="Arial" w:eastAsia="Arial" w:hAnsi="Arial"/>
          <w:sz w:val="20"/>
          <w:szCs w:val="20"/>
          <w:color w:val="auto"/>
        </w:rPr>
      </w:pPr>
    </w:p>
    <w:p>
      <w:pPr>
        <w:ind w:left="900" w:hanging="281"/>
        <w:spacing w:after="0"/>
        <w:tabs>
          <w:tab w:leader="none" w:pos="9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our right to sublicense patents and other rights to third parties;</w:t>
      </w:r>
    </w:p>
    <w:p>
      <w:pPr>
        <w:spacing w:after="0" w:line="132" w:lineRule="exact"/>
        <w:rPr>
          <w:rFonts w:ascii="Arial" w:cs="Arial" w:eastAsia="Arial" w:hAnsi="Arial"/>
          <w:sz w:val="20"/>
          <w:szCs w:val="20"/>
          <w:color w:val="auto"/>
        </w:rPr>
      </w:pPr>
    </w:p>
    <w:p>
      <w:pPr>
        <w:ind w:left="900" w:right="20" w:hanging="281"/>
        <w:spacing w:after="0" w:line="305" w:lineRule="auto"/>
        <w:tabs>
          <w:tab w:leader="none" w:pos="900" w:val="left"/>
        </w:tabs>
        <w:numPr>
          <w:ilvl w:val="0"/>
          <w:numId w:val="47"/>
        </w:numPr>
        <w:rPr>
          <w:rFonts w:ascii="Arial" w:cs="Arial" w:eastAsia="Arial" w:hAnsi="Arial"/>
          <w:sz w:val="19"/>
          <w:szCs w:val="19"/>
          <w:color w:val="auto"/>
        </w:rPr>
      </w:pPr>
      <w:r>
        <w:rPr>
          <w:rFonts w:ascii="Times New Roman" w:cs="Times New Roman" w:eastAsia="Times New Roman" w:hAnsi="Times New Roman"/>
          <w:sz w:val="19"/>
          <w:szCs w:val="19"/>
          <w:color w:val="auto"/>
        </w:rPr>
        <w:t>our diligence obligations with respect to the use of the licensed technology in relation to our development and commercialization of our product candidates, and what activities satisfy those diligence obligations;</w:t>
      </w:r>
    </w:p>
    <w:p>
      <w:pPr>
        <w:spacing w:after="0" w:line="38" w:lineRule="exact"/>
        <w:rPr>
          <w:rFonts w:ascii="Arial" w:cs="Arial" w:eastAsia="Arial" w:hAnsi="Arial"/>
          <w:sz w:val="19"/>
          <w:szCs w:val="19"/>
          <w:color w:val="auto"/>
        </w:rPr>
      </w:pPr>
    </w:p>
    <w:p>
      <w:pPr>
        <w:ind w:left="900" w:hanging="281"/>
        <w:spacing w:after="0"/>
        <w:tabs>
          <w:tab w:leader="none" w:pos="9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our right to transfer or assign the license; and</w:t>
      </w:r>
    </w:p>
    <w:p>
      <w:pPr>
        <w:spacing w:after="0" w:line="132" w:lineRule="exact"/>
        <w:rPr>
          <w:rFonts w:ascii="Arial" w:cs="Arial" w:eastAsia="Arial" w:hAnsi="Arial"/>
          <w:sz w:val="20"/>
          <w:szCs w:val="20"/>
          <w:color w:val="auto"/>
        </w:rPr>
      </w:pPr>
    </w:p>
    <w:p>
      <w:pPr>
        <w:ind w:left="900" w:right="720" w:hanging="281"/>
        <w:spacing w:after="0" w:line="277" w:lineRule="auto"/>
        <w:tabs>
          <w:tab w:leader="none" w:pos="9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the ownership of inventions and know-how resulting from the joint creation or use of intellectual property by our licensors and us and our partners.</w:t>
      </w:r>
    </w:p>
    <w:p>
      <w:pPr>
        <w:spacing w:after="0" w:line="168" w:lineRule="exact"/>
        <w:rPr>
          <w:sz w:val="20"/>
          <w:szCs w:val="20"/>
          <w:color w:val="auto"/>
        </w:rPr>
      </w:pPr>
    </w:p>
    <w:p>
      <w:pPr>
        <w:ind w:right="120" w:firstLine="619"/>
        <w:spacing w:after="0" w:line="259" w:lineRule="auto"/>
        <w:rPr>
          <w:sz w:val="20"/>
          <w:szCs w:val="20"/>
          <w:color w:val="auto"/>
        </w:rPr>
      </w:pPr>
      <w:r>
        <w:rPr>
          <w:rFonts w:ascii="Times New Roman" w:cs="Times New Roman" w:eastAsia="Times New Roman" w:hAnsi="Times New Roman"/>
          <w:sz w:val="20"/>
          <w:szCs w:val="20"/>
          <w:color w:val="auto"/>
        </w:rPr>
        <w:t>If disputes over intellectual property that we license in the future prevent or impair our ability to maintain our licensing arrangements on acceptable terms, we may not be able to successfully develop and commercialize the affected product candidates, which would have a material adverse effect on our business.</w:t>
      </w:r>
    </w:p>
    <w:p>
      <w:pPr>
        <w:spacing w:after="0" w:line="185" w:lineRule="exact"/>
        <w:rPr>
          <w:sz w:val="20"/>
          <w:szCs w:val="20"/>
          <w:color w:val="auto"/>
        </w:rPr>
      </w:pPr>
    </w:p>
    <w:p>
      <w:pPr>
        <w:ind w:right="120" w:firstLine="619"/>
        <w:spacing w:after="0" w:line="252" w:lineRule="auto"/>
        <w:rPr>
          <w:sz w:val="20"/>
          <w:szCs w:val="20"/>
          <w:color w:val="auto"/>
        </w:rPr>
      </w:pPr>
      <w:r>
        <w:rPr>
          <w:rFonts w:ascii="Times New Roman" w:cs="Times New Roman" w:eastAsia="Times New Roman" w:hAnsi="Times New Roman"/>
          <w:sz w:val="20"/>
          <w:szCs w:val="20"/>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9360"/>
          </w:cols>
          <w:pgMar w:left="1440" w:top="1420" w:right="1440" w:bottom="175"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20"/>
          <w:szCs w:val="20"/>
          <w:b w:val="1"/>
          <w:bCs w:val="1"/>
          <w:color w:val="auto"/>
        </w:rPr>
        <w:t>Risks Related to Ownership of Our Common Stock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price of our stock may be volatile, and you could lose all or part of your investment.</w:t>
      </w:r>
    </w:p>
    <w:p>
      <w:pPr>
        <w:spacing w:after="0" w:line="120" w:lineRule="exact"/>
        <w:rPr>
          <w:sz w:val="20"/>
          <w:szCs w:val="20"/>
          <w:color w:val="auto"/>
        </w:rPr>
      </w:pPr>
    </w:p>
    <w:p>
      <w:pPr>
        <w:ind w:right="40" w:firstLine="619"/>
        <w:spacing w:after="0" w:line="252" w:lineRule="auto"/>
        <w:rPr>
          <w:sz w:val="20"/>
          <w:szCs w:val="20"/>
          <w:color w:val="auto"/>
        </w:rPr>
      </w:pPr>
      <w:r>
        <w:rPr>
          <w:rFonts w:ascii="Times New Roman" w:cs="Times New Roman" w:eastAsia="Times New Roman" w:hAnsi="Times New Roman"/>
          <w:sz w:val="20"/>
          <w:szCs w:val="20"/>
          <w:color w:val="auto"/>
        </w:rPr>
        <w:t>The trading price of our common stock may be highly volatile and could be subject to wide fluctuations in response to various factors, some of which are beyond our control, including limited trading volume. In addition to the factors discussed in this “Risk Factors” section and elsewhere in this Annual Report on Form 10-K, these factors include:</w:t>
      </w:r>
    </w:p>
    <w:p>
      <w:pPr>
        <w:spacing w:after="0" w:line="89" w:lineRule="exact"/>
        <w:rPr>
          <w:sz w:val="20"/>
          <w:szCs w:val="20"/>
          <w:color w:val="auto"/>
        </w:rPr>
      </w:pPr>
    </w:p>
    <w:p>
      <w:pPr>
        <w:ind w:left="900" w:right="20" w:hanging="281"/>
        <w:spacing w:after="0" w:line="276" w:lineRule="auto"/>
        <w:tabs>
          <w:tab w:leader="none" w:pos="9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the results of our ongoing, planned or any future preclinical studies, clinical trials or clinical development programs;</w:t>
      </w:r>
    </w:p>
    <w:p>
      <w:pPr>
        <w:spacing w:after="0" w:line="64" w:lineRule="exact"/>
        <w:rPr>
          <w:rFonts w:ascii="Arial" w:cs="Arial" w:eastAsia="Arial" w:hAnsi="Arial"/>
          <w:sz w:val="20"/>
          <w:szCs w:val="20"/>
          <w:color w:val="auto"/>
        </w:rPr>
      </w:pPr>
    </w:p>
    <w:p>
      <w:pPr>
        <w:ind w:left="900" w:right="620" w:hanging="281"/>
        <w:spacing w:after="0" w:line="303" w:lineRule="auto"/>
        <w:tabs>
          <w:tab w:leader="none" w:pos="900" w:val="left"/>
        </w:tabs>
        <w:numPr>
          <w:ilvl w:val="0"/>
          <w:numId w:val="48"/>
        </w:numPr>
        <w:rPr>
          <w:rFonts w:ascii="Arial" w:cs="Arial" w:eastAsia="Arial" w:hAnsi="Arial"/>
          <w:sz w:val="19"/>
          <w:szCs w:val="19"/>
          <w:color w:val="auto"/>
        </w:rPr>
      </w:pPr>
      <w:r>
        <w:rPr>
          <w:rFonts w:ascii="Times New Roman" w:cs="Times New Roman" w:eastAsia="Times New Roman" w:hAnsi="Times New Roman"/>
          <w:sz w:val="19"/>
          <w:szCs w:val="19"/>
          <w:color w:val="auto"/>
        </w:rPr>
        <w:t>the commencement, enrollment, or results of clinical trials of our product candidates or any future clinical trials we may conduct, or changes in the development status of our product candidates;</w:t>
      </w:r>
    </w:p>
    <w:p>
      <w:pPr>
        <w:spacing w:after="0" w:line="41" w:lineRule="exact"/>
        <w:rPr>
          <w:rFonts w:ascii="Arial" w:cs="Arial" w:eastAsia="Arial" w:hAnsi="Arial"/>
          <w:sz w:val="19"/>
          <w:szCs w:val="19"/>
          <w:color w:val="auto"/>
        </w:rPr>
      </w:pPr>
    </w:p>
    <w:p>
      <w:pPr>
        <w:ind w:left="900" w:hanging="281"/>
        <w:spacing w:after="0"/>
        <w:tabs>
          <w:tab w:leader="none" w:pos="9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adverse results or delays in preclinical studies and clinical trials;</w:t>
      </w:r>
    </w:p>
    <w:p>
      <w:pPr>
        <w:spacing w:after="0" w:line="133" w:lineRule="exact"/>
        <w:rPr>
          <w:rFonts w:ascii="Arial" w:cs="Arial" w:eastAsia="Arial" w:hAnsi="Arial"/>
          <w:sz w:val="20"/>
          <w:szCs w:val="20"/>
          <w:color w:val="auto"/>
        </w:rPr>
      </w:pPr>
    </w:p>
    <w:p>
      <w:pPr>
        <w:ind w:left="900" w:right="360" w:hanging="281"/>
        <w:spacing w:after="0" w:line="303" w:lineRule="auto"/>
        <w:tabs>
          <w:tab w:leader="none" w:pos="900" w:val="left"/>
        </w:tabs>
        <w:numPr>
          <w:ilvl w:val="0"/>
          <w:numId w:val="48"/>
        </w:numPr>
        <w:rPr>
          <w:rFonts w:ascii="Arial" w:cs="Arial" w:eastAsia="Arial" w:hAnsi="Arial"/>
          <w:sz w:val="19"/>
          <w:szCs w:val="19"/>
          <w:color w:val="auto"/>
        </w:rPr>
      </w:pPr>
      <w:r>
        <w:rPr>
          <w:rFonts w:ascii="Times New Roman" w:cs="Times New Roman" w:eastAsia="Times New Roman" w:hAnsi="Times New Roman"/>
          <w:sz w:val="19"/>
          <w:szCs w:val="19"/>
          <w:color w:val="auto"/>
        </w:rPr>
        <w:t>our decision to initiate a clinical trial, not to initiate a clinical trial, or to terminate an existing clinical trial, including due to the suspension of a clinical trial by the FDA or other regulatory authorities;</w:t>
      </w:r>
    </w:p>
    <w:p>
      <w:pPr>
        <w:spacing w:after="0" w:line="41" w:lineRule="exact"/>
        <w:rPr>
          <w:rFonts w:ascii="Arial" w:cs="Arial" w:eastAsia="Arial" w:hAnsi="Arial"/>
          <w:sz w:val="19"/>
          <w:szCs w:val="19"/>
          <w:color w:val="auto"/>
        </w:rPr>
      </w:pPr>
    </w:p>
    <w:p>
      <w:pPr>
        <w:ind w:left="900" w:right="600" w:hanging="281"/>
        <w:spacing w:after="0" w:line="277" w:lineRule="auto"/>
        <w:tabs>
          <w:tab w:leader="none" w:pos="9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any delay in our regulatory filings or any adverse regulatory decisions, including failure to receive regulatory approval of our product candidates;</w:t>
      </w:r>
    </w:p>
    <w:p>
      <w:pPr>
        <w:spacing w:after="0" w:line="62" w:lineRule="exact"/>
        <w:rPr>
          <w:rFonts w:ascii="Arial" w:cs="Arial" w:eastAsia="Arial" w:hAnsi="Arial"/>
          <w:sz w:val="20"/>
          <w:szCs w:val="20"/>
          <w:color w:val="auto"/>
        </w:rPr>
      </w:pPr>
    </w:p>
    <w:p>
      <w:pPr>
        <w:ind w:left="900" w:right="620" w:hanging="281"/>
        <w:spacing w:after="0" w:line="277" w:lineRule="auto"/>
        <w:tabs>
          <w:tab w:leader="none" w:pos="9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laws or regulations applicable to our products, including but not limited to clinical trial requirements for approvals;</w:t>
      </w:r>
    </w:p>
    <w:p>
      <w:pPr>
        <w:spacing w:after="0" w:line="62" w:lineRule="exact"/>
        <w:rPr>
          <w:rFonts w:ascii="Arial" w:cs="Arial" w:eastAsia="Arial" w:hAnsi="Arial"/>
          <w:sz w:val="20"/>
          <w:szCs w:val="20"/>
          <w:color w:val="auto"/>
        </w:rPr>
      </w:pPr>
    </w:p>
    <w:p>
      <w:pPr>
        <w:ind w:left="900" w:hanging="281"/>
        <w:spacing w:after="0"/>
        <w:tabs>
          <w:tab w:leader="none" w:pos="9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adverse developments concerning our manufacturers or our manufacturing plans;</w:t>
      </w:r>
    </w:p>
    <w:p>
      <w:pPr>
        <w:spacing w:after="0" w:line="133" w:lineRule="exact"/>
        <w:rPr>
          <w:rFonts w:ascii="Arial" w:cs="Arial" w:eastAsia="Arial" w:hAnsi="Arial"/>
          <w:sz w:val="20"/>
          <w:szCs w:val="20"/>
          <w:color w:val="auto"/>
        </w:rPr>
      </w:pPr>
    </w:p>
    <w:p>
      <w:pPr>
        <w:ind w:left="900" w:right="20" w:hanging="281"/>
        <w:spacing w:after="0" w:line="277" w:lineRule="auto"/>
        <w:tabs>
          <w:tab w:leader="none" w:pos="9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obtain adequate product supply for any licensed product or inability to do so at acceptable prices;</w:t>
      </w:r>
    </w:p>
    <w:p>
      <w:pPr>
        <w:spacing w:after="0" w:line="62" w:lineRule="exact"/>
        <w:rPr>
          <w:rFonts w:ascii="Arial" w:cs="Arial" w:eastAsia="Arial" w:hAnsi="Arial"/>
          <w:sz w:val="20"/>
          <w:szCs w:val="20"/>
          <w:color w:val="auto"/>
        </w:rPr>
      </w:pPr>
    </w:p>
    <w:p>
      <w:pPr>
        <w:ind w:left="900" w:hanging="281"/>
        <w:spacing w:after="0"/>
        <w:tabs>
          <w:tab w:leader="none" w:pos="9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establish collaborations if needed;</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our failure to commercialize our product candidates;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additions or departures of key scientific or management personnel;</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unanticipated serious safety concerns related to the use of our product candidates;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introduction of new products or services offered by us or our competitors;</w:t>
      </w:r>
    </w:p>
    <w:p>
      <w:pPr>
        <w:spacing w:after="0" w:line="132" w:lineRule="exact"/>
        <w:rPr>
          <w:rFonts w:ascii="Arial" w:cs="Arial" w:eastAsia="Arial" w:hAnsi="Arial"/>
          <w:sz w:val="20"/>
          <w:szCs w:val="20"/>
          <w:color w:val="auto"/>
        </w:rPr>
      </w:pPr>
    </w:p>
    <w:p>
      <w:pPr>
        <w:ind w:left="900" w:right="160" w:hanging="281"/>
        <w:spacing w:after="0" w:line="277" w:lineRule="auto"/>
        <w:tabs>
          <w:tab w:leader="none" w:pos="9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of significant acquisitions, strategic partnerships, joint ventures or capital commitments by us or our competitors;</w:t>
      </w:r>
    </w:p>
    <w:p>
      <w:pPr>
        <w:spacing w:after="0" w:line="63" w:lineRule="exact"/>
        <w:rPr>
          <w:rFonts w:ascii="Arial" w:cs="Arial" w:eastAsia="Arial" w:hAnsi="Arial"/>
          <w:sz w:val="20"/>
          <w:szCs w:val="20"/>
          <w:color w:val="auto"/>
        </w:rPr>
      </w:pPr>
    </w:p>
    <w:p>
      <w:pPr>
        <w:ind w:left="900" w:hanging="281"/>
        <w:spacing w:after="0"/>
        <w:tabs>
          <w:tab w:leader="none" w:pos="9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effectively manage our growth;</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the size and growth of our initial cancer target markets;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successfully treat additional types of cancers or at different stages;</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actual or anticipated variations in quarterly operating results;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our cash position;</w:t>
      </w:r>
    </w:p>
    <w:p>
      <w:pPr>
        <w:spacing w:after="0" w:line="133" w:lineRule="exact"/>
        <w:rPr>
          <w:rFonts w:ascii="Arial" w:cs="Arial" w:eastAsia="Arial" w:hAnsi="Arial"/>
          <w:sz w:val="20"/>
          <w:szCs w:val="20"/>
          <w:color w:val="auto"/>
        </w:rPr>
      </w:pPr>
    </w:p>
    <w:p>
      <w:pPr>
        <w:ind w:left="900" w:right="140" w:hanging="281"/>
        <w:spacing w:after="0" w:line="276" w:lineRule="auto"/>
        <w:tabs>
          <w:tab w:leader="none" w:pos="9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our failure to meet the estimates and projections of the investment community or that we may otherwise provide to the public;</w:t>
      </w:r>
    </w:p>
    <w:p>
      <w:pPr>
        <w:spacing w:after="0" w:line="63" w:lineRule="exact"/>
        <w:rPr>
          <w:rFonts w:ascii="Arial" w:cs="Arial" w:eastAsia="Arial" w:hAnsi="Arial"/>
          <w:sz w:val="20"/>
          <w:szCs w:val="20"/>
          <w:color w:val="auto"/>
        </w:rPr>
      </w:pPr>
    </w:p>
    <w:p>
      <w:pPr>
        <w:ind w:left="900" w:right="300" w:hanging="281"/>
        <w:spacing w:after="0" w:line="277" w:lineRule="auto"/>
        <w:tabs>
          <w:tab w:leader="none" w:pos="9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publication of research reports about us or our industry, or immunotherapy in particular, or positive or negative recommendations or withdrawal of research coverage by securities analysts;</w:t>
      </w:r>
    </w:p>
    <w:p>
      <w:pPr>
        <w:spacing w:after="0" w:line="62" w:lineRule="exact"/>
        <w:rPr>
          <w:rFonts w:ascii="Arial" w:cs="Arial" w:eastAsia="Arial" w:hAnsi="Arial"/>
          <w:sz w:val="20"/>
          <w:szCs w:val="20"/>
          <w:color w:val="auto"/>
        </w:rPr>
      </w:pPr>
    </w:p>
    <w:p>
      <w:pPr>
        <w:ind w:left="900" w:hanging="281"/>
        <w:spacing w:after="0"/>
        <w:tabs>
          <w:tab w:leader="none" w:pos="9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market valuations of similar companies;</w:t>
      </w:r>
    </w:p>
    <w:p>
      <w:pPr>
        <w:spacing w:after="0" w:line="134" w:lineRule="exact"/>
        <w:rPr>
          <w:rFonts w:ascii="Arial" w:cs="Arial" w:eastAsia="Arial" w:hAnsi="Arial"/>
          <w:sz w:val="20"/>
          <w:szCs w:val="20"/>
          <w:color w:val="auto"/>
        </w:rPr>
      </w:pPr>
    </w:p>
    <w:p>
      <w:pPr>
        <w:ind w:left="900" w:hanging="281"/>
        <w:spacing w:after="0"/>
        <w:tabs>
          <w:tab w:leader="none" w:pos="9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overall performance of the equity markets;</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sales of our common stock by us or our stockholders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9360"/>
          </w:cols>
          <w:pgMar w:left="1440" w:top="1416" w:right="1440" w:bottom="175" w:gutter="0" w:footer="0" w:header="0"/>
        </w:sectPr>
      </w:pPr>
    </w:p>
    <w:bookmarkStart w:id="88" w:name="page89"/>
    <w:bookmarkEnd w:id="88"/>
    <w:p>
      <w:pPr>
        <w:ind w:left="900" w:hanging="281"/>
        <w:spacing w:after="0"/>
        <w:tabs>
          <w:tab w:leader="none" w:pos="9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trading volume of our common stock;</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accounting practices;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ineffectiveness of our internal controls;</w:t>
      </w:r>
    </w:p>
    <w:p>
      <w:pPr>
        <w:spacing w:after="0" w:line="132" w:lineRule="exact"/>
        <w:rPr>
          <w:rFonts w:ascii="Arial" w:cs="Arial" w:eastAsia="Arial" w:hAnsi="Arial"/>
          <w:sz w:val="20"/>
          <w:szCs w:val="20"/>
          <w:color w:val="auto"/>
        </w:rPr>
      </w:pPr>
    </w:p>
    <w:p>
      <w:pPr>
        <w:ind w:left="900" w:right="260" w:hanging="281"/>
        <w:spacing w:after="0" w:line="277" w:lineRule="auto"/>
        <w:tabs>
          <w:tab w:leader="none" w:pos="9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disputes or other developments relating to intellectual property or proprietary rights, including patents, litigation matters and our ability to obtain patent protection for our technologies;</w:t>
      </w:r>
    </w:p>
    <w:p>
      <w:pPr>
        <w:spacing w:after="0" w:line="63" w:lineRule="exact"/>
        <w:rPr>
          <w:rFonts w:ascii="Arial" w:cs="Arial" w:eastAsia="Arial" w:hAnsi="Arial"/>
          <w:sz w:val="20"/>
          <w:szCs w:val="20"/>
          <w:color w:val="auto"/>
        </w:rPr>
      </w:pPr>
    </w:p>
    <w:p>
      <w:pPr>
        <w:ind w:left="900" w:hanging="281"/>
        <w:spacing w:after="0"/>
        <w:tabs>
          <w:tab w:leader="none" w:pos="9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lawsuits, including intellectual property or stockholder litigation;</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any natural disasters or public health emergencies;</w:t>
      </w:r>
    </w:p>
    <w:p>
      <w:pPr>
        <w:spacing w:after="0" w:line="133" w:lineRule="exact"/>
        <w:rPr>
          <w:rFonts w:ascii="Arial" w:cs="Arial" w:eastAsia="Arial" w:hAnsi="Arial"/>
          <w:sz w:val="20"/>
          <w:szCs w:val="20"/>
          <w:color w:val="auto"/>
        </w:rPr>
      </w:pPr>
    </w:p>
    <w:p>
      <w:pPr>
        <w:ind w:left="900" w:right="420" w:hanging="281"/>
        <w:spacing w:after="0" w:line="277" w:lineRule="auto"/>
        <w:tabs>
          <w:tab w:leader="none" w:pos="9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general economic, political, industry and market conditions, including the rising rate of inflation, the Ukraine-Russia war and the conflict between Israel and Hamas; and</w:t>
      </w:r>
    </w:p>
    <w:p>
      <w:pPr>
        <w:spacing w:after="0" w:line="62" w:lineRule="exact"/>
        <w:rPr>
          <w:rFonts w:ascii="Arial" w:cs="Arial" w:eastAsia="Arial" w:hAnsi="Arial"/>
          <w:sz w:val="20"/>
          <w:szCs w:val="20"/>
          <w:color w:val="auto"/>
        </w:rPr>
      </w:pPr>
    </w:p>
    <w:p>
      <w:pPr>
        <w:ind w:left="900" w:hanging="281"/>
        <w:spacing w:after="0"/>
        <w:tabs>
          <w:tab w:leader="none" w:pos="9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other events or factors, many of which are beyond our control.</w:t>
      </w:r>
    </w:p>
    <w:p>
      <w:pPr>
        <w:spacing w:after="0" w:line="239" w:lineRule="exact"/>
        <w:rPr>
          <w:sz w:val="20"/>
          <w:szCs w:val="20"/>
          <w:color w:val="auto"/>
        </w:rPr>
      </w:pPr>
    </w:p>
    <w:p>
      <w:pPr>
        <w:ind w:right="140" w:firstLine="619"/>
        <w:spacing w:after="0" w:line="278" w:lineRule="auto"/>
        <w:rPr>
          <w:sz w:val="20"/>
          <w:szCs w:val="20"/>
          <w:color w:val="auto"/>
        </w:rPr>
      </w:pPr>
      <w:r>
        <w:rPr>
          <w:rFonts w:ascii="Times New Roman" w:cs="Times New Roman" w:eastAsia="Times New Roman" w:hAnsi="Times New Roman"/>
          <w:sz w:val="20"/>
          <w:szCs w:val="20"/>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67" w:lineRule="exact"/>
        <w:rPr>
          <w:sz w:val="20"/>
          <w:szCs w:val="20"/>
          <w:color w:val="auto"/>
        </w:rPr>
      </w:pPr>
    </w:p>
    <w:p>
      <w:pPr>
        <w:ind w:right="100" w:firstLine="619"/>
        <w:spacing w:after="0" w:line="245" w:lineRule="auto"/>
        <w:rPr>
          <w:sz w:val="20"/>
          <w:szCs w:val="20"/>
          <w:color w:val="auto"/>
        </w:rPr>
      </w:pPr>
      <w:r>
        <w:rPr>
          <w:rFonts w:ascii="Times New Roman" w:cs="Times New Roman" w:eastAsia="Times New Roman" w:hAnsi="Times New Roman"/>
          <w:sz w:val="20"/>
          <w:szCs w:val="20"/>
          <w:color w:val="auto"/>
        </w:rPr>
        <w:t>In addition, the stock market in general, and the market for biopharmaceutical companies in particular, have experienced extreme price and volume fluctuations that have often been unrelated or disproportionate to the operating performance of these companies. In addition,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materially adversely affect our business, financial condition and results of operation.</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 active trading market for our common stock may not be sustained.</w:t>
      </w:r>
    </w:p>
    <w:p>
      <w:pPr>
        <w:spacing w:after="0" w:line="120" w:lineRule="exact"/>
        <w:rPr>
          <w:sz w:val="20"/>
          <w:szCs w:val="20"/>
          <w:color w:val="auto"/>
        </w:rPr>
      </w:pPr>
    </w:p>
    <w:p>
      <w:pPr>
        <w:ind w:right="200" w:firstLine="619"/>
        <w:spacing w:after="0" w:line="247" w:lineRule="auto"/>
        <w:rPr>
          <w:sz w:val="20"/>
          <w:szCs w:val="20"/>
          <w:color w:val="auto"/>
        </w:rPr>
      </w:pPr>
      <w:r>
        <w:rPr>
          <w:rFonts w:ascii="Times New Roman" w:cs="Times New Roman" w:eastAsia="Times New Roman" w:hAnsi="Times New Roman"/>
          <w:sz w:val="20"/>
          <w:szCs w:val="20"/>
          <w:color w:val="auto"/>
        </w:rPr>
        <w:t>Prior to the closing of our initial public offering in September 2020, there was no public trading market for our common stock. Although our common stock is listed on the Nasdaq Global Select Market, the market for our shares has demonstrated varying levels of trading activity. Furthermore, an active trading market for our common stock may not be sustained in the future. The lack of an active market may impair investors’ ability to sell their shares at the time they wish to sell them or at a price that they consider reasonable may reduce the market value of their shares and may impair our ability to raise capital.</w:t>
      </w:r>
    </w:p>
    <w:p>
      <w:pPr>
        <w:spacing w:after="0" w:line="320"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47" w:lineRule="exact"/>
        <w:rPr>
          <w:sz w:val="20"/>
          <w:szCs w:val="20"/>
          <w:color w:val="auto"/>
        </w:rPr>
      </w:pPr>
    </w:p>
    <w:p>
      <w:pPr>
        <w:ind w:right="120" w:firstLine="619"/>
        <w:spacing w:after="0" w:line="246" w:lineRule="auto"/>
        <w:rPr>
          <w:sz w:val="20"/>
          <w:szCs w:val="20"/>
          <w:color w:val="auto"/>
        </w:rPr>
      </w:pPr>
      <w:r>
        <w:rPr>
          <w:rFonts w:ascii="Times New Roman" w:cs="Times New Roman" w:eastAsia="Times New Roman" w:hAnsi="Times New Roman"/>
          <w:sz w:val="20"/>
          <w:szCs w:val="20"/>
          <w:color w:val="auto"/>
        </w:rPr>
        <w:t>The trading market for our common stock will be influenced by the research and reports that securities or industry analysts publish about us, our business or our market. We do not have any control over these analysts.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9360"/>
          </w:cols>
          <w:pgMar w:left="1440" w:top="1435" w:right="1440" w:bottom="175" w:gutter="0" w:footer="0" w:header="0"/>
        </w:sectPr>
      </w:pPr>
    </w:p>
    <w:bookmarkStart w:id="89" w:name="page90"/>
    <w:bookmarkEnd w:id="89"/>
    <w:p>
      <w:pPr>
        <w:ind w:right="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Raising additional capital may cause dilution to our existing stockholders, restrict our operations or require us to relinquish rights to our technologies or product candidates.</w:t>
      </w:r>
    </w:p>
    <w:p>
      <w:pPr>
        <w:spacing w:after="0" w:line="49"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20"/>
          <w:szCs w:val="20"/>
          <w:color w:val="auto"/>
        </w:rPr>
        <w:t>We may seek additional capital through a combination of public and private equity offerings, debt financings, strategic partnerships and alliances and licensing arrangements. 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alliances and licensing arrangements with third parties, we may have to relinquish valuable rights to our technologies or product candidates, or grant licenses on terms unfavorable to us.</w:t>
      </w:r>
    </w:p>
    <w:p>
      <w:pPr>
        <w:spacing w:after="0" w:line="322"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Sales of a substantial number of shares of our common stock by our existing stockholders in the public market could cause our stock price to fall.</w:t>
      </w:r>
    </w:p>
    <w:p>
      <w:pPr>
        <w:spacing w:after="0" w:line="48" w:lineRule="exact"/>
        <w:rPr>
          <w:sz w:val="20"/>
          <w:szCs w:val="20"/>
          <w:color w:val="auto"/>
        </w:rPr>
      </w:pPr>
    </w:p>
    <w:p>
      <w:pPr>
        <w:jc w:val="both"/>
        <w:ind w:right="180" w:firstLine="619"/>
        <w:spacing w:after="0" w:line="258" w:lineRule="auto"/>
        <w:rPr>
          <w:sz w:val="20"/>
          <w:szCs w:val="20"/>
          <w:color w:val="auto"/>
        </w:rPr>
      </w:pPr>
      <w:r>
        <w:rPr>
          <w:rFonts w:ascii="Times New Roman" w:cs="Times New Roman" w:eastAsia="Times New Roman" w:hAnsi="Times New Roman"/>
          <w:sz w:val="20"/>
          <w:szCs w:val="20"/>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intend to pay dividends on our capital stock, so any returns will be limited to the value of our stock.</w:t>
      </w:r>
    </w:p>
    <w:p>
      <w:pPr>
        <w:spacing w:after="0" w:line="119"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20"/>
          <w:szCs w:val="20"/>
          <w:color w:val="auto"/>
        </w:rPr>
        <w:t>We have never declared or paid any cash dividends on our capital stock. We currently anticipate that we will retain future earnings for the development, operation and expansion of our business and do not anticipate declaring or paying any cash dividends for the foreseeable future. In addition, we may enter into agreements that prohibit us from paying cash dividends without prior written consent from our contracting parties, or which other terms prohibiting or limiting the amount of dividends that may be declared or paid on our capital stock. Any return to stockholders will therefore be limited to any appreciation in the value of their stock.</w:t>
      </w:r>
    </w:p>
    <w:p>
      <w:pPr>
        <w:spacing w:after="0" w:line="320" w:lineRule="exact"/>
        <w:rPr>
          <w:sz w:val="20"/>
          <w:szCs w:val="20"/>
          <w:color w:val="auto"/>
        </w:rPr>
      </w:pPr>
    </w:p>
    <w:p>
      <w:pPr>
        <w:ind w:right="6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65" w:lineRule="exact"/>
        <w:rPr>
          <w:sz w:val="20"/>
          <w:szCs w:val="20"/>
          <w:color w:val="auto"/>
        </w:rPr>
      </w:pPr>
    </w:p>
    <w:p>
      <w:pPr>
        <w:ind w:right="200" w:firstLine="619"/>
        <w:spacing w:after="0" w:line="259" w:lineRule="auto"/>
        <w:rPr>
          <w:sz w:val="20"/>
          <w:szCs w:val="20"/>
          <w:color w:val="auto"/>
        </w:rPr>
      </w:pPr>
      <w:r>
        <w:rPr>
          <w:rFonts w:ascii="Times New Roman" w:cs="Times New Roman" w:eastAsia="Times New Roman" w:hAnsi="Times New Roman"/>
          <w:sz w:val="20"/>
          <w:szCs w:val="20"/>
          <w:color w:val="auto"/>
        </w:rPr>
        <w:t>Our amended and restated certificate of incorporation and amended and restated bylaws contain provisions that could delay or prevent a change of control of our company or changes in our board of directors that our stockholders might consider favorable. These provisions, among other things:</w:t>
      </w:r>
    </w:p>
    <w:p>
      <w:pPr>
        <w:spacing w:after="0" w:line="80" w:lineRule="exact"/>
        <w:rPr>
          <w:sz w:val="20"/>
          <w:szCs w:val="20"/>
          <w:color w:val="auto"/>
        </w:rPr>
      </w:pPr>
    </w:p>
    <w:p>
      <w:pPr>
        <w:ind w:left="900" w:hanging="281"/>
        <w:spacing w:after="0"/>
        <w:tabs>
          <w:tab w:leader="none" w:pos="9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establish a classified board of directors so that not all members of our board are elected at one time;</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permit only the board of directors to establish the number of directors and fill vacancies on the board;</w:t>
      </w:r>
    </w:p>
    <w:p>
      <w:pPr>
        <w:spacing w:after="0" w:line="132" w:lineRule="exact"/>
        <w:rPr>
          <w:rFonts w:ascii="Arial" w:cs="Arial" w:eastAsia="Arial" w:hAnsi="Arial"/>
          <w:sz w:val="20"/>
          <w:szCs w:val="20"/>
          <w:color w:val="auto"/>
        </w:rPr>
      </w:pPr>
    </w:p>
    <w:p>
      <w:pPr>
        <w:ind w:left="900" w:right="200" w:hanging="281"/>
        <w:spacing w:after="0" w:line="277" w:lineRule="auto"/>
        <w:tabs>
          <w:tab w:leader="none" w:pos="9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provide that directors may only be removed “for cause” and only with the approval of two-thirds of our stockholders;</w:t>
      </w:r>
    </w:p>
    <w:p>
      <w:pPr>
        <w:spacing w:after="0" w:line="63" w:lineRule="exact"/>
        <w:rPr>
          <w:rFonts w:ascii="Arial" w:cs="Arial" w:eastAsia="Arial" w:hAnsi="Arial"/>
          <w:sz w:val="20"/>
          <w:szCs w:val="20"/>
          <w:color w:val="auto"/>
        </w:rPr>
      </w:pPr>
    </w:p>
    <w:p>
      <w:pPr>
        <w:ind w:left="900" w:right="800" w:hanging="281"/>
        <w:spacing w:after="0" w:line="276" w:lineRule="auto"/>
        <w:tabs>
          <w:tab w:leader="none" w:pos="9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authorize the issuance of “blank check” preferred stock that our board could use to implement a stockholder rights plan (also known as a “poison pill”);</w:t>
      </w:r>
    </w:p>
    <w:p>
      <w:pPr>
        <w:spacing w:after="0" w:line="64" w:lineRule="exact"/>
        <w:rPr>
          <w:rFonts w:ascii="Arial" w:cs="Arial" w:eastAsia="Arial" w:hAnsi="Arial"/>
          <w:sz w:val="20"/>
          <w:szCs w:val="20"/>
          <w:color w:val="auto"/>
        </w:rPr>
      </w:pPr>
    </w:p>
    <w:p>
      <w:pPr>
        <w:ind w:left="900" w:hanging="281"/>
        <w:spacing w:after="0"/>
        <w:tabs>
          <w:tab w:leader="none" w:pos="9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eliminate the ability of our stockholders to call special meetings of stockholders;</w:t>
      </w:r>
    </w:p>
    <w:p>
      <w:pPr>
        <w:spacing w:after="0" w:line="132" w:lineRule="exact"/>
        <w:rPr>
          <w:rFonts w:ascii="Arial" w:cs="Arial" w:eastAsia="Arial" w:hAnsi="Arial"/>
          <w:sz w:val="20"/>
          <w:szCs w:val="20"/>
          <w:color w:val="auto"/>
        </w:rPr>
      </w:pPr>
    </w:p>
    <w:p>
      <w:pPr>
        <w:ind w:left="900" w:right="380" w:hanging="281"/>
        <w:spacing w:after="0" w:line="277" w:lineRule="auto"/>
        <w:tabs>
          <w:tab w:leader="none" w:pos="9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prohibit stockholder action by written consent, which requires all stockholder actions to be taken at a meeting of our stockholders;</w:t>
      </w:r>
    </w:p>
    <w:p>
      <w:pPr>
        <w:spacing w:after="0" w:line="63" w:lineRule="exact"/>
        <w:rPr>
          <w:rFonts w:ascii="Arial" w:cs="Arial" w:eastAsia="Arial" w:hAnsi="Arial"/>
          <w:sz w:val="20"/>
          <w:szCs w:val="20"/>
          <w:color w:val="auto"/>
        </w:rPr>
      </w:pPr>
    </w:p>
    <w:p>
      <w:pPr>
        <w:ind w:left="900" w:hanging="281"/>
        <w:spacing w:after="0"/>
        <w:tabs>
          <w:tab w:leader="none" w:pos="9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prohibit cumulative voting;</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authorize our board of directors to amend the bylaws;</w:t>
      </w:r>
    </w:p>
    <w:p>
      <w:pPr>
        <w:spacing w:after="0" w:line="133" w:lineRule="exact"/>
        <w:rPr>
          <w:rFonts w:ascii="Arial" w:cs="Arial" w:eastAsia="Arial" w:hAnsi="Arial"/>
          <w:sz w:val="20"/>
          <w:szCs w:val="20"/>
          <w:color w:val="auto"/>
        </w:rPr>
      </w:pPr>
    </w:p>
    <w:p>
      <w:pPr>
        <w:ind w:left="900" w:right="120" w:hanging="281"/>
        <w:spacing w:after="0" w:line="277" w:lineRule="auto"/>
        <w:tabs>
          <w:tab w:leader="none" w:pos="9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establish advance notice requirements for nominations for election to our board or for proposing matters that can be acted upon by stockholders at annual stockholder meetings; and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9360"/>
          </w:cols>
          <w:pgMar w:left="1440" w:top="1420" w:right="1440" w:bottom="175" w:gutter="0" w:footer="0" w:header="0"/>
        </w:sectPr>
      </w:pPr>
    </w:p>
    <w:bookmarkStart w:id="90" w:name="page91"/>
    <w:bookmarkEnd w:id="90"/>
    <w:p>
      <w:pPr>
        <w:ind w:left="900" w:hanging="281"/>
        <w:spacing w:after="0"/>
        <w:tabs>
          <w:tab w:leader="none" w:pos="90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require a super-majority vote of stockholders to amend some provisions described above.</w:t>
      </w:r>
    </w:p>
    <w:p>
      <w:pPr>
        <w:spacing w:after="0" w:line="238" w:lineRule="exact"/>
        <w:rPr>
          <w:sz w:val="20"/>
          <w:szCs w:val="20"/>
          <w:color w:val="auto"/>
        </w:rPr>
      </w:pPr>
    </w:p>
    <w:p>
      <w:pPr>
        <w:ind w:right="320" w:firstLine="619"/>
        <w:spacing w:after="0" w:line="249" w:lineRule="auto"/>
        <w:rPr>
          <w:sz w:val="20"/>
          <w:szCs w:val="20"/>
          <w:color w:val="auto"/>
        </w:rPr>
      </w:pPr>
      <w:r>
        <w:rPr>
          <w:rFonts w:ascii="Times New Roman" w:cs="Times New Roman" w:eastAsia="Times New Roman" w:hAnsi="Times New Roman"/>
          <w:sz w:val="20"/>
          <w:szCs w:val="20"/>
          <w:color w:val="auto"/>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98" w:lineRule="exact"/>
        <w:rPr>
          <w:sz w:val="20"/>
          <w:szCs w:val="20"/>
          <w:color w:val="auto"/>
        </w:rPr>
      </w:pPr>
    </w:p>
    <w:p>
      <w:pPr>
        <w:ind w:right="340" w:firstLine="619"/>
        <w:spacing w:after="0" w:line="252" w:lineRule="auto"/>
        <w:rPr>
          <w:sz w:val="20"/>
          <w:szCs w:val="20"/>
          <w:color w:val="auto"/>
        </w:rPr>
      </w:pPr>
      <w:r>
        <w:rPr>
          <w:rFonts w:ascii="Times New Roman" w:cs="Times New Roman" w:eastAsia="Times New Roman" w:hAnsi="Times New Roman"/>
          <w:sz w:val="20"/>
          <w:szCs w:val="20"/>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313"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Our amended and restated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75" w:lineRule="exact"/>
        <w:rPr>
          <w:sz w:val="20"/>
          <w:szCs w:val="20"/>
          <w:color w:val="auto"/>
        </w:rPr>
      </w:pPr>
    </w:p>
    <w:p>
      <w:pPr>
        <w:ind w:right="220" w:firstLine="619"/>
        <w:spacing w:after="0" w:line="246" w:lineRule="auto"/>
        <w:rPr>
          <w:sz w:val="20"/>
          <w:szCs w:val="20"/>
          <w:color w:val="auto"/>
        </w:rPr>
      </w:pPr>
      <w:r>
        <w:rPr>
          <w:rFonts w:ascii="Times New Roman" w:cs="Times New Roman" w:eastAsia="Times New Roman" w:hAnsi="Times New Roman"/>
          <w:sz w:val="20"/>
          <w:szCs w:val="20"/>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94" w:lineRule="exact"/>
        <w:rPr>
          <w:sz w:val="20"/>
          <w:szCs w:val="20"/>
          <w:color w:val="auto"/>
        </w:rPr>
      </w:pPr>
    </w:p>
    <w:p>
      <w:pPr>
        <w:ind w:left="900" w:hanging="281"/>
        <w:spacing w:after="0"/>
        <w:tabs>
          <w:tab w:leader="none" w:pos="90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any derivative action or proceeding brought on our behalf;</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any action asserting a claim of breach of fiduciary duty;</w:t>
      </w:r>
    </w:p>
    <w:p>
      <w:pPr>
        <w:spacing w:after="0" w:line="132" w:lineRule="exact"/>
        <w:rPr>
          <w:rFonts w:ascii="Arial" w:cs="Arial" w:eastAsia="Arial" w:hAnsi="Arial"/>
          <w:sz w:val="20"/>
          <w:szCs w:val="20"/>
          <w:color w:val="auto"/>
        </w:rPr>
      </w:pPr>
    </w:p>
    <w:p>
      <w:pPr>
        <w:ind w:left="900" w:right="200" w:hanging="281"/>
        <w:spacing w:after="0" w:line="277" w:lineRule="auto"/>
        <w:tabs>
          <w:tab w:leader="none" w:pos="90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any action asserting a claim against us arising under the DGCL, our amended and restated certificate of incorporation or our amended and restated bylaws; and</w:t>
      </w:r>
    </w:p>
    <w:p>
      <w:pPr>
        <w:spacing w:after="0" w:line="63" w:lineRule="exact"/>
        <w:rPr>
          <w:rFonts w:ascii="Arial" w:cs="Arial" w:eastAsia="Arial" w:hAnsi="Arial"/>
          <w:sz w:val="20"/>
          <w:szCs w:val="20"/>
          <w:color w:val="auto"/>
        </w:rPr>
      </w:pPr>
    </w:p>
    <w:p>
      <w:pPr>
        <w:ind w:left="900" w:hanging="281"/>
        <w:spacing w:after="0"/>
        <w:tabs>
          <w:tab w:leader="none" w:pos="90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any action asserting a claim against us that is governed by the internal affairs doctrine.</w:t>
      </w:r>
    </w:p>
    <w:p>
      <w:pPr>
        <w:spacing w:after="0" w:line="238" w:lineRule="exact"/>
        <w:rPr>
          <w:sz w:val="20"/>
          <w:szCs w:val="20"/>
          <w:color w:val="auto"/>
        </w:rPr>
      </w:pPr>
    </w:p>
    <w:p>
      <w:pPr>
        <w:ind w:right="80" w:firstLine="619"/>
        <w:spacing w:after="0" w:line="259" w:lineRule="auto"/>
        <w:rPr>
          <w:sz w:val="20"/>
          <w:szCs w:val="20"/>
          <w:color w:val="auto"/>
        </w:rPr>
      </w:pPr>
      <w:r>
        <w:rPr>
          <w:rFonts w:ascii="Times New Roman" w:cs="Times New Roman" w:eastAsia="Times New Roman" w:hAnsi="Times New Roman"/>
          <w:sz w:val="20"/>
          <w:szCs w:val="20"/>
          <w:color w:val="auto"/>
        </w:rPr>
        <w:t>This provision would not apply to suits brought to enforce a duty or liability created by the Securities Act of 1933, as amended, or Securities Act, the Exchange Act or any other claim for which the U.S. federal courts have exclusive jurisdiction.</w:t>
      </w:r>
    </w:p>
    <w:p>
      <w:pPr>
        <w:spacing w:after="0" w:line="185" w:lineRule="exact"/>
        <w:rPr>
          <w:sz w:val="20"/>
          <w:szCs w:val="20"/>
          <w:color w:val="auto"/>
        </w:rPr>
      </w:pPr>
    </w:p>
    <w:p>
      <w:pPr>
        <w:ind w:right="320" w:firstLine="619"/>
        <w:spacing w:after="0" w:line="252" w:lineRule="auto"/>
        <w:rPr>
          <w:sz w:val="20"/>
          <w:szCs w:val="20"/>
          <w:color w:val="auto"/>
        </w:rPr>
      </w:pPr>
      <w:r>
        <w:rPr>
          <w:rFonts w:ascii="Times New Roman" w:cs="Times New Roman" w:eastAsia="Times New Roman" w:hAnsi="Times New Roman"/>
          <w:sz w:val="20"/>
          <w:szCs w:val="20"/>
          <w:color w:val="auto"/>
        </w:rPr>
        <w:t>Our amended and restated bylaws further provide that the federal district courts of the United States of America will be the exclusive forum for resolving any complaint asserting a cause of action arising under the Securities Act. We note that investors cannot waive compliance with the federal securities laws and the rules and regulations thereunder.</w:t>
      </w:r>
    </w:p>
    <w:p>
      <w:pPr>
        <w:spacing w:after="0" w:line="195" w:lineRule="exact"/>
        <w:rPr>
          <w:sz w:val="20"/>
          <w:szCs w:val="20"/>
          <w:color w:val="auto"/>
        </w:rPr>
      </w:pPr>
    </w:p>
    <w:p>
      <w:pPr>
        <w:ind w:right="20" w:firstLine="619"/>
        <w:spacing w:after="0" w:line="243" w:lineRule="auto"/>
        <w:rPr>
          <w:sz w:val="20"/>
          <w:szCs w:val="20"/>
          <w:color w:val="auto"/>
        </w:rPr>
      </w:pPr>
      <w:r>
        <w:rPr>
          <w:rFonts w:ascii="Times New Roman" w:cs="Times New Roman" w:eastAsia="Times New Roman" w:hAnsi="Times New Roman"/>
          <w:sz w:val="20"/>
          <w:szCs w:val="20"/>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these types of provisions to be inapplicable or unenforceable, and if a court were to find the exclusive forum provision in our amended and restated bylaws to be inapplicable or unenforceable in an action, we may incur additional costs associated with resolving the dispute in other jurisdictions, which could materially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9360"/>
          </w:cols>
          <w:pgMar w:left="1440" w:top="1435" w:right="1440" w:bottom="175" w:gutter="0" w:footer="0" w:header="0"/>
        </w:sectPr>
      </w:pPr>
    </w:p>
    <w:bookmarkStart w:id="91" w:name="page92"/>
    <w:bookmarkEnd w:id="91"/>
    <w:p>
      <w:pPr>
        <w:ind w:right="1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p>
    <w:p>
      <w:pPr>
        <w:spacing w:after="0" w:line="73" w:lineRule="exact"/>
        <w:rPr>
          <w:sz w:val="20"/>
          <w:szCs w:val="20"/>
          <w:color w:val="auto"/>
        </w:rPr>
      </w:pPr>
    </w:p>
    <w:p>
      <w:pPr>
        <w:ind w:right="160" w:firstLine="619"/>
        <w:spacing w:after="0" w:line="270" w:lineRule="auto"/>
        <w:rPr>
          <w:sz w:val="20"/>
          <w:szCs w:val="20"/>
          <w:color w:val="auto"/>
        </w:rPr>
      </w:pPr>
      <w:r>
        <w:rPr>
          <w:rFonts w:ascii="Times New Roman" w:cs="Times New Roman" w:eastAsia="Times New Roman" w:hAnsi="Times New Roman"/>
          <w:sz w:val="19"/>
          <w:szCs w:val="19"/>
          <w:color w:val="auto"/>
        </w:rPr>
        <w:t>We are subject to Section 404 of the Sarbanes-Oxley Act and the related rules of the SEC and Nasdaq, which, among other things, require that we maintain effective internal control over financial reporting. In addition, Section 404 requires our management to report on the effectiveness of our internal control over financial reporting. We are also required to disclose changes made in our internal controls and procedures on a quarterly basis.</w:t>
      </w:r>
    </w:p>
    <w:p>
      <w:pPr>
        <w:spacing w:after="0" w:line="177" w:lineRule="exact"/>
        <w:rPr>
          <w:sz w:val="20"/>
          <w:szCs w:val="20"/>
          <w:color w:val="auto"/>
        </w:rPr>
      </w:pPr>
    </w:p>
    <w:p>
      <w:pPr>
        <w:ind w:right="60" w:firstLine="619"/>
        <w:spacing w:after="0" w:line="244" w:lineRule="auto"/>
        <w:rPr>
          <w:sz w:val="20"/>
          <w:szCs w:val="20"/>
          <w:color w:val="auto"/>
        </w:rPr>
      </w:pPr>
      <w:r>
        <w:rPr>
          <w:rFonts w:ascii="Times New Roman" w:cs="Times New Roman" w:eastAsia="Times New Roman" w:hAnsi="Times New Roman"/>
          <w:sz w:val="20"/>
          <w:szCs w:val="20"/>
          <w:color w:val="auto"/>
        </w:rPr>
        <w:t>The requirements of these rules and regulations are difficult, time-consuming and costly, and place significant strain on our personnel, systems and resources. Effective internal controls over financial reporting are necessary for us to provide reliable financial reports and, together with adequate disclosure controls and procedures, are designed to prevent fraud. In order to maintain and improve the effectiveness of our disclosure controls and procedures and internal control over financial reporting, we have expended and anticipate we will continue to expend significant resources, including accounting-related costs, and provide significant management oversight. Any failure to implement required new or improved controls, or difficulties encountered in their implementation could cause us to fail to meet our reporting obligations. In addition, if we are unable to continue to meet these requirements, we may not be able to remain listed on the Nasdaq Global Select Market.</w:t>
      </w:r>
    </w:p>
    <w:p>
      <w:pPr>
        <w:spacing w:after="0" w:line="206" w:lineRule="exact"/>
        <w:rPr>
          <w:sz w:val="20"/>
          <w:szCs w:val="20"/>
          <w:color w:val="auto"/>
        </w:rPr>
      </w:pPr>
    </w:p>
    <w:p>
      <w:pPr>
        <w:ind w:right="180" w:firstLine="619"/>
        <w:spacing w:after="0" w:line="249" w:lineRule="auto"/>
        <w:rPr>
          <w:sz w:val="20"/>
          <w:szCs w:val="20"/>
          <w:color w:val="auto"/>
        </w:rPr>
      </w:pPr>
      <w:r>
        <w:rPr>
          <w:rFonts w:ascii="Times New Roman" w:cs="Times New Roman" w:eastAsia="Times New Roman" w:hAnsi="Times New Roman"/>
          <w:sz w:val="20"/>
          <w:szCs w:val="20"/>
          <w:color w:val="auto"/>
        </w:rPr>
        <w:t>Any testing by us conducted in connection with Section 404, or any subsequent testing, may reveal deficiencies in our internal controls over financial reporting that are deemed to be material weaknesses or that may require prospective or retroactive changes to our financial statements or identify other areas for further attention or improvement. In addition, undetected material weaknesses in our internal controls over financial reporting could lead to restatements of our financial statements and require us to incur the expense of remediation.</w:t>
      </w:r>
    </w:p>
    <w:p>
      <w:pPr>
        <w:spacing w:after="0" w:line="197"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20"/>
          <w:szCs w:val="20"/>
          <w:color w:val="auto"/>
        </w:rPr>
        <w:t>If we are unable to assert that our internal control over financial reporting is effective, we could lose investor confidence in the accuracy and completeness of our financial reports, which would cause the price of our common stock to decline, and we may be subject to investigation or sanctions by the SEC.</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disclosure controls and procedures may not prevent or detect all errors or acts of fraud.</w:t>
      </w:r>
    </w:p>
    <w:p>
      <w:pPr>
        <w:spacing w:after="0" w:line="120"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20"/>
          <w:szCs w:val="20"/>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99" w:lineRule="exact"/>
        <w:rPr>
          <w:sz w:val="20"/>
          <w:szCs w:val="20"/>
          <w:color w:val="auto"/>
        </w:rPr>
      </w:pPr>
    </w:p>
    <w:p>
      <w:pPr>
        <w:ind w:right="160" w:firstLine="619"/>
        <w:spacing w:after="0" w:line="249" w:lineRule="auto"/>
        <w:rPr>
          <w:sz w:val="20"/>
          <w:szCs w:val="20"/>
          <w:color w:val="auto"/>
        </w:rPr>
      </w:pPr>
      <w:r>
        <w:rPr>
          <w:rFonts w:ascii="Times New Roman" w:cs="Times New Roman" w:eastAsia="Times New Roman" w:hAnsi="Times New Roman"/>
          <w:sz w:val="20"/>
          <w:szCs w:val="20"/>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318" w:lineRule="exact"/>
        <w:rPr>
          <w:sz w:val="20"/>
          <w:szCs w:val="20"/>
          <w:color w:val="auto"/>
        </w:rPr>
      </w:pPr>
    </w:p>
    <w:p>
      <w:pPr>
        <w:ind w:right="8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are subject to increased risk of securities class action litigation, which is expensive and could divert management attention.</w:t>
      </w:r>
    </w:p>
    <w:p>
      <w:pPr>
        <w:spacing w:after="0" w:line="49" w:lineRule="exact"/>
        <w:rPr>
          <w:sz w:val="20"/>
          <w:szCs w:val="20"/>
          <w:color w:val="auto"/>
        </w:rPr>
      </w:pPr>
    </w:p>
    <w:p>
      <w:pPr>
        <w:ind w:right="320" w:firstLine="619"/>
        <w:spacing w:after="0" w:line="247" w:lineRule="auto"/>
        <w:rPr>
          <w:sz w:val="20"/>
          <w:szCs w:val="20"/>
          <w:color w:val="auto"/>
        </w:rPr>
      </w:pPr>
      <w:r>
        <w:rPr>
          <w:rFonts w:ascii="Times New Roman" w:cs="Times New Roman" w:eastAsia="Times New Roman" w:hAnsi="Times New Roman"/>
          <w:sz w:val="20"/>
          <w:szCs w:val="20"/>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This risk is especially relevant for us because biotechnology and pharmaceutical companies have experienced significant stock price volatility in recent years. Securities litigation against us could result in substantial costs and divert our management’s attention from other business concerns, which could materially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9360"/>
          </w:cols>
          <w:pgMar w:left="1440" w:top="1420" w:right="1440" w:bottom="175" w:gutter="0" w:footer="0" w:header="0"/>
        </w:sectPr>
      </w:pPr>
    </w:p>
    <w:bookmarkStart w:id="92" w:name="page93"/>
    <w:bookmarkEnd w:id="92"/>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operating results may fluctuate significantly, which makes our future operating results difficult to predict and could cause our operating results to fall below expectations.</w:t>
      </w:r>
    </w:p>
    <w:p>
      <w:pPr>
        <w:spacing w:after="0" w:line="49" w:lineRule="exact"/>
        <w:rPr>
          <w:sz w:val="20"/>
          <w:szCs w:val="20"/>
          <w:color w:val="auto"/>
        </w:rPr>
      </w:pPr>
    </w:p>
    <w:p>
      <w:pPr>
        <w:ind w:right="60" w:firstLine="619"/>
        <w:spacing w:after="0" w:line="247" w:lineRule="auto"/>
        <w:rPr>
          <w:sz w:val="20"/>
          <w:szCs w:val="20"/>
          <w:color w:val="auto"/>
        </w:rPr>
      </w:pPr>
      <w:r>
        <w:rPr>
          <w:rFonts w:ascii="Times New Roman" w:cs="Times New Roman" w:eastAsia="Times New Roman" w:hAnsi="Times New Roman"/>
          <w:sz w:val="20"/>
          <w:szCs w:val="20"/>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200"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20"/>
          <w:szCs w:val="20"/>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our underlying stock price and stock price volatility, the magnitude of the expense that we must recognize may vary significantly.</w:t>
      </w:r>
    </w:p>
    <w:p>
      <w:pPr>
        <w:spacing w:after="0" w:line="197" w:lineRule="exact"/>
        <w:rPr>
          <w:sz w:val="20"/>
          <w:szCs w:val="20"/>
          <w:color w:val="auto"/>
        </w:rPr>
      </w:pPr>
    </w:p>
    <w:p>
      <w:pPr>
        <w:ind w:right="60" w:firstLine="619"/>
        <w:spacing w:after="0" w:line="278" w:lineRule="auto"/>
        <w:rPr>
          <w:sz w:val="20"/>
          <w:szCs w:val="20"/>
          <w:color w:val="auto"/>
        </w:rPr>
      </w:pPr>
      <w:r>
        <w:rPr>
          <w:rFonts w:ascii="Times New Roman" w:cs="Times New Roman" w:eastAsia="Times New Roman" w:hAnsi="Times New Roman"/>
          <w:sz w:val="20"/>
          <w:szCs w:val="20"/>
          <w:color w:val="auto"/>
        </w:rPr>
        <w:t>Furthermore, our operating results may fluctuate due to a variety of other factors, many of which are outside of our control and may be difficult to predict, including the following:</w:t>
      </w:r>
    </w:p>
    <w:p>
      <w:pPr>
        <w:spacing w:after="0" w:line="61" w:lineRule="exact"/>
        <w:rPr>
          <w:sz w:val="20"/>
          <w:szCs w:val="20"/>
          <w:color w:val="auto"/>
        </w:rPr>
      </w:pPr>
    </w:p>
    <w:p>
      <w:pPr>
        <w:ind w:left="900" w:right="300" w:hanging="281"/>
        <w:spacing w:after="0" w:line="259" w:lineRule="auto"/>
        <w:tabs>
          <w:tab w:leader="none" w:pos="90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78" w:lineRule="exact"/>
        <w:rPr>
          <w:rFonts w:ascii="Arial" w:cs="Arial" w:eastAsia="Arial" w:hAnsi="Arial"/>
          <w:sz w:val="20"/>
          <w:szCs w:val="20"/>
          <w:color w:val="auto"/>
        </w:rPr>
      </w:pPr>
    </w:p>
    <w:p>
      <w:pPr>
        <w:ind w:left="900" w:hanging="281"/>
        <w:spacing w:after="0"/>
        <w:tabs>
          <w:tab w:leader="none" w:pos="90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enroll patients in clinical trials and the timing of enrollment;</w:t>
      </w:r>
    </w:p>
    <w:p>
      <w:pPr>
        <w:spacing w:after="0" w:line="133" w:lineRule="exact"/>
        <w:rPr>
          <w:rFonts w:ascii="Arial" w:cs="Arial" w:eastAsia="Arial" w:hAnsi="Arial"/>
          <w:sz w:val="20"/>
          <w:szCs w:val="20"/>
          <w:color w:val="auto"/>
        </w:rPr>
      </w:pPr>
    </w:p>
    <w:p>
      <w:pPr>
        <w:jc w:val="both"/>
        <w:ind w:left="900" w:right="180" w:hanging="281"/>
        <w:spacing w:after="0" w:line="258" w:lineRule="auto"/>
        <w:tabs>
          <w:tab w:leader="none" w:pos="90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manufacturing our current product candidates and any future product candidates, which may vary depending on FDA or other comparable foreign regulatory authority guidelines and requirements, the quantity of production and the terms of our agreements with manufacturers;</w:t>
      </w:r>
    </w:p>
    <w:p>
      <w:pPr>
        <w:spacing w:after="0" w:line="81" w:lineRule="exact"/>
        <w:rPr>
          <w:rFonts w:ascii="Arial" w:cs="Arial" w:eastAsia="Arial" w:hAnsi="Arial"/>
          <w:sz w:val="20"/>
          <w:szCs w:val="20"/>
          <w:color w:val="auto"/>
        </w:rPr>
      </w:pPr>
    </w:p>
    <w:p>
      <w:pPr>
        <w:ind w:left="900" w:right="880" w:hanging="281"/>
        <w:spacing w:after="0" w:line="276" w:lineRule="auto"/>
        <w:tabs>
          <w:tab w:leader="none" w:pos="90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expenditures that we will or may incur to acquire or develop additional product candidates and technologies or other assets;</w:t>
      </w:r>
    </w:p>
    <w:p>
      <w:pPr>
        <w:spacing w:after="0" w:line="64" w:lineRule="exact"/>
        <w:rPr>
          <w:rFonts w:ascii="Arial" w:cs="Arial" w:eastAsia="Arial" w:hAnsi="Arial"/>
          <w:sz w:val="20"/>
          <w:szCs w:val="20"/>
          <w:color w:val="auto"/>
        </w:rPr>
      </w:pPr>
    </w:p>
    <w:p>
      <w:pPr>
        <w:ind w:left="900" w:right="680" w:hanging="281"/>
        <w:spacing w:after="0" w:line="277" w:lineRule="auto"/>
        <w:tabs>
          <w:tab w:leader="none" w:pos="90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outcomes of clinical trials for our future product candidates, or competing product candidates;</w:t>
      </w:r>
    </w:p>
    <w:p>
      <w:pPr>
        <w:spacing w:after="0" w:line="62" w:lineRule="exact"/>
        <w:rPr>
          <w:rFonts w:ascii="Arial" w:cs="Arial" w:eastAsia="Arial" w:hAnsi="Arial"/>
          <w:sz w:val="20"/>
          <w:szCs w:val="20"/>
          <w:color w:val="auto"/>
        </w:rPr>
      </w:pPr>
    </w:p>
    <w:p>
      <w:pPr>
        <w:ind w:left="900" w:hanging="281"/>
        <w:spacing w:after="0"/>
        <w:tabs>
          <w:tab w:leader="none" w:pos="90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the need to conduct unanticipated clinical trials or trials that are larger or more complex than anticipated;</w:t>
      </w:r>
    </w:p>
    <w:p>
      <w:pPr>
        <w:spacing w:after="0" w:line="133" w:lineRule="exact"/>
        <w:rPr>
          <w:rFonts w:ascii="Arial" w:cs="Arial" w:eastAsia="Arial" w:hAnsi="Arial"/>
          <w:sz w:val="20"/>
          <w:szCs w:val="20"/>
          <w:color w:val="auto"/>
        </w:rPr>
      </w:pPr>
    </w:p>
    <w:p>
      <w:pPr>
        <w:ind w:left="900" w:hanging="281"/>
        <w:spacing w:after="0" w:line="258" w:lineRule="auto"/>
        <w:tabs>
          <w:tab w:leader="none" w:pos="90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competition from existing and potential future products that compete with our product candidates and any of our future product candidates, and changes in the competitive landscape of our industry, including consolidation among our competitors or partners;</w:t>
      </w:r>
    </w:p>
    <w:p>
      <w:pPr>
        <w:spacing w:after="0" w:line="81" w:lineRule="exact"/>
        <w:rPr>
          <w:rFonts w:ascii="Arial" w:cs="Arial" w:eastAsia="Arial" w:hAnsi="Arial"/>
          <w:sz w:val="20"/>
          <w:szCs w:val="20"/>
          <w:color w:val="auto"/>
        </w:rPr>
      </w:pPr>
    </w:p>
    <w:p>
      <w:pPr>
        <w:ind w:left="900" w:hanging="281"/>
        <w:spacing w:after="0"/>
        <w:tabs>
          <w:tab w:leader="none" w:pos="90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any delays in regulatory review or approval of our product candidates;</w:t>
      </w:r>
    </w:p>
    <w:p>
      <w:pPr>
        <w:spacing w:after="0" w:line="132" w:lineRule="exact"/>
        <w:rPr>
          <w:rFonts w:ascii="Arial" w:cs="Arial" w:eastAsia="Arial" w:hAnsi="Arial"/>
          <w:sz w:val="20"/>
          <w:szCs w:val="20"/>
          <w:color w:val="auto"/>
        </w:rPr>
      </w:pPr>
    </w:p>
    <w:p>
      <w:pPr>
        <w:ind w:left="900" w:right="60" w:hanging="281"/>
        <w:spacing w:after="0" w:line="277" w:lineRule="auto"/>
        <w:tabs>
          <w:tab w:leader="none" w:pos="90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the level of demand for our future product candidates, if approved, which may fluctuate significantly and be difficult to predict;</w:t>
      </w:r>
    </w:p>
    <w:p>
      <w:pPr>
        <w:spacing w:after="0" w:line="63" w:lineRule="exact"/>
        <w:rPr>
          <w:rFonts w:ascii="Arial" w:cs="Arial" w:eastAsia="Arial" w:hAnsi="Arial"/>
          <w:sz w:val="20"/>
          <w:szCs w:val="20"/>
          <w:color w:val="auto"/>
        </w:rPr>
      </w:pPr>
    </w:p>
    <w:p>
      <w:pPr>
        <w:ind w:left="900" w:right="680" w:hanging="281"/>
        <w:spacing w:after="0" w:line="276" w:lineRule="auto"/>
        <w:tabs>
          <w:tab w:leader="none" w:pos="90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the risk/benefit profile, cost and reimbursement policies with respect to our product candidates, if approved, and existing and potential future products that compete with our product candidates;</w:t>
      </w:r>
    </w:p>
    <w:p>
      <w:pPr>
        <w:spacing w:after="0" w:line="64" w:lineRule="exact"/>
        <w:rPr>
          <w:rFonts w:ascii="Arial" w:cs="Arial" w:eastAsia="Arial" w:hAnsi="Arial"/>
          <w:sz w:val="20"/>
          <w:szCs w:val="20"/>
          <w:color w:val="auto"/>
        </w:rPr>
      </w:pPr>
    </w:p>
    <w:p>
      <w:pPr>
        <w:ind w:left="900" w:right="80" w:hanging="281"/>
        <w:spacing w:after="0" w:line="277" w:lineRule="auto"/>
        <w:tabs>
          <w:tab w:leader="none" w:pos="90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commercialize our product candidates, if approved, inside and outside of the United States, either independently or working with third parties;</w:t>
      </w:r>
    </w:p>
    <w:p>
      <w:pPr>
        <w:spacing w:after="0" w:line="62" w:lineRule="exact"/>
        <w:rPr>
          <w:rFonts w:ascii="Arial" w:cs="Arial" w:eastAsia="Arial" w:hAnsi="Arial"/>
          <w:sz w:val="20"/>
          <w:szCs w:val="20"/>
          <w:color w:val="auto"/>
        </w:rPr>
      </w:pPr>
    </w:p>
    <w:p>
      <w:pPr>
        <w:ind w:left="900" w:hanging="281"/>
        <w:spacing w:after="0"/>
        <w:tabs>
          <w:tab w:leader="none" w:pos="90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establish and maintain future collaborations, licensing or other arrangements;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adequately support future growth;</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unforeseen business disruptions that increase our costs or expenses;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future accounting pronouncements or changes in our accounting policies; and</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the changing and volatile global economic and political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9360"/>
          </w:cols>
          <w:pgMar w:left="1440" w:top="1420" w:right="1440" w:bottom="175" w:gutter="0" w:footer="0" w:header="0"/>
        </w:sectPr>
      </w:pPr>
    </w:p>
    <w:bookmarkStart w:id="93" w:name="page94"/>
    <w:bookmarkEnd w:id="93"/>
    <w:p>
      <w:pPr>
        <w:ind w:right="100" w:firstLine="619"/>
        <w:spacing w:after="0" w:line="245" w:lineRule="auto"/>
        <w:rPr>
          <w:sz w:val="20"/>
          <w:szCs w:val="20"/>
          <w:color w:val="auto"/>
        </w:rPr>
      </w:pPr>
      <w:r>
        <w:rPr>
          <w:rFonts w:ascii="Times New Roman" w:cs="Times New Roman" w:eastAsia="Times New Roman" w:hAnsi="Times New Roman"/>
          <w:sz w:val="20"/>
          <w:szCs w:val="20"/>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None.</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122" w:lineRule="exact"/>
        <w:rPr>
          <w:sz w:val="20"/>
          <w:szCs w:val="20"/>
          <w:color w:val="auto"/>
        </w:rPr>
      </w:pPr>
    </w:p>
    <w:p>
      <w:pPr>
        <w:ind w:right="480" w:firstLine="619"/>
        <w:spacing w:after="0" w:line="249" w:lineRule="auto"/>
        <w:rPr>
          <w:sz w:val="20"/>
          <w:szCs w:val="20"/>
          <w:color w:val="auto"/>
        </w:rPr>
      </w:pPr>
      <w:r>
        <w:rPr>
          <w:rFonts w:ascii="Times New Roman" w:cs="Times New Roman" w:eastAsia="Times New Roman" w:hAnsi="Times New Roman"/>
          <w:sz w:val="20"/>
          <w:szCs w:val="20"/>
          <w:color w:val="auto"/>
        </w:rPr>
        <w:t>We have established policies and processes for assessing, identifying, and managing material risk from cybersecurity threats, and have integrated these processes into our overall risk management systems and processes. 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w:t>
      </w:r>
    </w:p>
    <w:p>
      <w:pPr>
        <w:spacing w:after="0" w:line="198" w:lineRule="exact"/>
        <w:rPr>
          <w:sz w:val="20"/>
          <w:szCs w:val="20"/>
          <w:color w:val="auto"/>
        </w:rPr>
      </w:pPr>
    </w:p>
    <w:p>
      <w:pPr>
        <w:ind w:right="180" w:firstLine="619"/>
        <w:spacing w:after="0" w:line="249" w:lineRule="auto"/>
        <w:rPr>
          <w:sz w:val="20"/>
          <w:szCs w:val="20"/>
          <w:color w:val="auto"/>
        </w:rPr>
      </w:pPr>
      <w:r>
        <w:rPr>
          <w:rFonts w:ascii="Times New Roman" w:cs="Times New Roman" w:eastAsia="Times New Roman" w:hAnsi="Times New Roman"/>
          <w:sz w:val="20"/>
          <w:szCs w:val="20"/>
          <w:color w:val="auto"/>
        </w:rPr>
        <w:t>We conduct periodic risk assessments to identify cybersecurity threats and assessments in the event of a material change in our business practices that may affect information systems that are vulnerable to such cybersecurity threats. These risk assessments include the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197"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20"/>
          <w:szCs w:val="20"/>
          <w:color w:val="auto"/>
        </w:rPr>
        <w:t>Following these risk assessments, we re-design, implement, and maintain reasonable safeguards to minimize identified risks, reasonably address any identified gaps in existing safeguards, and regularly monitor the effectiveness of our safeguards. We devote significant resources and designate high-level personnel, including our VP of Information Technology, who reports to our General Counsel &amp; Chief Operating Officer, to manage the risk assessment and mitigation process.</w:t>
      </w:r>
    </w:p>
    <w:p>
      <w:pPr>
        <w:spacing w:after="0" w:line="197" w:lineRule="exact"/>
        <w:rPr>
          <w:sz w:val="20"/>
          <w:szCs w:val="20"/>
          <w:color w:val="auto"/>
        </w:rPr>
      </w:pPr>
    </w:p>
    <w:p>
      <w:pPr>
        <w:ind w:right="100" w:firstLine="619"/>
        <w:spacing w:after="0" w:line="249" w:lineRule="auto"/>
        <w:rPr>
          <w:sz w:val="20"/>
          <w:szCs w:val="20"/>
          <w:color w:val="auto"/>
        </w:rPr>
      </w:pPr>
      <w:r>
        <w:rPr>
          <w:rFonts w:ascii="Times New Roman" w:cs="Times New Roman" w:eastAsia="Times New Roman" w:hAnsi="Times New Roman"/>
          <w:sz w:val="20"/>
          <w:szCs w:val="20"/>
          <w:color w:val="auto"/>
        </w:rPr>
        <w:t>As part of our overall risk management system, we monitor and test our safeguards and train our employees on these safeguards in collaboration with management. Personnel at all levels and departments know our cybersecurity policies through training. Random attack simulations are conducted monthly to familiarize all personnel with various phishing methods with positive reinforcement on identifying and reporting suspicious content to the IT Department.</w:t>
      </w:r>
    </w:p>
    <w:p>
      <w:pPr>
        <w:spacing w:after="0" w:line="197" w:lineRule="exact"/>
        <w:rPr>
          <w:sz w:val="20"/>
          <w:szCs w:val="20"/>
          <w:color w:val="auto"/>
        </w:rPr>
      </w:pPr>
    </w:p>
    <w:p>
      <w:pPr>
        <w:ind w:right="60" w:firstLine="619"/>
        <w:spacing w:after="0" w:line="247" w:lineRule="auto"/>
        <w:rPr>
          <w:sz w:val="20"/>
          <w:szCs w:val="20"/>
          <w:color w:val="auto"/>
        </w:rPr>
      </w:pPr>
      <w:r>
        <w:rPr>
          <w:rFonts w:ascii="Times New Roman" w:cs="Times New Roman" w:eastAsia="Times New Roman" w:hAnsi="Times New Roman"/>
          <w:sz w:val="20"/>
          <w:szCs w:val="20"/>
          <w:color w:val="auto"/>
        </w:rPr>
        <w:t>We engage third parties like a penetration testing firm and our managed service provider in connection with our risk assessment processes. These service providers assist us in identifying vulnerabilities to design and implement, suggesting remediation of our cybersecurity policies and procedures, as well as monitor and test our safeguards. We require each third-party service provider to implement and maintain reasonable security measures in connection with their work with us, and to promptly report any suspected breach of its security measures that may affect our company.</w:t>
      </w:r>
    </w:p>
    <w:p>
      <w:pPr>
        <w:spacing w:after="0" w:line="200"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20"/>
          <w:szCs w:val="20"/>
          <w:color w:val="auto"/>
        </w:rPr>
        <w:t>For additional information regarding whether any risks from cybersecurity threats, including as a result of any previous cybersecurity incidents, have materially affected or are reasonably likely to materially affect our company, including our business strategy, results of operations, or financial condition, please refer to “Item 1A. Risk Factors,” in this Annual Report on Form 10-K, including the risk factors entitled “Our internal computer systems, or those of any of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9360"/>
          </w:cols>
          <w:pgMar w:left="1440" w:top="1420" w:right="1440" w:bottom="175"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122" w:lineRule="exact"/>
        <w:rPr>
          <w:sz w:val="20"/>
          <w:szCs w:val="20"/>
          <w:color w:val="auto"/>
        </w:rPr>
      </w:pPr>
    </w:p>
    <w:p>
      <w:pPr>
        <w:ind w:right="320" w:firstLine="619"/>
        <w:spacing w:after="0" w:line="252" w:lineRule="auto"/>
        <w:rPr>
          <w:sz w:val="20"/>
          <w:szCs w:val="20"/>
          <w:color w:val="auto"/>
        </w:rPr>
      </w:pPr>
      <w:r>
        <w:rPr>
          <w:rFonts w:ascii="Times New Roman" w:cs="Times New Roman" w:eastAsia="Times New Roman" w:hAnsi="Times New Roman"/>
          <w:sz w:val="20"/>
          <w:szCs w:val="20"/>
          <w:color w:val="auto"/>
        </w:rPr>
        <w:t>One of the key functions of our board of directors is oversight of our risk management process, including risks from cybersecurity threats. Our board of directors is responsible for monitoring and assessing strategic risk exposure, and our executive officers manage the material risks we face. Our board of directors administers its cybersecurity risk oversight function directly as a whole and through the audit committee.</w:t>
      </w:r>
    </w:p>
    <w:p>
      <w:pPr>
        <w:spacing w:after="0" w:line="195"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20"/>
          <w:szCs w:val="20"/>
          <w:color w:val="auto"/>
        </w:rPr>
        <w:t>Our VP of Information Technology, and our management committee on cybersecurity, which includes our audit committee, are primarily responsible for assessing and managing our material risks from cybersecurity threats. The VP of Information Technology has twenty years of experience in IT on-premise and cloud infrastructure, enterprise applications, and operations across large and mid-size life science companies with a focus on IT controls for compliance and security.</w:t>
      </w:r>
    </w:p>
    <w:p>
      <w:pPr>
        <w:spacing w:after="0" w:line="197"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20"/>
          <w:szCs w:val="20"/>
          <w:color w:val="auto"/>
        </w:rPr>
        <w:t>Our VP of Information Technology oversees our cybersecurity policies and processes, including those described in “Risk Management and Strategy” above. The processes by which our VP of Information Technology or department designee are informed about and monitor the prevention, detection, mitigation and remediation of cybersecurity incidents include weekly assessments for all endpoints and real-time notifications from security solutions, which include a combination of cloud and client-based applications.</w:t>
      </w:r>
    </w:p>
    <w:p>
      <w:pPr>
        <w:spacing w:after="0" w:line="197"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20"/>
          <w:szCs w:val="20"/>
          <w:color w:val="auto"/>
        </w:rPr>
        <w:t>Our VP of Information Technology provides annual briefings to the audit committee regarding our cybersecurity risks and activities, including any recent cybersecurity incidents and related responses, cybersecurity systems testing, activities of third parties, and the like. Our audit committee provides regular updates to the board of directors on such reports. In addition, our VP of Information Technology or department designee provides annual briefings to the board of directors on cybersecurity risks and activities.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24" w:lineRule="exact"/>
        <w:rPr>
          <w:sz w:val="20"/>
          <w:szCs w:val="20"/>
          <w:color w:val="auto"/>
        </w:rPr>
      </w:pPr>
    </w:p>
    <w:p>
      <w:pPr>
        <w:ind w:right="40" w:firstLine="619"/>
        <w:spacing w:after="0" w:line="278" w:lineRule="auto"/>
        <w:rPr>
          <w:sz w:val="20"/>
          <w:szCs w:val="20"/>
          <w:color w:val="auto"/>
        </w:rPr>
      </w:pPr>
      <w:r>
        <w:rPr>
          <w:rFonts w:ascii="Times New Roman" w:cs="Times New Roman" w:eastAsia="Times New Roman" w:hAnsi="Times New Roman"/>
          <w:sz w:val="20"/>
          <w:szCs w:val="20"/>
          <w:color w:val="auto"/>
        </w:rPr>
        <w:t>Our corporate headquarters is located at 400 Alexander Park Drive, Suite 301, Princeton, New Jersey 08540, where we sublease 14,201 square feet of office space. This lease term extends through 2027.</w:t>
      </w:r>
    </w:p>
    <w:p>
      <w:pPr>
        <w:spacing w:after="0" w:line="167" w:lineRule="exact"/>
        <w:rPr>
          <w:sz w:val="20"/>
          <w:szCs w:val="20"/>
          <w:color w:val="auto"/>
        </w:rPr>
      </w:pPr>
    </w:p>
    <w:p>
      <w:pPr>
        <w:jc w:val="both"/>
        <w:ind w:right="760" w:firstLine="619"/>
        <w:spacing w:after="0" w:line="278" w:lineRule="auto"/>
        <w:rPr>
          <w:sz w:val="20"/>
          <w:szCs w:val="20"/>
          <w:color w:val="auto"/>
        </w:rPr>
      </w:pPr>
      <w:r>
        <w:rPr>
          <w:rFonts w:ascii="Times New Roman" w:cs="Times New Roman" w:eastAsia="Times New Roman" w:hAnsi="Times New Roman"/>
          <w:sz w:val="20"/>
          <w:szCs w:val="20"/>
          <w:color w:val="auto"/>
        </w:rPr>
        <w:t>We also sublease 3,205 square feet of laboratory space located at 311 Pennington Rocky Hill Road, Hopewell, New Jersey 08534. This lease term extends through 2029, and has a three-year extension option.</w:t>
      </w:r>
    </w:p>
    <w:p>
      <w:pPr>
        <w:spacing w:after="0" w:line="168" w:lineRule="exact"/>
        <w:rPr>
          <w:sz w:val="20"/>
          <w:szCs w:val="20"/>
          <w:color w:val="auto"/>
        </w:rPr>
      </w:pPr>
    </w:p>
    <w:p>
      <w:pPr>
        <w:ind w:right="160" w:firstLine="619"/>
        <w:spacing w:after="0" w:line="258" w:lineRule="auto"/>
        <w:rPr>
          <w:sz w:val="20"/>
          <w:szCs w:val="20"/>
          <w:color w:val="auto"/>
        </w:rPr>
      </w:pPr>
      <w:r>
        <w:rPr>
          <w:rFonts w:ascii="Times New Roman" w:cs="Times New Roman" w:eastAsia="Times New Roman" w:hAnsi="Times New Roman"/>
          <w:sz w:val="20"/>
          <w:szCs w:val="20"/>
          <w:color w:val="auto"/>
        </w:rPr>
        <w:t>We believe that our current facilities are suitable and adequate for our current and near term conduct of our business operations and that suitable additional or substitute space at commercially reasonable terms will be available as needed to accommodate any future expansion of our operations.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23" w:lineRule="exact"/>
        <w:rPr>
          <w:sz w:val="20"/>
          <w:szCs w:val="20"/>
          <w:color w:val="auto"/>
        </w:rPr>
      </w:pPr>
    </w:p>
    <w:p>
      <w:pPr>
        <w:ind w:right="300" w:firstLine="619"/>
        <w:spacing w:after="0" w:line="246" w:lineRule="auto"/>
        <w:rPr>
          <w:sz w:val="20"/>
          <w:szCs w:val="20"/>
          <w:color w:val="auto"/>
        </w:rPr>
      </w:pPr>
      <w:r>
        <w:rPr>
          <w:rFonts w:ascii="Times New Roman" w:cs="Times New Roman" w:eastAsia="Times New Roman" w:hAnsi="Times New Roman"/>
          <w:sz w:val="20"/>
          <w:szCs w:val="20"/>
          <w:color w:val="auto"/>
        </w:rPr>
        <w:t>From time to time, we may become involved in legal proceedings arising in the ordinary course of our business. As of March 3, 2025, we were not a party to any legal matters or claims that, in the opinion of management, are likely to have a material effect on our business. In the future, we may become party to legal matters and claims in the ordinary course of business, the resolution of which we do not anticipate would have a material adverse impact on our financial position, results of operations or cash flows. Regardless of outcome, litigation, or other legal proceedings can have an adverse impact on us because of legal fees and settlement costs, diversion of management resources, and other factors.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9360"/>
          </w:cols>
          <w:pgMar w:left="1440" w:top="1404" w:right="1440" w:bottom="175"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28" w:lineRule="exact"/>
        <w:rPr>
          <w:sz w:val="20"/>
          <w:szCs w:val="20"/>
          <w:color w:val="auto"/>
        </w:rPr>
      </w:pPr>
    </w:p>
    <w:p>
      <w:pPr>
        <w:ind w:right="560"/>
        <w:spacing w:after="0" w:line="271"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110" w:lineRule="exact"/>
        <w:rPr>
          <w:sz w:val="20"/>
          <w:szCs w:val="20"/>
          <w:color w:val="auto"/>
        </w:rPr>
      </w:pPr>
    </w:p>
    <w:p>
      <w:pPr>
        <w:ind w:right="340" w:firstLine="619"/>
        <w:spacing w:after="0" w:line="264" w:lineRule="auto"/>
        <w:rPr>
          <w:sz w:val="20"/>
          <w:szCs w:val="20"/>
          <w:color w:val="auto"/>
        </w:rPr>
      </w:pPr>
      <w:r>
        <w:rPr>
          <w:rFonts w:ascii="Times New Roman" w:cs="Times New Roman" w:eastAsia="Times New Roman" w:hAnsi="Times New Roman"/>
          <w:sz w:val="20"/>
          <w:szCs w:val="20"/>
          <w:color w:val="auto"/>
        </w:rPr>
        <w:t>Our common stock has been listed on the Nasdaq Global Select Market under the symbol “PMVP” since September 25, 2020. Prior to that date there was no public trading market for our common stock.</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w:t>
      </w:r>
    </w:p>
    <w:p>
      <w:pPr>
        <w:spacing w:after="0" w:line="110" w:lineRule="exact"/>
        <w:rPr>
          <w:sz w:val="20"/>
          <w:szCs w:val="20"/>
          <w:color w:val="auto"/>
        </w:rPr>
      </w:pPr>
    </w:p>
    <w:p>
      <w:pPr>
        <w:ind w:firstLine="619"/>
        <w:spacing w:after="0" w:line="239" w:lineRule="auto"/>
        <w:rPr>
          <w:sz w:val="20"/>
          <w:szCs w:val="20"/>
          <w:color w:val="auto"/>
        </w:rPr>
      </w:pPr>
      <w:r>
        <w:rPr>
          <w:rFonts w:ascii="Times New Roman" w:cs="Times New Roman" w:eastAsia="Times New Roman" w:hAnsi="Times New Roman"/>
          <w:sz w:val="20"/>
          <w:szCs w:val="20"/>
          <w:color w:val="auto"/>
        </w:rPr>
        <w:t xml:space="preserve">As of </w:t>
      </w:r>
      <w:r>
        <w:rPr>
          <w:rFonts w:ascii="Times New Roman" w:cs="Times New Roman" w:eastAsia="Times New Roman" w:hAnsi="Times New Roman"/>
          <w:sz w:val="20"/>
          <w:szCs w:val="20"/>
          <w:color w:val="181818"/>
        </w:rPr>
        <w:t>March 3, 2025</w:t>
      </w:r>
      <w:r>
        <w:rPr>
          <w:rFonts w:ascii="Times New Roman" w:cs="Times New Roman" w:eastAsia="Times New Roman" w:hAnsi="Times New Roman"/>
          <w:sz w:val="20"/>
          <w:szCs w:val="20"/>
          <w:color w:val="auto"/>
        </w:rPr>
        <w:t>, there were approximately 7 holders of record of our common stock. We believe the actual number of stockholders is greater than this number of record holders. The approximate number of holders includes holders who are beneficial owners, but whose shares are held in street name by brokers and other nominees. This number of holders of record also does not include holders whose share may be held in trust by other entities.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111" w:lineRule="exact"/>
        <w:rPr>
          <w:sz w:val="20"/>
          <w:szCs w:val="20"/>
          <w:color w:val="auto"/>
        </w:rPr>
      </w:pPr>
    </w:p>
    <w:p>
      <w:pPr>
        <w:ind w:right="20" w:firstLine="619"/>
        <w:spacing w:after="0" w:line="234" w:lineRule="auto"/>
        <w:rPr>
          <w:sz w:val="20"/>
          <w:szCs w:val="20"/>
          <w:color w:val="auto"/>
        </w:rPr>
      </w:pPr>
      <w:r>
        <w:rPr>
          <w:rFonts w:ascii="Times New Roman" w:cs="Times New Roman" w:eastAsia="Times New Roman" w:hAnsi="Times New Roman"/>
          <w:sz w:val="20"/>
          <w:szCs w:val="20"/>
          <w:color w:val="auto"/>
        </w:rPr>
        <w:t>We have never declared or paid cash dividends on our common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and will depend upon, among other factors, our results of operations, financial condition, capital requirements, contractual restrictions, business prospects and other factors our board of directors might deem relevant.</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1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There were no unregistered sales of our equity securities during the fiscal year ended December 31, 2024.</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Proceeds</w:t>
      </w:r>
    </w:p>
    <w:p>
      <w:pPr>
        <w:spacing w:after="0" w:line="122" w:lineRule="exact"/>
        <w:rPr>
          <w:sz w:val="20"/>
          <w:szCs w:val="20"/>
          <w:color w:val="auto"/>
        </w:rPr>
      </w:pPr>
    </w:p>
    <w:p>
      <w:pPr>
        <w:ind w:firstLine="619"/>
        <w:spacing w:after="0" w:line="252" w:lineRule="auto"/>
        <w:rPr>
          <w:sz w:val="20"/>
          <w:szCs w:val="20"/>
          <w:color w:val="auto"/>
        </w:rPr>
      </w:pPr>
      <w:r>
        <w:rPr>
          <w:rFonts w:ascii="Times New Roman" w:cs="Times New Roman" w:eastAsia="Times New Roman" w:hAnsi="Times New Roman"/>
          <w:sz w:val="20"/>
          <w:szCs w:val="20"/>
          <w:color w:val="auto"/>
        </w:rPr>
        <w:t>Our initial public offering of our common stock was effected pursuant to a registration statement on Form S-1 (File No. 333-248627), which was declared effective by the SEC on September 24, 2020. There has been no material change in the planned use of proceeds from our initial public offering as described our final prospectus filed with the SEC pursuant to Rule 424(b)(4) under the Securities Act on September 24, 2020.</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Issuer and Affiliated Purchases</w:t>
      </w:r>
    </w:p>
    <w:p>
      <w:pPr>
        <w:spacing w:after="0" w:line="1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None.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9360"/>
          </w:cols>
          <w:pgMar w:left="1440" w:top="1416" w:right="1440" w:bottom="175"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25" w:lineRule="exact"/>
        <w:rPr>
          <w:sz w:val="20"/>
          <w:szCs w:val="20"/>
          <w:color w:val="auto"/>
        </w:rPr>
      </w:pPr>
    </w:p>
    <w:p>
      <w:pPr>
        <w:ind w:right="80" w:firstLine="619"/>
        <w:spacing w:after="0" w:line="247" w:lineRule="auto"/>
        <w:rPr>
          <w:sz w:val="20"/>
          <w:szCs w:val="20"/>
          <w:color w:val="auto"/>
        </w:rPr>
      </w:pPr>
      <w:r>
        <w:rPr>
          <w:rFonts w:ascii="Times New Roman" w:cs="Times New Roman" w:eastAsia="Times New Roman" w:hAnsi="Times New Roman"/>
          <w:sz w:val="20"/>
          <w:szCs w:val="20"/>
          <w:i w:val="1"/>
          <w:iCs w:val="1"/>
          <w:color w:val="auto"/>
        </w:rPr>
        <w:t>You should read the following discussion and analysis of our financial condition and results of operations together with the consolidated financial statements and related notes included elsewhere in this Annual Report on Form 10-K.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“Part I, Item 1A. Risk Factors” and in other parts of this Annual Report on Form 10-K.</w:t>
      </w:r>
    </w:p>
    <w:p>
      <w:pPr>
        <w:spacing w:after="0" w:line="198"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0"/>
          <w:szCs w:val="20"/>
          <w:color w:val="auto"/>
        </w:rPr>
        <w:t xml:space="preserve">A discussion of our financial performance for the year ended December 31, 2024 as compared to the year ended December 31, 2023 appears below under the captions “Results of Operations” and “Liquidity and Capital Resources.” A discussion of our financial performance for the year ended December 31, 2023 compared to the year ended December 31, 2022 can be found in our Annual Report filed on Form 10-K, in the “Part II, Item 7. Management’s Discussion and Analysis of Financial Condition and Results of Operations”, under the same captions, filed with the SEC on February 29, 2024, which is available free of charge on the SEC’s website at </w:t>
      </w:r>
      <w:r>
        <w:rPr>
          <w:rFonts w:ascii="Times New Roman" w:cs="Times New Roman" w:eastAsia="Times New Roman" w:hAnsi="Times New Roman"/>
          <w:sz w:val="20"/>
          <w:szCs w:val="20"/>
          <w:i w:val="1"/>
          <w:iCs w:val="1"/>
          <w:color w:val="auto"/>
        </w:rPr>
        <w:t>www.sec.gov</w:t>
      </w:r>
      <w:r>
        <w:rPr>
          <w:rFonts w:ascii="Times New Roman" w:cs="Times New Roman" w:eastAsia="Times New Roman" w:hAnsi="Times New Roman"/>
          <w:sz w:val="20"/>
          <w:szCs w:val="20"/>
          <w:color w:val="auto"/>
        </w:rPr>
        <w:t xml:space="preserve"> and our Investor Relations website at </w:t>
      </w:r>
      <w:r>
        <w:rPr>
          <w:rFonts w:ascii="Times New Roman" w:cs="Times New Roman" w:eastAsia="Times New Roman" w:hAnsi="Times New Roman"/>
          <w:sz w:val="20"/>
          <w:szCs w:val="20"/>
          <w:i w:val="1"/>
          <w:iCs w:val="1"/>
          <w:color w:val="auto"/>
        </w:rPr>
        <w:t>ir.pmvpharma.com/financial-information/sec-filings</w:t>
      </w:r>
      <w:r>
        <w:rPr>
          <w:rFonts w:ascii="Times New Roman" w:cs="Times New Roman" w:eastAsia="Times New Roman" w:hAnsi="Times New Roman"/>
          <w:sz w:val="20"/>
          <w:szCs w:val="20"/>
          <w:color w:val="auto"/>
        </w:rPr>
        <w:t>. These website addresses are intended to be inactive, textual references only. None of the materials on, or accessible through, these websites are part of this report or are incorporated by reference herein.</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4" w:lineRule="exact"/>
        <w:rPr>
          <w:sz w:val="20"/>
          <w:szCs w:val="20"/>
          <w:color w:val="auto"/>
        </w:rPr>
      </w:pPr>
    </w:p>
    <w:p>
      <w:pPr>
        <w:ind w:right="100" w:firstLine="619"/>
        <w:spacing w:after="0" w:line="244" w:lineRule="auto"/>
        <w:rPr>
          <w:sz w:val="20"/>
          <w:szCs w:val="20"/>
          <w:color w:val="auto"/>
        </w:rPr>
      </w:pPr>
      <w:r>
        <w:rPr>
          <w:rFonts w:ascii="Times New Roman" w:cs="Times New Roman" w:eastAsia="Times New Roman" w:hAnsi="Times New Roman"/>
          <w:sz w:val="20"/>
          <w:szCs w:val="20"/>
          <w:color w:val="auto"/>
        </w:rPr>
        <w:t>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p53 mutations and other p53-related cancers.</w:t>
      </w:r>
    </w:p>
    <w:p>
      <w:pPr>
        <w:spacing w:after="0" w:line="236" w:lineRule="exact"/>
        <w:rPr>
          <w:sz w:val="20"/>
          <w:szCs w:val="20"/>
          <w:color w:val="auto"/>
        </w:rPr>
      </w:pPr>
    </w:p>
    <w:p>
      <w:pPr>
        <w:ind w:firstLine="619"/>
        <w:spacing w:after="0" w:line="241" w:lineRule="auto"/>
        <w:rPr>
          <w:sz w:val="20"/>
          <w:szCs w:val="20"/>
          <w:color w:val="auto"/>
        </w:rPr>
      </w:pPr>
      <w:r>
        <w:rPr>
          <w:rFonts w:ascii="Times New Roman" w:cs="Times New Roman" w:eastAsia="Times New Roman" w:hAnsi="Times New Roman"/>
          <w:sz w:val="20"/>
          <w:szCs w:val="20"/>
          <w:color w:val="auto"/>
        </w:rPr>
        <w:t>Since our formation in March 2013, we have devoted substantially all of our time and efforts to performing research and development activities and raising capital. We are not profitable and have incurred losses in each year since our inception. Our net losses were $58.7 million, $69.0 million, and $73.3 million for the years ended December 31, 2024, 2023, and 2022, respectively. As of December 31, 2024, we had an accumulated deficit of $368.7 million. We do not currently have any product candidates approved for sale, and we continue to incur significant research and development and general administrative expenses related to our operations. We initiated a Phase 1/2 clinical trial, PYNNACLE, in October 2020 for our lead product candidate, rezatapopt. Our strategy is to seek approval under an accelerated pathway, and we believe our PYNNACLE clinical trial has the potential to serve as a pivotal study. In October 2020, we were granted FDA Fast Track designation of rezatapopt for the treatment of patients with locally advanced or metastatic solid tumors that have a p53 Y220C mutation. In July 2023, we met with the FDA at an End of Phase 1 meeting where alignment was obtained on the recommended Phase 2 dose and key elements of the single arm, Phase 2 registrational portion of the PYNNACLE study. In October 2023, we presented our updated Phase 1 clinical data for rezatapopt at the 2023 AACR-NCI-EORTC International Conference on Molecular Targets and Cancer Therapeutics Annual Meeting. We dosed our first patient in the pivotal Phase 2 monotherapy portion of the PYNNACLE study in the first quarter of 2024. We are continuing to dose patients in the pivotal Phase 2 monotherapy portion of our PYNNACLE trial, and have activated over 90% of sites globally across the U.S., U.K., Europe and Asia-Pacific. We also expect to provide interim data on the Phase 2 monotherapy registrational portion of the PYNNACLE trial by mid-2025. In October 2024, we discontinued enrollment in the Phase 1b combination arm of the PYNNACLE trial evaluating rezatapopt in combination with Merck and Co.’s anti-PD-1 therapy KEYTRUDA® (pembrolizumab) in patients with advanced solid tumors harboring a TP53 Y220C mutation. Additionally, we announced that we are collaborating with the MDACC and MSK to support an investigator-initiated Phase 1b study, which is designed to assess the safety, tolerability, pharmacokinetics, and preliminary efficacy of rezatapopt monotherapy in combination with azacitidine in R/R AML and MDS patients harboring a TP53 Y220C mutation. MDACC dosed its first patient for this Phase 1b study in the first quarter of 2025.</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9360"/>
          </w:cols>
          <w:pgMar w:left="1440" w:top="1416" w:right="1440" w:bottom="175" w:gutter="0" w:footer="0" w:header="0"/>
        </w:sectPr>
      </w:pPr>
    </w:p>
    <w:bookmarkStart w:id="97" w:name="page98"/>
    <w:bookmarkEnd w:id="97"/>
    <w:p>
      <w:pPr>
        <w:ind w:right="100" w:firstLine="619"/>
        <w:spacing w:after="0" w:line="246" w:lineRule="auto"/>
        <w:rPr>
          <w:sz w:val="20"/>
          <w:szCs w:val="20"/>
          <w:color w:val="auto"/>
        </w:rPr>
      </w:pPr>
      <w:r>
        <w:rPr>
          <w:rFonts w:ascii="Times New Roman" w:cs="Times New Roman" w:eastAsia="Times New Roman" w:hAnsi="Times New Roman"/>
          <w:sz w:val="20"/>
          <w:szCs w:val="20"/>
          <w:color w:val="auto"/>
        </w:rPr>
        <w:t>In January 2024, we announced a restructuring plan involving the reduction of our workforce by approximately 30%. This workforce reduction resulted in non-recurring charges of $0.6 million in fiscal year ended December 31, 2024, consisting primarily of employee severance and benefit costs associated with the restructuring. We undertook these steps in order to streamline operations, reduce costs and preserve capital as we advance into late-stage development of rezatapopt. We recorded these charges in research and development expenses in the accompanying consolidated statements of operations and comprehensive loss based on responsibilities of the impacted employees.</w:t>
      </w:r>
    </w:p>
    <w:p>
      <w:pPr>
        <w:spacing w:after="0" w:line="229" w:lineRule="exact"/>
        <w:rPr>
          <w:sz w:val="20"/>
          <w:szCs w:val="20"/>
          <w:color w:val="auto"/>
        </w:rPr>
      </w:pPr>
    </w:p>
    <w:p>
      <w:pPr>
        <w:ind w:right="80" w:firstLine="619"/>
        <w:spacing w:after="0" w:line="249" w:lineRule="auto"/>
        <w:rPr>
          <w:sz w:val="20"/>
          <w:szCs w:val="20"/>
          <w:color w:val="auto"/>
        </w:rPr>
      </w:pPr>
      <w:r>
        <w:rPr>
          <w:rFonts w:ascii="Times New Roman" w:cs="Times New Roman" w:eastAsia="Times New Roman" w:hAnsi="Times New Roman"/>
          <w:sz w:val="20"/>
          <w:szCs w:val="20"/>
          <w:color w:val="auto"/>
        </w:rPr>
        <w:t>We expect that our operating expenses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We expect to continue to incur significant losses for the foreseeable future.</w:t>
      </w:r>
    </w:p>
    <w:p>
      <w:pPr>
        <w:spacing w:after="0" w:line="218" w:lineRule="exact"/>
        <w:rPr>
          <w:sz w:val="20"/>
          <w:szCs w:val="20"/>
          <w:color w:val="auto"/>
        </w:rPr>
      </w:pPr>
    </w:p>
    <w:p>
      <w:pPr>
        <w:ind w:right="40" w:firstLine="619"/>
        <w:spacing w:after="0" w:line="236" w:lineRule="auto"/>
        <w:rPr>
          <w:sz w:val="20"/>
          <w:szCs w:val="20"/>
          <w:color w:val="auto"/>
        </w:rPr>
      </w:pPr>
      <w:r>
        <w:rPr>
          <w:rFonts w:ascii="Times New Roman" w:cs="Times New Roman" w:eastAsia="Times New Roman" w:hAnsi="Times New Roman"/>
          <w:sz w:val="20"/>
          <w:szCs w:val="20"/>
          <w:color w:val="auto"/>
        </w:rPr>
        <w:t>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221" w:lineRule="exact"/>
        <w:rPr>
          <w:sz w:val="20"/>
          <w:szCs w:val="20"/>
          <w:color w:val="auto"/>
        </w:rPr>
      </w:pPr>
    </w:p>
    <w:p>
      <w:pPr>
        <w:ind w:right="80" w:firstLine="619"/>
        <w:spacing w:after="0" w:line="242" w:lineRule="auto"/>
        <w:rPr>
          <w:sz w:val="20"/>
          <w:szCs w:val="20"/>
          <w:color w:val="auto"/>
        </w:rPr>
      </w:pPr>
      <w:r>
        <w:rPr>
          <w:rFonts w:ascii="Times New Roman" w:cs="Times New Roman" w:eastAsia="Times New Roman" w:hAnsi="Times New Roman"/>
          <w:sz w:val="20"/>
          <w:szCs w:val="20"/>
          <w:color w:val="auto"/>
        </w:rPr>
        <w:t>We plan to continue to use third-party service providers, including clinical research organizations, or CROs, and contract manufacturing organization, or CMOs, to carry out our preclinical and clinical development and to manufacture and supply the materials to be used during the development and commercialization of our product candidates. We do not currently have a sales force.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Components of Results of Operations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111" w:lineRule="exact"/>
        <w:rPr>
          <w:sz w:val="20"/>
          <w:szCs w:val="20"/>
          <w:color w:val="auto"/>
        </w:rPr>
      </w:pPr>
    </w:p>
    <w:p>
      <w:pPr>
        <w:ind w:right="20" w:firstLine="619"/>
        <w:spacing w:after="0" w:line="239" w:lineRule="auto"/>
        <w:rPr>
          <w:sz w:val="20"/>
          <w:szCs w:val="20"/>
          <w:color w:val="auto"/>
        </w:rPr>
      </w:pPr>
      <w:r>
        <w:rPr>
          <w:rFonts w:ascii="Times New Roman" w:cs="Times New Roman" w:eastAsia="Times New Roman" w:hAnsi="Times New Roman"/>
          <w:sz w:val="20"/>
          <w:szCs w:val="20"/>
          <w:color w:val="auto"/>
        </w:rPr>
        <w:t>To date, we have not generated any revenue from any sources, including from product sales, and we do not expect to generate any revenue from the sale of products in the foreseeable future. If our development efforts for our product candidates are successful and result in regulatory approval, or result in license agreements with third parties, we may generate revenue in the future from product sales or license agreements. However, there can be no assurance as to when we will generate such revenue, if at all.</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1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11" w:lineRule="exact"/>
        <w:rPr>
          <w:sz w:val="20"/>
          <w:szCs w:val="20"/>
          <w:color w:val="auto"/>
        </w:rPr>
      </w:pPr>
    </w:p>
    <w:p>
      <w:pPr>
        <w:ind w:right="140" w:firstLine="619"/>
        <w:spacing w:after="0" w:line="239" w:lineRule="auto"/>
        <w:rPr>
          <w:sz w:val="20"/>
          <w:szCs w:val="20"/>
          <w:color w:val="auto"/>
        </w:rPr>
      </w:pPr>
      <w:r>
        <w:rPr>
          <w:rFonts w:ascii="Times New Roman" w:cs="Times New Roman" w:eastAsia="Times New Roman" w:hAnsi="Times New Roman"/>
          <w:sz w:val="20"/>
          <w:szCs w:val="20"/>
          <w:color w:val="auto"/>
        </w:rPr>
        <w:t>Our research and development expenses consist primarily of costs incurred to conduct research, such as the discovery and development of our product candidates as well as the development of future product candidates. Research and development expenses include personnel costs, including stock -based compensation expense, third-party contractor services, laboratory materials and supplies, and depreciation and maintenance of research equipment. We expense research and development costs as they are incurred.</w:t>
      </w:r>
    </w:p>
    <w:p>
      <w:pPr>
        <w:spacing w:after="0" w:line="216"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19"/>
          <w:szCs w:val="19"/>
          <w:color w:val="auto"/>
        </w:rPr>
        <w:t>We do not allocate our costs by product candidate or development program, as a significant amount of research and development expenses include compensation costs, materials, supplies, depreciation on and maintenance of research equipment, and the cost of services provided by outside contractors, which are not tracked by product candidate or development program. In particular, with respect to internal costs, several of our departments support multiple product candidate research and development programs, and therefore the costs cannot be allocated to a particular product candidate or development program. Substantially all of our research and development costs are associated with our lead product candidate, rezatapopt. We initiated a Phase 1/2 clinical trial in October 2020. In October 2020, we were granted FDA Fast Track designation of rezatapopt for the treatment of patients with locally advanced or metastatic solid tumors that have a p53 Y220C mutation. In October 2023, we presented our updated Phase 1 clinical data for rezatapopt at the 2023 AACR-NCI-EORTC International Conference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9360"/>
          </w:cols>
          <w:pgMar w:left="1440" w:top="1420" w:right="1440" w:bottom="175" w:gutter="0" w:footer="0" w:header="0"/>
        </w:sectPr>
      </w:pPr>
    </w:p>
    <w:bookmarkStart w:id="98" w:name="page99"/>
    <w:bookmarkEnd w:id="98"/>
    <w:p>
      <w:pPr>
        <w:ind w:right="60"/>
        <w:spacing w:after="0" w:line="232" w:lineRule="auto"/>
        <w:rPr>
          <w:sz w:val="20"/>
          <w:szCs w:val="20"/>
          <w:color w:val="auto"/>
        </w:rPr>
      </w:pPr>
      <w:r>
        <w:rPr>
          <w:rFonts w:ascii="Times New Roman" w:cs="Times New Roman" w:eastAsia="Times New Roman" w:hAnsi="Times New Roman"/>
          <w:sz w:val="20"/>
          <w:szCs w:val="20"/>
          <w:color w:val="auto"/>
        </w:rPr>
        <w:t>on Molecular Targets and Cancer Therapeutics Meeting. We are continuing to dose patients and have activated over 90% of sites globally across the U.S., U.K., Europe and Asia-Pacific, in the registrational, tumor-agnostic PYNNACLE Phase 2 trial of rezatapopt in patients with advanced solid tumors harboring a TP53 Y220C mutation and KRAS wild-type. We also expect to provide interim data on the Phase 2 monotherapy registrational portion of the PYNNACLE trial by mid-2025. In October 2024, we discontinued enrollment in the Phase 1b combination arm of the PYNNACLE trial evaluating rezatapopt in combination with Merck and Co.’s anti-PD-1 therapy KEYTRUDA® (pembrolizumab) in patients with advanced solid tumors harboring a TP53 Y220C mutation. Additionally, we announced that we are collaborating with the MDACC and MSK to support an investigator-initiated Phase 1b study, which is designed to assess the safety, tolerability, pharmacokinetics, and preliminary efficacy of rezatapopt monotherapy in combination with azacitidine in R/R AML and MDS patients harboring a TP53 Y220C mutation. MDACC dosed its first patient for this Phase 1b study in the first quarter of 2025.</w:t>
      </w:r>
    </w:p>
    <w:p>
      <w:pPr>
        <w:spacing w:after="0" w:line="219" w:lineRule="exact"/>
        <w:rPr>
          <w:sz w:val="20"/>
          <w:szCs w:val="20"/>
          <w:color w:val="auto"/>
        </w:rPr>
      </w:pPr>
    </w:p>
    <w:p>
      <w:pPr>
        <w:ind w:right="20" w:firstLine="619"/>
        <w:spacing w:after="0" w:line="235" w:lineRule="auto"/>
        <w:rPr>
          <w:sz w:val="20"/>
          <w:szCs w:val="20"/>
          <w:color w:val="auto"/>
        </w:rPr>
      </w:pPr>
      <w:r>
        <w:rPr>
          <w:rFonts w:ascii="Times New Roman" w:cs="Times New Roman" w:eastAsia="Times New Roman" w:hAnsi="Times New Roman"/>
          <w:sz w:val="20"/>
          <w:szCs w:val="20"/>
          <w:color w:val="auto"/>
        </w:rPr>
        <w:t>We expect our research and development expenses to increase substantially in absolute dollars in the future as we advance our product candidates into and through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any future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w:t>
      </w:r>
    </w:p>
    <w:p>
      <w:pPr>
        <w:spacing w:after="0" w:line="3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120" w:lineRule="exact"/>
        <w:rPr>
          <w:sz w:val="20"/>
          <w:szCs w:val="20"/>
          <w:color w:val="auto"/>
        </w:rPr>
      </w:pPr>
    </w:p>
    <w:p>
      <w:pPr>
        <w:ind w:right="40" w:firstLine="619"/>
        <w:spacing w:after="0" w:line="244" w:lineRule="auto"/>
        <w:rPr>
          <w:sz w:val="20"/>
          <w:szCs w:val="20"/>
          <w:color w:val="auto"/>
        </w:rPr>
      </w:pPr>
      <w:r>
        <w:rPr>
          <w:rFonts w:ascii="Times New Roman" w:cs="Times New Roman" w:eastAsia="Times New Roman" w:hAnsi="Times New Roman"/>
          <w:sz w:val="20"/>
          <w:szCs w:val="20"/>
          <w:color w:val="auto"/>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 services and other consulting fees. Allocated expenses consist of rent expense related to our office and research and development facilities. We have incurred expenses related to compliance with the rules and regulations of the SEC, and those of any national securities exchange on which our securities are traded, additional insurance expenses, investor relations activities and other administrative and professional services. We also expect to increase our general and administrative expenses as we advance our product candidates through preclinical research and development, manufacturing, clinical development, and commercialization.</w:t>
      </w:r>
    </w:p>
    <w:p>
      <w:pPr>
        <w:spacing w:after="0" w:line="3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Interest Income, Net</w:t>
      </w:r>
    </w:p>
    <w:p>
      <w:pPr>
        <w:spacing w:after="0" w:line="120" w:lineRule="exact"/>
        <w:rPr>
          <w:sz w:val="20"/>
          <w:szCs w:val="20"/>
          <w:color w:val="auto"/>
        </w:rPr>
      </w:pPr>
    </w:p>
    <w:p>
      <w:pPr>
        <w:ind w:right="260" w:firstLine="619"/>
        <w:spacing w:after="0" w:line="258" w:lineRule="auto"/>
        <w:rPr>
          <w:sz w:val="20"/>
          <w:szCs w:val="20"/>
          <w:color w:val="auto"/>
        </w:rPr>
      </w:pPr>
      <w:r>
        <w:rPr>
          <w:rFonts w:ascii="Times New Roman" w:cs="Times New Roman" w:eastAsia="Times New Roman" w:hAnsi="Times New Roman"/>
          <w:sz w:val="20"/>
          <w:szCs w:val="20"/>
          <w:color w:val="auto"/>
        </w:rPr>
        <w:t>Interest income, net primarily consists of interest income from our interest-bearing cash, cash equivalents, and marketable securities and interest costs related to accretion and amortization of discounts and premiums on 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9360"/>
          </w:cols>
          <w:pgMar w:left="1440" w:top="1411" w:right="1440" w:bottom="175" w:gutter="0" w:footer="0" w:header="0"/>
        </w:sectPr>
      </w:pPr>
    </w:p>
    <w:bookmarkStart w:id="99" w:name="page100"/>
    <w:bookmarkEnd w:id="99"/>
    <w:p>
      <w:pPr>
        <w:ind w:left="3760"/>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Years Ended December 31, 2024 and 2023</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following table summarizes our results of operations (in thousands):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3"/>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6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Statement of operations data:</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73"/>
        </w:trPr>
        <w:tc>
          <w:tcPr>
            <w:tcW w:w="4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25"/>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ind w:right="422"/>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680" w:type="dxa"/>
            <w:vAlign w:val="bottom"/>
            <w:tcBorders>
              <w:top w:val="single" w:sz="8" w:color="auto"/>
            </w:tcBorders>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Operating expenses:</w:t>
            </w:r>
          </w:p>
        </w:tc>
        <w:tc>
          <w:tcPr>
            <w:tcW w:w="100" w:type="dxa"/>
            <w:vAlign w:val="bottom"/>
            <w:tcBorders>
              <w:top w:val="single" w:sz="8" w:color="E0E0E0"/>
              <w:right w:val="single" w:sz="8" w:color="E0E0E0"/>
            </w:tcBorders>
            <w:shd w:val="clear" w:color="auto" w:fill="E0E0E0"/>
          </w:tcPr>
          <w:p>
            <w:pPr>
              <w:spacing w:after="0"/>
              <w:rPr>
                <w:sz w:val="19"/>
                <w:szCs w:val="19"/>
                <w:color w:val="auto"/>
              </w:rPr>
            </w:pPr>
          </w:p>
        </w:tc>
        <w:tc>
          <w:tcPr>
            <w:tcW w:w="300" w:type="dxa"/>
            <w:vAlign w:val="bottom"/>
            <w:tcBorders>
              <w:top w:val="single" w:sz="8" w:color="auto"/>
            </w:tcBorders>
            <w:shd w:val="clear" w:color="auto" w:fill="E0E0E0"/>
          </w:tcPr>
          <w:p>
            <w:pPr>
              <w:spacing w:after="0"/>
              <w:rPr>
                <w:sz w:val="19"/>
                <w:szCs w:val="19"/>
                <w:color w:val="auto"/>
              </w:rPr>
            </w:pPr>
          </w:p>
        </w:tc>
        <w:tc>
          <w:tcPr>
            <w:tcW w:w="1040" w:type="dxa"/>
            <w:vAlign w:val="bottom"/>
            <w:tcBorders>
              <w:top w:val="single" w:sz="8" w:color="auto"/>
            </w:tcBorders>
            <w:shd w:val="clear" w:color="auto" w:fill="E0E0E0"/>
          </w:tcPr>
          <w:p>
            <w:pPr>
              <w:spacing w:after="0"/>
              <w:rPr>
                <w:sz w:val="19"/>
                <w:szCs w:val="19"/>
                <w:color w:val="auto"/>
              </w:rPr>
            </w:pPr>
          </w:p>
        </w:tc>
        <w:tc>
          <w:tcPr>
            <w:tcW w:w="200" w:type="dxa"/>
            <w:vAlign w:val="bottom"/>
            <w:tcBorders>
              <w:top w:val="single" w:sz="8" w:color="E0E0E0"/>
              <w:right w:val="single" w:sz="8" w:color="E0E0E0"/>
            </w:tcBorders>
            <w:shd w:val="clear" w:color="auto" w:fill="E0E0E0"/>
          </w:tcPr>
          <w:p>
            <w:pPr>
              <w:spacing w:after="0"/>
              <w:rPr>
                <w:sz w:val="19"/>
                <w:szCs w:val="19"/>
                <w:color w:val="auto"/>
              </w:rPr>
            </w:pPr>
          </w:p>
        </w:tc>
        <w:tc>
          <w:tcPr>
            <w:tcW w:w="440" w:type="dxa"/>
            <w:vAlign w:val="bottom"/>
            <w:tcBorders>
              <w:top w:val="single" w:sz="8" w:color="auto"/>
            </w:tcBorders>
            <w:shd w:val="clear" w:color="auto" w:fill="E0E0E0"/>
          </w:tcPr>
          <w:p>
            <w:pPr>
              <w:spacing w:after="0"/>
              <w:rPr>
                <w:sz w:val="19"/>
                <w:szCs w:val="19"/>
                <w:color w:val="auto"/>
              </w:rPr>
            </w:pPr>
          </w:p>
        </w:tc>
        <w:tc>
          <w:tcPr>
            <w:tcW w:w="900" w:type="dxa"/>
            <w:vAlign w:val="bottom"/>
            <w:tcBorders>
              <w:top w:val="single" w:sz="8" w:color="auto"/>
            </w:tcBorders>
            <w:shd w:val="clear" w:color="auto" w:fill="E0E0E0"/>
          </w:tcPr>
          <w:p>
            <w:pPr>
              <w:spacing w:after="0"/>
              <w:rPr>
                <w:sz w:val="19"/>
                <w:szCs w:val="19"/>
                <w:color w:val="auto"/>
              </w:rPr>
            </w:pPr>
          </w:p>
        </w:tc>
        <w:tc>
          <w:tcPr>
            <w:tcW w:w="180" w:type="dxa"/>
            <w:vAlign w:val="bottom"/>
            <w:tcBorders>
              <w:top w:val="single" w:sz="8" w:color="E0E0E0"/>
              <w:right w:val="single" w:sz="8" w:color="E0E0E0"/>
            </w:tcBorders>
            <w:shd w:val="clear" w:color="auto" w:fill="E0E0E0"/>
          </w:tcPr>
          <w:p>
            <w:pPr>
              <w:spacing w:after="0"/>
              <w:rPr>
                <w:sz w:val="19"/>
                <w:szCs w:val="19"/>
                <w:color w:val="auto"/>
              </w:rPr>
            </w:pPr>
          </w:p>
        </w:tc>
        <w:tc>
          <w:tcPr>
            <w:tcW w:w="260" w:type="dxa"/>
            <w:vAlign w:val="bottom"/>
            <w:tcBorders>
              <w:top w:val="single" w:sz="8" w:color="auto"/>
            </w:tcBorders>
            <w:shd w:val="clear" w:color="auto" w:fill="E0E0E0"/>
          </w:tcPr>
          <w:p>
            <w:pPr>
              <w:spacing w:after="0"/>
              <w:rPr>
                <w:sz w:val="19"/>
                <w:szCs w:val="19"/>
                <w:color w:val="auto"/>
              </w:rPr>
            </w:pPr>
          </w:p>
        </w:tc>
        <w:tc>
          <w:tcPr>
            <w:tcW w:w="1080" w:type="dxa"/>
            <w:vAlign w:val="bottom"/>
            <w:tcBorders>
              <w:top w:val="single" w:sz="8" w:color="auto"/>
            </w:tcBorders>
            <w:shd w:val="clear" w:color="auto" w:fill="E0E0E0"/>
          </w:tcPr>
          <w:p>
            <w:pPr>
              <w:spacing w:after="0"/>
              <w:rPr>
                <w:sz w:val="19"/>
                <w:szCs w:val="19"/>
                <w:color w:val="auto"/>
              </w:rPr>
            </w:pPr>
          </w:p>
        </w:tc>
        <w:tc>
          <w:tcPr>
            <w:tcW w:w="18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58,527</w:t>
            </w: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55,885</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2,642</w:t>
            </w:r>
          </w:p>
        </w:tc>
        <w:tc>
          <w:tcPr>
            <w:tcW w:w="0" w:type="dxa"/>
            <w:vAlign w:val="bottom"/>
          </w:tcPr>
          <w:p>
            <w:pPr>
              <w:spacing w:after="0"/>
              <w:rPr>
                <w:sz w:val="1"/>
                <w:szCs w:val="1"/>
                <w:color w:val="auto"/>
              </w:rPr>
            </w:pPr>
          </w:p>
        </w:tc>
      </w:tr>
      <w:tr>
        <w:trPr>
          <w:trHeight w:val="230"/>
        </w:trPr>
        <w:tc>
          <w:tcPr>
            <w:tcW w:w="468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00" w:type="dxa"/>
            <w:vAlign w:val="bottom"/>
            <w:tcBorders>
              <w:right w:val="single" w:sz="8" w:color="E0E0E0"/>
            </w:tcBorders>
            <w:shd w:val="clear" w:color="auto" w:fill="E0E0E0"/>
          </w:tcPr>
          <w:p>
            <w:pPr>
              <w:spacing w:after="0"/>
              <w:rPr>
                <w:sz w:val="20"/>
                <w:szCs w:val="20"/>
                <w:color w:val="auto"/>
              </w:rPr>
            </w:pPr>
          </w:p>
        </w:tc>
        <w:tc>
          <w:tcPr>
            <w:tcW w:w="300" w:type="dxa"/>
            <w:vAlign w:val="bottom"/>
            <w:shd w:val="clear" w:color="auto" w:fill="E0E0E0"/>
          </w:tcPr>
          <w:p>
            <w:pPr>
              <w:spacing w:after="0"/>
              <w:rPr>
                <w:sz w:val="20"/>
                <w:szCs w:val="20"/>
                <w:color w:val="auto"/>
              </w:rPr>
            </w:pPr>
          </w:p>
        </w:tc>
        <w:tc>
          <w:tcPr>
            <w:tcW w:w="1240" w:type="dxa"/>
            <w:vAlign w:val="bottom"/>
            <w:tcBorders>
              <w:right w:val="single" w:sz="8" w:color="E0E0E0"/>
            </w:tcBorders>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26,921</w:t>
            </w:r>
          </w:p>
        </w:tc>
        <w:tc>
          <w:tcPr>
            <w:tcW w:w="440" w:type="dxa"/>
            <w:vAlign w:val="bottom"/>
            <w:shd w:val="clear" w:color="auto" w:fill="E0E0E0"/>
          </w:tcPr>
          <w:p>
            <w:pPr>
              <w:spacing w:after="0"/>
              <w:rPr>
                <w:sz w:val="20"/>
                <w:szCs w:val="20"/>
                <w:color w:val="auto"/>
              </w:rPr>
            </w:pPr>
          </w:p>
        </w:tc>
        <w:tc>
          <w:tcPr>
            <w:tcW w:w="1080" w:type="dxa"/>
            <w:vAlign w:val="bottom"/>
            <w:tcBorders>
              <w:right w:val="single" w:sz="8" w:color="E0E0E0"/>
            </w:tcBorders>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rPr>
              <w:t>24,247</w:t>
            </w:r>
          </w:p>
        </w:tc>
        <w:tc>
          <w:tcPr>
            <w:tcW w:w="260" w:type="dxa"/>
            <w:vAlign w:val="bottom"/>
            <w:shd w:val="clear" w:color="auto" w:fill="E0E0E0"/>
          </w:tcPr>
          <w:p>
            <w:pPr>
              <w:spacing w:after="0"/>
              <w:rPr>
                <w:sz w:val="20"/>
                <w:szCs w:val="20"/>
                <w:color w:val="auto"/>
              </w:rPr>
            </w:pPr>
          </w:p>
        </w:tc>
        <w:tc>
          <w:tcPr>
            <w:tcW w:w="126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rPr>
              <w:t>2,674</w:t>
            </w:r>
          </w:p>
        </w:tc>
        <w:tc>
          <w:tcPr>
            <w:tcW w:w="0" w:type="dxa"/>
            <w:vAlign w:val="bottom"/>
          </w:tcPr>
          <w:p>
            <w:pPr>
              <w:spacing w:after="0"/>
              <w:rPr>
                <w:sz w:val="1"/>
                <w:szCs w:val="1"/>
                <w:color w:val="auto"/>
              </w:rPr>
            </w:pPr>
          </w:p>
        </w:tc>
      </w:tr>
      <w:tr>
        <w:trPr>
          <w:trHeight w:val="219"/>
        </w:trPr>
        <w:tc>
          <w:tcPr>
            <w:tcW w:w="4680" w:type="dxa"/>
            <w:vAlign w:val="bottom"/>
            <w:tcBorders>
              <w:bottom w:val="single" w:sz="8" w:color="E0E0E0"/>
            </w:tcBorders>
          </w:tcPr>
          <w:p>
            <w:pPr>
              <w:ind w:left="200"/>
              <w:spacing w:after="0" w:line="219" w:lineRule="exact"/>
              <w:rPr>
                <w:sz w:val="20"/>
                <w:szCs w:val="20"/>
                <w:color w:val="auto"/>
              </w:rPr>
            </w:pPr>
            <w:r>
              <w:rPr>
                <w:rFonts w:ascii="Times New Roman" w:cs="Times New Roman" w:eastAsia="Times New Roman" w:hAnsi="Times New Roman"/>
                <w:sz w:val="20"/>
                <w:szCs w:val="20"/>
                <w:color w:val="auto"/>
              </w:rPr>
              <w:t>Total operating expenses</w:t>
            </w:r>
          </w:p>
        </w:tc>
        <w:tc>
          <w:tcPr>
            <w:tcW w:w="100" w:type="dxa"/>
            <w:vAlign w:val="bottom"/>
            <w:tcBorders>
              <w:bottom w:val="single" w:sz="8" w:color="E0E0E0"/>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85,448</w:t>
            </w:r>
          </w:p>
        </w:tc>
        <w:tc>
          <w:tcPr>
            <w:tcW w:w="200" w:type="dxa"/>
            <w:vAlign w:val="bottom"/>
            <w:tcBorders>
              <w:bottom w:val="single" w:sz="8" w:color="E0E0E0"/>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80,132</w:t>
            </w:r>
          </w:p>
        </w:tc>
        <w:tc>
          <w:tcPr>
            <w:tcW w:w="180" w:type="dxa"/>
            <w:vAlign w:val="bottom"/>
            <w:tcBorders>
              <w:bottom w:val="single" w:sz="8" w:color="E0E0E0"/>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5,316</w:t>
            </w:r>
          </w:p>
        </w:tc>
        <w:tc>
          <w:tcPr>
            <w:tcW w:w="180" w:type="dxa"/>
            <w:vAlign w:val="bottom"/>
            <w:tcBorders>
              <w:bottom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80" w:type="dxa"/>
            <w:vAlign w:val="bottom"/>
            <w:shd w:val="clear" w:color="auto" w:fill="E0E0E0"/>
          </w:tcPr>
          <w:p>
            <w:pPr>
              <w:ind w:left="100"/>
              <w:spacing w:after="0" w:line="220" w:lineRule="exact"/>
              <w:rPr>
                <w:sz w:val="20"/>
                <w:szCs w:val="20"/>
                <w:color w:val="auto"/>
              </w:rPr>
            </w:pPr>
            <w:r>
              <w:rPr>
                <w:rFonts w:ascii="Times New Roman" w:cs="Times New Roman" w:eastAsia="Times New Roman" w:hAnsi="Times New Roman"/>
                <w:sz w:val="20"/>
                <w:szCs w:val="20"/>
                <w:color w:val="auto"/>
              </w:rPr>
              <w:t>Loss from operations</w:t>
            </w:r>
          </w:p>
        </w:tc>
        <w:tc>
          <w:tcPr>
            <w:tcW w:w="100" w:type="dxa"/>
            <w:vAlign w:val="bottom"/>
            <w:tcBorders>
              <w:right w:val="single" w:sz="8" w:color="E0E0E0"/>
            </w:tcBorders>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240" w:type="dxa"/>
            <w:vAlign w:val="bottom"/>
            <w:tcBorders>
              <w:right w:val="single" w:sz="8" w:color="E0E0E0"/>
            </w:tcBorders>
            <w:gridSpan w:val="2"/>
            <w:shd w:val="clear" w:color="auto" w:fill="E0E0E0"/>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rPr>
              <w:t>(85,448)</w:t>
            </w:r>
          </w:p>
        </w:tc>
        <w:tc>
          <w:tcPr>
            <w:tcW w:w="440" w:type="dxa"/>
            <w:vAlign w:val="bottom"/>
            <w:shd w:val="clear" w:color="auto" w:fill="E0E0E0"/>
          </w:tcPr>
          <w:p>
            <w:pPr>
              <w:spacing w:after="0"/>
              <w:rPr>
                <w:sz w:val="19"/>
                <w:szCs w:val="19"/>
                <w:color w:val="auto"/>
              </w:rPr>
            </w:pPr>
          </w:p>
        </w:tc>
        <w:tc>
          <w:tcPr>
            <w:tcW w:w="1080" w:type="dxa"/>
            <w:vAlign w:val="bottom"/>
            <w:tcBorders>
              <w:right w:val="single" w:sz="8" w:color="E0E0E0"/>
            </w:tcBorders>
            <w:gridSpan w:val="2"/>
            <w:shd w:val="clear" w:color="auto" w:fill="E0E0E0"/>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(80,132)</w:t>
            </w:r>
          </w:p>
        </w:tc>
        <w:tc>
          <w:tcPr>
            <w:tcW w:w="260" w:type="dxa"/>
            <w:vAlign w:val="bottom"/>
            <w:shd w:val="clear" w:color="auto" w:fill="E0E0E0"/>
          </w:tcPr>
          <w:p>
            <w:pPr>
              <w:spacing w:after="0"/>
              <w:rPr>
                <w:sz w:val="19"/>
                <w:szCs w:val="19"/>
                <w:color w:val="auto"/>
              </w:rPr>
            </w:pPr>
          </w:p>
        </w:tc>
        <w:tc>
          <w:tcPr>
            <w:tcW w:w="1260" w:type="dxa"/>
            <w:vAlign w:val="bottom"/>
            <w:gridSpan w:val="2"/>
            <w:shd w:val="clear" w:color="auto" w:fill="E0E0E0"/>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(5,316)</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Interest income, net</w:t>
            </w:r>
          </w:p>
        </w:tc>
        <w:tc>
          <w:tcPr>
            <w:tcW w:w="100" w:type="dxa"/>
            <w:vAlign w:val="bottom"/>
            <w:tcBorders>
              <w:right w:val="single" w:sz="8" w:color="E0E0E0"/>
            </w:tcBorders>
            <w:shd w:val="clear" w:color="auto" w:fill="E0E0E0"/>
          </w:tcPr>
          <w:p>
            <w:pPr>
              <w:spacing w:after="0"/>
              <w:rPr>
                <w:sz w:val="20"/>
                <w:szCs w:val="20"/>
                <w:color w:val="auto"/>
              </w:rPr>
            </w:pPr>
          </w:p>
        </w:tc>
        <w:tc>
          <w:tcPr>
            <w:tcW w:w="300" w:type="dxa"/>
            <w:vAlign w:val="bottom"/>
            <w:shd w:val="clear" w:color="auto" w:fill="E0E0E0"/>
          </w:tcPr>
          <w:p>
            <w:pPr>
              <w:spacing w:after="0"/>
              <w:rPr>
                <w:sz w:val="20"/>
                <w:szCs w:val="20"/>
                <w:color w:val="auto"/>
              </w:rPr>
            </w:pPr>
          </w:p>
        </w:tc>
        <w:tc>
          <w:tcPr>
            <w:tcW w:w="1240" w:type="dxa"/>
            <w:vAlign w:val="bottom"/>
            <w:tcBorders>
              <w:right w:val="single" w:sz="8" w:color="E0E0E0"/>
            </w:tcBorders>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10,655</w:t>
            </w:r>
          </w:p>
        </w:tc>
        <w:tc>
          <w:tcPr>
            <w:tcW w:w="440" w:type="dxa"/>
            <w:vAlign w:val="bottom"/>
            <w:shd w:val="clear" w:color="auto" w:fill="E0E0E0"/>
          </w:tcPr>
          <w:p>
            <w:pPr>
              <w:spacing w:after="0"/>
              <w:rPr>
                <w:sz w:val="20"/>
                <w:szCs w:val="20"/>
                <w:color w:val="auto"/>
              </w:rPr>
            </w:pPr>
          </w:p>
        </w:tc>
        <w:tc>
          <w:tcPr>
            <w:tcW w:w="1080" w:type="dxa"/>
            <w:vAlign w:val="bottom"/>
            <w:tcBorders>
              <w:right w:val="single" w:sz="8" w:color="E0E0E0"/>
            </w:tcBorders>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rPr>
              <w:t>11,171</w:t>
            </w:r>
          </w:p>
        </w:tc>
        <w:tc>
          <w:tcPr>
            <w:tcW w:w="260" w:type="dxa"/>
            <w:vAlign w:val="bottom"/>
            <w:shd w:val="clear" w:color="auto" w:fill="E0E0E0"/>
          </w:tcPr>
          <w:p>
            <w:pPr>
              <w:spacing w:after="0"/>
              <w:rPr>
                <w:sz w:val="20"/>
                <w:szCs w:val="20"/>
                <w:color w:val="auto"/>
              </w:rPr>
            </w:pPr>
          </w:p>
        </w:tc>
        <w:tc>
          <w:tcPr>
            <w:tcW w:w="126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(516)</w:t>
            </w:r>
          </w:p>
        </w:tc>
        <w:tc>
          <w:tcPr>
            <w:tcW w:w="0" w:type="dxa"/>
            <w:vAlign w:val="bottom"/>
          </w:tcPr>
          <w:p>
            <w:pPr>
              <w:spacing w:after="0"/>
              <w:rPr>
                <w:sz w:val="1"/>
                <w:szCs w:val="1"/>
                <w:color w:val="auto"/>
              </w:rPr>
            </w:pPr>
          </w:p>
        </w:tc>
      </w:tr>
      <w:tr>
        <w:trPr>
          <w:trHeight w:val="229"/>
        </w:trPr>
        <w:tc>
          <w:tcPr>
            <w:tcW w:w="4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Other income (expense), net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(16)</w:t>
            </w:r>
          </w:p>
        </w:tc>
        <w:tc>
          <w:tcPr>
            <w:tcW w:w="4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w:t>
            </w:r>
          </w:p>
        </w:tc>
        <w:tc>
          <w:tcPr>
            <w:tcW w:w="2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20"/>
        </w:trPr>
        <w:tc>
          <w:tcPr>
            <w:tcW w:w="4680" w:type="dxa"/>
            <w:vAlign w:val="bottom"/>
            <w:shd w:val="clear" w:color="auto" w:fill="E0E0E0"/>
          </w:tcPr>
          <w:p>
            <w:pPr>
              <w:spacing w:after="0" w:line="20" w:lineRule="exact"/>
              <w:rPr>
                <w:sz w:val="1"/>
                <w:szCs w:val="1"/>
                <w:color w:val="auto"/>
              </w:rPr>
            </w:pPr>
          </w:p>
        </w:tc>
        <w:tc>
          <w:tcPr>
            <w:tcW w:w="100" w:type="dxa"/>
            <w:vAlign w:val="bottom"/>
            <w:tcBorders>
              <w:right w:val="single" w:sz="8" w:color="E0E0E0"/>
            </w:tcBorders>
            <w:shd w:val="clear" w:color="auto" w:fill="E0E0E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Borders>
              <w:right w:val="single" w:sz="8" w:color="E0E0E0"/>
            </w:tcBorders>
            <w:shd w:val="clear" w:color="auto" w:fill="E0E0E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E0E0E0"/>
            </w:tcBorders>
            <w:shd w:val="clear" w:color="auto" w:fill="E0E0E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680" w:type="dxa"/>
            <w:vAlign w:val="bottom"/>
            <w:shd w:val="clear" w:color="auto" w:fill="E0E0E0"/>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other income (expense)</w:t>
            </w:r>
          </w:p>
        </w:tc>
        <w:tc>
          <w:tcPr>
            <w:tcW w:w="100" w:type="dxa"/>
            <w:vAlign w:val="bottom"/>
            <w:tcBorders>
              <w:right w:val="single" w:sz="8" w:color="E0E0E0"/>
            </w:tcBorders>
            <w:shd w:val="clear" w:color="auto" w:fill="E0E0E0"/>
          </w:tcPr>
          <w:p>
            <w:pPr>
              <w:spacing w:after="0"/>
              <w:rPr>
                <w:sz w:val="20"/>
                <w:szCs w:val="20"/>
                <w:color w:val="auto"/>
              </w:rPr>
            </w:pPr>
          </w:p>
        </w:tc>
        <w:tc>
          <w:tcPr>
            <w:tcW w:w="300" w:type="dxa"/>
            <w:vAlign w:val="bottom"/>
            <w:shd w:val="clear" w:color="auto" w:fill="E0E0E0"/>
          </w:tcPr>
          <w:p>
            <w:pPr>
              <w:spacing w:after="0"/>
              <w:rPr>
                <w:sz w:val="20"/>
                <w:szCs w:val="20"/>
                <w:color w:val="auto"/>
              </w:rPr>
            </w:pPr>
          </w:p>
        </w:tc>
        <w:tc>
          <w:tcPr>
            <w:tcW w:w="1240" w:type="dxa"/>
            <w:vAlign w:val="bottom"/>
            <w:tcBorders>
              <w:right w:val="single" w:sz="8" w:color="E0E0E0"/>
            </w:tcBorders>
            <w:gridSpan w:val="2"/>
            <w:shd w:val="clear" w:color="auto" w:fill="E0E0E0"/>
          </w:tcPr>
          <w:p>
            <w:pPr>
              <w:jc w:val="right"/>
              <w:ind w:right="200"/>
              <w:spacing w:after="0" w:line="220" w:lineRule="exact"/>
              <w:rPr>
                <w:sz w:val="20"/>
                <w:szCs w:val="20"/>
                <w:color w:val="auto"/>
              </w:rPr>
            </w:pPr>
            <w:r>
              <w:rPr>
                <w:rFonts w:ascii="Times New Roman" w:cs="Times New Roman" w:eastAsia="Times New Roman" w:hAnsi="Times New Roman"/>
                <w:sz w:val="20"/>
                <w:szCs w:val="20"/>
                <w:color w:val="auto"/>
              </w:rPr>
              <w:t>10,639</w:t>
            </w:r>
          </w:p>
        </w:tc>
        <w:tc>
          <w:tcPr>
            <w:tcW w:w="440" w:type="dxa"/>
            <w:vAlign w:val="bottom"/>
            <w:shd w:val="clear" w:color="auto" w:fill="E0E0E0"/>
          </w:tcPr>
          <w:p>
            <w:pPr>
              <w:spacing w:after="0"/>
              <w:rPr>
                <w:sz w:val="20"/>
                <w:szCs w:val="20"/>
                <w:color w:val="auto"/>
              </w:rPr>
            </w:pPr>
          </w:p>
        </w:tc>
        <w:tc>
          <w:tcPr>
            <w:tcW w:w="1080" w:type="dxa"/>
            <w:vAlign w:val="bottom"/>
            <w:tcBorders>
              <w:right w:val="single" w:sz="8" w:color="E0E0E0"/>
            </w:tcBorders>
            <w:gridSpan w:val="2"/>
            <w:shd w:val="clear" w:color="auto" w:fill="E0E0E0"/>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11,174</w:t>
            </w:r>
          </w:p>
        </w:tc>
        <w:tc>
          <w:tcPr>
            <w:tcW w:w="260" w:type="dxa"/>
            <w:vAlign w:val="bottom"/>
            <w:shd w:val="clear" w:color="auto" w:fill="E0E0E0"/>
          </w:tcPr>
          <w:p>
            <w:pPr>
              <w:spacing w:after="0"/>
              <w:rPr>
                <w:sz w:val="20"/>
                <w:szCs w:val="20"/>
                <w:color w:val="auto"/>
              </w:rPr>
            </w:pPr>
          </w:p>
        </w:tc>
        <w:tc>
          <w:tcPr>
            <w:tcW w:w="1260" w:type="dxa"/>
            <w:vAlign w:val="bottom"/>
            <w:gridSpan w:val="2"/>
            <w:shd w:val="clear" w:color="auto" w:fill="E0E0E0"/>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(535)</w:t>
            </w:r>
          </w:p>
        </w:tc>
        <w:tc>
          <w:tcPr>
            <w:tcW w:w="0" w:type="dxa"/>
            <w:vAlign w:val="bottom"/>
          </w:tcPr>
          <w:p>
            <w:pPr>
              <w:spacing w:after="0"/>
              <w:rPr>
                <w:sz w:val="1"/>
                <w:szCs w:val="1"/>
                <w:color w:val="auto"/>
              </w:rPr>
            </w:pPr>
          </w:p>
        </w:tc>
      </w:tr>
      <w:tr>
        <w:trPr>
          <w:trHeight w:val="200"/>
        </w:trPr>
        <w:tc>
          <w:tcPr>
            <w:tcW w:w="4680" w:type="dxa"/>
            <w:vAlign w:val="bottom"/>
            <w:tcBorders>
              <w:top w:val="single" w:sz="8" w:color="E0E0E0"/>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Loss before provision (benefit) for income taxes</w:t>
            </w:r>
          </w:p>
        </w:tc>
        <w:tc>
          <w:tcPr>
            <w:tcW w:w="100" w:type="dxa"/>
            <w:vAlign w:val="bottom"/>
            <w:tcBorders>
              <w:top w:val="single" w:sz="8" w:color="E0E0E0"/>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(74,809)</w:t>
            </w:r>
          </w:p>
        </w:tc>
        <w:tc>
          <w:tcPr>
            <w:tcW w:w="200" w:type="dxa"/>
            <w:vAlign w:val="bottom"/>
            <w:tcBorders>
              <w:top w:val="single" w:sz="8" w:color="E0E0E0"/>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(68,958)</w:t>
            </w:r>
          </w:p>
        </w:tc>
        <w:tc>
          <w:tcPr>
            <w:tcW w:w="180" w:type="dxa"/>
            <w:vAlign w:val="bottom"/>
            <w:tcBorders>
              <w:top w:val="single" w:sz="8" w:color="E0E0E0"/>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(5,851)</w:t>
            </w:r>
          </w:p>
        </w:tc>
        <w:tc>
          <w:tcPr>
            <w:tcW w:w="180" w:type="dxa"/>
            <w:vAlign w:val="bottom"/>
            <w:tcBorders>
              <w:top w:val="single" w:sz="8" w:color="E0E0E0"/>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Provision (benefit) for income taxes</w:t>
            </w:r>
          </w:p>
        </w:tc>
        <w:tc>
          <w:tcPr>
            <w:tcW w:w="100" w:type="dxa"/>
            <w:vAlign w:val="bottom"/>
            <w:tcBorders>
              <w:right w:val="single" w:sz="8" w:color="E0E0E0"/>
            </w:tcBorders>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240" w:type="dxa"/>
            <w:vAlign w:val="bottom"/>
            <w:tcBorders>
              <w:right w:val="single" w:sz="8" w:color="E0E0E0"/>
            </w:tcBorders>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(16,100)</w:t>
            </w:r>
          </w:p>
        </w:tc>
        <w:tc>
          <w:tcPr>
            <w:tcW w:w="440" w:type="dxa"/>
            <w:vAlign w:val="bottom"/>
            <w:shd w:val="clear" w:color="auto" w:fill="E0E0E0"/>
          </w:tcPr>
          <w:p>
            <w:pPr>
              <w:spacing w:after="0"/>
              <w:rPr>
                <w:sz w:val="21"/>
                <w:szCs w:val="21"/>
                <w:color w:val="auto"/>
              </w:rPr>
            </w:pPr>
          </w:p>
        </w:tc>
        <w:tc>
          <w:tcPr>
            <w:tcW w:w="1080" w:type="dxa"/>
            <w:vAlign w:val="bottom"/>
            <w:tcBorders>
              <w:right w:val="single" w:sz="8" w:color="E0E0E0"/>
            </w:tcBorders>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rPr>
              <w:t>2</w:t>
            </w:r>
          </w:p>
        </w:tc>
        <w:tc>
          <w:tcPr>
            <w:tcW w:w="260" w:type="dxa"/>
            <w:vAlign w:val="bottom"/>
            <w:shd w:val="clear" w:color="auto" w:fill="E0E0E0"/>
          </w:tcPr>
          <w:p>
            <w:pPr>
              <w:spacing w:after="0"/>
              <w:rPr>
                <w:sz w:val="21"/>
                <w:szCs w:val="21"/>
                <w:color w:val="auto"/>
              </w:rPr>
            </w:pPr>
          </w:p>
        </w:tc>
        <w:tc>
          <w:tcPr>
            <w:tcW w:w="126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(16,102)</w:t>
            </w:r>
          </w:p>
        </w:tc>
        <w:tc>
          <w:tcPr>
            <w:tcW w:w="0" w:type="dxa"/>
            <w:vAlign w:val="bottom"/>
          </w:tcPr>
          <w:p>
            <w:pPr>
              <w:spacing w:after="0"/>
              <w:rPr>
                <w:sz w:val="1"/>
                <w:szCs w:val="1"/>
                <w:color w:val="auto"/>
              </w:rPr>
            </w:pPr>
          </w:p>
        </w:tc>
      </w:tr>
      <w:tr>
        <w:trPr>
          <w:trHeight w:val="202"/>
        </w:trPr>
        <w:tc>
          <w:tcPr>
            <w:tcW w:w="4680" w:type="dxa"/>
            <w:vAlign w:val="bottom"/>
            <w:tcBorders>
              <w:top w:val="single" w:sz="8" w:color="E0E0E0"/>
            </w:tcBorders>
          </w:tcPr>
          <w:p>
            <w:pPr>
              <w:ind w:left="100"/>
              <w:spacing w:after="0" w:line="203" w:lineRule="exact"/>
              <w:rPr>
                <w:sz w:val="20"/>
                <w:szCs w:val="20"/>
                <w:color w:val="auto"/>
              </w:rPr>
            </w:pPr>
            <w:r>
              <w:rPr>
                <w:rFonts w:ascii="Times New Roman" w:cs="Times New Roman" w:eastAsia="Times New Roman" w:hAnsi="Times New Roman"/>
                <w:sz w:val="20"/>
                <w:szCs w:val="20"/>
                <w:color w:val="auto"/>
              </w:rPr>
              <w:t>Net loss</w:t>
            </w:r>
          </w:p>
        </w:tc>
        <w:tc>
          <w:tcPr>
            <w:tcW w:w="100" w:type="dxa"/>
            <w:vAlign w:val="bottom"/>
            <w:tcBorders>
              <w:top w:val="single" w:sz="8" w:color="E0E0E0"/>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00"/>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(58,709)</w:t>
            </w:r>
          </w:p>
        </w:tc>
        <w:tc>
          <w:tcPr>
            <w:tcW w:w="200" w:type="dxa"/>
            <w:vAlign w:val="bottom"/>
            <w:tcBorders>
              <w:top w:val="single" w:sz="8" w:color="E0E0E0"/>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(68,960)</w:t>
            </w:r>
          </w:p>
        </w:tc>
        <w:tc>
          <w:tcPr>
            <w:tcW w:w="180" w:type="dxa"/>
            <w:vAlign w:val="bottom"/>
            <w:tcBorders>
              <w:top w:val="single" w:sz="8" w:color="E0E0E0"/>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60"/>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10,251</w:t>
            </w:r>
          </w:p>
        </w:tc>
        <w:tc>
          <w:tcPr>
            <w:tcW w:w="180" w:type="dxa"/>
            <w:vAlign w:val="bottom"/>
            <w:tcBorders>
              <w:top w:val="single" w:sz="8" w:color="E0E0E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-476885</wp:posOffset>
                </wp:positionV>
                <wp:extent cx="303085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0855"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5499pt" to="238.65pt,-37.54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3886200</wp:posOffset>
                </wp:positionH>
                <wp:positionV relativeFrom="paragraph">
                  <wp:posOffset>-476885</wp:posOffset>
                </wp:positionV>
                <wp:extent cx="11938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938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pt,-37.5499pt" to="315.4pt,-37.54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4859655</wp:posOffset>
                </wp:positionH>
                <wp:positionV relativeFrom="paragraph">
                  <wp:posOffset>-476885</wp:posOffset>
                </wp:positionV>
                <wp:extent cx="12001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015"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2.65pt,-37.5499pt" to="392.1pt,-37.54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5834380</wp:posOffset>
                </wp:positionH>
                <wp:positionV relativeFrom="paragraph">
                  <wp:posOffset>-476885</wp:posOffset>
                </wp:positionV>
                <wp:extent cx="10922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22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9.4pt,-37.5499pt" to="468pt,-37.54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-177800</wp:posOffset>
                </wp:positionV>
                <wp:extent cx="303085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0855"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pt" to="238.65pt,-14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3886200</wp:posOffset>
                </wp:positionH>
                <wp:positionV relativeFrom="paragraph">
                  <wp:posOffset>-177800</wp:posOffset>
                </wp:positionV>
                <wp:extent cx="11938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938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pt,-14pt" to="315.4pt,-14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4859655</wp:posOffset>
                </wp:positionH>
                <wp:positionV relativeFrom="paragraph">
                  <wp:posOffset>-177800</wp:posOffset>
                </wp:positionV>
                <wp:extent cx="12001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015"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2.65pt,-14pt" to="392.1pt,-14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5834380</wp:posOffset>
                </wp:positionH>
                <wp:positionV relativeFrom="paragraph">
                  <wp:posOffset>-177800</wp:posOffset>
                </wp:positionV>
                <wp:extent cx="10922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22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9.4pt,-14pt" to="468pt,-14pt" o:allowincell="f" strokecolor="#FFFFFF" strokeweight="0.48pt"/>
            </w:pict>
          </mc:Fallback>
        </mc:AlternateContent>
      </w:r>
    </w:p>
    <w:p>
      <w:pPr>
        <w:spacing w:after="0" w:line="3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20" w:lineRule="exact"/>
        <w:rPr>
          <w:sz w:val="20"/>
          <w:szCs w:val="20"/>
          <w:color w:val="auto"/>
        </w:rPr>
      </w:pPr>
    </w:p>
    <w:p>
      <w:pPr>
        <w:ind w:right="700" w:firstLine="619"/>
        <w:spacing w:after="0" w:line="277" w:lineRule="auto"/>
        <w:rPr>
          <w:sz w:val="20"/>
          <w:szCs w:val="20"/>
          <w:color w:val="auto"/>
        </w:rPr>
      </w:pPr>
      <w:r>
        <w:rPr>
          <w:rFonts w:ascii="Times New Roman" w:cs="Times New Roman" w:eastAsia="Times New Roman" w:hAnsi="Times New Roman"/>
          <w:sz w:val="20"/>
          <w:szCs w:val="20"/>
          <w:color w:val="auto"/>
        </w:rPr>
        <w:t>The following table summarizes our research and development expenses incurred during the periods indicated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151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93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Statement of operations data:</w:t>
            </w:r>
          </w:p>
        </w:tc>
        <w:tc>
          <w:tcPr>
            <w:tcW w:w="1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151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101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89"/>
        </w:trPr>
        <w:tc>
          <w:tcPr>
            <w:tcW w:w="5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0" w:type="dxa"/>
            <w:vAlign w:val="bottom"/>
            <w:tcBorders>
              <w:top w:val="single" w:sz="8" w:color="auto"/>
            </w:tcBorders>
          </w:tcPr>
          <w:p>
            <w:pPr>
              <w:spacing w:after="0"/>
              <w:rPr>
                <w:sz w:val="16"/>
                <w:szCs w:val="16"/>
                <w:color w:val="auto"/>
              </w:rPr>
            </w:pPr>
          </w:p>
        </w:tc>
        <w:tc>
          <w:tcPr>
            <w:tcW w:w="930" w:type="dxa"/>
            <w:vAlign w:val="bottom"/>
            <w:tcBorders>
              <w:top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101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740" w:type="dxa"/>
            <w:vAlign w:val="bottom"/>
            <w:tcBorders>
              <w:top w:val="single" w:sz="8" w:color="auto"/>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Research</w:t>
            </w:r>
          </w:p>
        </w:tc>
        <w:tc>
          <w:tcPr>
            <w:tcW w:w="120" w:type="dxa"/>
            <w:vAlign w:val="bottom"/>
            <w:tcBorders>
              <w:top w:val="single" w:sz="8" w:color="E0E0E0"/>
            </w:tcBorders>
            <w:shd w:val="clear" w:color="auto" w:fill="E0E0E0"/>
          </w:tcPr>
          <w:p>
            <w:pPr>
              <w:spacing w:after="0"/>
              <w:rPr>
                <w:sz w:val="20"/>
                <w:szCs w:val="20"/>
                <w:color w:val="auto"/>
              </w:rPr>
            </w:pPr>
          </w:p>
        </w:tc>
        <w:tc>
          <w:tcPr>
            <w:tcW w:w="11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93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5,914</w:t>
            </w:r>
          </w:p>
        </w:tc>
        <w:tc>
          <w:tcPr>
            <w:tcW w:w="200" w:type="dxa"/>
            <w:vAlign w:val="bottom"/>
            <w:tcBorders>
              <w:top w:val="single" w:sz="8" w:color="E0E0E0"/>
            </w:tcBorders>
            <w:shd w:val="clear" w:color="auto" w:fill="E0E0E0"/>
          </w:tcPr>
          <w:p>
            <w:pPr>
              <w:spacing w:after="0"/>
              <w:rPr>
                <w:sz w:val="20"/>
                <w:szCs w:val="20"/>
                <w:color w:val="auto"/>
              </w:rPr>
            </w:pPr>
          </w:p>
        </w:tc>
        <w:tc>
          <w:tcPr>
            <w:tcW w:w="20" w:type="dxa"/>
            <w:vAlign w:val="bottom"/>
            <w:tcBorders>
              <w:top w:val="single" w:sz="8" w:color="E0E0E0"/>
            </w:tcBorders>
            <w:shd w:val="clear" w:color="auto" w:fill="E0E0E0"/>
          </w:tcPr>
          <w:p>
            <w:pPr>
              <w:spacing w:after="0"/>
              <w:rPr>
                <w:sz w:val="20"/>
                <w:szCs w:val="20"/>
                <w:color w:val="auto"/>
              </w:rPr>
            </w:pPr>
          </w:p>
        </w:tc>
        <w:tc>
          <w:tcPr>
            <w:tcW w:w="360" w:type="dxa"/>
            <w:vAlign w:val="bottom"/>
            <w:tcBorders>
              <w:top w:val="single" w:sz="8" w:color="auto"/>
            </w:tcBorders>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6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5,307</w:t>
            </w:r>
          </w:p>
        </w:tc>
        <w:tc>
          <w:tcPr>
            <w:tcW w:w="60" w:type="dxa"/>
            <w:vAlign w:val="bottom"/>
            <w:tcBorders>
              <w:top w:val="single" w:sz="8" w:color="E0E0E0"/>
            </w:tcBorders>
            <w:shd w:val="clear" w:color="auto" w:fill="E0E0E0"/>
          </w:tcPr>
          <w:p>
            <w:pPr>
              <w:spacing w:after="0"/>
              <w:rPr>
                <w:sz w:val="20"/>
                <w:szCs w:val="20"/>
                <w:color w:val="auto"/>
              </w:rPr>
            </w:pPr>
          </w:p>
        </w:tc>
        <w:tc>
          <w:tcPr>
            <w:tcW w:w="20" w:type="dxa"/>
            <w:vAlign w:val="bottom"/>
            <w:tcBorders>
              <w:top w:val="single" w:sz="8" w:color="E0E0E0"/>
            </w:tcBorders>
            <w:shd w:val="clear" w:color="auto" w:fill="E0E0E0"/>
          </w:tcPr>
          <w:p>
            <w:pPr>
              <w:spacing w:after="0"/>
              <w:rPr>
                <w:sz w:val="20"/>
                <w:szCs w:val="20"/>
                <w:color w:val="auto"/>
              </w:rPr>
            </w:pPr>
          </w:p>
        </w:tc>
        <w:tc>
          <w:tcPr>
            <w:tcW w:w="11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93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607</w:t>
            </w:r>
          </w:p>
        </w:tc>
        <w:tc>
          <w:tcPr>
            <w:tcW w:w="80" w:type="dxa"/>
            <w:vAlign w:val="bottom"/>
            <w:tcBorders>
              <w:top w:val="single" w:sz="8" w:color="E0E0E0"/>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Development</w:t>
            </w:r>
          </w:p>
        </w:tc>
        <w:tc>
          <w:tcPr>
            <w:tcW w:w="1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93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35,295</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31,740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93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7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Personnel related</w:t>
            </w:r>
          </w:p>
        </w:tc>
        <w:tc>
          <w:tcPr>
            <w:tcW w:w="120" w:type="dxa"/>
            <w:vAlign w:val="bottom"/>
            <w:shd w:val="clear" w:color="auto" w:fill="E0E0E0"/>
          </w:tcPr>
          <w:p>
            <w:pPr>
              <w:spacing w:after="0"/>
              <w:rPr>
                <w:sz w:val="21"/>
                <w:szCs w:val="21"/>
                <w:color w:val="auto"/>
              </w:rPr>
            </w:pPr>
          </w:p>
        </w:tc>
        <w:tc>
          <w:tcPr>
            <w:tcW w:w="110" w:type="dxa"/>
            <w:vAlign w:val="bottom"/>
            <w:shd w:val="clear" w:color="auto" w:fill="E0E0E0"/>
          </w:tcPr>
          <w:p>
            <w:pPr>
              <w:spacing w:after="0"/>
              <w:rPr>
                <w:sz w:val="21"/>
                <w:szCs w:val="21"/>
                <w:color w:val="auto"/>
              </w:rPr>
            </w:pPr>
          </w:p>
        </w:tc>
        <w:tc>
          <w:tcPr>
            <w:tcW w:w="93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13,662</w:t>
            </w:r>
          </w:p>
        </w:tc>
        <w:tc>
          <w:tcPr>
            <w:tcW w:w="20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360" w:type="dxa"/>
            <w:vAlign w:val="bottom"/>
            <w:shd w:val="clear" w:color="auto" w:fill="E0E0E0"/>
          </w:tcPr>
          <w:p>
            <w:pPr>
              <w:spacing w:after="0"/>
              <w:rPr>
                <w:sz w:val="21"/>
                <w:szCs w:val="21"/>
                <w:color w:val="auto"/>
              </w:rPr>
            </w:pPr>
          </w:p>
        </w:tc>
        <w:tc>
          <w:tcPr>
            <w:tcW w:w="6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13,320</w:t>
            </w:r>
          </w:p>
        </w:tc>
        <w:tc>
          <w:tcPr>
            <w:tcW w:w="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10" w:type="dxa"/>
            <w:vAlign w:val="bottom"/>
            <w:shd w:val="clear" w:color="auto" w:fill="E0E0E0"/>
          </w:tcPr>
          <w:p>
            <w:pPr>
              <w:spacing w:after="0"/>
              <w:rPr>
                <w:sz w:val="21"/>
                <w:szCs w:val="21"/>
                <w:color w:val="auto"/>
              </w:rPr>
            </w:pPr>
          </w:p>
        </w:tc>
        <w:tc>
          <w:tcPr>
            <w:tcW w:w="93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342</w:t>
            </w:r>
          </w:p>
        </w:tc>
        <w:tc>
          <w:tcPr>
            <w:tcW w:w="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1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93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3,656</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5,518</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01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(1,862 )</w:t>
            </w:r>
          </w:p>
        </w:tc>
        <w:tc>
          <w:tcPr>
            <w:tcW w:w="0" w:type="dxa"/>
            <w:vAlign w:val="bottom"/>
          </w:tcPr>
          <w:p>
            <w:pPr>
              <w:spacing w:after="0"/>
              <w:rPr>
                <w:sz w:val="1"/>
                <w:szCs w:val="1"/>
                <w:color w:val="auto"/>
              </w:rPr>
            </w:pPr>
          </w:p>
        </w:tc>
      </w:tr>
      <w:tr>
        <w:trPr>
          <w:trHeight w:val="235"/>
        </w:trPr>
        <w:tc>
          <w:tcPr>
            <w:tcW w:w="574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Total</w:t>
            </w:r>
          </w:p>
        </w:tc>
        <w:tc>
          <w:tcPr>
            <w:tcW w:w="120" w:type="dxa"/>
            <w:vAlign w:val="bottom"/>
            <w:tcBorders>
              <w:top w:val="single" w:sz="8" w:color="E0E0E0"/>
            </w:tcBorders>
            <w:shd w:val="clear" w:color="auto" w:fill="E0E0E0"/>
          </w:tcPr>
          <w:p>
            <w:pPr>
              <w:spacing w:after="0"/>
              <w:rPr>
                <w:sz w:val="20"/>
                <w:szCs w:val="20"/>
                <w:color w:val="auto"/>
              </w:rPr>
            </w:pPr>
          </w:p>
        </w:tc>
        <w:tc>
          <w:tcPr>
            <w:tcW w:w="11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93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58,527</w:t>
            </w:r>
          </w:p>
        </w:tc>
        <w:tc>
          <w:tcPr>
            <w:tcW w:w="200" w:type="dxa"/>
            <w:vAlign w:val="bottom"/>
            <w:tcBorders>
              <w:top w:val="single" w:sz="8" w:color="E0E0E0"/>
            </w:tcBorders>
            <w:shd w:val="clear" w:color="auto" w:fill="E0E0E0"/>
          </w:tcPr>
          <w:p>
            <w:pPr>
              <w:spacing w:after="0"/>
              <w:rPr>
                <w:sz w:val="20"/>
                <w:szCs w:val="20"/>
                <w:color w:val="auto"/>
              </w:rPr>
            </w:pPr>
          </w:p>
        </w:tc>
        <w:tc>
          <w:tcPr>
            <w:tcW w:w="20" w:type="dxa"/>
            <w:vAlign w:val="bottom"/>
            <w:tcBorders>
              <w:top w:val="single" w:sz="8" w:color="E0E0E0"/>
              <w:bottom w:val="single" w:sz="8" w:color="auto"/>
            </w:tcBorders>
            <w:shd w:val="clear" w:color="auto" w:fill="E0E0E0"/>
          </w:tcPr>
          <w:p>
            <w:pPr>
              <w:spacing w:after="0"/>
              <w:rPr>
                <w:sz w:val="20"/>
                <w:szCs w:val="20"/>
                <w:color w:val="auto"/>
              </w:rPr>
            </w:pPr>
          </w:p>
        </w:tc>
        <w:tc>
          <w:tcPr>
            <w:tcW w:w="360" w:type="dxa"/>
            <w:vAlign w:val="bottom"/>
            <w:tcBorders>
              <w:top w:val="single" w:sz="8" w:color="auto"/>
              <w:bottom w:val="single" w:sz="8" w:color="auto"/>
            </w:tcBorders>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68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55,885</w:t>
            </w:r>
          </w:p>
        </w:tc>
        <w:tc>
          <w:tcPr>
            <w:tcW w:w="60" w:type="dxa"/>
            <w:vAlign w:val="bottom"/>
            <w:tcBorders>
              <w:top w:val="single" w:sz="8" w:color="E0E0E0"/>
            </w:tcBorders>
            <w:shd w:val="clear" w:color="auto" w:fill="E0E0E0"/>
          </w:tcPr>
          <w:p>
            <w:pPr>
              <w:spacing w:after="0"/>
              <w:rPr>
                <w:sz w:val="20"/>
                <w:szCs w:val="20"/>
                <w:color w:val="auto"/>
              </w:rPr>
            </w:pPr>
          </w:p>
        </w:tc>
        <w:tc>
          <w:tcPr>
            <w:tcW w:w="20" w:type="dxa"/>
            <w:vAlign w:val="bottom"/>
            <w:tcBorders>
              <w:top w:val="single" w:sz="8" w:color="E0E0E0"/>
              <w:bottom w:val="single" w:sz="8" w:color="auto"/>
            </w:tcBorders>
            <w:shd w:val="clear" w:color="auto" w:fill="E0E0E0"/>
          </w:tcPr>
          <w:p>
            <w:pPr>
              <w:spacing w:after="0"/>
              <w:rPr>
                <w:sz w:val="20"/>
                <w:szCs w:val="20"/>
                <w:color w:val="auto"/>
              </w:rPr>
            </w:pPr>
          </w:p>
        </w:tc>
        <w:tc>
          <w:tcPr>
            <w:tcW w:w="11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93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2,642</w:t>
            </w:r>
          </w:p>
        </w:tc>
        <w:tc>
          <w:tcPr>
            <w:tcW w:w="80" w:type="dxa"/>
            <w:vAlign w:val="bottom"/>
            <w:tcBorders>
              <w:top w:val="single" w:sz="8" w:color="E0E0E0"/>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93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93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20"/>
          <w:szCs w:val="20"/>
          <w:color w:val="auto"/>
        </w:rPr>
        <w:t>Research and development expenses were $58.5 million for the year ended December 31, 2024, compared to $55.9 million for the year ended December 31, 2023. The increase of $2.6 million was primarily due to the following:</w:t>
      </w:r>
    </w:p>
    <w:p>
      <w:pPr>
        <w:spacing w:after="0" w:line="83" w:lineRule="exact"/>
        <w:rPr>
          <w:sz w:val="20"/>
          <w:szCs w:val="20"/>
          <w:color w:val="auto"/>
        </w:rPr>
      </w:pPr>
    </w:p>
    <w:p>
      <w:pPr>
        <w:ind w:left="900" w:right="520" w:hanging="281"/>
        <w:spacing w:after="0" w:line="277" w:lineRule="auto"/>
        <w:tabs>
          <w:tab w:leader="none" w:pos="90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$4.1 million increase in research and development expenses largely driven by increased contractual research organization costs; offset by</w:t>
      </w:r>
    </w:p>
    <w:p>
      <w:pPr>
        <w:spacing w:after="0" w:line="62" w:lineRule="exact"/>
        <w:rPr>
          <w:rFonts w:ascii="Arial" w:cs="Arial" w:eastAsia="Arial" w:hAnsi="Arial"/>
          <w:sz w:val="20"/>
          <w:szCs w:val="20"/>
          <w:color w:val="auto"/>
        </w:rPr>
      </w:pPr>
    </w:p>
    <w:p>
      <w:pPr>
        <w:ind w:left="900" w:right="60" w:hanging="281"/>
        <w:spacing w:after="0" w:line="252" w:lineRule="auto"/>
        <w:tabs>
          <w:tab w:leader="none" w:pos="90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$1.5 million decrease in expenses for personnel related costs and stock-based compensation, primarily as a result of the restructuring that occurred in January 2024. Refer to Note 12 of the notes to our audited consolidated financial statements for the year ended December 31, 2024 included elsewhere in this Annual Report on Form 10-K for details on the restructuring.</w:t>
      </w:r>
    </w:p>
    <w:p>
      <w:pPr>
        <w:spacing w:after="0" w:line="3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120"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20"/>
          <w:szCs w:val="20"/>
          <w:color w:val="auto"/>
        </w:rPr>
        <w:t>General and administrative expenses were $26.9 million for the year ended December 31, 2024, compared to $24.2 million for the year ended December 31, 2023. The increase of $2.7 million was primarily due to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9360"/>
          </w:cols>
          <w:pgMar w:left="1440" w:top="1416" w:right="1440" w:bottom="175" w:gutter="0" w:footer="0" w:header="0"/>
        </w:sectPr>
      </w:pPr>
    </w:p>
    <w:bookmarkStart w:id="100" w:name="page101"/>
    <w:bookmarkEnd w:id="100"/>
    <w:p>
      <w:pPr>
        <w:ind w:left="900" w:right="20" w:hanging="281"/>
        <w:spacing w:after="0" w:line="258" w:lineRule="auto"/>
        <w:tabs>
          <w:tab w:leader="none" w:pos="90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$5.3 million increase in facility related costs due to the termination of our prior lease for our headquarters at One Research Way in Princeton, New Jersey, and $0.4 million increase in general and administrative consulting costs; offset by</w:t>
      </w:r>
    </w:p>
    <w:p>
      <w:pPr>
        <w:spacing w:after="0" w:line="81" w:lineRule="exact"/>
        <w:rPr>
          <w:rFonts w:ascii="Arial" w:cs="Arial" w:eastAsia="Arial" w:hAnsi="Arial"/>
          <w:sz w:val="20"/>
          <w:szCs w:val="20"/>
          <w:color w:val="auto"/>
        </w:rPr>
      </w:pPr>
    </w:p>
    <w:p>
      <w:pPr>
        <w:ind w:left="900" w:right="20" w:hanging="281"/>
        <w:spacing w:after="0" w:line="258" w:lineRule="auto"/>
        <w:tabs>
          <w:tab w:leader="none" w:pos="90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$2.5 million decrease in expenses for personnel related costs and stock-based compensation driven by the restructuring that occurred in January 2024, and $0.5 million decrease in director and officer insurance fees.</w:t>
      </w:r>
    </w:p>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Interest Income, Net</w:t>
      </w:r>
    </w:p>
    <w:p>
      <w:pPr>
        <w:spacing w:after="0" w:line="120"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20"/>
          <w:szCs w:val="20"/>
          <w:color w:val="auto"/>
        </w:rPr>
        <w:t>Interest income, net primarily consists of interest income from our interest-bearing cash, cash equivalents, and marketable securities and interest costs related to amortization of premiums and discounts on marketable securities. Interest income, net was $10.7 million for the year ended December 31, 2024, compared to $11.2 million for the year ended December 31, 2023. The decrease of $0.5 million in 2024 was primarily due to decreased interest rates from cash investments in marketable securities and U.S. treasuries.</w:t>
      </w:r>
    </w:p>
    <w:p>
      <w:pPr>
        <w:spacing w:after="0" w:line="31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Our financial condition is summarized as follows (in thousands):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6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74"/>
        </w:trPr>
        <w:tc>
          <w:tcPr>
            <w:tcW w:w="4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44"/>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422"/>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680" w:type="dxa"/>
            <w:vAlign w:val="bottom"/>
            <w:tcBorders>
              <w:top w:val="single" w:sz="8" w:color="DEDEDE"/>
            </w:tcBorders>
            <w:shd w:val="clear" w:color="auto" w:fill="DEDEDE"/>
          </w:tcPr>
          <w:p>
            <w:pPr>
              <w:spacing w:after="0" w:line="220" w:lineRule="exact"/>
              <w:rPr>
                <w:sz w:val="20"/>
                <w:szCs w:val="20"/>
                <w:color w:val="auto"/>
              </w:rPr>
            </w:pPr>
            <w:r>
              <w:rPr>
                <w:rFonts w:ascii="Times New Roman" w:cs="Times New Roman" w:eastAsia="Times New Roman" w:hAnsi="Times New Roman"/>
                <w:sz w:val="20"/>
                <w:szCs w:val="20"/>
                <w:color w:val="auto"/>
              </w:rPr>
              <w:t>Financial assets:</w:t>
            </w:r>
          </w:p>
        </w:tc>
        <w:tc>
          <w:tcPr>
            <w:tcW w:w="100" w:type="dxa"/>
            <w:vAlign w:val="bottom"/>
            <w:tcBorders>
              <w:top w:val="single" w:sz="8" w:color="DEDEDE"/>
              <w:right w:val="single" w:sz="8" w:color="DEDEDE"/>
            </w:tcBorders>
            <w:shd w:val="clear" w:color="auto" w:fill="DEDEDE"/>
          </w:tcPr>
          <w:p>
            <w:pPr>
              <w:spacing w:after="0"/>
              <w:rPr>
                <w:sz w:val="19"/>
                <w:szCs w:val="19"/>
                <w:color w:val="auto"/>
              </w:rPr>
            </w:pPr>
          </w:p>
        </w:tc>
        <w:tc>
          <w:tcPr>
            <w:tcW w:w="300" w:type="dxa"/>
            <w:vAlign w:val="bottom"/>
            <w:tcBorders>
              <w:top w:val="single" w:sz="8" w:color="auto"/>
            </w:tcBorders>
            <w:shd w:val="clear" w:color="auto" w:fill="DEDEDE"/>
          </w:tcPr>
          <w:p>
            <w:pPr>
              <w:spacing w:after="0"/>
              <w:rPr>
                <w:sz w:val="19"/>
                <w:szCs w:val="19"/>
                <w:color w:val="auto"/>
              </w:rPr>
            </w:pPr>
          </w:p>
        </w:tc>
        <w:tc>
          <w:tcPr>
            <w:tcW w:w="1060" w:type="dxa"/>
            <w:vAlign w:val="bottom"/>
            <w:tcBorders>
              <w:top w:val="single" w:sz="8" w:color="auto"/>
              <w:right w:val="single" w:sz="8" w:color="DEDEDE"/>
            </w:tcBorders>
            <w:shd w:val="clear" w:color="auto" w:fill="DEDEDE"/>
          </w:tcPr>
          <w:p>
            <w:pPr>
              <w:spacing w:after="0"/>
              <w:rPr>
                <w:sz w:val="19"/>
                <w:szCs w:val="19"/>
                <w:color w:val="auto"/>
              </w:rPr>
            </w:pPr>
          </w:p>
        </w:tc>
        <w:tc>
          <w:tcPr>
            <w:tcW w:w="180" w:type="dxa"/>
            <w:vAlign w:val="bottom"/>
            <w:tcBorders>
              <w:top w:val="single" w:sz="8" w:color="DEDEDE"/>
              <w:right w:val="single" w:sz="8" w:color="DEDEDE"/>
            </w:tcBorders>
            <w:shd w:val="clear" w:color="auto" w:fill="DEDEDE"/>
          </w:tcPr>
          <w:p>
            <w:pPr>
              <w:spacing w:after="0"/>
              <w:rPr>
                <w:sz w:val="19"/>
                <w:szCs w:val="19"/>
                <w:color w:val="auto"/>
              </w:rPr>
            </w:pPr>
          </w:p>
        </w:tc>
        <w:tc>
          <w:tcPr>
            <w:tcW w:w="300" w:type="dxa"/>
            <w:vAlign w:val="bottom"/>
            <w:tcBorders>
              <w:top w:val="single" w:sz="8" w:color="auto"/>
            </w:tcBorders>
            <w:shd w:val="clear" w:color="auto" w:fill="DEDEDE"/>
          </w:tcPr>
          <w:p>
            <w:pPr>
              <w:spacing w:after="0"/>
              <w:rPr>
                <w:sz w:val="19"/>
                <w:szCs w:val="19"/>
                <w:color w:val="auto"/>
              </w:rPr>
            </w:pPr>
          </w:p>
        </w:tc>
        <w:tc>
          <w:tcPr>
            <w:tcW w:w="1040" w:type="dxa"/>
            <w:vAlign w:val="bottom"/>
            <w:tcBorders>
              <w:top w:val="single" w:sz="8" w:color="auto"/>
            </w:tcBorders>
            <w:shd w:val="clear" w:color="auto" w:fill="DEDEDE"/>
          </w:tcPr>
          <w:p>
            <w:pPr>
              <w:spacing w:after="0"/>
              <w:rPr>
                <w:sz w:val="19"/>
                <w:szCs w:val="19"/>
                <w:color w:val="auto"/>
              </w:rPr>
            </w:pPr>
          </w:p>
        </w:tc>
        <w:tc>
          <w:tcPr>
            <w:tcW w:w="80" w:type="dxa"/>
            <w:vAlign w:val="bottom"/>
            <w:tcBorders>
              <w:top w:val="single" w:sz="8" w:color="DEDEDE"/>
            </w:tcBorders>
            <w:shd w:val="clear" w:color="auto" w:fill="DEDED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shd w:val="clear" w:color="auto" w:fill="DEDEDE"/>
          </w:tcPr>
          <w:p>
            <w:pPr>
              <w:spacing w:after="0"/>
              <w:rPr>
                <w:sz w:val="19"/>
                <w:szCs w:val="19"/>
                <w:color w:val="auto"/>
              </w:rPr>
            </w:pPr>
          </w:p>
        </w:tc>
        <w:tc>
          <w:tcPr>
            <w:tcW w:w="1080" w:type="dxa"/>
            <w:vAlign w:val="bottom"/>
            <w:tcBorders>
              <w:top w:val="single" w:sz="8" w:color="auto"/>
            </w:tcBorders>
            <w:shd w:val="clear" w:color="auto" w:fill="DEDEDE"/>
          </w:tcPr>
          <w:p>
            <w:pPr>
              <w:spacing w:after="0"/>
              <w:rPr>
                <w:sz w:val="19"/>
                <w:szCs w:val="19"/>
                <w:color w:val="auto"/>
              </w:rPr>
            </w:pPr>
          </w:p>
        </w:tc>
        <w:tc>
          <w:tcPr>
            <w:tcW w:w="180" w:type="dxa"/>
            <w:vAlign w:val="bottom"/>
            <w:tcBorders>
              <w:top w:val="single" w:sz="8" w:color="DEDEDE"/>
            </w:tcBorders>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40,876</w:t>
            </w:r>
          </w:p>
        </w:tc>
        <w:tc>
          <w:tcPr>
            <w:tcW w:w="480" w:type="dxa"/>
            <w:vAlign w:val="bottom"/>
            <w:gridSpan w:val="2"/>
          </w:tcPr>
          <w:p>
            <w:pPr>
              <w:jc w:val="right"/>
              <w:ind w:right="135"/>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37,706</w:t>
            </w:r>
          </w:p>
        </w:tc>
        <w:tc>
          <w:tcPr>
            <w:tcW w:w="100" w:type="dxa"/>
            <w:vAlign w:val="bottom"/>
          </w:tcPr>
          <w:p>
            <w:pPr>
              <w:spacing w:after="0"/>
              <w:rPr>
                <w:sz w:val="20"/>
                <w:szCs w:val="20"/>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3,170</w:t>
            </w:r>
          </w:p>
        </w:tc>
        <w:tc>
          <w:tcPr>
            <w:tcW w:w="0" w:type="dxa"/>
            <w:vAlign w:val="bottom"/>
          </w:tcPr>
          <w:p>
            <w:pPr>
              <w:spacing w:after="0"/>
              <w:rPr>
                <w:sz w:val="1"/>
                <w:szCs w:val="1"/>
                <w:color w:val="auto"/>
              </w:rPr>
            </w:pPr>
          </w:p>
        </w:tc>
      </w:tr>
      <w:tr>
        <w:trPr>
          <w:trHeight w:val="229"/>
        </w:trPr>
        <w:tc>
          <w:tcPr>
            <w:tcW w:w="4680" w:type="dxa"/>
            <w:vAlign w:val="bottom"/>
            <w:shd w:val="clear" w:color="auto" w:fill="DEDEDE"/>
          </w:tcPr>
          <w:p>
            <w:pPr>
              <w:ind w:left="100"/>
              <w:spacing w:after="0"/>
              <w:rPr>
                <w:sz w:val="20"/>
                <w:szCs w:val="20"/>
                <w:color w:val="auto"/>
              </w:rPr>
            </w:pPr>
            <w:r>
              <w:rPr>
                <w:rFonts w:ascii="Times New Roman" w:cs="Times New Roman" w:eastAsia="Times New Roman" w:hAnsi="Times New Roman"/>
                <w:sz w:val="20"/>
                <w:szCs w:val="20"/>
                <w:color w:val="auto"/>
              </w:rPr>
              <w:t>Marketable securities – current</w:t>
            </w:r>
          </w:p>
        </w:tc>
        <w:tc>
          <w:tcPr>
            <w:tcW w:w="100" w:type="dxa"/>
            <w:vAlign w:val="bottom"/>
            <w:tcBorders>
              <w:right w:val="single" w:sz="8" w:color="DEDEDE"/>
            </w:tcBorders>
            <w:shd w:val="clear" w:color="auto" w:fill="DEDEDE"/>
          </w:tcPr>
          <w:p>
            <w:pPr>
              <w:spacing w:after="0"/>
              <w:rPr>
                <w:sz w:val="19"/>
                <w:szCs w:val="19"/>
                <w:color w:val="auto"/>
              </w:rPr>
            </w:pPr>
          </w:p>
        </w:tc>
        <w:tc>
          <w:tcPr>
            <w:tcW w:w="300" w:type="dxa"/>
            <w:vAlign w:val="bottom"/>
            <w:shd w:val="clear" w:color="auto" w:fill="DEDEDE"/>
          </w:tcPr>
          <w:p>
            <w:pPr>
              <w:spacing w:after="0"/>
              <w:rPr>
                <w:sz w:val="19"/>
                <w:szCs w:val="19"/>
                <w:color w:val="auto"/>
              </w:rPr>
            </w:pPr>
          </w:p>
        </w:tc>
        <w:tc>
          <w:tcPr>
            <w:tcW w:w="1060" w:type="dxa"/>
            <w:vAlign w:val="bottom"/>
            <w:tcBorders>
              <w:right w:val="single" w:sz="8" w:color="DEDEDE"/>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128,578</w:t>
            </w:r>
          </w:p>
        </w:tc>
        <w:tc>
          <w:tcPr>
            <w:tcW w:w="180" w:type="dxa"/>
            <w:vAlign w:val="bottom"/>
            <w:tcBorders>
              <w:right w:val="single" w:sz="8" w:color="DEDEDE"/>
            </w:tcBorders>
            <w:shd w:val="clear" w:color="auto" w:fill="DEDEDE"/>
          </w:tcPr>
          <w:p>
            <w:pPr>
              <w:spacing w:after="0"/>
              <w:rPr>
                <w:sz w:val="19"/>
                <w:szCs w:val="19"/>
                <w:color w:val="auto"/>
              </w:rPr>
            </w:pPr>
          </w:p>
        </w:tc>
        <w:tc>
          <w:tcPr>
            <w:tcW w:w="300" w:type="dxa"/>
            <w:vAlign w:val="bottom"/>
            <w:shd w:val="clear" w:color="auto" w:fill="DEDEDE"/>
          </w:tcPr>
          <w:p>
            <w:pPr>
              <w:spacing w:after="0"/>
              <w:rPr>
                <w:sz w:val="19"/>
                <w:szCs w:val="19"/>
                <w:color w:val="auto"/>
              </w:rPr>
            </w:pPr>
          </w:p>
        </w:tc>
        <w:tc>
          <w:tcPr>
            <w:tcW w:w="112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20"/>
                <w:szCs w:val="20"/>
                <w:color w:val="auto"/>
              </w:rPr>
              <w:t>165,351</w:t>
            </w:r>
          </w:p>
        </w:tc>
        <w:tc>
          <w:tcPr>
            <w:tcW w:w="100" w:type="dxa"/>
            <w:vAlign w:val="bottom"/>
            <w:tcBorders>
              <w:right w:val="single" w:sz="8" w:color="DEDEDE"/>
            </w:tcBorders>
            <w:shd w:val="clear" w:color="auto" w:fill="DEDEDE"/>
          </w:tcPr>
          <w:p>
            <w:pPr>
              <w:spacing w:after="0"/>
              <w:rPr>
                <w:sz w:val="19"/>
                <w:szCs w:val="19"/>
                <w:color w:val="auto"/>
              </w:rPr>
            </w:pPr>
          </w:p>
        </w:tc>
        <w:tc>
          <w:tcPr>
            <w:tcW w:w="260" w:type="dxa"/>
            <w:vAlign w:val="bottom"/>
            <w:shd w:val="clear" w:color="auto" w:fill="DEDEDE"/>
          </w:tcPr>
          <w:p>
            <w:pPr>
              <w:spacing w:after="0"/>
              <w:rPr>
                <w:sz w:val="19"/>
                <w:szCs w:val="19"/>
                <w:color w:val="auto"/>
              </w:rPr>
            </w:pPr>
          </w:p>
        </w:tc>
        <w:tc>
          <w:tcPr>
            <w:tcW w:w="126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20"/>
                <w:szCs w:val="20"/>
                <w:color w:val="auto"/>
              </w:rPr>
              <w:t>(36,773)</w:t>
            </w:r>
          </w:p>
        </w:tc>
        <w:tc>
          <w:tcPr>
            <w:tcW w:w="0" w:type="dxa"/>
            <w:vAlign w:val="bottom"/>
          </w:tcPr>
          <w:p>
            <w:pPr>
              <w:spacing w:after="0"/>
              <w:rPr>
                <w:sz w:val="1"/>
                <w:szCs w:val="1"/>
                <w:color w:val="auto"/>
              </w:rPr>
            </w:pPr>
          </w:p>
        </w:tc>
      </w:tr>
      <w:tr>
        <w:trPr>
          <w:trHeight w:val="230"/>
        </w:trPr>
        <w:tc>
          <w:tcPr>
            <w:tcW w:w="4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Marketable securities – noncurrent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13,843</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25,505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(11,662)</w:t>
            </w:r>
          </w:p>
        </w:tc>
        <w:tc>
          <w:tcPr>
            <w:tcW w:w="0" w:type="dxa"/>
            <w:vAlign w:val="bottom"/>
          </w:tcPr>
          <w:p>
            <w:pPr>
              <w:spacing w:after="0"/>
              <w:rPr>
                <w:sz w:val="1"/>
                <w:szCs w:val="1"/>
                <w:color w:val="auto"/>
              </w:rPr>
            </w:pPr>
          </w:p>
        </w:tc>
      </w:tr>
      <w:tr>
        <w:trPr>
          <w:trHeight w:val="20"/>
        </w:trPr>
        <w:tc>
          <w:tcPr>
            <w:tcW w:w="4680" w:type="dxa"/>
            <w:vAlign w:val="bottom"/>
            <w:vMerge w:val="restart"/>
            <w:shd w:val="clear" w:color="auto" w:fill="DEDEDE"/>
          </w:tcPr>
          <w:p>
            <w:pPr>
              <w:ind w:left="200"/>
              <w:spacing w:after="0"/>
              <w:rPr>
                <w:sz w:val="20"/>
                <w:szCs w:val="20"/>
                <w:color w:val="auto"/>
              </w:rPr>
            </w:pPr>
            <w:r>
              <w:rPr>
                <w:rFonts w:ascii="Times New Roman" w:cs="Times New Roman" w:eastAsia="Times New Roman" w:hAnsi="Times New Roman"/>
                <w:sz w:val="20"/>
                <w:szCs w:val="20"/>
                <w:color w:val="auto"/>
              </w:rPr>
              <w:t>Total financial assets</w:t>
            </w:r>
          </w:p>
        </w:tc>
        <w:tc>
          <w:tcPr>
            <w:tcW w:w="100" w:type="dxa"/>
            <w:vAlign w:val="bottom"/>
            <w:tcBorders>
              <w:right w:val="single" w:sz="8" w:color="DEDEDE"/>
            </w:tcBorders>
            <w:shd w:val="clear" w:color="auto" w:fill="DEDEDE"/>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tcBorders>
              <w:right w:val="single" w:sz="8" w:color="DEDEDE"/>
            </w:tcBorders>
            <w:shd w:val="clear" w:color="auto" w:fill="000000"/>
          </w:tcPr>
          <w:p>
            <w:pPr>
              <w:spacing w:after="0" w:line="20" w:lineRule="exact"/>
              <w:rPr>
                <w:sz w:val="1"/>
                <w:szCs w:val="1"/>
                <w:color w:val="auto"/>
              </w:rPr>
            </w:pPr>
          </w:p>
        </w:tc>
        <w:tc>
          <w:tcPr>
            <w:tcW w:w="180" w:type="dxa"/>
            <w:vAlign w:val="bottom"/>
            <w:tcBorders>
              <w:right w:val="single" w:sz="8" w:color="DEDEDE"/>
            </w:tcBorders>
            <w:shd w:val="clear" w:color="auto" w:fill="DEDEDE"/>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100" w:type="dxa"/>
            <w:vAlign w:val="bottom"/>
            <w:tcBorders>
              <w:right w:val="single" w:sz="8" w:color="DEDEDE"/>
            </w:tcBorders>
            <w:shd w:val="clear" w:color="auto" w:fill="DEDEDE"/>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DEDED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680" w:type="dxa"/>
            <w:vAlign w:val="bottom"/>
            <w:vMerge w:val="continue"/>
            <w:shd w:val="clear" w:color="auto" w:fill="DEDEDE"/>
          </w:tcPr>
          <w:p>
            <w:pPr>
              <w:spacing w:after="0"/>
              <w:rPr>
                <w:sz w:val="19"/>
                <w:szCs w:val="19"/>
                <w:color w:val="auto"/>
              </w:rPr>
            </w:pPr>
          </w:p>
        </w:tc>
        <w:tc>
          <w:tcPr>
            <w:tcW w:w="400" w:type="dxa"/>
            <w:vAlign w:val="bottom"/>
            <w:gridSpan w:val="2"/>
            <w:shd w:val="clear" w:color="auto" w:fill="DEDEDE"/>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right w:val="single" w:sz="8" w:color="DEDEDE"/>
            </w:tcBorders>
            <w:shd w:val="clear" w:color="auto" w:fill="DEDEDE"/>
          </w:tcPr>
          <w:p>
            <w:pPr>
              <w:jc w:val="right"/>
              <w:spacing w:after="0" w:line="220" w:lineRule="exact"/>
              <w:rPr>
                <w:sz w:val="20"/>
                <w:szCs w:val="20"/>
                <w:color w:val="auto"/>
              </w:rPr>
            </w:pPr>
            <w:r>
              <w:rPr>
                <w:rFonts w:ascii="Times New Roman" w:cs="Times New Roman" w:eastAsia="Times New Roman" w:hAnsi="Times New Roman"/>
                <w:sz w:val="20"/>
                <w:szCs w:val="20"/>
                <w:color w:val="auto"/>
              </w:rPr>
              <w:t>183,297</w:t>
            </w:r>
          </w:p>
        </w:tc>
        <w:tc>
          <w:tcPr>
            <w:tcW w:w="480" w:type="dxa"/>
            <w:vAlign w:val="bottom"/>
            <w:gridSpan w:val="2"/>
            <w:shd w:val="clear" w:color="auto" w:fill="DEDEDE"/>
          </w:tcPr>
          <w:p>
            <w:pPr>
              <w:jc w:val="right"/>
              <w:ind w:right="135"/>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shd w:val="clear" w:color="auto" w:fill="DEDEDE"/>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rPr>
              <w:t>228,562</w:t>
            </w:r>
          </w:p>
        </w:tc>
        <w:tc>
          <w:tcPr>
            <w:tcW w:w="360" w:type="dxa"/>
            <w:vAlign w:val="bottom"/>
            <w:gridSpan w:val="2"/>
            <w:shd w:val="clear" w:color="auto" w:fill="DEDEDE"/>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shd w:val="clear" w:color="auto" w:fill="DEDEDE"/>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(45,265)</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Working capital:</w:t>
            </w:r>
          </w:p>
        </w:tc>
        <w:tc>
          <w:tcPr>
            <w:tcW w:w="100" w:type="dxa"/>
            <w:vAlign w:val="bottom"/>
            <w:tcBorders>
              <w:right w:val="single" w:sz="8" w:color="DEDEDE"/>
            </w:tcBorders>
            <w:shd w:val="clear" w:color="auto" w:fill="DEDEDE"/>
          </w:tcPr>
          <w:p>
            <w:pPr>
              <w:spacing w:after="0"/>
              <w:rPr>
                <w:sz w:val="20"/>
                <w:szCs w:val="20"/>
                <w:color w:val="auto"/>
              </w:rPr>
            </w:pPr>
          </w:p>
        </w:tc>
        <w:tc>
          <w:tcPr>
            <w:tcW w:w="300" w:type="dxa"/>
            <w:vAlign w:val="bottom"/>
            <w:shd w:val="clear" w:color="auto" w:fill="DEDEDE"/>
          </w:tcPr>
          <w:p>
            <w:pPr>
              <w:spacing w:after="0"/>
              <w:rPr>
                <w:sz w:val="20"/>
                <w:szCs w:val="20"/>
                <w:color w:val="auto"/>
              </w:rPr>
            </w:pPr>
          </w:p>
        </w:tc>
        <w:tc>
          <w:tcPr>
            <w:tcW w:w="1060" w:type="dxa"/>
            <w:vAlign w:val="bottom"/>
            <w:tcBorders>
              <w:right w:val="single" w:sz="8" w:color="DEDEDE"/>
            </w:tcBorders>
            <w:shd w:val="clear" w:color="auto" w:fill="DEDEDE"/>
          </w:tcPr>
          <w:p>
            <w:pPr>
              <w:spacing w:after="0"/>
              <w:rPr>
                <w:sz w:val="20"/>
                <w:szCs w:val="20"/>
                <w:color w:val="auto"/>
              </w:rPr>
            </w:pPr>
          </w:p>
        </w:tc>
        <w:tc>
          <w:tcPr>
            <w:tcW w:w="180" w:type="dxa"/>
            <w:vAlign w:val="bottom"/>
            <w:tcBorders>
              <w:right w:val="single" w:sz="8" w:color="DEDEDE"/>
            </w:tcBorders>
            <w:shd w:val="clear" w:color="auto" w:fill="DEDEDE"/>
          </w:tcPr>
          <w:p>
            <w:pPr>
              <w:spacing w:after="0"/>
              <w:rPr>
                <w:sz w:val="20"/>
                <w:szCs w:val="20"/>
                <w:color w:val="auto"/>
              </w:rPr>
            </w:pPr>
          </w:p>
        </w:tc>
        <w:tc>
          <w:tcPr>
            <w:tcW w:w="300" w:type="dxa"/>
            <w:vAlign w:val="bottom"/>
            <w:shd w:val="clear" w:color="auto" w:fill="DEDEDE"/>
          </w:tcPr>
          <w:p>
            <w:pPr>
              <w:spacing w:after="0"/>
              <w:rPr>
                <w:sz w:val="20"/>
                <w:szCs w:val="20"/>
                <w:color w:val="auto"/>
              </w:rPr>
            </w:pPr>
          </w:p>
        </w:tc>
        <w:tc>
          <w:tcPr>
            <w:tcW w:w="1040" w:type="dxa"/>
            <w:vAlign w:val="bottom"/>
            <w:shd w:val="clear" w:color="auto" w:fill="DEDEDE"/>
          </w:tcPr>
          <w:p>
            <w:pPr>
              <w:spacing w:after="0"/>
              <w:rPr>
                <w:sz w:val="20"/>
                <w:szCs w:val="20"/>
                <w:color w:val="auto"/>
              </w:rPr>
            </w:pPr>
          </w:p>
        </w:tc>
        <w:tc>
          <w:tcPr>
            <w:tcW w:w="80" w:type="dxa"/>
            <w:vAlign w:val="bottom"/>
            <w:shd w:val="clear" w:color="auto" w:fill="DEDEDE"/>
          </w:tcPr>
          <w:p>
            <w:pPr>
              <w:spacing w:after="0"/>
              <w:rPr>
                <w:sz w:val="20"/>
                <w:szCs w:val="20"/>
                <w:color w:val="auto"/>
              </w:rPr>
            </w:pPr>
          </w:p>
        </w:tc>
        <w:tc>
          <w:tcPr>
            <w:tcW w:w="100" w:type="dxa"/>
            <w:vAlign w:val="bottom"/>
            <w:tcBorders>
              <w:right w:val="single" w:sz="8" w:color="DEDEDE"/>
            </w:tcBorders>
            <w:shd w:val="clear" w:color="auto" w:fill="DEDEDE"/>
          </w:tcPr>
          <w:p>
            <w:pPr>
              <w:spacing w:after="0"/>
              <w:rPr>
                <w:sz w:val="20"/>
                <w:szCs w:val="20"/>
                <w:color w:val="auto"/>
              </w:rPr>
            </w:pPr>
          </w:p>
        </w:tc>
        <w:tc>
          <w:tcPr>
            <w:tcW w:w="260" w:type="dxa"/>
            <w:vAlign w:val="bottom"/>
            <w:shd w:val="clear" w:color="auto" w:fill="DEDEDE"/>
          </w:tcPr>
          <w:p>
            <w:pPr>
              <w:spacing w:after="0"/>
              <w:rPr>
                <w:sz w:val="20"/>
                <w:szCs w:val="20"/>
                <w:color w:val="auto"/>
              </w:rPr>
            </w:pPr>
          </w:p>
        </w:tc>
        <w:tc>
          <w:tcPr>
            <w:tcW w:w="1080" w:type="dxa"/>
            <w:vAlign w:val="bottom"/>
            <w:shd w:val="clear" w:color="auto" w:fill="DEDEDE"/>
          </w:tcPr>
          <w:p>
            <w:pPr>
              <w:spacing w:after="0"/>
              <w:rPr>
                <w:sz w:val="20"/>
                <w:szCs w:val="20"/>
                <w:color w:val="auto"/>
              </w:rPr>
            </w:pPr>
          </w:p>
        </w:tc>
        <w:tc>
          <w:tcPr>
            <w:tcW w:w="18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Current assets</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175,658</w:t>
            </w:r>
          </w:p>
        </w:tc>
        <w:tc>
          <w:tcPr>
            <w:tcW w:w="480" w:type="dxa"/>
            <w:vAlign w:val="bottom"/>
            <w:gridSpan w:val="2"/>
          </w:tcPr>
          <w:p>
            <w:pPr>
              <w:jc w:val="right"/>
              <w:ind w:right="135"/>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207,409</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(31,751)</w:t>
            </w:r>
          </w:p>
        </w:tc>
        <w:tc>
          <w:tcPr>
            <w:tcW w:w="0" w:type="dxa"/>
            <w:vAlign w:val="bottom"/>
          </w:tcPr>
          <w:p>
            <w:pPr>
              <w:spacing w:after="0"/>
              <w:rPr>
                <w:sz w:val="1"/>
                <w:szCs w:val="1"/>
                <w:color w:val="auto"/>
              </w:rPr>
            </w:pPr>
          </w:p>
        </w:tc>
      </w:tr>
      <w:tr>
        <w:trPr>
          <w:trHeight w:val="230"/>
        </w:trPr>
        <w:tc>
          <w:tcPr>
            <w:tcW w:w="4680" w:type="dxa"/>
            <w:vAlign w:val="bottom"/>
            <w:shd w:val="clear" w:color="auto" w:fill="DEDEDE"/>
          </w:tcPr>
          <w:p>
            <w:pPr>
              <w:ind w:left="100"/>
              <w:spacing w:after="0"/>
              <w:rPr>
                <w:sz w:val="20"/>
                <w:szCs w:val="20"/>
                <w:color w:val="auto"/>
              </w:rPr>
            </w:pPr>
            <w:r>
              <w:rPr>
                <w:rFonts w:ascii="Times New Roman" w:cs="Times New Roman" w:eastAsia="Times New Roman" w:hAnsi="Times New Roman"/>
                <w:sz w:val="20"/>
                <w:szCs w:val="20"/>
                <w:color w:val="auto"/>
              </w:rPr>
              <w:t>Current liabilities</w:t>
            </w:r>
          </w:p>
        </w:tc>
        <w:tc>
          <w:tcPr>
            <w:tcW w:w="100" w:type="dxa"/>
            <w:vAlign w:val="bottom"/>
            <w:tcBorders>
              <w:right w:val="single" w:sz="8" w:color="DEDEDE"/>
            </w:tcBorders>
            <w:shd w:val="clear" w:color="auto" w:fill="DEDEDE"/>
          </w:tcPr>
          <w:p>
            <w:pPr>
              <w:spacing w:after="0"/>
              <w:rPr>
                <w:sz w:val="20"/>
                <w:szCs w:val="20"/>
                <w:color w:val="auto"/>
              </w:rPr>
            </w:pPr>
          </w:p>
        </w:tc>
        <w:tc>
          <w:tcPr>
            <w:tcW w:w="300" w:type="dxa"/>
            <w:vAlign w:val="bottom"/>
            <w:shd w:val="clear" w:color="auto" w:fill="DEDEDE"/>
          </w:tcPr>
          <w:p>
            <w:pPr>
              <w:spacing w:after="0"/>
              <w:rPr>
                <w:sz w:val="20"/>
                <w:szCs w:val="20"/>
                <w:color w:val="auto"/>
              </w:rPr>
            </w:pPr>
          </w:p>
        </w:tc>
        <w:tc>
          <w:tcPr>
            <w:tcW w:w="1060" w:type="dxa"/>
            <w:vAlign w:val="bottom"/>
            <w:tcBorders>
              <w:right w:val="single" w:sz="8" w:color="DEDEDE"/>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14,370</w:t>
            </w:r>
          </w:p>
        </w:tc>
        <w:tc>
          <w:tcPr>
            <w:tcW w:w="180" w:type="dxa"/>
            <w:vAlign w:val="bottom"/>
            <w:tcBorders>
              <w:right w:val="single" w:sz="8" w:color="DEDEDE"/>
            </w:tcBorders>
            <w:shd w:val="clear" w:color="auto" w:fill="DEDEDE"/>
          </w:tcPr>
          <w:p>
            <w:pPr>
              <w:spacing w:after="0"/>
              <w:rPr>
                <w:sz w:val="20"/>
                <w:szCs w:val="20"/>
                <w:color w:val="auto"/>
              </w:rPr>
            </w:pPr>
          </w:p>
        </w:tc>
        <w:tc>
          <w:tcPr>
            <w:tcW w:w="300" w:type="dxa"/>
            <w:vAlign w:val="bottom"/>
            <w:shd w:val="clear" w:color="auto" w:fill="DEDEDE"/>
          </w:tcPr>
          <w:p>
            <w:pPr>
              <w:spacing w:after="0"/>
              <w:rPr>
                <w:sz w:val="20"/>
                <w:szCs w:val="20"/>
                <w:color w:val="auto"/>
              </w:rPr>
            </w:pPr>
          </w:p>
        </w:tc>
        <w:tc>
          <w:tcPr>
            <w:tcW w:w="112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20"/>
                <w:szCs w:val="20"/>
                <w:color w:val="auto"/>
              </w:rPr>
              <w:t>14,029</w:t>
            </w:r>
          </w:p>
        </w:tc>
        <w:tc>
          <w:tcPr>
            <w:tcW w:w="100" w:type="dxa"/>
            <w:vAlign w:val="bottom"/>
            <w:tcBorders>
              <w:right w:val="single" w:sz="8" w:color="DEDEDE"/>
            </w:tcBorders>
            <w:shd w:val="clear" w:color="auto" w:fill="DEDEDE"/>
          </w:tcPr>
          <w:p>
            <w:pPr>
              <w:spacing w:after="0"/>
              <w:rPr>
                <w:sz w:val="20"/>
                <w:szCs w:val="20"/>
                <w:color w:val="auto"/>
              </w:rPr>
            </w:pPr>
          </w:p>
        </w:tc>
        <w:tc>
          <w:tcPr>
            <w:tcW w:w="260" w:type="dxa"/>
            <w:vAlign w:val="bottom"/>
            <w:shd w:val="clear" w:color="auto" w:fill="DEDEDE"/>
          </w:tcPr>
          <w:p>
            <w:pPr>
              <w:spacing w:after="0"/>
              <w:rPr>
                <w:sz w:val="20"/>
                <w:szCs w:val="20"/>
                <w:color w:val="auto"/>
              </w:rPr>
            </w:pPr>
          </w:p>
        </w:tc>
        <w:tc>
          <w:tcPr>
            <w:tcW w:w="1260" w:type="dxa"/>
            <w:vAlign w:val="bottom"/>
            <w:gridSpan w:val="2"/>
            <w:shd w:val="clear" w:color="auto" w:fill="DEDEDE"/>
          </w:tcPr>
          <w:p>
            <w:pPr>
              <w:jc w:val="right"/>
              <w:ind w:right="180"/>
              <w:spacing w:after="0"/>
              <w:rPr>
                <w:sz w:val="20"/>
                <w:szCs w:val="20"/>
                <w:color w:val="auto"/>
              </w:rPr>
            </w:pPr>
            <w:r>
              <w:rPr>
                <w:rFonts w:ascii="Times New Roman" w:cs="Times New Roman" w:eastAsia="Times New Roman" w:hAnsi="Times New Roman"/>
                <w:sz w:val="20"/>
                <w:szCs w:val="20"/>
                <w:color w:val="auto"/>
              </w:rPr>
              <w:t>341</w:t>
            </w:r>
          </w:p>
        </w:tc>
        <w:tc>
          <w:tcPr>
            <w:tcW w:w="0" w:type="dxa"/>
            <w:vAlign w:val="bottom"/>
          </w:tcPr>
          <w:p>
            <w:pPr>
              <w:spacing w:after="0"/>
              <w:rPr>
                <w:sz w:val="1"/>
                <w:szCs w:val="1"/>
                <w:color w:val="auto"/>
              </w:rPr>
            </w:pPr>
          </w:p>
        </w:tc>
      </w:tr>
      <w:tr>
        <w:trPr>
          <w:trHeight w:val="221"/>
        </w:trPr>
        <w:tc>
          <w:tcPr>
            <w:tcW w:w="4680" w:type="dxa"/>
            <w:vAlign w:val="bottom"/>
          </w:tcPr>
          <w:p>
            <w:pPr>
              <w:ind w:left="200"/>
              <w:spacing w:after="0" w:line="221" w:lineRule="exact"/>
              <w:rPr>
                <w:sz w:val="20"/>
                <w:szCs w:val="20"/>
                <w:color w:val="auto"/>
              </w:rPr>
            </w:pPr>
            <w:r>
              <w:rPr>
                <w:rFonts w:ascii="Times New Roman" w:cs="Times New Roman" w:eastAsia="Times New Roman" w:hAnsi="Times New Roman"/>
                <w:sz w:val="20"/>
                <w:szCs w:val="20"/>
                <w:color w:val="auto"/>
              </w:rPr>
              <w:t>Total working capital</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0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161,288</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193,380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6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(32,092)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4949825</wp:posOffset>
                </wp:positionH>
                <wp:positionV relativeFrom="paragraph">
                  <wp:posOffset>-1536065</wp:posOffset>
                </wp:positionV>
                <wp:extent cx="0" cy="299085"/>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99085"/>
                        </a:xfrm>
                        <a:prstGeom prst="line">
                          <a:avLst/>
                        </a:prstGeom>
                        <a:solidFill>
                          <a:srgbClr val="FFFFFF"/>
                        </a:solidFill>
                        <a:ln w="59436">
                          <a:solidFill>
                            <a:srgbClr val="FFFFFF"/>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9.75pt,-120.9499pt" to="389.75pt,-97.3999pt" o:allowincell="f" strokecolor="#FFFFFF" strokeweight="4.68pt"/>
            </w:pict>
          </mc:Fallback>
        </mc:AlternateContent>
        <mc:AlternateContent>
          <mc:Choice Requires="wps">
            <w:drawing>
              <wp:anchor simplePos="0" relativeHeight="251657728" behindDoc="1" locked="0" layoutInCell="0" allowOverlap="1">
                <wp:simplePos x="0" y="0"/>
                <wp:positionH relativeFrom="column">
                  <wp:posOffset>3030855</wp:posOffset>
                </wp:positionH>
                <wp:positionV relativeFrom="paragraph">
                  <wp:posOffset>-764540</wp:posOffset>
                </wp:positionV>
                <wp:extent cx="85534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534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8.65pt,-60.1999pt" to="306pt,-60.1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4005580</wp:posOffset>
                </wp:positionH>
                <wp:positionV relativeFrom="paragraph">
                  <wp:posOffset>-764540</wp:posOffset>
                </wp:positionV>
                <wp:extent cx="85407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40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5.4pt,-60.1999pt" to="382.65pt,-60.1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4979670</wp:posOffset>
                </wp:positionH>
                <wp:positionV relativeFrom="paragraph">
                  <wp:posOffset>-764540</wp:posOffset>
                </wp:positionV>
                <wp:extent cx="85471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471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2.1pt,-60.1999pt" to="459.4pt,-60.1999pt" o:allowincell="f" strokecolor="#FFFFFF" strokeweight="0.1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9360"/>
          </w:cols>
          <w:pgMar w:left="1440" w:top="1435" w:right="1440" w:bottom="175" w:gutter="0" w:footer="0" w:header="0"/>
        </w:sectPr>
      </w:pPr>
    </w:p>
    <w:bookmarkStart w:id="101" w:name="page102"/>
    <w:bookmarkEnd w:id="101"/>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Sources of Liquidity</w:t>
      </w:r>
    </w:p>
    <w:p>
      <w:pPr>
        <w:spacing w:after="0" w:line="119" w:lineRule="exact"/>
        <w:rPr>
          <w:sz w:val="20"/>
          <w:szCs w:val="20"/>
          <w:color w:val="auto"/>
        </w:rPr>
      </w:pPr>
    </w:p>
    <w:p>
      <w:pPr>
        <w:ind w:right="200" w:firstLine="619"/>
        <w:spacing w:after="0" w:line="247" w:lineRule="auto"/>
        <w:rPr>
          <w:sz w:val="20"/>
          <w:szCs w:val="20"/>
          <w:color w:val="auto"/>
        </w:rPr>
      </w:pPr>
      <w:r>
        <w:rPr>
          <w:rFonts w:ascii="Times New Roman" w:cs="Times New Roman" w:eastAsia="Times New Roman" w:hAnsi="Times New Roman"/>
          <w:sz w:val="20"/>
          <w:szCs w:val="20"/>
          <w:color w:val="auto"/>
        </w:rPr>
        <w:t>Since our inception, we have not generated any revenue from any product sales or any other sources and have incurred significant operating losses and negative cash flows from our operations. We have not yet commercialized any of our product candidates and we do not expect to generate revenue from sales of any product candidates for several years, if at all. As of December 31, 2024, we had cash, cash equivalents, and marketable securities of $183.3 million and an accumulated deficit of $368.7 million. We have financed our operations primarily through issuance and sales of our equity securities.</w:t>
      </w:r>
    </w:p>
    <w:p>
      <w:pPr>
        <w:spacing w:after="0" w:line="200"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20"/>
          <w:szCs w:val="20"/>
          <w:color w:val="auto"/>
        </w:rPr>
        <w:t>On November 20, 2024 we filed a shelf registration statement on Form S-3 (File No. 333-283349) with the SEC and a prospectus supplement, which registered the offering, issuance and sale of up to $200,000,000 of various equity and debt securities and up to $113.8 million of common stock pursuant to an at-the-market equity offering program with Jefferies LLC, dated October 4, 2021, or the ATM Program. The SEC declared the registration statement effective on November 27, 2024. During the year ending December 31, 2024, we did not sell any shares of our common stock pursuant to the ATM Program. As of December 31, 2024, we had approximately $113.8 million remaining in gross proceeds available for future issuances of common stock under the ATM Program.</w:t>
      </w:r>
    </w:p>
    <w:p>
      <w:pPr>
        <w:spacing w:after="0" w:line="3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Contractual Obligations and Commitments</w:t>
      </w:r>
    </w:p>
    <w:p>
      <w:pPr>
        <w:spacing w:after="0" w:line="119" w:lineRule="exact"/>
        <w:rPr>
          <w:sz w:val="20"/>
          <w:szCs w:val="20"/>
          <w:color w:val="auto"/>
        </w:rPr>
      </w:pPr>
    </w:p>
    <w:p>
      <w:pPr>
        <w:ind w:right="100" w:firstLine="619"/>
        <w:spacing w:after="0" w:line="252" w:lineRule="auto"/>
        <w:rPr>
          <w:sz w:val="20"/>
          <w:szCs w:val="20"/>
          <w:color w:val="auto"/>
        </w:rPr>
      </w:pPr>
      <w:r>
        <w:rPr>
          <w:rFonts w:ascii="Times New Roman" w:cs="Times New Roman" w:eastAsia="Times New Roman" w:hAnsi="Times New Roman"/>
          <w:sz w:val="20"/>
          <w:szCs w:val="20"/>
          <w:color w:val="auto"/>
        </w:rPr>
        <w:t>We enter into contracts in the normal course of business with CROs and other vendors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225"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20"/>
          <w:szCs w:val="20"/>
          <w:color w:val="auto"/>
        </w:rPr>
        <w:t>In January 2021, we signed a lease for 50,581 square feet of office and laboratory space at One Research Way in Princeton, New Jersey, or the One Research Way Lease. On August 5, 2024, we entered into a Lease Termination Agreement, or the Termination Agreement, with BMR-One Research Way LLC, a Delaware limited liability company, or the Landlord, to terminate the One Research Way Lease. We and the Landlord agreed to terminate the One Research Way Lease effective as of September 30, 2024, contingent on the sale of the property by the Landlord to a prospective new buyer, or the Contingency.</w:t>
      </w:r>
    </w:p>
    <w:p>
      <w:pPr>
        <w:spacing w:after="0" w:line="230" w:lineRule="exact"/>
        <w:rPr>
          <w:sz w:val="20"/>
          <w:szCs w:val="20"/>
          <w:color w:val="auto"/>
        </w:rPr>
      </w:pPr>
    </w:p>
    <w:p>
      <w:pPr>
        <w:ind w:firstLine="619"/>
        <w:spacing w:after="0" w:line="263" w:lineRule="auto"/>
        <w:rPr>
          <w:sz w:val="20"/>
          <w:szCs w:val="20"/>
          <w:color w:val="auto"/>
        </w:rPr>
      </w:pPr>
      <w:r>
        <w:rPr>
          <w:rFonts w:ascii="Times New Roman" w:cs="Times New Roman" w:eastAsia="Times New Roman" w:hAnsi="Times New Roman"/>
          <w:sz w:val="19"/>
          <w:szCs w:val="19"/>
          <w:color w:val="auto"/>
        </w:rPr>
        <w:t>Pursuant to the Termination Agreement, and subject to the Contingency, we agreed to surrender our then-current headquarters at One Research Way and pay a total termination fee of approximately $1.42 million. The Contingency was satisfied in October 2024 and we paid the termination fee to the Landlord in October 2024. No further amounts or payments related to the One Research Way Lease are owed. The foregoing descriptions of the Termination Agreement is not complete and is qualified in its entirety by reference to the full text of the Termination Agreement, a copy of which was filed as Exhibit 10.1 to our Form 8-K filed with the SEC on August 8, 2024.</w:t>
      </w:r>
    </w:p>
    <w:p>
      <w:pPr>
        <w:spacing w:after="0" w:line="214" w:lineRule="exact"/>
        <w:rPr>
          <w:sz w:val="20"/>
          <w:szCs w:val="20"/>
          <w:color w:val="auto"/>
        </w:rPr>
      </w:pPr>
    </w:p>
    <w:p>
      <w:pPr>
        <w:ind w:right="20" w:firstLine="620"/>
        <w:spacing w:after="0" w:line="244" w:lineRule="auto"/>
        <w:rPr>
          <w:sz w:val="20"/>
          <w:szCs w:val="20"/>
          <w:color w:val="auto"/>
        </w:rPr>
      </w:pPr>
      <w:r>
        <w:rPr>
          <w:rFonts w:ascii="Times New Roman" w:cs="Times New Roman" w:eastAsia="Times New Roman" w:hAnsi="Times New Roman"/>
          <w:sz w:val="20"/>
          <w:szCs w:val="20"/>
          <w:color w:val="auto"/>
        </w:rPr>
        <w:t>In September 2024, we signed two subleases, one for 14,201 square feet of office space at 400 Alexander Park Drive, Suite 301, in Princeton, New Jersey, to be used as our new headquarters, or the 400 Alexander Sublease, and the other for 3,205 square feet of office and laboratory space at 311 Pennington Rocky Hill in Hopewell, New Jersey, to be used for our new laboratory space, or the 311 Pennington Sublease. The 400 Alexander Sublease term extends until February 2027, and the 311 Pennington Sublease term extends until December 2029 and has a three-year extension option. Amounts related to future lease payments for 311 Pennington Sublease as of December 31, 2024, totaled $0.7 million with $0.1 million to be paid within the next 12 months. Amounts related to future lease payments for 400 Alexander Sublease as of December 31, 2024, totaled $0.7 million with $0.3 million to be paid within the next 12 months.</w:t>
      </w:r>
    </w:p>
    <w:p>
      <w:pPr>
        <w:spacing w:after="0" w:line="3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Plan of Operation and Future Funding Requirements</w:t>
      </w:r>
    </w:p>
    <w:p>
      <w:pPr>
        <w:spacing w:after="0" w:line="119" w:lineRule="exact"/>
        <w:rPr>
          <w:sz w:val="20"/>
          <w:szCs w:val="20"/>
          <w:color w:val="auto"/>
        </w:rPr>
      </w:pPr>
    </w:p>
    <w:p>
      <w:pPr>
        <w:ind w:right="140" w:firstLine="619"/>
        <w:spacing w:after="0" w:line="252" w:lineRule="auto"/>
        <w:rPr>
          <w:sz w:val="20"/>
          <w:szCs w:val="20"/>
          <w:color w:val="auto"/>
        </w:rPr>
      </w:pPr>
      <w:r>
        <w:rPr>
          <w:rFonts w:ascii="Times New Roman" w:cs="Times New Roman" w:eastAsia="Times New Roman" w:hAnsi="Times New Roman"/>
          <w:sz w:val="20"/>
          <w:szCs w:val="20"/>
          <w:color w:val="auto"/>
        </w:rPr>
        <w:t>We use our capital resources primarily to fund operating expenses, mainly research and development expenditures. On January 18, 2024, we announced a restructuring plan involving the reduction of our workforce by approximately 30% of our employees and incurred costs of $0.6 million in connection therewith during the fiscal year ending on December 31, 2024. We undertook these steps in order to streamline operations, reduce costs and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9360"/>
          </w:cols>
          <w:pgMar w:left="1440" w:top="1440" w:right="1440" w:bottom="175" w:gutter="0" w:footer="0" w:header="0"/>
        </w:sectPr>
      </w:pPr>
    </w:p>
    <w:bookmarkStart w:id="102" w:name="page103"/>
    <w:bookmarkEnd w:id="102"/>
    <w:p>
      <w:pPr>
        <w:ind w:right="40"/>
        <w:spacing w:after="0" w:line="244" w:lineRule="auto"/>
        <w:rPr>
          <w:sz w:val="20"/>
          <w:szCs w:val="20"/>
          <w:color w:val="auto"/>
        </w:rPr>
      </w:pPr>
      <w:r>
        <w:rPr>
          <w:rFonts w:ascii="Times New Roman" w:cs="Times New Roman" w:eastAsia="Times New Roman" w:hAnsi="Times New Roman"/>
          <w:sz w:val="20"/>
          <w:szCs w:val="20"/>
          <w:color w:val="auto"/>
        </w:rPr>
        <w:t>preserve capital as we advance our lead candidate, rezatapopt, into late-stage development. At this time, due to the inherently unpredictable nature of preclinical and clinical development, we cannot reasonably estimate the costs we will incur and the timelines that will be required to complete development, obtain marketing approval and commercialize our current product candidates or any future product candidates, if at all.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206" w:lineRule="exact"/>
        <w:rPr>
          <w:sz w:val="20"/>
          <w:szCs w:val="20"/>
          <w:color w:val="auto"/>
        </w:rPr>
      </w:pPr>
    </w:p>
    <w:p>
      <w:pPr>
        <w:ind w:right="80" w:firstLine="619"/>
        <w:spacing w:after="0" w:line="263" w:lineRule="auto"/>
        <w:rPr>
          <w:sz w:val="20"/>
          <w:szCs w:val="20"/>
          <w:color w:val="auto"/>
        </w:rPr>
      </w:pPr>
      <w:r>
        <w:rPr>
          <w:rFonts w:ascii="Times New Roman" w:cs="Times New Roman" w:eastAsia="Times New Roman" w:hAnsi="Times New Roman"/>
          <w:sz w:val="19"/>
          <w:szCs w:val="19"/>
          <w:color w:val="auto"/>
        </w:rPr>
        <w:t>Due to our significant research and development expenditures, we have generated substantial operating losses in each period since inception. We have incurred an accumulated deficit of $368.7 million through December 31, 2024. We expect to incur substantial additional losses in the future as we expand our research and development activities. Our cash operating expenditures were $51.3 million in 2024 and $55.7 million in 2023. Based on our research and development plans, we expect that our cash, cash equivalents, and marketable securities balances as of December 31, 2024 will be sufficient to fund our planned operations at least through the end of 2026.</w:t>
      </w:r>
    </w:p>
    <w:p>
      <w:pPr>
        <w:spacing w:after="0" w:line="182" w:lineRule="exact"/>
        <w:rPr>
          <w:sz w:val="20"/>
          <w:szCs w:val="20"/>
          <w:color w:val="auto"/>
        </w:rPr>
      </w:pPr>
    </w:p>
    <w:p>
      <w:pPr>
        <w:ind w:right="340" w:firstLine="619"/>
        <w:spacing w:after="0" w:line="278" w:lineRule="auto"/>
        <w:rPr>
          <w:sz w:val="20"/>
          <w:szCs w:val="20"/>
          <w:color w:val="auto"/>
        </w:rPr>
      </w:pPr>
      <w:r>
        <w:rPr>
          <w:rFonts w:ascii="Times New Roman" w:cs="Times New Roman" w:eastAsia="Times New Roman" w:hAnsi="Times New Roman"/>
          <w:sz w:val="20"/>
          <w:szCs w:val="20"/>
          <w:color w:val="auto"/>
        </w:rPr>
        <w:t>We have based this estimate on assumptions that may prove to be wrong, however, and we could use our capital resources sooner than we expect.</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timing and amount of our operating expenditures will depend largely on:</w:t>
      </w:r>
    </w:p>
    <w:p>
      <w:pPr>
        <w:spacing w:after="0" w:line="134" w:lineRule="exact"/>
        <w:rPr>
          <w:sz w:val="20"/>
          <w:szCs w:val="20"/>
          <w:color w:val="auto"/>
        </w:rPr>
      </w:pPr>
    </w:p>
    <w:p>
      <w:pPr>
        <w:ind w:left="900" w:hanging="281"/>
        <w:spacing w:after="0"/>
        <w:tabs>
          <w:tab w:leader="none" w:pos="90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progress of preclinical and clinical development activities;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and scope of preclinical and clinical programs we decide to pursue;</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56"/>
        </w:numPr>
        <w:rPr>
          <w:rFonts w:ascii="Arial" w:cs="Arial" w:eastAsia="Arial" w:hAnsi="Arial"/>
          <w:sz w:val="19"/>
          <w:szCs w:val="19"/>
          <w:color w:val="auto"/>
        </w:rPr>
      </w:pPr>
      <w:r>
        <w:rPr>
          <w:rFonts w:ascii="Times New Roman" w:cs="Times New Roman" w:eastAsia="Times New Roman" w:hAnsi="Times New Roman"/>
          <w:sz w:val="19"/>
          <w:szCs w:val="19"/>
          <w:color w:val="auto"/>
        </w:rPr>
        <w:t>the timing and amount of milestone payments we may receive under any future collaboration agreements;</w:t>
      </w:r>
    </w:p>
    <w:p>
      <w:pPr>
        <w:spacing w:after="0" w:line="144" w:lineRule="exact"/>
        <w:rPr>
          <w:rFonts w:ascii="Arial" w:cs="Arial" w:eastAsia="Arial" w:hAnsi="Arial"/>
          <w:sz w:val="19"/>
          <w:szCs w:val="19"/>
          <w:color w:val="auto"/>
        </w:rPr>
      </w:pPr>
    </w:p>
    <w:p>
      <w:pPr>
        <w:ind w:left="900" w:right="520" w:hanging="281"/>
        <w:spacing w:after="0" w:line="277" w:lineRule="auto"/>
        <w:tabs>
          <w:tab w:leader="none" w:pos="90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maintain future licenses and research and development programs and to establish new collaboration and/or in-licensing arrangements;</w:t>
      </w:r>
    </w:p>
    <w:p>
      <w:pPr>
        <w:spacing w:after="0" w:line="62" w:lineRule="exact"/>
        <w:rPr>
          <w:rFonts w:ascii="Arial" w:cs="Arial" w:eastAsia="Arial" w:hAnsi="Arial"/>
          <w:sz w:val="20"/>
          <w:szCs w:val="20"/>
          <w:color w:val="auto"/>
        </w:rPr>
      </w:pPr>
    </w:p>
    <w:p>
      <w:pPr>
        <w:ind w:left="900" w:hanging="281"/>
        <w:spacing w:after="0"/>
        <w:tabs>
          <w:tab w:leader="none" w:pos="90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involved in prosecuting and enforcing patent and other intellectual property claims;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the cost and timing of regulatory approvals; and</w:t>
      </w:r>
    </w:p>
    <w:p>
      <w:pPr>
        <w:spacing w:after="0" w:line="133" w:lineRule="exact"/>
        <w:rPr>
          <w:rFonts w:ascii="Arial" w:cs="Arial" w:eastAsia="Arial" w:hAnsi="Arial"/>
          <w:sz w:val="20"/>
          <w:szCs w:val="20"/>
          <w:color w:val="auto"/>
        </w:rPr>
      </w:pPr>
    </w:p>
    <w:p>
      <w:pPr>
        <w:ind w:left="900" w:right="300" w:hanging="281"/>
        <w:spacing w:after="0" w:line="258" w:lineRule="auto"/>
        <w:tabs>
          <w:tab w:leader="none" w:pos="90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our efforts to manage our office and laboratory headquarters, enhance operational systems and hire additional personnel to support development of our product candidates and satisfy our obligations as a public company.</w:t>
      </w:r>
    </w:p>
    <w:p>
      <w:pPr>
        <w:spacing w:after="0" w:line="187"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0"/>
          <w:szCs w:val="20"/>
          <w:color w:val="auto"/>
        </w:rPr>
        <w:t>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or our ability to incur additional indebtedness or pay dividends, among other items. If we raise additional funds through governmental funding, collaborations, strategic partnerships and alliances or marketing, distribution, or licensing arrangements with third parties, we may have to relinquish valuable rights to our technologies, future revenue streams, research programs or product candidates or grant licenses on terms that may not be favorable to us. If we are not able to secure adequate additional funding, we may be forced to make reductions in spending, extend payment terms with suppliers, liquidate assets where possible, and/or suspend or curtail planned programs. Any of these actions could materially and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9360"/>
          </w:cols>
          <w:pgMar w:left="1440" w:top="1420" w:right="1440" w:bottom="175" w:gutter="0" w:footer="0" w:header="0"/>
        </w:sectPr>
      </w:pPr>
    </w:p>
    <w:bookmarkStart w:id="103" w:name="page104"/>
    <w:bookmarkEnd w:id="103"/>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following table summarizes our cash flows for the period indicated (in thousands):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800" w:type="dxa"/>
            <w:vAlign w:val="bottom"/>
            <w:tcBorders>
              <w:bottom w:val="single" w:sz="8" w:color="E0E0E0"/>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3"/>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E0E0E0"/>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23"/>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E0E0E0"/>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3"/>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800" w:type="dxa"/>
            <w:vAlign w:val="bottom"/>
            <w:tcBorders>
              <w:right w:val="single" w:sz="8" w:color="E0E0E0"/>
            </w:tcBorders>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Cash used in operating activities</w:t>
            </w:r>
          </w:p>
        </w:tc>
        <w:tc>
          <w:tcPr>
            <w:tcW w:w="220" w:type="dxa"/>
            <w:vAlign w:val="bottom"/>
            <w:shd w:val="clear" w:color="auto" w:fill="E0E0E0"/>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2"/>
            <w:shd w:val="clear" w:color="auto" w:fill="E0E0E0"/>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rPr>
              <w:t>(51,282)</w:t>
            </w:r>
          </w:p>
        </w:tc>
        <w:tc>
          <w:tcPr>
            <w:tcW w:w="220" w:type="dxa"/>
            <w:vAlign w:val="bottom"/>
            <w:shd w:val="clear" w:color="auto" w:fill="E0E0E0"/>
          </w:tcPr>
          <w:p>
            <w:pPr>
              <w:jc w:val="right"/>
              <w:ind w:right="3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right w:val="single" w:sz="8" w:color="E0E0E0"/>
            </w:tcBorders>
            <w:gridSpan w:val="2"/>
            <w:shd w:val="clear" w:color="auto" w:fill="E0E0E0"/>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rPr>
              <w:t>(55,657 )</w:t>
            </w:r>
          </w:p>
        </w:tc>
        <w:tc>
          <w:tcPr>
            <w:tcW w:w="220" w:type="dxa"/>
            <w:vAlign w:val="bottom"/>
            <w:shd w:val="clear" w:color="auto" w:fill="E0E0E0"/>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gridSpan w:val="2"/>
            <w:shd w:val="clear" w:color="auto" w:fill="E0E0E0"/>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(63,760 )</w:t>
            </w:r>
          </w:p>
        </w:tc>
        <w:tc>
          <w:tcPr>
            <w:tcW w:w="0" w:type="dxa"/>
            <w:vAlign w:val="bottom"/>
          </w:tcPr>
          <w:p>
            <w:pPr>
              <w:spacing w:after="0"/>
              <w:rPr>
                <w:sz w:val="1"/>
                <w:szCs w:val="1"/>
                <w:color w:val="auto"/>
              </w:rPr>
            </w:pPr>
          </w:p>
        </w:tc>
      </w:tr>
      <w:tr>
        <w:trPr>
          <w:trHeight w:val="229"/>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Cash used in investing activities</w:t>
            </w: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53,352</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(50,545 )</w:t>
            </w:r>
          </w:p>
        </w:tc>
        <w:tc>
          <w:tcPr>
            <w:tcW w:w="2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(1,368 )</w:t>
            </w:r>
          </w:p>
        </w:tc>
        <w:tc>
          <w:tcPr>
            <w:tcW w:w="0" w:type="dxa"/>
            <w:vAlign w:val="bottom"/>
          </w:tcPr>
          <w:p>
            <w:pPr>
              <w:spacing w:after="0"/>
              <w:rPr>
                <w:sz w:val="1"/>
                <w:szCs w:val="1"/>
                <w:color w:val="auto"/>
              </w:rPr>
            </w:pPr>
          </w:p>
        </w:tc>
      </w:tr>
      <w:tr>
        <w:trPr>
          <w:trHeight w:val="230"/>
        </w:trPr>
        <w:tc>
          <w:tcPr>
            <w:tcW w:w="5800" w:type="dxa"/>
            <w:vAlign w:val="bottom"/>
            <w:tcBorders>
              <w:right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Cash provided by financing activities</w:t>
            </w:r>
          </w:p>
        </w:tc>
        <w:tc>
          <w:tcPr>
            <w:tcW w:w="220" w:type="dxa"/>
            <w:vAlign w:val="bottom"/>
            <w:shd w:val="clear" w:color="auto" w:fill="E0E0E0"/>
          </w:tcPr>
          <w:p>
            <w:pPr>
              <w:spacing w:after="0"/>
              <w:rPr>
                <w:sz w:val="20"/>
                <w:szCs w:val="20"/>
                <w:color w:val="auto"/>
              </w:rPr>
            </w:pPr>
          </w:p>
        </w:tc>
        <w:tc>
          <w:tcPr>
            <w:tcW w:w="100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20"/>
                <w:szCs w:val="20"/>
                <w:color w:val="auto"/>
              </w:rPr>
              <w:t>313</w:t>
            </w:r>
          </w:p>
        </w:tc>
        <w:tc>
          <w:tcPr>
            <w:tcW w:w="220" w:type="dxa"/>
            <w:vAlign w:val="bottom"/>
            <w:shd w:val="clear" w:color="auto" w:fill="E0E0E0"/>
          </w:tcPr>
          <w:p>
            <w:pPr>
              <w:spacing w:after="0"/>
              <w:rPr>
                <w:sz w:val="20"/>
                <w:szCs w:val="20"/>
                <w:color w:val="auto"/>
              </w:rPr>
            </w:pPr>
          </w:p>
        </w:tc>
        <w:tc>
          <w:tcPr>
            <w:tcW w:w="8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35,577</w:t>
            </w:r>
          </w:p>
        </w:tc>
        <w:tc>
          <w:tcPr>
            <w:tcW w:w="220" w:type="dxa"/>
            <w:vAlign w:val="bottom"/>
            <w:tcBorders>
              <w:right w:val="single" w:sz="8" w:color="E0E0E0"/>
            </w:tcBorders>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958</w:t>
            </w:r>
          </w:p>
        </w:tc>
        <w:tc>
          <w:tcPr>
            <w:tcW w:w="10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Impact of exchange rates on cash, cash equivalents, and restricted</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cash</w:t>
            </w:r>
          </w:p>
        </w:tc>
        <w:tc>
          <w:tcPr>
            <w:tcW w:w="2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(35)</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5800" w:type="dxa"/>
            <w:vAlign w:val="bottom"/>
            <w:tcBorders>
              <w:right w:val="single" w:sz="8" w:color="E0E0E0"/>
            </w:tcBorders>
            <w:vMerge w:val="restart"/>
            <w:shd w:val="clear" w:color="auto" w:fill="E0E0E0"/>
          </w:tcPr>
          <w:p>
            <w:pPr>
              <w:spacing w:after="0"/>
              <w:rPr>
                <w:sz w:val="20"/>
                <w:szCs w:val="20"/>
                <w:color w:val="auto"/>
              </w:rPr>
            </w:pPr>
            <w:r>
              <w:rPr>
                <w:rFonts w:ascii="Times New Roman" w:cs="Times New Roman" w:eastAsia="Times New Roman" w:hAnsi="Times New Roman"/>
                <w:sz w:val="20"/>
                <w:szCs w:val="20"/>
                <w:color w:val="auto"/>
              </w:rPr>
              <w:t>Net (decrease) increase in cash, cash equivalents, and restricted cash</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E0E0E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E0E0E0"/>
            </w:tcBorders>
            <w:shd w:val="clear" w:color="auto" w:fill="E0E0E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00" w:type="dxa"/>
            <w:vAlign w:val="bottom"/>
            <w:tcBorders>
              <w:right w:val="single" w:sz="8" w:color="E0E0E0"/>
            </w:tcBorders>
            <w:vMerge w:val="continue"/>
            <w:shd w:val="clear" w:color="auto" w:fill="E0E0E0"/>
          </w:tcPr>
          <w:p>
            <w:pPr>
              <w:spacing w:after="0"/>
              <w:rPr>
                <w:sz w:val="19"/>
                <w:szCs w:val="19"/>
                <w:color w:val="auto"/>
              </w:rPr>
            </w:pPr>
          </w:p>
        </w:tc>
        <w:tc>
          <w:tcPr>
            <w:tcW w:w="220" w:type="dxa"/>
            <w:vAlign w:val="bottom"/>
            <w:shd w:val="clear" w:color="auto" w:fill="E0E0E0"/>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2"/>
            <w:shd w:val="clear" w:color="auto" w:fill="E0E0E0"/>
          </w:tcPr>
          <w:p>
            <w:pPr>
              <w:jc w:val="right"/>
              <w:ind w:right="220"/>
              <w:spacing w:after="0" w:line="221" w:lineRule="exact"/>
              <w:rPr>
                <w:sz w:val="20"/>
                <w:szCs w:val="20"/>
                <w:color w:val="auto"/>
              </w:rPr>
            </w:pPr>
            <w:r>
              <w:rPr>
                <w:rFonts w:ascii="Times New Roman" w:cs="Times New Roman" w:eastAsia="Times New Roman" w:hAnsi="Times New Roman"/>
                <w:sz w:val="20"/>
                <w:szCs w:val="20"/>
                <w:color w:val="auto"/>
              </w:rPr>
              <w:t>2,348</w:t>
            </w:r>
          </w:p>
        </w:tc>
        <w:tc>
          <w:tcPr>
            <w:tcW w:w="220" w:type="dxa"/>
            <w:vAlign w:val="bottom"/>
            <w:shd w:val="clear" w:color="auto" w:fill="E0E0E0"/>
          </w:tcPr>
          <w:p>
            <w:pPr>
              <w:jc w:val="right"/>
              <w:ind w:right="3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right w:val="single" w:sz="8" w:color="E0E0E0"/>
            </w:tcBorders>
            <w:gridSpan w:val="2"/>
            <w:shd w:val="clear" w:color="auto" w:fill="E0E0E0"/>
          </w:tcPr>
          <w:p>
            <w:pPr>
              <w:jc w:val="right"/>
              <w:ind w:right="160"/>
              <w:spacing w:after="0" w:line="221" w:lineRule="exact"/>
              <w:rPr>
                <w:sz w:val="20"/>
                <w:szCs w:val="20"/>
                <w:color w:val="auto"/>
              </w:rPr>
            </w:pPr>
            <w:r>
              <w:rPr>
                <w:rFonts w:ascii="Times New Roman" w:cs="Times New Roman" w:eastAsia="Times New Roman" w:hAnsi="Times New Roman"/>
                <w:sz w:val="20"/>
                <w:szCs w:val="20"/>
                <w:color w:val="auto"/>
              </w:rPr>
              <w:t>(70,591 )</w:t>
            </w:r>
          </w:p>
        </w:tc>
        <w:tc>
          <w:tcPr>
            <w:tcW w:w="220" w:type="dxa"/>
            <w:vAlign w:val="bottom"/>
            <w:shd w:val="clear" w:color="auto" w:fill="E0E0E0"/>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gridSpan w:val="2"/>
            <w:shd w:val="clear" w:color="auto" w:fill="E0E0E0"/>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rPr>
              <w:t>(64,170 )</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120" w:lineRule="exact"/>
        <w:rPr>
          <w:sz w:val="20"/>
          <w:szCs w:val="20"/>
          <w:color w:val="auto"/>
        </w:rPr>
      </w:pPr>
    </w:p>
    <w:p>
      <w:pPr>
        <w:ind w:right="220" w:firstLine="619"/>
        <w:spacing w:after="0" w:line="247" w:lineRule="auto"/>
        <w:rPr>
          <w:sz w:val="20"/>
          <w:szCs w:val="20"/>
          <w:color w:val="auto"/>
        </w:rPr>
      </w:pPr>
      <w:r>
        <w:rPr>
          <w:rFonts w:ascii="Times New Roman" w:cs="Times New Roman" w:eastAsia="Times New Roman" w:hAnsi="Times New Roman"/>
          <w:sz w:val="20"/>
          <w:szCs w:val="20"/>
          <w:color w:val="auto"/>
        </w:rPr>
        <w:t>Net cash used in operating activities for the year ended December 31, 2024, was $51.3 million, which consisted primarily of net loss of $58.7 million decreased by non-cash charges of $9.0 million and decreased by a net change of $1.6 million in our net operating assets and liabilities. The non-cash charges primarily consisted of stock-based compensation of $8.9 million, depreciation of $1.1 million, and accretion of discounts on marketable securities of $5.4 million. The change in our net operating assets and liabilities was primarily due to an increase in operating lease liabilities and other assets and an increase in accrued expenses.</w:t>
      </w:r>
    </w:p>
    <w:p>
      <w:pPr>
        <w:spacing w:after="0" w:line="230" w:lineRule="exact"/>
        <w:rPr>
          <w:sz w:val="20"/>
          <w:szCs w:val="20"/>
          <w:color w:val="auto"/>
        </w:rPr>
      </w:pPr>
    </w:p>
    <w:p>
      <w:pPr>
        <w:ind w:right="180" w:firstLine="619"/>
        <w:spacing w:after="0" w:line="246" w:lineRule="auto"/>
        <w:rPr>
          <w:sz w:val="20"/>
          <w:szCs w:val="20"/>
          <w:color w:val="auto"/>
        </w:rPr>
      </w:pPr>
      <w:r>
        <w:rPr>
          <w:rFonts w:ascii="Times New Roman" w:cs="Times New Roman" w:eastAsia="Times New Roman" w:hAnsi="Times New Roman"/>
          <w:sz w:val="20"/>
          <w:szCs w:val="20"/>
          <w:color w:val="auto"/>
        </w:rPr>
        <w:t>Net cash used in operating activities for the year ended December 31, 2023, was $55.7 million, which consisted primarily of net loss of $69.0 million decreased by non-cash charges of $7.9 million and a net change of $5.4 million in our net operating assets and liabilities. The non-cash charges primarily consisted of stock-based compensation of $12.4 million and depreciation of $1.3 million, partially offset by non-cash lease income of $0.4 million and accretion of premiums on marketable securities of $5.4 million. The change in our net operating assets and liabilities was primarily due to an increase in operating lease liabilities and other assets and an increase in accrued expenses.</w:t>
      </w:r>
    </w:p>
    <w:p>
      <w:pPr>
        <w:spacing w:after="0" w:line="3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120" w:lineRule="exact"/>
        <w:rPr>
          <w:sz w:val="20"/>
          <w:szCs w:val="20"/>
          <w:color w:val="auto"/>
        </w:rPr>
      </w:pPr>
    </w:p>
    <w:p>
      <w:pPr>
        <w:ind w:right="360" w:firstLine="619"/>
        <w:spacing w:after="0" w:line="258" w:lineRule="auto"/>
        <w:rPr>
          <w:sz w:val="20"/>
          <w:szCs w:val="20"/>
          <w:color w:val="auto"/>
        </w:rPr>
      </w:pPr>
      <w:r>
        <w:rPr>
          <w:rFonts w:ascii="Times New Roman" w:cs="Times New Roman" w:eastAsia="Times New Roman" w:hAnsi="Times New Roman"/>
          <w:sz w:val="20"/>
          <w:szCs w:val="20"/>
          <w:color w:val="auto"/>
        </w:rPr>
        <w:t>Our investing activities provided $53.4 million of cash during the year ended December 31, 2024, which consisted primarily of maturities of marketable securities of $202 million, offset by purchases of marketable securities of $148.3 million, along with purchase of property and equipment of $0.7 million.</w:t>
      </w:r>
    </w:p>
    <w:p>
      <w:pPr>
        <w:spacing w:after="0" w:line="218" w:lineRule="exact"/>
        <w:rPr>
          <w:sz w:val="20"/>
          <w:szCs w:val="20"/>
          <w:color w:val="auto"/>
        </w:rPr>
      </w:pPr>
    </w:p>
    <w:p>
      <w:pPr>
        <w:ind w:right="360" w:firstLine="619"/>
        <w:spacing w:after="0" w:line="258" w:lineRule="auto"/>
        <w:rPr>
          <w:sz w:val="20"/>
          <w:szCs w:val="20"/>
          <w:color w:val="auto"/>
        </w:rPr>
      </w:pPr>
      <w:r>
        <w:rPr>
          <w:rFonts w:ascii="Times New Roman" w:cs="Times New Roman" w:eastAsia="Times New Roman" w:hAnsi="Times New Roman"/>
          <w:sz w:val="20"/>
          <w:szCs w:val="20"/>
          <w:color w:val="auto"/>
        </w:rPr>
        <w:t>Our investing activities used $50.5 million of cash during the year ended December 31, 2023, which consisted primarily of purchases of marketable securities of $220.5 million, along with purchase of property and equipment of $1.0 million, offset by maturities of marketable securities of $171.0 million.</w:t>
      </w:r>
    </w:p>
    <w:p>
      <w:pPr>
        <w:spacing w:after="0" w:line="3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138" w:lineRule="exact"/>
        <w:rPr>
          <w:sz w:val="20"/>
          <w:szCs w:val="20"/>
          <w:color w:val="auto"/>
        </w:rPr>
      </w:pPr>
    </w:p>
    <w:p>
      <w:pPr>
        <w:ind w:right="320" w:firstLine="619"/>
        <w:spacing w:after="0" w:line="258" w:lineRule="auto"/>
        <w:rPr>
          <w:sz w:val="20"/>
          <w:szCs w:val="20"/>
          <w:color w:val="auto"/>
        </w:rPr>
      </w:pPr>
      <w:r>
        <w:rPr>
          <w:rFonts w:ascii="Times New Roman" w:cs="Times New Roman" w:eastAsia="Times New Roman" w:hAnsi="Times New Roman"/>
          <w:sz w:val="20"/>
          <w:szCs w:val="20"/>
          <w:color w:val="auto"/>
        </w:rPr>
        <w:t>Our financing activities provided $0.3 million of cash during the year ended December 31, 2024 which consisted of $0.3 million of proceeds from the exercise of stock options and issuance of common stock under the 2020 ESPP.</w:t>
      </w:r>
    </w:p>
    <w:p>
      <w:pPr>
        <w:spacing w:after="0" w:line="217" w:lineRule="exact"/>
        <w:rPr>
          <w:sz w:val="20"/>
          <w:szCs w:val="20"/>
          <w:color w:val="auto"/>
        </w:rPr>
      </w:pPr>
    </w:p>
    <w:p>
      <w:pPr>
        <w:ind w:right="80" w:firstLine="619"/>
        <w:spacing w:after="0" w:line="259" w:lineRule="auto"/>
        <w:rPr>
          <w:sz w:val="20"/>
          <w:szCs w:val="20"/>
          <w:color w:val="auto"/>
        </w:rPr>
      </w:pPr>
      <w:r>
        <w:rPr>
          <w:rFonts w:ascii="Times New Roman" w:cs="Times New Roman" w:eastAsia="Times New Roman" w:hAnsi="Times New Roman"/>
          <w:sz w:val="20"/>
          <w:szCs w:val="20"/>
          <w:color w:val="auto"/>
        </w:rPr>
        <w:t>Our financing activities provided $35.6 million of cash during the year ended December 31, 2023. This consisted of $35.1 million of common stock issued under our ATM Program, net of issuance costs, and $0.5 million of proceeds from the exercise of stock options and issuance of common stock under the 2020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9360"/>
          </w:cols>
          <w:pgMar w:left="1440" w:top="1420" w:right="1440" w:bottom="175"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43" w:lineRule="exact"/>
        <w:rPr>
          <w:sz w:val="20"/>
          <w:szCs w:val="20"/>
          <w:color w:val="auto"/>
        </w:rPr>
      </w:pPr>
    </w:p>
    <w:p>
      <w:pPr>
        <w:ind w:right="120" w:firstLine="619"/>
        <w:spacing w:after="0" w:line="249" w:lineRule="auto"/>
        <w:rPr>
          <w:sz w:val="20"/>
          <w:szCs w:val="20"/>
          <w:color w:val="auto"/>
        </w:rPr>
      </w:pPr>
      <w:r>
        <w:rPr>
          <w:rFonts w:ascii="Times New Roman" w:cs="Times New Roman" w:eastAsia="Times New Roman" w:hAnsi="Times New Roman"/>
          <w:sz w:val="20"/>
          <w:szCs w:val="20"/>
          <w:color w:val="auto"/>
        </w:rPr>
        <w:t>The preparation of our consolidated financial statements in conformity with accounting principles generally accepted in the United States requires us to make estimates and judgments that affect the amounts reported in those consolidated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198" w:lineRule="exact"/>
        <w:rPr>
          <w:sz w:val="20"/>
          <w:szCs w:val="20"/>
          <w:color w:val="auto"/>
        </w:rPr>
      </w:pPr>
    </w:p>
    <w:p>
      <w:pPr>
        <w:ind w:right="80" w:firstLine="619"/>
        <w:spacing w:after="0" w:line="249" w:lineRule="auto"/>
        <w:rPr>
          <w:sz w:val="20"/>
          <w:szCs w:val="20"/>
          <w:color w:val="auto"/>
        </w:rPr>
      </w:pPr>
      <w:r>
        <w:rPr>
          <w:rFonts w:ascii="Times New Roman" w:cs="Times New Roman" w:eastAsia="Times New Roman" w:hAnsi="Times New Roman"/>
          <w:sz w:val="20"/>
          <w:szCs w:val="20"/>
          <w:color w:val="auto"/>
        </w:rPr>
        <w:t>We believe that the accounting policies described below involve a high degree of judgment and complexity. Accordingly, these are the policies we believe are the most critical to aid in fully understanding and evaluating our financial condition and results of our operations. The following summary should be read in conjunction with Note 2 of the notes to our audited consolidated financial statements for the year ended December 31, 2024 included elsewhere in this Annual Report on Form 10-K.</w:t>
      </w:r>
    </w:p>
    <w:p>
      <w:pPr>
        <w:spacing w:after="0" w:line="317" w:lineRule="exact"/>
        <w:rPr>
          <w:sz w:val="20"/>
          <w:szCs w:val="20"/>
          <w:color w:val="auto"/>
        </w:rPr>
      </w:pPr>
    </w:p>
    <w:p>
      <w:pPr>
        <w:ind w:left="620" w:right="6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Research and Development Costs, Accrued Research and Development Costs and Related Prepaid Expenses</w:t>
      </w:r>
    </w:p>
    <w:p>
      <w:pPr>
        <w:spacing w:after="0" w:line="49" w:lineRule="exact"/>
        <w:rPr>
          <w:sz w:val="20"/>
          <w:szCs w:val="20"/>
          <w:color w:val="auto"/>
        </w:rPr>
      </w:pPr>
    </w:p>
    <w:p>
      <w:pPr>
        <w:ind w:right="40" w:firstLine="619"/>
        <w:spacing w:after="0" w:line="246" w:lineRule="auto"/>
        <w:rPr>
          <w:sz w:val="20"/>
          <w:szCs w:val="20"/>
          <w:color w:val="auto"/>
        </w:rPr>
      </w:pPr>
      <w:r>
        <w:rPr>
          <w:rFonts w:ascii="Times New Roman" w:cs="Times New Roman" w:eastAsia="Times New Roman" w:hAnsi="Times New Roman"/>
          <w:sz w:val="20"/>
          <w:szCs w:val="20"/>
          <w:color w:val="auto"/>
        </w:rPr>
        <w:t>Research and development costs are expensed as incurred. Research and development expenses consist principally of personnel costs, including salaries, stock-based compensation and benefits for employees, third-party license fees and other operational costs related to our research and development activities, including sourcing of raw materials and manufacturing of our product candidates, allocated facility-related expenses and external costs of outside vendors, and other direct and indirect costs. Non-refundable research and development advance payments are deferred and capitalized. The capitalized amounts are expensed as the related goods are delivered or services are performed.</w:t>
      </w:r>
    </w:p>
    <w:p>
      <w:pPr>
        <w:spacing w:after="0" w:line="201" w:lineRule="exact"/>
        <w:rPr>
          <w:sz w:val="20"/>
          <w:szCs w:val="20"/>
          <w:color w:val="auto"/>
        </w:rPr>
      </w:pPr>
    </w:p>
    <w:p>
      <w:pPr>
        <w:ind w:right="20" w:firstLine="620"/>
        <w:spacing w:after="0" w:line="244" w:lineRule="auto"/>
        <w:rPr>
          <w:sz w:val="20"/>
          <w:szCs w:val="20"/>
          <w:color w:val="auto"/>
        </w:rPr>
      </w:pPr>
      <w:r>
        <w:rPr>
          <w:rFonts w:ascii="Times New Roman" w:cs="Times New Roman" w:eastAsia="Times New Roman" w:hAnsi="Times New Roman"/>
          <w:sz w:val="20"/>
          <w:szCs w:val="20"/>
          <w:color w:val="auto"/>
        </w:rPr>
        <w:t>As part of the process of preparing our consolidated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 determined schedule or when contractual milestones are met; however, some require advance payments. We make estimates of our accrued expenses as of each balance sheet date in the consolidated financial statements based on facts and circumstances known to us at that time. We periodically confirm the accuracy of the estimates with the service providers and make adjustments if necessary. Examples of estimated accrued research and development expenses include fees paid to:</w:t>
      </w:r>
    </w:p>
    <w:p>
      <w:pPr>
        <w:spacing w:after="0" w:line="95" w:lineRule="exact"/>
        <w:rPr>
          <w:sz w:val="20"/>
          <w:szCs w:val="20"/>
          <w:color w:val="auto"/>
        </w:rPr>
      </w:pPr>
    </w:p>
    <w:p>
      <w:pPr>
        <w:ind w:left="900" w:hanging="281"/>
        <w:spacing w:after="0"/>
        <w:tabs>
          <w:tab w:leader="none" w:pos="90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vendors, including research laboratories, in connection with preclinical development activities;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CROs and investigative sites in connection with preclinical studies and clinical trials; and</w:t>
      </w:r>
    </w:p>
    <w:p>
      <w:pPr>
        <w:spacing w:after="0" w:line="132" w:lineRule="exact"/>
        <w:rPr>
          <w:rFonts w:ascii="Arial" w:cs="Arial" w:eastAsia="Arial" w:hAnsi="Arial"/>
          <w:sz w:val="20"/>
          <w:szCs w:val="20"/>
          <w:color w:val="auto"/>
        </w:rPr>
      </w:pPr>
    </w:p>
    <w:p>
      <w:pPr>
        <w:ind w:left="900" w:right="40" w:hanging="281"/>
        <w:spacing w:after="0" w:line="277" w:lineRule="auto"/>
        <w:tabs>
          <w:tab w:leader="none" w:pos="90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CMOs in connection with drug substance and drug product formulation of preclinical studies and clinical trial materials.</w:t>
      </w:r>
    </w:p>
    <w:p>
      <w:pPr>
        <w:spacing w:after="0" w:line="169" w:lineRule="exact"/>
        <w:rPr>
          <w:sz w:val="20"/>
          <w:szCs w:val="20"/>
          <w:color w:val="auto"/>
        </w:rPr>
      </w:pPr>
    </w:p>
    <w:p>
      <w:pPr>
        <w:ind w:right="40" w:firstLine="619"/>
        <w:spacing w:after="0" w:line="242" w:lineRule="auto"/>
        <w:rPr>
          <w:sz w:val="20"/>
          <w:szCs w:val="20"/>
          <w:color w:val="auto"/>
        </w:rPr>
      </w:pPr>
      <w:r>
        <w:rPr>
          <w:rFonts w:ascii="Times New Roman" w:cs="Times New Roman" w:eastAsia="Times New Roman" w:hAnsi="Times New Roman"/>
          <w:sz w:val="20"/>
          <w:szCs w:val="20"/>
          <w:color w:val="auto"/>
        </w:rPr>
        <w:t>We base our expenses related to preclinical studies and clinical trials on our estimates of the services received and efforts expended pursuant to quotes and contracts with multiple research institutions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9360"/>
          </w:cols>
          <w:pgMar w:left="1440" w:top="1416" w:right="1440" w:bottom="175"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43" w:lineRule="exact"/>
        <w:rPr>
          <w:sz w:val="20"/>
          <w:szCs w:val="20"/>
          <w:color w:val="auto"/>
        </w:rPr>
      </w:pPr>
    </w:p>
    <w:p>
      <w:pPr>
        <w:ind w:right="40" w:firstLine="619"/>
        <w:spacing w:after="0" w:line="305" w:lineRule="auto"/>
        <w:rPr>
          <w:sz w:val="20"/>
          <w:szCs w:val="20"/>
          <w:color w:val="auto"/>
        </w:rPr>
      </w:pPr>
      <w:r>
        <w:rPr>
          <w:rFonts w:ascii="Times New Roman" w:cs="Times New Roman" w:eastAsia="Times New Roman" w:hAnsi="Times New Roman"/>
          <w:sz w:val="19"/>
          <w:szCs w:val="19"/>
          <w:color w:val="auto"/>
        </w:rPr>
        <w:t>For a description of recent accounting pronouncements, see Note 2 of the notes to our audited consolidated financial statements for the year ended December 31, 2024 included elsewhere in this Annual Report on Form 10-K.</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9360"/>
          </w:cols>
          <w:pgMar w:left="1440" w:top="1416" w:right="1440" w:bottom="175"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b w:val="1"/>
          <w:bCs w:val="1"/>
          <w:color w:val="auto"/>
        </w:rPr>
        <w:t>Item 8. Consolidated Financial Statements and Supplementary Data.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Audited Consolidated Financial Statements</w:t>
      </w:r>
    </w:p>
    <w:p>
      <w:pPr>
        <w:spacing w:after="0" w:line="281" w:lineRule="exact"/>
        <w:rPr>
          <w:sz w:val="20"/>
          <w:szCs w:val="20"/>
          <w:color w:val="auto"/>
        </w:rPr>
      </w:pPr>
    </w:p>
    <w:p>
      <w:pPr>
        <w:spacing w:after="0"/>
        <w:tabs>
          <w:tab w:leader="dot" w:pos="9040" w:val="left"/>
        </w:tabs>
        <w:rPr>
          <w:sz w:val="20"/>
          <w:szCs w:val="20"/>
          <w:color w:val="auto"/>
        </w:rPr>
      </w:pPr>
      <w:r>
        <w:rPr>
          <w:rFonts w:ascii="Times New Roman" w:cs="Times New Roman" w:eastAsia="Times New Roman" w:hAnsi="Times New Roman"/>
          <w:sz w:val="20"/>
          <w:szCs w:val="20"/>
          <w:color w:val="auto"/>
        </w:rPr>
        <w:t>Report of Ernst &amp; Young LLP, Independent Registered Public Accounting Firm (PCAOB ID: 42)</w:t>
      </w:r>
      <w:r>
        <w:rPr>
          <w:sz w:val="20"/>
          <w:szCs w:val="20"/>
          <w:color w:val="auto"/>
        </w:rPr>
        <w:tab/>
      </w:r>
      <w:r>
        <w:rPr>
          <w:rFonts w:ascii="Times New Roman" w:cs="Times New Roman" w:eastAsia="Times New Roman" w:hAnsi="Times New Roman"/>
          <w:sz w:val="20"/>
          <w:szCs w:val="20"/>
          <w:color w:val="auto"/>
        </w:rPr>
        <w:t>102</w:t>
      </w:r>
    </w:p>
    <w:p>
      <w:pPr>
        <w:spacing w:after="0" w:line="119" w:lineRule="exact"/>
        <w:rPr>
          <w:sz w:val="20"/>
          <w:szCs w:val="20"/>
          <w:color w:val="auto"/>
        </w:rPr>
      </w:pPr>
    </w:p>
    <w:p>
      <w:pPr>
        <w:spacing w:after="0"/>
        <w:tabs>
          <w:tab w:leader="dot" w:pos="9040" w:val="left"/>
        </w:tabs>
        <w:rPr>
          <w:sz w:val="20"/>
          <w:szCs w:val="20"/>
          <w:color w:val="auto"/>
        </w:rPr>
      </w:pPr>
      <w:r>
        <w:rPr>
          <w:rFonts w:ascii="Times New Roman" w:cs="Times New Roman" w:eastAsia="Times New Roman" w:hAnsi="Times New Roman"/>
          <w:sz w:val="20"/>
          <w:szCs w:val="20"/>
          <w:color w:val="auto"/>
        </w:rPr>
        <w:t>Consolidated Balance Sheets as of December 31, 2024 and 2023</w:t>
      </w:r>
      <w:r>
        <w:rPr>
          <w:sz w:val="20"/>
          <w:szCs w:val="20"/>
          <w:color w:val="auto"/>
        </w:rPr>
        <w:tab/>
      </w:r>
      <w:r>
        <w:rPr>
          <w:rFonts w:ascii="Times New Roman" w:cs="Times New Roman" w:eastAsia="Times New Roman" w:hAnsi="Times New Roman"/>
          <w:sz w:val="20"/>
          <w:szCs w:val="20"/>
          <w:color w:val="auto"/>
        </w:rPr>
        <w:t>104</w:t>
      </w:r>
    </w:p>
    <w:p>
      <w:pPr>
        <w:spacing w:after="0" w:line="120" w:lineRule="exact"/>
        <w:rPr>
          <w:sz w:val="20"/>
          <w:szCs w:val="20"/>
          <w:color w:val="auto"/>
        </w:rPr>
      </w:pPr>
    </w:p>
    <w:p>
      <w:pPr>
        <w:spacing w:after="0"/>
        <w:tabs>
          <w:tab w:leader="none" w:pos="9040" w:val="left"/>
        </w:tabs>
        <w:rPr>
          <w:sz w:val="20"/>
          <w:szCs w:val="20"/>
          <w:color w:val="auto"/>
        </w:rPr>
      </w:pPr>
      <w:r>
        <w:rPr>
          <w:rFonts w:ascii="Times New Roman" w:cs="Times New Roman" w:eastAsia="Times New Roman" w:hAnsi="Times New Roman"/>
          <w:sz w:val="20"/>
          <w:szCs w:val="20"/>
          <w:color w:val="auto"/>
        </w:rPr>
        <w:t>Consolidated Statements of Operations and Comprehensive Loss for the Years Ended December 31,</w:t>
      </w:r>
      <w:r>
        <w:rPr>
          <w:sz w:val="20"/>
          <w:szCs w:val="20"/>
          <w:color w:val="auto"/>
        </w:rPr>
        <w:tab/>
      </w:r>
      <w:r>
        <w:rPr>
          <w:rFonts w:ascii="Times New Roman" w:cs="Times New Roman" w:eastAsia="Times New Roman" w:hAnsi="Times New Roman"/>
          <w:sz w:val="20"/>
          <w:szCs w:val="20"/>
          <w:color w:val="auto"/>
        </w:rPr>
        <w:t>105</w:t>
      </w:r>
    </w:p>
    <w:p>
      <w:pPr>
        <w:spacing w:after="0" w:line="28"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20"/>
          <w:szCs w:val="20"/>
          <w:color w:val="auto"/>
        </w:rPr>
        <w:t>2024, 2023, and 2022</w:t>
        <w:tab/>
        <w:t>..................................................................................................................................</w:t>
      </w:r>
    </w:p>
    <w:p>
      <w:pPr>
        <w:spacing w:after="0" w:line="91" w:lineRule="exact"/>
        <w:rPr>
          <w:sz w:val="20"/>
          <w:szCs w:val="20"/>
          <w:color w:val="auto"/>
        </w:rPr>
      </w:pPr>
    </w:p>
    <w:p>
      <w:pPr>
        <w:spacing w:after="0"/>
        <w:tabs>
          <w:tab w:leader="none" w:pos="9040" w:val="left"/>
        </w:tabs>
        <w:rPr>
          <w:sz w:val="20"/>
          <w:szCs w:val="20"/>
          <w:color w:val="auto"/>
        </w:rPr>
      </w:pPr>
      <w:r>
        <w:rPr>
          <w:rFonts w:ascii="Times New Roman" w:cs="Times New Roman" w:eastAsia="Times New Roman" w:hAnsi="Times New Roman"/>
          <w:sz w:val="20"/>
          <w:szCs w:val="20"/>
          <w:color w:val="auto"/>
        </w:rPr>
        <w:t>Consolidated Statements of Stockholders’ Equity (Deficit) for the Years Ended December 31, 2024,</w:t>
      </w:r>
      <w:r>
        <w:rPr>
          <w:sz w:val="20"/>
          <w:szCs w:val="20"/>
          <w:color w:val="auto"/>
        </w:rPr>
        <w:tab/>
      </w:r>
      <w:r>
        <w:rPr>
          <w:rFonts w:ascii="Times New Roman" w:cs="Times New Roman" w:eastAsia="Times New Roman" w:hAnsi="Times New Roman"/>
          <w:sz w:val="20"/>
          <w:szCs w:val="20"/>
          <w:color w:val="auto"/>
        </w:rPr>
        <w:t>106</w:t>
      </w:r>
    </w:p>
    <w:p>
      <w:pPr>
        <w:spacing w:after="0" w:line="28"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color w:val="auto"/>
        </w:rPr>
        <w:t>2023, and 2022</w:t>
        <w:tab/>
        <w:t>.............................................................................................................................................</w:t>
      </w:r>
    </w:p>
    <w:p>
      <w:pPr>
        <w:spacing w:after="0" w:line="91" w:lineRule="exact"/>
        <w:rPr>
          <w:sz w:val="20"/>
          <w:szCs w:val="20"/>
          <w:color w:val="auto"/>
        </w:rPr>
      </w:pPr>
    </w:p>
    <w:p>
      <w:pPr>
        <w:spacing w:after="0"/>
        <w:tabs>
          <w:tab w:leader="dot" w:pos="9040" w:val="left"/>
        </w:tabs>
        <w:rPr>
          <w:sz w:val="20"/>
          <w:szCs w:val="20"/>
          <w:color w:val="auto"/>
        </w:rPr>
      </w:pPr>
      <w:r>
        <w:rPr>
          <w:rFonts w:ascii="Times New Roman" w:cs="Times New Roman" w:eastAsia="Times New Roman" w:hAnsi="Times New Roman"/>
          <w:sz w:val="20"/>
          <w:szCs w:val="20"/>
          <w:color w:val="auto"/>
        </w:rPr>
        <w:t>Consolidated Statements of Cash Flows for the Years Ended December 31, 2024, 2023, and 2022</w:t>
      </w:r>
      <w:r>
        <w:rPr>
          <w:sz w:val="20"/>
          <w:szCs w:val="20"/>
          <w:color w:val="auto"/>
        </w:rPr>
        <w:tab/>
      </w:r>
      <w:r>
        <w:rPr>
          <w:rFonts w:ascii="Times New Roman" w:cs="Times New Roman" w:eastAsia="Times New Roman" w:hAnsi="Times New Roman"/>
          <w:sz w:val="20"/>
          <w:szCs w:val="20"/>
          <w:color w:val="auto"/>
        </w:rPr>
        <w:t>107</w:t>
      </w:r>
    </w:p>
    <w:p>
      <w:pPr>
        <w:spacing w:after="0" w:line="121" w:lineRule="exact"/>
        <w:rPr>
          <w:sz w:val="20"/>
          <w:szCs w:val="20"/>
          <w:color w:val="auto"/>
        </w:rPr>
      </w:pPr>
    </w:p>
    <w:p>
      <w:pPr>
        <w:spacing w:after="0"/>
        <w:tabs>
          <w:tab w:leader="dot" w:pos="9040" w:val="left"/>
        </w:tabs>
        <w:rPr>
          <w:sz w:val="20"/>
          <w:szCs w:val="20"/>
          <w:color w:val="auto"/>
        </w:rPr>
      </w:pPr>
      <w:r>
        <w:rPr>
          <w:rFonts w:ascii="Times New Roman" w:cs="Times New Roman" w:eastAsia="Times New Roman" w:hAnsi="Times New Roman"/>
          <w:sz w:val="20"/>
          <w:szCs w:val="20"/>
          <w:color w:val="auto"/>
        </w:rPr>
        <w:t>Notes to Consolidated Financial Statements</w:t>
      </w:r>
      <w:r>
        <w:rPr>
          <w:sz w:val="20"/>
          <w:szCs w:val="20"/>
          <w:color w:val="auto"/>
        </w:rPr>
        <w:tab/>
      </w:r>
      <w:r>
        <w:rPr>
          <w:rFonts w:ascii="Times New Roman" w:cs="Times New Roman" w:eastAsia="Times New Roman" w:hAnsi="Times New Roman"/>
          <w:sz w:val="20"/>
          <w:szCs w:val="20"/>
          <w:color w:val="auto"/>
        </w:rPr>
        <w:t>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9360"/>
          </w:cols>
          <w:pgMar w:left="1440" w:top="1416" w:right="1440" w:bottom="175" w:gutter="0" w:footer="0" w:header="0"/>
        </w:sectPr>
      </w:pPr>
    </w:p>
    <w:bookmarkStart w:id="107" w:name="page108"/>
    <w:bookmarkEnd w:id="107"/>
    <w:p>
      <w:pPr>
        <w:ind w:left="218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PMV Pharmaceuticals, Inc.</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36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PMV Pharmaceuticals, Inc. (the Company) as of December 31, 2024 and 2023, the related consolidated statements of operations and comprehensive loss, stockholders’ equity (deficit)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364"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17"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320"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364" w:lineRule="exact"/>
        <w:rPr>
          <w:sz w:val="20"/>
          <w:szCs w:val="20"/>
          <w:color w:val="auto"/>
        </w:rPr>
      </w:pPr>
    </w:p>
    <w:p>
      <w:pPr>
        <w:ind w:right="300"/>
        <w:spacing w:after="0" w:line="246"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2240" w:h="15840" w:orient="portrait"/>
          <w:cols w:equalWidth="0" w:num="1">
            <w:col w:w="9360"/>
          </w:cols>
          <w:pgMar w:left="1440" w:top="1416" w:right="1440" w:bottom="1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r>
        <w:rPr>
          <w:rFonts w:ascii="PMingLiU" w:cs="PMingLiU" w:eastAsia="PMingLiU" w:hAnsi="PMingLiU"/>
          <w:sz w:val="20"/>
          <w:szCs w:val="20"/>
          <w:color w:val="auto"/>
        </w:rPr>
        <w:t/>
      </w:r>
    </w:p>
    <w:p>
      <w:pPr>
        <w:sectPr>
          <w:pgSz w:w="12240" w:h="15840" w:orient="portrait"/>
          <w:cols w:equalWidth="0" w:num="1">
            <w:col w:w="9360"/>
          </w:cols>
          <w:pgMar w:left="1440" w:top="1416" w:right="1440" w:bottom="162" w:gutter="0" w:footer="0" w:header="0"/>
          <w:type w:val="continuous"/>
        </w:sectPr>
      </w:pPr>
    </w:p>
    <w:bookmarkStart w:id="108" w:name="page109"/>
    <w:bookmarkEnd w:id="108"/>
    <w:p>
      <w:pPr>
        <w:ind w:left="1680"/>
        <w:spacing w:after="0"/>
        <w:rPr>
          <w:sz w:val="20"/>
          <w:szCs w:val="20"/>
          <w:color w:val="auto"/>
        </w:rPr>
      </w:pPr>
      <w:r>
        <w:rPr>
          <w:rFonts w:ascii="Times New Roman" w:cs="Times New Roman" w:eastAsia="Times New Roman" w:hAnsi="Times New Roman"/>
          <w:sz w:val="20"/>
          <w:szCs w:val="20"/>
          <w:b w:val="1"/>
          <w:bCs w:val="1"/>
          <w:i w:val="1"/>
          <w:iCs w:val="1"/>
          <w:color w:val="auto"/>
        </w:rPr>
        <w:t>Accounting for Research and Development Expenses</w:t>
      </w:r>
    </w:p>
    <w:p>
      <w:pPr>
        <w:spacing w:after="0" w:line="239"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0"/>
          <w:szCs w:val="20"/>
          <w:i w:val="1"/>
          <w:iCs w:val="1"/>
          <w:color w:val="auto"/>
        </w:rPr>
        <w:t>Description of</w:t>
      </w:r>
      <w:r>
        <w:rPr>
          <w:sz w:val="20"/>
          <w:szCs w:val="20"/>
          <w:color w:val="auto"/>
        </w:rPr>
        <w:tab/>
      </w:r>
      <w:r>
        <w:rPr>
          <w:rFonts w:ascii="Times New Roman" w:cs="Times New Roman" w:eastAsia="Times New Roman" w:hAnsi="Times New Roman"/>
          <w:sz w:val="19"/>
          <w:szCs w:val="19"/>
          <w:color w:val="auto"/>
        </w:rPr>
        <w:t>As disclosed in Note 2 to the consolidated financial statements, the Company is required to</w:t>
      </w:r>
    </w:p>
    <w:p>
      <w:pPr>
        <w:spacing w:after="0" w:line="28"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0"/>
          <w:szCs w:val="20"/>
          <w:i w:val="1"/>
          <w:iCs w:val="1"/>
          <w:color w:val="auto"/>
        </w:rPr>
        <w:t>the Matter</w:t>
      </w:r>
      <w:r>
        <w:rPr>
          <w:sz w:val="20"/>
          <w:szCs w:val="20"/>
          <w:color w:val="auto"/>
        </w:rPr>
        <w:tab/>
      </w:r>
      <w:r>
        <w:rPr>
          <w:rFonts w:ascii="Times New Roman" w:cs="Times New Roman" w:eastAsia="Times New Roman" w:hAnsi="Times New Roman"/>
          <w:sz w:val="19"/>
          <w:szCs w:val="19"/>
          <w:color w:val="auto"/>
        </w:rPr>
        <w:t>estimate research and development expenses from its obligations under contracts and purchase</w:t>
      </w:r>
    </w:p>
    <w:p>
      <w:pPr>
        <w:ind w:left="1680" w:right="40"/>
        <w:spacing w:after="0"/>
        <w:rPr>
          <w:sz w:val="20"/>
          <w:szCs w:val="20"/>
          <w:color w:val="auto"/>
        </w:rPr>
      </w:pPr>
      <w:r>
        <w:rPr>
          <w:rFonts w:ascii="Times New Roman" w:cs="Times New Roman" w:eastAsia="Times New Roman" w:hAnsi="Times New Roman"/>
          <w:sz w:val="20"/>
          <w:szCs w:val="20"/>
          <w:color w:val="auto"/>
        </w:rPr>
        <w:t>orders with vendors, clinical research organizations, clinical manufacturing organizations and others and for clinical site agreements at each balance sheet date. The Company recorded accrued expenses for the research and development expenses, which are included in accrued expenses on the December 31, 2024 consolidated balance sheet, and prepaid research and development expenses, which are included in prepaid expenses and other current assets on the December 31, 2024 consolidated balance sheet. The amounts recorded for accrued research and development expenses and for the related prepaid expenses, within the aforementioned balance sheet captions, represent the Company’s estimate of the unpaid and prepaid research and development expenses based on the progress of the research and development services compared to the amounts paid for those services through December 31, 2024.</w:t>
      </w:r>
    </w:p>
    <w:p>
      <w:pPr>
        <w:spacing w:after="0" w:line="202" w:lineRule="exact"/>
        <w:rPr>
          <w:sz w:val="20"/>
          <w:szCs w:val="20"/>
          <w:color w:val="auto"/>
        </w:rPr>
      </w:pPr>
    </w:p>
    <w:p>
      <w:pPr>
        <w:ind w:left="1680" w:right="120"/>
        <w:spacing w:after="0" w:line="266" w:lineRule="auto"/>
        <w:rPr>
          <w:sz w:val="20"/>
          <w:szCs w:val="20"/>
          <w:color w:val="auto"/>
        </w:rPr>
      </w:pPr>
      <w:r>
        <w:rPr>
          <w:rFonts w:ascii="Times New Roman" w:cs="Times New Roman" w:eastAsia="Times New Roman" w:hAnsi="Times New Roman"/>
          <w:sz w:val="19"/>
          <w:szCs w:val="19"/>
          <w:color w:val="auto"/>
        </w:rPr>
        <w:t>Auditing the Company’s accrued research and development expenses and related prepaid expenses involved a high degree of subjectivity due to the estimation required by management in determining the progress to completion of services that have been performed that will be invoiced by the vendors, clinical research organizations and consultants and under clinical site agreements subsequent to the date that the consolidated financial statements are issued.</w:t>
      </w:r>
    </w:p>
    <w:p>
      <w:pPr>
        <w:spacing w:after="0" w:line="178"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0"/>
          <w:szCs w:val="20"/>
          <w:i w:val="1"/>
          <w:iCs w:val="1"/>
          <w:color w:val="auto"/>
        </w:rPr>
        <w:t>How We</w:t>
      </w:r>
      <w:r>
        <w:rPr>
          <w:sz w:val="20"/>
          <w:szCs w:val="20"/>
          <w:color w:val="auto"/>
        </w:rPr>
        <w:tab/>
      </w:r>
      <w:r>
        <w:rPr>
          <w:rFonts w:ascii="Times New Roman" w:cs="Times New Roman" w:eastAsia="Times New Roman" w:hAnsi="Times New Roman"/>
          <w:sz w:val="19"/>
          <w:szCs w:val="19"/>
          <w:color w:val="auto"/>
        </w:rPr>
        <w:t>To test the research and development accruals and prepaid expenses, our audit procedures</w:t>
      </w:r>
    </w:p>
    <w:p>
      <w:pPr>
        <w:spacing w:after="0" w:line="28"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0"/>
          <w:szCs w:val="20"/>
          <w:i w:val="1"/>
          <w:iCs w:val="1"/>
          <w:color w:val="auto"/>
        </w:rPr>
        <w:t>Addressed the</w:t>
      </w:r>
      <w:r>
        <w:rPr>
          <w:sz w:val="20"/>
          <w:szCs w:val="20"/>
          <w:color w:val="auto"/>
        </w:rPr>
        <w:tab/>
      </w:r>
      <w:r>
        <w:rPr>
          <w:rFonts w:ascii="Times New Roman" w:cs="Times New Roman" w:eastAsia="Times New Roman" w:hAnsi="Times New Roman"/>
          <w:sz w:val="19"/>
          <w:szCs w:val="19"/>
          <w:color w:val="auto"/>
        </w:rPr>
        <w:t>included, among others, reviewing a sample of agreements with the service providers to</w:t>
      </w:r>
    </w:p>
    <w:p>
      <w:pPr>
        <w:spacing w:after="0"/>
        <w:tabs>
          <w:tab w:leader="none" w:pos="1660" w:val="left"/>
        </w:tabs>
        <w:rPr>
          <w:sz w:val="20"/>
          <w:szCs w:val="20"/>
          <w:color w:val="auto"/>
        </w:rPr>
      </w:pPr>
      <w:r>
        <w:rPr>
          <w:rFonts w:ascii="Times New Roman" w:cs="Times New Roman" w:eastAsia="Times New Roman" w:hAnsi="Times New Roman"/>
          <w:sz w:val="20"/>
          <w:szCs w:val="20"/>
          <w:i w:val="1"/>
          <w:iCs w:val="1"/>
          <w:color w:val="auto"/>
        </w:rPr>
        <w:t>Matter in Our</w:t>
      </w:r>
      <w:r>
        <w:rPr>
          <w:sz w:val="20"/>
          <w:szCs w:val="20"/>
          <w:color w:val="auto"/>
        </w:rPr>
        <w:tab/>
      </w:r>
      <w:r>
        <w:rPr>
          <w:rFonts w:ascii="Times New Roman" w:cs="Times New Roman" w:eastAsia="Times New Roman" w:hAnsi="Times New Roman"/>
          <w:sz w:val="19"/>
          <w:szCs w:val="19"/>
          <w:color w:val="auto"/>
        </w:rPr>
        <w:t>corroborate key financial and contractual terms, and testing the accuracy and completeness of</w:t>
      </w:r>
    </w:p>
    <w:p>
      <w:pPr>
        <w:spacing w:after="0"/>
        <w:tabs>
          <w:tab w:leader="none" w:pos="1660" w:val="left"/>
        </w:tabs>
        <w:rPr>
          <w:sz w:val="20"/>
          <w:szCs w:val="20"/>
          <w:color w:val="auto"/>
        </w:rPr>
      </w:pPr>
      <w:r>
        <w:rPr>
          <w:rFonts w:ascii="Times New Roman" w:cs="Times New Roman" w:eastAsia="Times New Roman" w:hAnsi="Times New Roman"/>
          <w:sz w:val="20"/>
          <w:szCs w:val="20"/>
          <w:i w:val="1"/>
          <w:iCs w:val="1"/>
          <w:color w:val="auto"/>
        </w:rPr>
        <w:t>Audit</w:t>
      </w:r>
      <w:r>
        <w:rPr>
          <w:sz w:val="20"/>
          <w:szCs w:val="20"/>
          <w:color w:val="auto"/>
        </w:rPr>
        <w:tab/>
      </w:r>
      <w:r>
        <w:rPr>
          <w:rFonts w:ascii="Times New Roman" w:cs="Times New Roman" w:eastAsia="Times New Roman" w:hAnsi="Times New Roman"/>
          <w:sz w:val="20"/>
          <w:szCs w:val="20"/>
          <w:color w:val="auto"/>
        </w:rPr>
        <w:t>the underlying data used in the accrual and prepaid expense computations. We also evaluated</w:t>
      </w:r>
    </w:p>
    <w:p>
      <w:pPr>
        <w:spacing w:after="0" w:line="1" w:lineRule="exact"/>
        <w:rPr>
          <w:sz w:val="20"/>
          <w:szCs w:val="20"/>
          <w:color w:val="auto"/>
        </w:rPr>
      </w:pPr>
    </w:p>
    <w:p>
      <w:pPr>
        <w:ind w:left="1680" w:right="80"/>
        <w:spacing w:after="0" w:line="241" w:lineRule="auto"/>
        <w:rPr>
          <w:sz w:val="20"/>
          <w:szCs w:val="20"/>
          <w:color w:val="auto"/>
        </w:rPr>
      </w:pPr>
      <w:r>
        <w:rPr>
          <w:rFonts w:ascii="Times New Roman" w:cs="Times New Roman" w:eastAsia="Times New Roman" w:hAnsi="Times New Roman"/>
          <w:sz w:val="20"/>
          <w:szCs w:val="20"/>
          <w:color w:val="auto"/>
        </w:rPr>
        <w:t>management’s estimates of the progress of a sample of research and development activities by making inquiries of the Company’s operations personnel that oversee the external research and development activities and obtaining information directly from a sample of service providers. To evaluate the completeness of the accruals, we also examined subsequent invoices from the service providers and cash disbursements to the service providers, to the extent such invoices were received, or payments were made prior to the date that the consolidated financial statements were issued.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Ernst &amp; Young LLP</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2017.</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Philadelphia, Pennsylvania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 2025</w:t>
      </w:r>
    </w:p>
    <w:p>
      <w:pPr>
        <w:sectPr>
          <w:pgSz w:w="12240" w:h="15840" w:orient="portrait"/>
          <w:cols w:equalWidth="0" w:num="1">
            <w:col w:w="9360"/>
          </w:cols>
          <w:pgMar w:left="1440" w:top="1420" w:right="1440" w:bottom="1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r>
        <w:rPr>
          <w:rFonts w:ascii="PMingLiU" w:cs="PMingLiU" w:eastAsia="PMingLiU" w:hAnsi="PMingLiU"/>
          <w:sz w:val="20"/>
          <w:szCs w:val="20"/>
          <w:color w:val="auto"/>
        </w:rPr>
        <w:t/>
      </w:r>
    </w:p>
    <w:p>
      <w:pPr>
        <w:sectPr>
          <w:pgSz w:w="12240" w:h="15840" w:orient="portrait"/>
          <w:cols w:equalWidth="0" w:num="1">
            <w:col w:w="9360"/>
          </w:cols>
          <w:pgMar w:left="1440" w:top="1420" w:right="1440" w:bottom="162"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0"/>
          <w:szCs w:val="20"/>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6640" w:type="dxa"/>
            <w:vAlign w:val="bottom"/>
            <w:tcBorders>
              <w:bottom w:val="single" w:sz="8" w:color="E0E0E0"/>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E0E0E0"/>
            </w:tcBorders>
          </w:tcPr>
          <w:p>
            <w:pPr>
              <w:spacing w:after="0"/>
              <w:rPr>
                <w:sz w:val="17"/>
                <w:szCs w:val="17"/>
                <w:color w:val="auto"/>
              </w:rPr>
            </w:pPr>
          </w:p>
        </w:tc>
        <w:tc>
          <w:tcPr>
            <w:tcW w:w="160" w:type="dxa"/>
            <w:vAlign w:val="bottom"/>
            <w:tcBorders>
              <w:bottom w:val="single" w:sz="8" w:color="E0E0E0"/>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E0E0E0"/>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640" w:type="dxa"/>
            <w:vAlign w:val="bottom"/>
            <w:tcBorders>
              <w:right w:val="single" w:sz="8" w:color="E0E0E0"/>
            </w:tcBorders>
            <w:shd w:val="clear" w:color="auto" w:fill="E0E0E0"/>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Assets</w:t>
            </w:r>
          </w:p>
        </w:tc>
        <w:tc>
          <w:tcPr>
            <w:tcW w:w="80" w:type="dxa"/>
            <w:vAlign w:val="bottom"/>
            <w:shd w:val="clear" w:color="auto" w:fill="E0E0E0"/>
          </w:tcPr>
          <w:p>
            <w:pPr>
              <w:spacing w:after="0"/>
              <w:rPr>
                <w:sz w:val="19"/>
                <w:szCs w:val="19"/>
                <w:color w:val="auto"/>
              </w:rPr>
            </w:pPr>
          </w:p>
        </w:tc>
        <w:tc>
          <w:tcPr>
            <w:tcW w:w="1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60" w:type="dxa"/>
            <w:vAlign w:val="bottom"/>
            <w:tcBorders>
              <w:right w:val="single" w:sz="8" w:color="E0E0E0"/>
            </w:tcBorders>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Borders>
              <w:right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40,876</w:t>
            </w:r>
          </w:p>
        </w:tc>
        <w:tc>
          <w:tcPr>
            <w:tcW w:w="100" w:type="dxa"/>
            <w:vAlign w:val="bottom"/>
            <w:shd w:val="clear" w:color="auto" w:fill="E0E0E0"/>
          </w:tcPr>
          <w:p>
            <w:pPr>
              <w:spacing w:after="0"/>
              <w:rPr>
                <w:sz w:val="20"/>
                <w:szCs w:val="20"/>
                <w:color w:val="auto"/>
              </w:rPr>
            </w:pPr>
          </w:p>
        </w:tc>
        <w:tc>
          <w:tcPr>
            <w:tcW w:w="2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37,706</w:t>
            </w:r>
          </w:p>
        </w:tc>
        <w:tc>
          <w:tcPr>
            <w:tcW w:w="0" w:type="dxa"/>
            <w:vAlign w:val="bottom"/>
          </w:tcPr>
          <w:p>
            <w:pPr>
              <w:spacing w:after="0"/>
              <w:rPr>
                <w:sz w:val="1"/>
                <w:szCs w:val="1"/>
                <w:color w:val="auto"/>
              </w:rPr>
            </w:pPr>
          </w:p>
        </w:tc>
      </w:tr>
      <w:tr>
        <w:trPr>
          <w:trHeight w:val="230"/>
        </w:trPr>
        <w:tc>
          <w:tcPr>
            <w:tcW w:w="6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Restricted cash</w:t>
            </w:r>
          </w:p>
        </w:tc>
        <w:tc>
          <w:tcPr>
            <w:tcW w:w="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822</w:t>
            </w:r>
          </w:p>
        </w:tc>
        <w:tc>
          <w:tcPr>
            <w:tcW w:w="0" w:type="dxa"/>
            <w:vAlign w:val="bottom"/>
          </w:tcPr>
          <w:p>
            <w:pPr>
              <w:spacing w:after="0"/>
              <w:rPr>
                <w:sz w:val="1"/>
                <w:szCs w:val="1"/>
                <w:color w:val="auto"/>
              </w:rPr>
            </w:pPr>
          </w:p>
        </w:tc>
      </w:tr>
      <w:tr>
        <w:trPr>
          <w:trHeight w:val="229"/>
        </w:trPr>
        <w:tc>
          <w:tcPr>
            <w:tcW w:w="6640" w:type="dxa"/>
            <w:vAlign w:val="bottom"/>
            <w:tcBorders>
              <w:right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Marketable securities, current</w:t>
            </w:r>
          </w:p>
        </w:tc>
        <w:tc>
          <w:tcPr>
            <w:tcW w:w="80" w:type="dxa"/>
            <w:vAlign w:val="bottom"/>
            <w:shd w:val="clear" w:color="auto" w:fill="E0E0E0"/>
          </w:tcPr>
          <w:p>
            <w:pPr>
              <w:spacing w:after="0"/>
              <w:rPr>
                <w:sz w:val="19"/>
                <w:szCs w:val="19"/>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128,578</w:t>
            </w:r>
          </w:p>
        </w:tc>
        <w:tc>
          <w:tcPr>
            <w:tcW w:w="100" w:type="dxa"/>
            <w:vAlign w:val="bottom"/>
            <w:shd w:val="clear" w:color="auto" w:fill="E0E0E0"/>
          </w:tcPr>
          <w:p>
            <w:pPr>
              <w:spacing w:after="0"/>
              <w:rPr>
                <w:sz w:val="19"/>
                <w:szCs w:val="19"/>
                <w:color w:val="auto"/>
              </w:rPr>
            </w:pPr>
          </w:p>
        </w:tc>
        <w:tc>
          <w:tcPr>
            <w:tcW w:w="160" w:type="dxa"/>
            <w:vAlign w:val="bottom"/>
            <w:tcBorders>
              <w:right w:val="single" w:sz="8" w:color="E0E0E0"/>
            </w:tcBorders>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18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165,351</w:t>
            </w:r>
          </w:p>
        </w:tc>
        <w:tc>
          <w:tcPr>
            <w:tcW w:w="0" w:type="dxa"/>
            <w:vAlign w:val="bottom"/>
          </w:tcPr>
          <w:p>
            <w:pPr>
              <w:spacing w:after="0"/>
              <w:rPr>
                <w:sz w:val="1"/>
                <w:szCs w:val="1"/>
                <w:color w:val="auto"/>
              </w:rPr>
            </w:pPr>
          </w:p>
        </w:tc>
      </w:tr>
      <w:tr>
        <w:trPr>
          <w:trHeight w:val="230"/>
        </w:trPr>
        <w:tc>
          <w:tcPr>
            <w:tcW w:w="6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3,530</w:t>
            </w:r>
          </w:p>
        </w:tc>
        <w:tc>
          <w:tcPr>
            <w:tcW w:w="0" w:type="dxa"/>
            <w:vAlign w:val="bottom"/>
          </w:tcPr>
          <w:p>
            <w:pPr>
              <w:spacing w:after="0"/>
              <w:rPr>
                <w:sz w:val="1"/>
                <w:szCs w:val="1"/>
                <w:color w:val="auto"/>
              </w:rPr>
            </w:pPr>
          </w:p>
        </w:tc>
      </w:tr>
      <w:tr>
        <w:trPr>
          <w:trHeight w:val="20"/>
        </w:trPr>
        <w:tc>
          <w:tcPr>
            <w:tcW w:w="6640" w:type="dxa"/>
            <w:vAlign w:val="bottom"/>
            <w:tcBorders>
              <w:right w:val="single" w:sz="8" w:color="E0E0E0"/>
            </w:tcBorders>
            <w:vMerge w:val="restart"/>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Total current assets</w:t>
            </w: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E0E0E0"/>
          </w:tcPr>
          <w:p>
            <w:pPr>
              <w:spacing w:after="0" w:line="20" w:lineRule="exact"/>
              <w:rPr>
                <w:sz w:val="1"/>
                <w:szCs w:val="1"/>
                <w:color w:val="auto"/>
              </w:rPr>
            </w:pPr>
          </w:p>
        </w:tc>
        <w:tc>
          <w:tcPr>
            <w:tcW w:w="160" w:type="dxa"/>
            <w:vAlign w:val="bottom"/>
            <w:tcBorders>
              <w:right w:val="single" w:sz="8" w:color="E0E0E0"/>
            </w:tcBorders>
            <w:shd w:val="clear" w:color="auto" w:fill="E0E0E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640" w:type="dxa"/>
            <w:vAlign w:val="bottom"/>
            <w:tcBorders>
              <w:right w:val="single" w:sz="8" w:color="E0E0E0"/>
            </w:tcBorders>
            <w:vMerge w:val="continue"/>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10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175,658</w:t>
            </w:r>
          </w:p>
        </w:tc>
        <w:tc>
          <w:tcPr>
            <w:tcW w:w="100" w:type="dxa"/>
            <w:vAlign w:val="bottom"/>
            <w:shd w:val="clear" w:color="auto" w:fill="E0E0E0"/>
          </w:tcPr>
          <w:p>
            <w:pPr>
              <w:spacing w:after="0"/>
              <w:rPr>
                <w:sz w:val="19"/>
                <w:szCs w:val="19"/>
                <w:color w:val="auto"/>
              </w:rPr>
            </w:pPr>
          </w:p>
        </w:tc>
        <w:tc>
          <w:tcPr>
            <w:tcW w:w="160" w:type="dxa"/>
            <w:vAlign w:val="bottom"/>
            <w:tcBorders>
              <w:right w:val="single" w:sz="8" w:color="E0E0E0"/>
            </w:tcBorders>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180" w:type="dxa"/>
            <w:vAlign w:val="bottom"/>
            <w:gridSpan w:val="2"/>
            <w:shd w:val="clear" w:color="auto" w:fill="E0E0E0"/>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207,409</w:t>
            </w: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10,666</w:t>
            </w:r>
          </w:p>
        </w:tc>
        <w:tc>
          <w:tcPr>
            <w:tcW w:w="0" w:type="dxa"/>
            <w:vAlign w:val="bottom"/>
          </w:tcPr>
          <w:p>
            <w:pPr>
              <w:spacing w:after="0"/>
              <w:rPr>
                <w:sz w:val="1"/>
                <w:szCs w:val="1"/>
                <w:color w:val="auto"/>
              </w:rPr>
            </w:pPr>
          </w:p>
        </w:tc>
      </w:tr>
      <w:tr>
        <w:trPr>
          <w:trHeight w:val="230"/>
        </w:trPr>
        <w:tc>
          <w:tcPr>
            <w:tcW w:w="6640" w:type="dxa"/>
            <w:vAlign w:val="bottom"/>
            <w:tcBorders>
              <w:right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Marketable securities, noncurrent</w:t>
            </w:r>
          </w:p>
        </w:tc>
        <w:tc>
          <w:tcPr>
            <w:tcW w:w="80" w:type="dxa"/>
            <w:vAlign w:val="bottom"/>
            <w:shd w:val="clear" w:color="auto" w:fill="E0E0E0"/>
          </w:tcPr>
          <w:p>
            <w:pPr>
              <w:spacing w:after="0"/>
              <w:rPr>
                <w:sz w:val="20"/>
                <w:szCs w:val="20"/>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13,843</w:t>
            </w:r>
          </w:p>
        </w:tc>
        <w:tc>
          <w:tcPr>
            <w:tcW w:w="100" w:type="dxa"/>
            <w:vAlign w:val="bottom"/>
            <w:shd w:val="clear" w:color="auto" w:fill="E0E0E0"/>
          </w:tcPr>
          <w:p>
            <w:pPr>
              <w:spacing w:after="0"/>
              <w:rPr>
                <w:sz w:val="20"/>
                <w:szCs w:val="20"/>
                <w:color w:val="auto"/>
              </w:rPr>
            </w:pPr>
          </w:p>
        </w:tc>
        <w:tc>
          <w:tcPr>
            <w:tcW w:w="160" w:type="dxa"/>
            <w:vAlign w:val="bottom"/>
            <w:tcBorders>
              <w:right w:val="single" w:sz="8" w:color="E0E0E0"/>
            </w:tcBorders>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18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25,505</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assets</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8,382</w:t>
            </w:r>
          </w:p>
        </w:tc>
        <w:tc>
          <w:tcPr>
            <w:tcW w:w="0" w:type="dxa"/>
            <w:vAlign w:val="bottom"/>
          </w:tcPr>
          <w:p>
            <w:pPr>
              <w:spacing w:after="0"/>
              <w:rPr>
                <w:sz w:val="1"/>
                <w:szCs w:val="1"/>
                <w:color w:val="auto"/>
              </w:rPr>
            </w:pPr>
          </w:p>
        </w:tc>
      </w:tr>
      <w:tr>
        <w:trPr>
          <w:trHeight w:val="249"/>
        </w:trPr>
        <w:tc>
          <w:tcPr>
            <w:tcW w:w="6640" w:type="dxa"/>
            <w:vAlign w:val="bottom"/>
            <w:tcBorders>
              <w:right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80" w:type="dxa"/>
            <w:vAlign w:val="bottom"/>
            <w:shd w:val="clear" w:color="auto" w:fill="E0E0E0"/>
          </w:tcPr>
          <w:p>
            <w:pPr>
              <w:spacing w:after="0"/>
              <w:rPr>
                <w:sz w:val="21"/>
                <w:szCs w:val="21"/>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235</w:t>
            </w:r>
          </w:p>
        </w:tc>
        <w:tc>
          <w:tcPr>
            <w:tcW w:w="100" w:type="dxa"/>
            <w:vAlign w:val="bottom"/>
            <w:shd w:val="clear" w:color="auto" w:fill="E0E0E0"/>
          </w:tcPr>
          <w:p>
            <w:pPr>
              <w:spacing w:after="0"/>
              <w:rPr>
                <w:sz w:val="21"/>
                <w:szCs w:val="21"/>
                <w:color w:val="auto"/>
              </w:rPr>
            </w:pPr>
          </w:p>
        </w:tc>
        <w:tc>
          <w:tcPr>
            <w:tcW w:w="160" w:type="dxa"/>
            <w:vAlign w:val="bottom"/>
            <w:tcBorders>
              <w:right w:val="single" w:sz="8" w:color="E0E0E0"/>
            </w:tcBorders>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18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190</w:t>
            </w:r>
          </w:p>
        </w:tc>
        <w:tc>
          <w:tcPr>
            <w:tcW w:w="0" w:type="dxa"/>
            <w:vAlign w:val="bottom"/>
          </w:tcPr>
          <w:p>
            <w:pPr>
              <w:spacing w:after="0"/>
              <w:rPr>
                <w:sz w:val="1"/>
                <w:szCs w:val="1"/>
                <w:color w:val="auto"/>
              </w:rPr>
            </w:pPr>
          </w:p>
        </w:tc>
      </w:tr>
      <w:tr>
        <w:trPr>
          <w:trHeight w:val="240"/>
        </w:trPr>
        <w:tc>
          <w:tcPr>
            <w:tcW w:w="6640" w:type="dxa"/>
            <w:vAlign w:val="bottom"/>
            <w:tcBorders>
              <w:top w:val="single" w:sz="8" w:color="E0E0E0"/>
              <w:bottom w:val="single" w:sz="8" w:color="E0E0E0"/>
            </w:tcBorders>
          </w:tcPr>
          <w:p>
            <w:pPr>
              <w:spacing w:after="0" w:line="200" w:lineRule="exact"/>
              <w:rPr>
                <w:sz w:val="20"/>
                <w:szCs w:val="20"/>
                <w:color w:val="auto"/>
              </w:rPr>
            </w:pPr>
            <w:r>
              <w:rPr>
                <w:rFonts w:ascii="Times New Roman" w:cs="Times New Roman" w:eastAsia="Times New Roman" w:hAnsi="Times New Roman"/>
                <w:sz w:val="20"/>
                <w:szCs w:val="20"/>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191,288</w:t>
            </w:r>
          </w:p>
        </w:tc>
        <w:tc>
          <w:tcPr>
            <w:tcW w:w="100" w:type="dxa"/>
            <w:vAlign w:val="bottom"/>
            <w:tcBorders>
              <w:top w:val="single" w:sz="8" w:color="E0E0E0"/>
              <w:bottom w:val="single" w:sz="8" w:color="E0E0E0"/>
            </w:tcBorders>
          </w:tcPr>
          <w:p>
            <w:pPr>
              <w:spacing w:after="0"/>
              <w:rPr>
                <w:sz w:val="20"/>
                <w:szCs w:val="20"/>
                <w:color w:val="auto"/>
              </w:rPr>
            </w:pPr>
          </w:p>
        </w:tc>
        <w:tc>
          <w:tcPr>
            <w:tcW w:w="160" w:type="dxa"/>
            <w:vAlign w:val="bottom"/>
            <w:tcBorders>
              <w:top w:val="single" w:sz="8" w:color="E0E0E0"/>
              <w:bottom w:val="single" w:sz="8" w:color="E0E0E0"/>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252,152</w:t>
            </w:r>
          </w:p>
        </w:tc>
        <w:tc>
          <w:tcPr>
            <w:tcW w:w="100" w:type="dxa"/>
            <w:vAlign w:val="bottom"/>
            <w:tcBorders>
              <w:top w:val="single" w:sz="8" w:color="E0E0E0"/>
              <w:bottom w:val="single" w:sz="8" w:color="E0E0E0"/>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tcBorders>
              <w:right w:val="single" w:sz="8" w:color="E0E0E0"/>
            </w:tcBorders>
            <w:shd w:val="clear" w:color="auto" w:fill="E0E0E0"/>
          </w:tcPr>
          <w:p>
            <w:pPr>
              <w:spacing w:after="0" w:line="216" w:lineRule="exact"/>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80" w:type="dxa"/>
            <w:vAlign w:val="bottom"/>
            <w:shd w:val="clear" w:color="auto" w:fill="E0E0E0"/>
          </w:tcPr>
          <w:p>
            <w:pPr>
              <w:spacing w:after="0"/>
              <w:rPr>
                <w:sz w:val="18"/>
                <w:szCs w:val="18"/>
                <w:color w:val="auto"/>
              </w:rPr>
            </w:pPr>
          </w:p>
        </w:tc>
        <w:tc>
          <w:tcPr>
            <w:tcW w:w="110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60" w:type="dxa"/>
            <w:vAlign w:val="bottom"/>
            <w:tcBorders>
              <w:right w:val="single" w:sz="8" w:color="E0E0E0"/>
            </w:tcBorders>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0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Borders>
              <w:right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Accounts payable</w:t>
            </w: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6,579</w:t>
            </w:r>
          </w:p>
        </w:tc>
        <w:tc>
          <w:tcPr>
            <w:tcW w:w="100" w:type="dxa"/>
            <w:vAlign w:val="bottom"/>
            <w:shd w:val="clear" w:color="auto" w:fill="E0E0E0"/>
          </w:tcPr>
          <w:p>
            <w:pPr>
              <w:spacing w:after="0"/>
              <w:rPr>
                <w:sz w:val="20"/>
                <w:szCs w:val="20"/>
                <w:color w:val="auto"/>
              </w:rPr>
            </w:pPr>
          </w:p>
        </w:tc>
        <w:tc>
          <w:tcPr>
            <w:tcW w:w="2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3,237</w:t>
            </w:r>
          </w:p>
        </w:tc>
        <w:tc>
          <w:tcPr>
            <w:tcW w:w="0" w:type="dxa"/>
            <w:vAlign w:val="bottom"/>
          </w:tcPr>
          <w:p>
            <w:pPr>
              <w:spacing w:after="0"/>
              <w:rPr>
                <w:sz w:val="1"/>
                <w:szCs w:val="1"/>
                <w:color w:val="auto"/>
              </w:rPr>
            </w:pPr>
          </w:p>
        </w:tc>
      </w:tr>
      <w:tr>
        <w:trPr>
          <w:trHeight w:val="229"/>
        </w:trPr>
        <w:tc>
          <w:tcPr>
            <w:tcW w:w="6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expenses</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9,940</w:t>
            </w:r>
          </w:p>
        </w:tc>
        <w:tc>
          <w:tcPr>
            <w:tcW w:w="0" w:type="dxa"/>
            <w:vAlign w:val="bottom"/>
          </w:tcPr>
          <w:p>
            <w:pPr>
              <w:spacing w:after="0"/>
              <w:rPr>
                <w:sz w:val="1"/>
                <w:szCs w:val="1"/>
                <w:color w:val="auto"/>
              </w:rPr>
            </w:pPr>
          </w:p>
        </w:tc>
      </w:tr>
      <w:tr>
        <w:trPr>
          <w:trHeight w:val="230"/>
        </w:trPr>
        <w:tc>
          <w:tcPr>
            <w:tcW w:w="6640" w:type="dxa"/>
            <w:vAlign w:val="bottom"/>
            <w:tcBorders>
              <w:right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Operating lease liabilities, current</w:t>
            </w:r>
          </w:p>
        </w:tc>
        <w:tc>
          <w:tcPr>
            <w:tcW w:w="80" w:type="dxa"/>
            <w:vAlign w:val="bottom"/>
            <w:shd w:val="clear" w:color="auto" w:fill="E0E0E0"/>
          </w:tcPr>
          <w:p>
            <w:pPr>
              <w:spacing w:after="0"/>
              <w:rPr>
                <w:sz w:val="20"/>
                <w:szCs w:val="20"/>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352</w:t>
            </w:r>
          </w:p>
        </w:tc>
        <w:tc>
          <w:tcPr>
            <w:tcW w:w="100" w:type="dxa"/>
            <w:vAlign w:val="bottom"/>
            <w:shd w:val="clear" w:color="auto" w:fill="E0E0E0"/>
          </w:tcPr>
          <w:p>
            <w:pPr>
              <w:spacing w:after="0"/>
              <w:rPr>
                <w:sz w:val="20"/>
                <w:szCs w:val="20"/>
                <w:color w:val="auto"/>
              </w:rPr>
            </w:pPr>
          </w:p>
        </w:tc>
        <w:tc>
          <w:tcPr>
            <w:tcW w:w="160" w:type="dxa"/>
            <w:vAlign w:val="bottom"/>
            <w:tcBorders>
              <w:right w:val="single" w:sz="8" w:color="E0E0E0"/>
            </w:tcBorders>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18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852</w:t>
            </w:r>
          </w:p>
        </w:tc>
        <w:tc>
          <w:tcPr>
            <w:tcW w:w="0" w:type="dxa"/>
            <w:vAlign w:val="bottom"/>
          </w:tcPr>
          <w:p>
            <w:pPr>
              <w:spacing w:after="0"/>
              <w:rPr>
                <w:sz w:val="1"/>
                <w:szCs w:val="1"/>
                <w:color w:val="auto"/>
              </w:rPr>
            </w:pPr>
          </w:p>
        </w:tc>
      </w:tr>
      <w:tr>
        <w:trPr>
          <w:trHeight w:val="220"/>
        </w:trPr>
        <w:tc>
          <w:tcPr>
            <w:tcW w:w="664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current liabilities</w:t>
            </w:r>
          </w:p>
        </w:tc>
        <w:tc>
          <w:tcPr>
            <w:tcW w:w="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14,370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14,029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Borders>
              <w:right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Operating lease liabilities, noncurrent</w:t>
            </w:r>
          </w:p>
        </w:tc>
        <w:tc>
          <w:tcPr>
            <w:tcW w:w="80" w:type="dxa"/>
            <w:vAlign w:val="bottom"/>
            <w:shd w:val="clear" w:color="auto" w:fill="E0E0E0"/>
          </w:tcPr>
          <w:p>
            <w:pPr>
              <w:spacing w:after="0"/>
              <w:rPr>
                <w:sz w:val="20"/>
                <w:szCs w:val="20"/>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838</w:t>
            </w:r>
          </w:p>
        </w:tc>
        <w:tc>
          <w:tcPr>
            <w:tcW w:w="100" w:type="dxa"/>
            <w:vAlign w:val="bottom"/>
            <w:shd w:val="clear" w:color="auto" w:fill="E0E0E0"/>
          </w:tcPr>
          <w:p>
            <w:pPr>
              <w:spacing w:after="0"/>
              <w:rPr>
                <w:sz w:val="20"/>
                <w:szCs w:val="20"/>
                <w:color w:val="auto"/>
              </w:rPr>
            </w:pPr>
          </w:p>
        </w:tc>
        <w:tc>
          <w:tcPr>
            <w:tcW w:w="160" w:type="dxa"/>
            <w:vAlign w:val="bottom"/>
            <w:tcBorders>
              <w:right w:val="single" w:sz="8" w:color="E0E0E0"/>
            </w:tcBorders>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18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12,434</w:t>
            </w:r>
          </w:p>
        </w:tc>
        <w:tc>
          <w:tcPr>
            <w:tcW w:w="0" w:type="dxa"/>
            <w:vAlign w:val="bottom"/>
          </w:tcPr>
          <w:p>
            <w:pPr>
              <w:spacing w:after="0"/>
              <w:rPr>
                <w:sz w:val="1"/>
                <w:szCs w:val="1"/>
                <w:color w:val="auto"/>
              </w:rPr>
            </w:pPr>
          </w:p>
        </w:tc>
      </w:tr>
      <w:tr>
        <w:trPr>
          <w:trHeight w:val="220"/>
        </w:trPr>
        <w:tc>
          <w:tcPr>
            <w:tcW w:w="6640" w:type="dxa"/>
            <w:vAlign w:val="bottom"/>
            <w:tcBorders>
              <w:bottom w:val="single" w:sz="8" w:color="E0E0E0"/>
            </w:tcBorders>
          </w:tcPr>
          <w:p>
            <w:pPr>
              <w:spacing w:after="0" w:line="220" w:lineRule="exact"/>
              <w:rPr>
                <w:sz w:val="20"/>
                <w:szCs w:val="20"/>
                <w:color w:val="auto"/>
              </w:rPr>
            </w:pPr>
            <w:r>
              <w:rPr>
                <w:rFonts w:ascii="Times New Roman" w:cs="Times New Roman" w:eastAsia="Times New Roman" w:hAnsi="Times New Roman"/>
                <w:sz w:val="20"/>
                <w:szCs w:val="20"/>
                <w:color w:val="auto"/>
              </w:rPr>
              <w:t>Total liabilities</w:t>
            </w:r>
          </w:p>
        </w:tc>
        <w:tc>
          <w:tcPr>
            <w:tcW w:w="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15,208</w:t>
            </w:r>
          </w:p>
        </w:tc>
        <w:tc>
          <w:tcPr>
            <w:tcW w:w="100" w:type="dxa"/>
            <w:vAlign w:val="bottom"/>
            <w:tcBorders>
              <w:bottom w:val="single" w:sz="8" w:color="E0E0E0"/>
            </w:tcBorders>
          </w:tcPr>
          <w:p>
            <w:pPr>
              <w:spacing w:after="0"/>
              <w:rPr>
                <w:sz w:val="19"/>
                <w:szCs w:val="19"/>
                <w:color w:val="auto"/>
              </w:rPr>
            </w:pPr>
          </w:p>
        </w:tc>
        <w:tc>
          <w:tcPr>
            <w:tcW w:w="160" w:type="dxa"/>
            <w:vAlign w:val="bottom"/>
            <w:tcBorders>
              <w:bottom w:val="single" w:sz="8" w:color="E0E0E0"/>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26,463</w:t>
            </w:r>
          </w:p>
        </w:tc>
        <w:tc>
          <w:tcPr>
            <w:tcW w:w="100" w:type="dxa"/>
            <w:vAlign w:val="bottom"/>
            <w:tcBorders>
              <w:bottom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tcBorders>
              <w:right w:val="single" w:sz="8" w:color="E0E0E0"/>
            </w:tcBorders>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Commitments and contingencies (see Note 6)</w:t>
            </w:r>
          </w:p>
        </w:tc>
        <w:tc>
          <w:tcPr>
            <w:tcW w:w="80" w:type="dxa"/>
            <w:vAlign w:val="bottom"/>
            <w:shd w:val="clear" w:color="auto" w:fill="E0E0E0"/>
          </w:tcPr>
          <w:p>
            <w:pPr>
              <w:spacing w:after="0"/>
              <w:rPr>
                <w:sz w:val="19"/>
                <w:szCs w:val="19"/>
                <w:color w:val="auto"/>
              </w:rPr>
            </w:pPr>
          </w:p>
        </w:tc>
        <w:tc>
          <w:tcPr>
            <w:tcW w:w="1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60" w:type="dxa"/>
            <w:vAlign w:val="bottom"/>
            <w:tcBorders>
              <w:right w:val="single" w:sz="8" w:color="E0E0E0"/>
            </w:tcBorders>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640" w:type="dxa"/>
            <w:vAlign w:val="bottom"/>
            <w:tcBorders>
              <w:right w:val="single" w:sz="8" w:color="E0E0E0"/>
            </w:tcBorders>
            <w:shd w:val="clear" w:color="auto" w:fill="E0E0E0"/>
          </w:tcPr>
          <w:p>
            <w:pPr>
              <w:ind w:left="200"/>
              <w:spacing w:after="0" w:line="211" w:lineRule="exact"/>
              <w:rPr>
                <w:sz w:val="20"/>
                <w:szCs w:val="20"/>
                <w:color w:val="auto"/>
              </w:rPr>
            </w:pPr>
            <w:r>
              <w:rPr>
                <w:rFonts w:ascii="Times New Roman" w:cs="Times New Roman" w:eastAsia="Times New Roman" w:hAnsi="Times New Roman"/>
                <w:sz w:val="20"/>
                <w:szCs w:val="20"/>
                <w:color w:val="auto"/>
              </w:rPr>
              <w:t>Preferred stock, $0.00001 par value, 5,000,000 shares authorized as of</w:t>
            </w:r>
          </w:p>
        </w:tc>
        <w:tc>
          <w:tcPr>
            <w:tcW w:w="80" w:type="dxa"/>
            <w:vAlign w:val="bottom"/>
            <w:shd w:val="clear" w:color="auto" w:fill="E0E0E0"/>
          </w:tcPr>
          <w:p>
            <w:pPr>
              <w:spacing w:after="0"/>
              <w:rPr>
                <w:sz w:val="18"/>
                <w:szCs w:val="18"/>
                <w:color w:val="auto"/>
              </w:rPr>
            </w:pPr>
          </w:p>
        </w:tc>
        <w:tc>
          <w:tcPr>
            <w:tcW w:w="110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60" w:type="dxa"/>
            <w:vAlign w:val="bottom"/>
            <w:tcBorders>
              <w:right w:val="single" w:sz="8" w:color="E0E0E0"/>
            </w:tcBorders>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0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40" w:type="dxa"/>
            <w:vAlign w:val="bottom"/>
            <w:tcBorders>
              <w:right w:val="single" w:sz="8" w:color="E0E0E0"/>
            </w:tcBorders>
            <w:shd w:val="clear" w:color="auto" w:fill="E0E0E0"/>
          </w:tcPr>
          <w:p>
            <w:pPr>
              <w:ind w:left="360"/>
              <w:spacing w:after="0"/>
              <w:rPr>
                <w:sz w:val="20"/>
                <w:szCs w:val="20"/>
                <w:color w:val="auto"/>
              </w:rPr>
            </w:pPr>
            <w:r>
              <w:rPr>
                <w:rFonts w:ascii="Times New Roman" w:cs="Times New Roman" w:eastAsia="Times New Roman" w:hAnsi="Times New Roman"/>
                <w:sz w:val="20"/>
                <w:szCs w:val="20"/>
                <w:color w:val="auto"/>
              </w:rPr>
              <w:t>December 31, 2024 and December 31, 2023. No shares issued or</w:t>
            </w:r>
          </w:p>
        </w:tc>
        <w:tc>
          <w:tcPr>
            <w:tcW w:w="80" w:type="dxa"/>
            <w:vAlign w:val="bottom"/>
            <w:shd w:val="clear" w:color="auto" w:fill="E0E0E0"/>
          </w:tcPr>
          <w:p>
            <w:pPr>
              <w:spacing w:after="0"/>
              <w:rPr>
                <w:sz w:val="21"/>
                <w:szCs w:val="21"/>
                <w:color w:val="auto"/>
              </w:rPr>
            </w:pPr>
          </w:p>
        </w:tc>
        <w:tc>
          <w:tcPr>
            <w:tcW w:w="110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60" w:type="dxa"/>
            <w:vAlign w:val="bottom"/>
            <w:tcBorders>
              <w:right w:val="single" w:sz="8" w:color="E0E0E0"/>
            </w:tcBorders>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8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640" w:type="dxa"/>
            <w:vAlign w:val="bottom"/>
            <w:tcBorders>
              <w:right w:val="single" w:sz="8" w:color="E0E0E0"/>
            </w:tcBorders>
            <w:shd w:val="clear" w:color="auto" w:fill="E0E0E0"/>
          </w:tcPr>
          <w:p>
            <w:pPr>
              <w:ind w:left="360"/>
              <w:spacing w:after="0"/>
              <w:rPr>
                <w:sz w:val="20"/>
                <w:szCs w:val="20"/>
                <w:color w:val="auto"/>
              </w:rPr>
            </w:pPr>
            <w:r>
              <w:rPr>
                <w:rFonts w:ascii="Times New Roman" w:cs="Times New Roman" w:eastAsia="Times New Roman" w:hAnsi="Times New Roman"/>
                <w:sz w:val="20"/>
                <w:szCs w:val="20"/>
                <w:color w:val="auto"/>
              </w:rPr>
              <w:t>outstanding as of December 31, 2024 and December 31, 2023.</w:t>
            </w:r>
          </w:p>
        </w:tc>
        <w:tc>
          <w:tcPr>
            <w:tcW w:w="80" w:type="dxa"/>
            <w:vAlign w:val="bottom"/>
            <w:shd w:val="clear" w:color="auto" w:fill="E0E0E0"/>
          </w:tcPr>
          <w:p>
            <w:pPr>
              <w:spacing w:after="0"/>
              <w:rPr>
                <w:sz w:val="19"/>
                <w:szCs w:val="19"/>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0E0E0"/>
          </w:tcPr>
          <w:p>
            <w:pPr>
              <w:spacing w:after="0"/>
              <w:rPr>
                <w:sz w:val="19"/>
                <w:szCs w:val="19"/>
                <w:color w:val="auto"/>
              </w:rPr>
            </w:pPr>
          </w:p>
        </w:tc>
        <w:tc>
          <w:tcPr>
            <w:tcW w:w="160" w:type="dxa"/>
            <w:vAlign w:val="bottom"/>
            <w:tcBorders>
              <w:right w:val="single" w:sz="8" w:color="E0E0E0"/>
            </w:tcBorders>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640" w:type="dxa"/>
            <w:vAlign w:val="bottom"/>
          </w:tcPr>
          <w:p>
            <w:pPr>
              <w:ind w:left="200"/>
              <w:spacing w:after="0" w:line="211" w:lineRule="exact"/>
              <w:rPr>
                <w:sz w:val="20"/>
                <w:szCs w:val="20"/>
                <w:color w:val="auto"/>
              </w:rPr>
            </w:pPr>
            <w:r>
              <w:rPr>
                <w:rFonts w:ascii="Times New Roman" w:cs="Times New Roman" w:eastAsia="Times New Roman" w:hAnsi="Times New Roman"/>
                <w:sz w:val="20"/>
                <w:szCs w:val="20"/>
                <w:color w:val="auto"/>
              </w:rPr>
              <w:t>Common stock, $0.00001 par value, 1,000,000,000 shares authorized as of</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December 31, 2024 and December 31, 2023;</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51,935,134 and 51,445,862 shares issued and outstanding at</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December 31, 2024 and December 31, 2023, respectively.</w:t>
            </w:r>
          </w:p>
        </w:tc>
        <w:tc>
          <w:tcPr>
            <w:tcW w:w="8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640" w:type="dxa"/>
            <w:vAlign w:val="bottom"/>
            <w:tcBorders>
              <w:right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80" w:type="dxa"/>
            <w:vAlign w:val="bottom"/>
            <w:shd w:val="clear" w:color="auto" w:fill="E0E0E0"/>
          </w:tcPr>
          <w:p>
            <w:pPr>
              <w:spacing w:after="0"/>
              <w:rPr>
                <w:sz w:val="20"/>
                <w:szCs w:val="20"/>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544,653</w:t>
            </w:r>
          </w:p>
        </w:tc>
        <w:tc>
          <w:tcPr>
            <w:tcW w:w="100" w:type="dxa"/>
            <w:vAlign w:val="bottom"/>
            <w:shd w:val="clear" w:color="auto" w:fill="E0E0E0"/>
          </w:tcPr>
          <w:p>
            <w:pPr>
              <w:spacing w:after="0"/>
              <w:rPr>
                <w:sz w:val="20"/>
                <w:szCs w:val="20"/>
                <w:color w:val="auto"/>
              </w:rPr>
            </w:pPr>
          </w:p>
        </w:tc>
        <w:tc>
          <w:tcPr>
            <w:tcW w:w="160" w:type="dxa"/>
            <w:vAlign w:val="bottom"/>
            <w:tcBorders>
              <w:right w:val="single" w:sz="8" w:color="E0E0E0"/>
            </w:tcBorders>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18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535,468</w:t>
            </w:r>
          </w:p>
        </w:tc>
        <w:tc>
          <w:tcPr>
            <w:tcW w:w="0" w:type="dxa"/>
            <w:vAlign w:val="bottom"/>
          </w:tcPr>
          <w:p>
            <w:pPr>
              <w:spacing w:after="0"/>
              <w:rPr>
                <w:sz w:val="1"/>
                <w:szCs w:val="1"/>
                <w:color w:val="auto"/>
              </w:rPr>
            </w:pPr>
          </w:p>
        </w:tc>
      </w:tr>
      <w:tr>
        <w:trPr>
          <w:trHeight w:val="229"/>
        </w:trPr>
        <w:tc>
          <w:tcPr>
            <w:tcW w:w="6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Accumulated deficit</w:t>
            </w:r>
          </w:p>
        </w:tc>
        <w:tc>
          <w:tcPr>
            <w:tcW w:w="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(368,712 )</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(310,003)</w:t>
            </w:r>
          </w:p>
        </w:tc>
        <w:tc>
          <w:tcPr>
            <w:tcW w:w="0" w:type="dxa"/>
            <w:vAlign w:val="bottom"/>
          </w:tcPr>
          <w:p>
            <w:pPr>
              <w:spacing w:after="0"/>
              <w:rPr>
                <w:sz w:val="1"/>
                <w:szCs w:val="1"/>
                <w:color w:val="auto"/>
              </w:rPr>
            </w:pPr>
          </w:p>
        </w:tc>
      </w:tr>
      <w:tr>
        <w:trPr>
          <w:trHeight w:val="230"/>
        </w:trPr>
        <w:tc>
          <w:tcPr>
            <w:tcW w:w="6640" w:type="dxa"/>
            <w:vAlign w:val="bottom"/>
            <w:tcBorders>
              <w:right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Accumulated other comprehensive income</w:t>
            </w:r>
          </w:p>
        </w:tc>
        <w:tc>
          <w:tcPr>
            <w:tcW w:w="80" w:type="dxa"/>
            <w:vAlign w:val="bottom"/>
            <w:shd w:val="clear" w:color="auto" w:fill="E0E0E0"/>
          </w:tcPr>
          <w:p>
            <w:pPr>
              <w:spacing w:after="0"/>
              <w:rPr>
                <w:sz w:val="20"/>
                <w:szCs w:val="20"/>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100" w:type="dxa"/>
            <w:vAlign w:val="bottom"/>
            <w:shd w:val="clear" w:color="auto" w:fill="E0E0E0"/>
          </w:tcPr>
          <w:p>
            <w:pPr>
              <w:spacing w:after="0"/>
              <w:rPr>
                <w:sz w:val="20"/>
                <w:szCs w:val="20"/>
                <w:color w:val="auto"/>
              </w:rPr>
            </w:pPr>
          </w:p>
        </w:tc>
        <w:tc>
          <w:tcPr>
            <w:tcW w:w="160" w:type="dxa"/>
            <w:vAlign w:val="bottom"/>
            <w:tcBorders>
              <w:right w:val="single" w:sz="8" w:color="E0E0E0"/>
            </w:tcBorders>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18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224</w:t>
            </w:r>
          </w:p>
        </w:tc>
        <w:tc>
          <w:tcPr>
            <w:tcW w:w="0" w:type="dxa"/>
            <w:vAlign w:val="bottom"/>
          </w:tcPr>
          <w:p>
            <w:pPr>
              <w:spacing w:after="0"/>
              <w:rPr>
                <w:sz w:val="1"/>
                <w:szCs w:val="1"/>
                <w:color w:val="auto"/>
              </w:rPr>
            </w:pPr>
          </w:p>
        </w:tc>
      </w:tr>
      <w:tr>
        <w:trPr>
          <w:trHeight w:val="220"/>
        </w:trPr>
        <w:tc>
          <w:tcPr>
            <w:tcW w:w="6640" w:type="dxa"/>
            <w:vAlign w:val="bottom"/>
            <w:tcBorders>
              <w:bottom w:val="single" w:sz="8" w:color="E0E0E0"/>
            </w:tcBorders>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stockholders’ equity</w:t>
            </w:r>
          </w:p>
        </w:tc>
        <w:tc>
          <w:tcPr>
            <w:tcW w:w="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176,080</w:t>
            </w:r>
          </w:p>
        </w:tc>
        <w:tc>
          <w:tcPr>
            <w:tcW w:w="100" w:type="dxa"/>
            <w:vAlign w:val="bottom"/>
            <w:tcBorders>
              <w:bottom w:val="single" w:sz="8" w:color="E0E0E0"/>
            </w:tcBorders>
          </w:tcPr>
          <w:p>
            <w:pPr>
              <w:spacing w:after="0"/>
              <w:rPr>
                <w:sz w:val="19"/>
                <w:szCs w:val="19"/>
                <w:color w:val="auto"/>
              </w:rPr>
            </w:pPr>
          </w:p>
        </w:tc>
        <w:tc>
          <w:tcPr>
            <w:tcW w:w="160" w:type="dxa"/>
            <w:vAlign w:val="bottom"/>
            <w:tcBorders>
              <w:bottom w:val="single" w:sz="8" w:color="E0E0E0"/>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225,689</w:t>
            </w:r>
          </w:p>
        </w:tc>
        <w:tc>
          <w:tcPr>
            <w:tcW w:w="100" w:type="dxa"/>
            <w:vAlign w:val="bottom"/>
            <w:tcBorders>
              <w:bottom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640" w:type="dxa"/>
            <w:vAlign w:val="bottom"/>
            <w:tcBorders>
              <w:right w:val="single" w:sz="8" w:color="E0E0E0"/>
            </w:tcBorders>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Total liabilities and stockholders’ equity</w:t>
            </w: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E0E0E0"/>
          </w:tcPr>
          <w:p>
            <w:pPr>
              <w:jc w:val="right"/>
              <w:spacing w:after="0" w:line="221" w:lineRule="exact"/>
              <w:rPr>
                <w:sz w:val="20"/>
                <w:szCs w:val="20"/>
                <w:color w:val="auto"/>
              </w:rPr>
            </w:pPr>
            <w:r>
              <w:rPr>
                <w:rFonts w:ascii="Times New Roman" w:cs="Times New Roman" w:eastAsia="Times New Roman" w:hAnsi="Times New Roman"/>
                <w:sz w:val="20"/>
                <w:szCs w:val="20"/>
                <w:color w:val="auto"/>
              </w:rPr>
              <w:t>191,288</w:t>
            </w:r>
          </w:p>
        </w:tc>
        <w:tc>
          <w:tcPr>
            <w:tcW w:w="100" w:type="dxa"/>
            <w:vAlign w:val="bottom"/>
            <w:shd w:val="clear" w:color="auto" w:fill="E0E0E0"/>
          </w:tcPr>
          <w:p>
            <w:pPr>
              <w:spacing w:after="0"/>
              <w:rPr>
                <w:sz w:val="19"/>
                <w:szCs w:val="19"/>
                <w:color w:val="auto"/>
              </w:rPr>
            </w:pPr>
          </w:p>
        </w:tc>
        <w:tc>
          <w:tcPr>
            <w:tcW w:w="260" w:type="dxa"/>
            <w:vAlign w:val="bottom"/>
            <w:gridSpan w:val="2"/>
            <w:shd w:val="clear" w:color="auto" w:fill="E0E0E0"/>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shd w:val="clear" w:color="auto" w:fill="E0E0E0"/>
          </w:tcPr>
          <w:p>
            <w:pPr>
              <w:jc w:val="right"/>
              <w:ind w:right="100"/>
              <w:spacing w:after="0" w:line="221" w:lineRule="exact"/>
              <w:rPr>
                <w:sz w:val="20"/>
                <w:szCs w:val="20"/>
                <w:color w:val="auto"/>
              </w:rPr>
            </w:pPr>
            <w:r>
              <w:rPr>
                <w:rFonts w:ascii="Times New Roman" w:cs="Times New Roman" w:eastAsia="Times New Roman" w:hAnsi="Times New Roman"/>
                <w:sz w:val="20"/>
                <w:szCs w:val="20"/>
                <w:color w:val="auto"/>
              </w:rPr>
              <w:t>252,152</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-3450590</wp:posOffset>
                </wp:positionV>
                <wp:extent cx="420814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08145"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71.6999pt" to="331.35pt,-271.69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4966335</wp:posOffset>
                </wp:positionH>
                <wp:positionV relativeFrom="paragraph">
                  <wp:posOffset>-3450590</wp:posOffset>
                </wp:positionV>
                <wp:extent cx="16002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002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1.05pt,-271.6999pt" to="403.65pt,-271.69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5884545</wp:posOffset>
                </wp:positionH>
                <wp:positionV relativeFrom="paragraph">
                  <wp:posOffset>-3450590</wp:posOffset>
                </wp:positionV>
                <wp:extent cx="5905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055"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35pt,-271.6999pt" to="468pt,-271.6999pt" o:allowincell="f" strokecolor="#FFFFFF" strokeweight="0.48pt"/>
            </w:pict>
          </mc:Fallback>
        </mc:AlternateConten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2240" w:h="15840" w:orient="portrait"/>
          <w:cols w:equalWidth="0" w:num="1">
            <w:col w:w="9360"/>
          </w:cols>
          <w:pgMar w:left="1440" w:top="1416" w:right="1440" w:bottom="1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r>
        <w:rPr>
          <w:rFonts w:ascii="PMingLiU" w:cs="PMingLiU" w:eastAsia="PMingLiU" w:hAnsi="PMingLiU"/>
          <w:sz w:val="20"/>
          <w:szCs w:val="20"/>
          <w:color w:val="auto"/>
        </w:rPr>
        <w:t/>
      </w:r>
    </w:p>
    <w:p>
      <w:pPr>
        <w:sectPr>
          <w:pgSz w:w="12240" w:h="15840" w:orient="portrait"/>
          <w:cols w:equalWidth="0" w:num="1">
            <w:col w:w="9360"/>
          </w:cols>
          <w:pgMar w:left="1440" w:top="1416" w:right="1440" w:bottom="162" w:gutter="0" w:footer="0" w:header="0"/>
          <w:type w:val="continuous"/>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0"/>
          <w:szCs w:val="20"/>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68"/>
        </w:trPr>
        <w:tc>
          <w:tcPr>
            <w:tcW w:w="5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jc w:val="right"/>
              <w:ind w:right="40"/>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4"/>
                <w:szCs w:val="14"/>
                <w:color w:val="auto"/>
              </w:rPr>
            </w:pPr>
          </w:p>
        </w:tc>
        <w:tc>
          <w:tcPr>
            <w:tcW w:w="1120" w:type="dxa"/>
            <w:vAlign w:val="bottom"/>
            <w:gridSpan w:val="3"/>
          </w:tcPr>
          <w:p>
            <w:pPr>
              <w:jc w:val="center"/>
              <w:ind w:right="20"/>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4"/>
                <w:szCs w:val="14"/>
                <w:color w:val="auto"/>
              </w:rPr>
            </w:pPr>
          </w:p>
        </w:tc>
      </w:tr>
      <w:tr>
        <w:trPr>
          <w:trHeight w:val="204"/>
        </w:trPr>
        <w:tc>
          <w:tcPr>
            <w:tcW w:w="572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E0E0E0"/>
            </w:tcBorders>
          </w:tcPr>
          <w:p>
            <w:pPr>
              <w:spacing w:after="0"/>
              <w:rPr>
                <w:sz w:val="17"/>
                <w:szCs w:val="17"/>
                <w:color w:val="auto"/>
              </w:rPr>
            </w:pPr>
          </w:p>
        </w:tc>
        <w:tc>
          <w:tcPr>
            <w:tcW w:w="140" w:type="dxa"/>
            <w:vAlign w:val="bottom"/>
            <w:tcBorders>
              <w:bottom w:val="single" w:sz="8" w:color="E0E0E0"/>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Borders>
              <w:bottom w:val="single" w:sz="8" w:color="E0E0E0"/>
            </w:tcBorders>
          </w:tcPr>
          <w:p>
            <w:pPr>
              <w:spacing w:after="0"/>
              <w:rPr>
                <w:sz w:val="17"/>
                <w:szCs w:val="17"/>
                <w:color w:val="auto"/>
              </w:rPr>
            </w:pPr>
          </w:p>
        </w:tc>
        <w:tc>
          <w:tcPr>
            <w:tcW w:w="140" w:type="dxa"/>
            <w:vAlign w:val="bottom"/>
            <w:tcBorders>
              <w:bottom w:val="single" w:sz="8" w:color="E0E0E0"/>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E0E0E0"/>
            </w:tcBorders>
          </w:tcPr>
          <w:p>
            <w:pPr>
              <w:spacing w:after="0"/>
              <w:rPr>
                <w:sz w:val="17"/>
                <w:szCs w:val="17"/>
                <w:color w:val="auto"/>
              </w:rPr>
            </w:pPr>
          </w:p>
        </w:tc>
      </w:tr>
      <w:tr>
        <w:trPr>
          <w:trHeight w:val="233"/>
        </w:trPr>
        <w:tc>
          <w:tcPr>
            <w:tcW w:w="57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9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94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9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r>
      <w:tr>
        <w:trPr>
          <w:trHeight w:val="244"/>
        </w:trPr>
        <w:tc>
          <w:tcPr>
            <w:tcW w:w="5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58,527</w:t>
            </w:r>
          </w:p>
        </w:tc>
        <w:tc>
          <w:tcPr>
            <w:tcW w:w="8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55,885</w:t>
            </w:r>
          </w:p>
        </w:tc>
        <w:tc>
          <w:tcPr>
            <w:tcW w:w="8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51,988</w:t>
            </w:r>
          </w:p>
        </w:tc>
        <w:tc>
          <w:tcPr>
            <w:tcW w:w="80" w:type="dxa"/>
            <w:vAlign w:val="bottom"/>
          </w:tcPr>
          <w:p>
            <w:pPr>
              <w:spacing w:after="0"/>
              <w:rPr>
                <w:sz w:val="21"/>
                <w:szCs w:val="21"/>
                <w:color w:val="auto"/>
              </w:rPr>
            </w:pPr>
          </w:p>
        </w:tc>
      </w:tr>
      <w:tr>
        <w:trPr>
          <w:trHeight w:val="245"/>
        </w:trPr>
        <w:tc>
          <w:tcPr>
            <w:tcW w:w="57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0" w:type="dxa"/>
            <w:vAlign w:val="bottom"/>
            <w:shd w:val="clear" w:color="auto" w:fill="E0E0E0"/>
          </w:tcPr>
          <w:p>
            <w:pPr>
              <w:spacing w:after="0"/>
              <w:rPr>
                <w:sz w:val="21"/>
                <w:szCs w:val="21"/>
                <w:color w:val="auto"/>
              </w:rPr>
            </w:pPr>
          </w:p>
        </w:tc>
        <w:tc>
          <w:tcPr>
            <w:tcW w:w="100" w:type="dxa"/>
            <w:vAlign w:val="bottom"/>
            <w:tcBorders>
              <w:bottom w:val="single" w:sz="8" w:color="auto"/>
            </w:tcBorders>
            <w:shd w:val="clear" w:color="auto" w:fill="E0E0E0"/>
          </w:tcPr>
          <w:p>
            <w:pPr>
              <w:spacing w:after="0"/>
              <w:rPr>
                <w:sz w:val="21"/>
                <w:szCs w:val="21"/>
                <w:color w:val="auto"/>
              </w:rPr>
            </w:pPr>
          </w:p>
        </w:tc>
        <w:tc>
          <w:tcPr>
            <w:tcW w:w="9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26,921</w:t>
            </w:r>
          </w:p>
        </w:tc>
        <w:tc>
          <w:tcPr>
            <w:tcW w:w="8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 w:type="dxa"/>
            <w:vAlign w:val="bottom"/>
            <w:tcBorders>
              <w:bottom w:val="single" w:sz="8" w:color="auto"/>
            </w:tcBorders>
            <w:shd w:val="clear" w:color="auto" w:fill="E0E0E0"/>
          </w:tcPr>
          <w:p>
            <w:pPr>
              <w:spacing w:after="0"/>
              <w:rPr>
                <w:sz w:val="21"/>
                <w:szCs w:val="21"/>
                <w:color w:val="auto"/>
              </w:rPr>
            </w:pPr>
          </w:p>
        </w:tc>
        <w:tc>
          <w:tcPr>
            <w:tcW w:w="9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24,247</w:t>
            </w:r>
          </w:p>
        </w:tc>
        <w:tc>
          <w:tcPr>
            <w:tcW w:w="8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20" w:type="dxa"/>
            <w:vAlign w:val="bottom"/>
            <w:tcBorders>
              <w:bottom w:val="single" w:sz="8" w:color="auto"/>
            </w:tcBorders>
            <w:shd w:val="clear" w:color="auto" w:fill="E0E0E0"/>
          </w:tcPr>
          <w:p>
            <w:pPr>
              <w:spacing w:after="0"/>
              <w:rPr>
                <w:sz w:val="21"/>
                <w:szCs w:val="21"/>
                <w:color w:val="auto"/>
              </w:rPr>
            </w:pPr>
          </w:p>
        </w:tc>
        <w:tc>
          <w:tcPr>
            <w:tcW w:w="9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25,052</w:t>
            </w:r>
          </w:p>
        </w:tc>
        <w:tc>
          <w:tcPr>
            <w:tcW w:w="80" w:type="dxa"/>
            <w:vAlign w:val="bottom"/>
            <w:shd w:val="clear" w:color="auto" w:fill="E0E0E0"/>
          </w:tcPr>
          <w:p>
            <w:pPr>
              <w:spacing w:after="0"/>
              <w:rPr>
                <w:sz w:val="21"/>
                <w:szCs w:val="21"/>
                <w:color w:val="auto"/>
              </w:rPr>
            </w:pPr>
          </w:p>
        </w:tc>
      </w:tr>
      <w:tr>
        <w:trPr>
          <w:trHeight w:val="233"/>
        </w:trPr>
        <w:tc>
          <w:tcPr>
            <w:tcW w:w="5720" w:type="dxa"/>
            <w:vAlign w:val="bottom"/>
            <w:tcBorders>
              <w:bottom w:val="single" w:sz="8" w:color="E0E0E0"/>
            </w:tcBorders>
          </w:tcPr>
          <w:p>
            <w:pPr>
              <w:ind w:left="400"/>
              <w:spacing w:after="0"/>
              <w:rPr>
                <w:sz w:val="20"/>
                <w:szCs w:val="20"/>
                <w:color w:val="auto"/>
              </w:rPr>
            </w:pPr>
            <w:r>
              <w:rPr>
                <w:rFonts w:ascii="Times New Roman" w:cs="Times New Roman" w:eastAsia="Times New Roman" w:hAnsi="Times New Roman"/>
                <w:sz w:val="20"/>
                <w:szCs w:val="20"/>
                <w:color w:val="auto"/>
              </w:rPr>
              <w:t>Total operating expenses</w:t>
            </w:r>
          </w:p>
        </w:tc>
        <w:tc>
          <w:tcPr>
            <w:tcW w:w="20" w:type="dxa"/>
            <w:vAlign w:val="bottom"/>
            <w:tcBorders>
              <w:bottom w:val="single" w:sz="8" w:color="E0E0E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85,448</w:t>
            </w:r>
          </w:p>
        </w:tc>
        <w:tc>
          <w:tcPr>
            <w:tcW w:w="80" w:type="dxa"/>
            <w:vAlign w:val="bottom"/>
            <w:tcBorders>
              <w:bottom w:val="single" w:sz="8" w:color="E0E0E0"/>
            </w:tcBorders>
          </w:tcPr>
          <w:p>
            <w:pPr>
              <w:spacing w:after="0"/>
              <w:rPr>
                <w:sz w:val="20"/>
                <w:szCs w:val="20"/>
                <w:color w:val="auto"/>
              </w:rPr>
            </w:pPr>
          </w:p>
        </w:tc>
        <w:tc>
          <w:tcPr>
            <w:tcW w:w="140" w:type="dxa"/>
            <w:vAlign w:val="bottom"/>
            <w:tcBorders>
              <w:bottom w:val="single" w:sz="8" w:color="E0E0E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80,132</w:t>
            </w:r>
          </w:p>
        </w:tc>
        <w:tc>
          <w:tcPr>
            <w:tcW w:w="80" w:type="dxa"/>
            <w:vAlign w:val="bottom"/>
            <w:tcBorders>
              <w:bottom w:val="single" w:sz="8" w:color="E0E0E0"/>
            </w:tcBorders>
          </w:tcPr>
          <w:p>
            <w:pPr>
              <w:spacing w:after="0"/>
              <w:rPr>
                <w:sz w:val="20"/>
                <w:szCs w:val="20"/>
                <w:color w:val="auto"/>
              </w:rPr>
            </w:pPr>
          </w:p>
        </w:tc>
        <w:tc>
          <w:tcPr>
            <w:tcW w:w="140" w:type="dxa"/>
            <w:vAlign w:val="bottom"/>
            <w:tcBorders>
              <w:bottom w:val="single" w:sz="8" w:color="E0E0E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77,040</w:t>
            </w:r>
          </w:p>
        </w:tc>
        <w:tc>
          <w:tcPr>
            <w:tcW w:w="80" w:type="dxa"/>
            <w:vAlign w:val="bottom"/>
            <w:tcBorders>
              <w:bottom w:val="single" w:sz="8" w:color="E0E0E0"/>
            </w:tcBorders>
          </w:tcPr>
          <w:p>
            <w:pPr>
              <w:spacing w:after="0"/>
              <w:rPr>
                <w:sz w:val="20"/>
                <w:szCs w:val="20"/>
                <w:color w:val="auto"/>
              </w:rPr>
            </w:pPr>
          </w:p>
        </w:tc>
      </w:tr>
      <w:tr>
        <w:trPr>
          <w:trHeight w:val="234"/>
        </w:trPr>
        <w:tc>
          <w:tcPr>
            <w:tcW w:w="57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Loss from operations</w:t>
            </w: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(85,448</w:t>
            </w: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E0E0E0"/>
              </w:rPr>
              <w:t>)</w:t>
            </w:r>
          </w:p>
        </w:tc>
        <w:tc>
          <w:tcPr>
            <w:tcW w:w="14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(80,132</w:t>
            </w: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14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(77,040</w:t>
            </w: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r>
      <w:tr>
        <w:trPr>
          <w:trHeight w:val="244"/>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Other income:</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57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Interest income, net</w:t>
            </w: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10,655</w:t>
            </w:r>
          </w:p>
        </w:tc>
        <w:tc>
          <w:tcPr>
            <w:tcW w:w="8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11,171</w:t>
            </w:r>
          </w:p>
        </w:tc>
        <w:tc>
          <w:tcPr>
            <w:tcW w:w="8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3,627</w:t>
            </w:r>
          </w:p>
        </w:tc>
        <w:tc>
          <w:tcPr>
            <w:tcW w:w="80" w:type="dxa"/>
            <w:vAlign w:val="bottom"/>
            <w:shd w:val="clear" w:color="auto" w:fill="E0E0E0"/>
          </w:tcPr>
          <w:p>
            <w:pPr>
              <w:spacing w:after="0"/>
              <w:rPr>
                <w:sz w:val="21"/>
                <w:szCs w:val="21"/>
                <w:color w:val="auto"/>
              </w:rPr>
            </w:pPr>
          </w:p>
        </w:tc>
      </w:tr>
      <w:tr>
        <w:trPr>
          <w:trHeight w:val="245"/>
        </w:trPr>
        <w:tc>
          <w:tcPr>
            <w:tcW w:w="572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Other (expense) income, net</w:t>
            </w: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89"/>
              </w:rPr>
              <w:t>)</w:t>
            </w:r>
          </w:p>
        </w:tc>
        <w:tc>
          <w:tcPr>
            <w:tcW w:w="140" w:type="dxa"/>
            <w:vAlign w:val="bottom"/>
            <w:tcBorders>
              <w:bottom w:val="single" w:sz="8" w:color="E0E0E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tcBorders>
              <w:bottom w:val="single" w:sz="8" w:color="E0E0E0"/>
            </w:tcBorders>
          </w:tcPr>
          <w:p>
            <w:pPr>
              <w:spacing w:after="0"/>
              <w:rPr>
                <w:sz w:val="21"/>
                <w:szCs w:val="21"/>
                <w:color w:val="auto"/>
              </w:rPr>
            </w:pPr>
          </w:p>
        </w:tc>
        <w:tc>
          <w:tcPr>
            <w:tcW w:w="140" w:type="dxa"/>
            <w:vAlign w:val="bottom"/>
            <w:tcBorders>
              <w:bottom w:val="single" w:sz="8" w:color="E0E0E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80" w:type="dxa"/>
            <w:vAlign w:val="bottom"/>
            <w:tcBorders>
              <w:bottom w:val="single" w:sz="8" w:color="E0E0E0"/>
            </w:tcBorders>
          </w:tcPr>
          <w:p>
            <w:pPr>
              <w:spacing w:after="0"/>
              <w:rPr>
                <w:sz w:val="21"/>
                <w:szCs w:val="21"/>
                <w:color w:val="auto"/>
              </w:rPr>
            </w:pPr>
          </w:p>
        </w:tc>
      </w:tr>
      <w:tr>
        <w:trPr>
          <w:trHeight w:val="234"/>
        </w:trPr>
        <w:tc>
          <w:tcPr>
            <w:tcW w:w="5720" w:type="dxa"/>
            <w:vAlign w:val="bottom"/>
            <w:shd w:val="clear" w:color="auto" w:fill="E0E0E0"/>
          </w:tcPr>
          <w:p>
            <w:pPr>
              <w:ind w:left="600"/>
              <w:spacing w:after="0"/>
              <w:rPr>
                <w:sz w:val="20"/>
                <w:szCs w:val="20"/>
                <w:color w:val="auto"/>
              </w:rPr>
            </w:pPr>
            <w:r>
              <w:rPr>
                <w:rFonts w:ascii="Times New Roman" w:cs="Times New Roman" w:eastAsia="Times New Roman" w:hAnsi="Times New Roman"/>
                <w:sz w:val="20"/>
                <w:szCs w:val="20"/>
                <w:color w:val="auto"/>
              </w:rPr>
              <w:t>Total other income</w:t>
            </w:r>
          </w:p>
        </w:tc>
        <w:tc>
          <w:tcPr>
            <w:tcW w:w="20" w:type="dxa"/>
            <w:vAlign w:val="bottom"/>
            <w:shd w:val="clear" w:color="auto" w:fill="E0E0E0"/>
          </w:tcPr>
          <w:p>
            <w:pPr>
              <w:spacing w:after="0"/>
              <w:rPr>
                <w:sz w:val="20"/>
                <w:szCs w:val="20"/>
                <w:color w:val="auto"/>
              </w:rPr>
            </w:pPr>
          </w:p>
        </w:tc>
        <w:tc>
          <w:tcPr>
            <w:tcW w:w="100" w:type="dxa"/>
            <w:vAlign w:val="bottom"/>
            <w:tcBorders>
              <w:bottom w:val="single" w:sz="8" w:color="auto"/>
            </w:tcBorders>
            <w:shd w:val="clear" w:color="auto" w:fill="E0E0E0"/>
          </w:tcPr>
          <w:p>
            <w:pPr>
              <w:spacing w:after="0"/>
              <w:rPr>
                <w:sz w:val="20"/>
                <w:szCs w:val="20"/>
                <w:color w:val="auto"/>
              </w:rPr>
            </w:pPr>
          </w:p>
        </w:tc>
        <w:tc>
          <w:tcPr>
            <w:tcW w:w="9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10,639</w:t>
            </w:r>
          </w:p>
        </w:tc>
        <w:tc>
          <w:tcPr>
            <w:tcW w:w="8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00" w:type="dxa"/>
            <w:vAlign w:val="bottom"/>
            <w:tcBorders>
              <w:bottom w:val="single" w:sz="8" w:color="auto"/>
            </w:tcBorders>
            <w:shd w:val="clear" w:color="auto" w:fill="E0E0E0"/>
          </w:tcPr>
          <w:p>
            <w:pPr>
              <w:spacing w:after="0"/>
              <w:rPr>
                <w:sz w:val="20"/>
                <w:szCs w:val="20"/>
                <w:color w:val="auto"/>
              </w:rPr>
            </w:pPr>
          </w:p>
        </w:tc>
        <w:tc>
          <w:tcPr>
            <w:tcW w:w="9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11,174</w:t>
            </w:r>
          </w:p>
        </w:tc>
        <w:tc>
          <w:tcPr>
            <w:tcW w:w="8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20" w:type="dxa"/>
            <w:vAlign w:val="bottom"/>
            <w:tcBorders>
              <w:bottom w:val="single" w:sz="8" w:color="auto"/>
            </w:tcBorders>
            <w:shd w:val="clear" w:color="auto" w:fill="E0E0E0"/>
          </w:tcPr>
          <w:p>
            <w:pPr>
              <w:spacing w:after="0"/>
              <w:rPr>
                <w:sz w:val="20"/>
                <w:szCs w:val="20"/>
                <w:color w:val="auto"/>
              </w:rPr>
            </w:pPr>
          </w:p>
        </w:tc>
        <w:tc>
          <w:tcPr>
            <w:tcW w:w="9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3,714</w:t>
            </w:r>
          </w:p>
        </w:tc>
        <w:tc>
          <w:tcPr>
            <w:tcW w:w="80" w:type="dxa"/>
            <w:vAlign w:val="bottom"/>
            <w:shd w:val="clear" w:color="auto" w:fill="E0E0E0"/>
          </w:tcPr>
          <w:p>
            <w:pPr>
              <w:spacing w:after="0"/>
              <w:rPr>
                <w:sz w:val="20"/>
                <w:szCs w:val="20"/>
                <w:color w:val="auto"/>
              </w:rPr>
            </w:pPr>
          </w:p>
        </w:tc>
      </w:tr>
      <w:tr>
        <w:trPr>
          <w:trHeight w:val="233"/>
        </w:trPr>
        <w:tc>
          <w:tcPr>
            <w:tcW w:w="5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Loss before provision (benefit) for income taxes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(74,809</w:t>
            </w:r>
          </w:p>
        </w:tc>
        <w:tc>
          <w:tcPr>
            <w:tcW w:w="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(68,958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(73,326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65"/>
        </w:trPr>
        <w:tc>
          <w:tcPr>
            <w:tcW w:w="5720" w:type="dxa"/>
            <w:vAlign w:val="bottom"/>
            <w:tcBorders>
              <w:bottom w:val="single" w:sz="8" w:color="E0E0E0"/>
            </w:tcBorders>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Provision (benefit) for income taxes</w:t>
            </w:r>
          </w:p>
        </w:tc>
        <w:tc>
          <w:tcPr>
            <w:tcW w:w="20" w:type="dxa"/>
            <w:vAlign w:val="bottom"/>
            <w:tcBorders>
              <w:bottom w:val="single" w:sz="8" w:color="E0E0E0"/>
            </w:tcBorders>
            <w:shd w:val="clear" w:color="auto" w:fill="E0E0E0"/>
          </w:tcPr>
          <w:p>
            <w:pPr>
              <w:spacing w:after="0"/>
              <w:rPr>
                <w:sz w:val="23"/>
                <w:szCs w:val="23"/>
                <w:color w:val="auto"/>
              </w:rPr>
            </w:pPr>
          </w:p>
        </w:tc>
        <w:tc>
          <w:tcPr>
            <w:tcW w:w="100" w:type="dxa"/>
            <w:vAlign w:val="bottom"/>
            <w:tcBorders>
              <w:bottom w:val="single" w:sz="8" w:color="auto"/>
            </w:tcBorders>
            <w:shd w:val="clear" w:color="auto" w:fill="E0E0E0"/>
          </w:tcPr>
          <w:p>
            <w:pPr>
              <w:spacing w:after="0"/>
              <w:rPr>
                <w:sz w:val="23"/>
                <w:szCs w:val="23"/>
                <w:color w:val="auto"/>
              </w:rPr>
            </w:pPr>
          </w:p>
        </w:tc>
        <w:tc>
          <w:tcPr>
            <w:tcW w:w="9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(16,100</w:t>
            </w:r>
          </w:p>
        </w:tc>
        <w:tc>
          <w:tcPr>
            <w:tcW w:w="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E0E0E0"/>
              </w:rPr>
              <w:t>)</w:t>
            </w:r>
          </w:p>
        </w:tc>
        <w:tc>
          <w:tcPr>
            <w:tcW w:w="140" w:type="dxa"/>
            <w:vAlign w:val="bottom"/>
            <w:tcBorders>
              <w:bottom w:val="single" w:sz="8" w:color="E0E0E0"/>
            </w:tcBorders>
            <w:shd w:val="clear" w:color="auto" w:fill="E0E0E0"/>
          </w:tcPr>
          <w:p>
            <w:pPr>
              <w:spacing w:after="0"/>
              <w:rPr>
                <w:sz w:val="23"/>
                <w:szCs w:val="23"/>
                <w:color w:val="auto"/>
              </w:rPr>
            </w:pPr>
          </w:p>
        </w:tc>
        <w:tc>
          <w:tcPr>
            <w:tcW w:w="100" w:type="dxa"/>
            <w:vAlign w:val="bottom"/>
            <w:tcBorders>
              <w:bottom w:val="single" w:sz="8" w:color="auto"/>
            </w:tcBorders>
            <w:shd w:val="clear" w:color="auto" w:fill="E0E0E0"/>
          </w:tcPr>
          <w:p>
            <w:pPr>
              <w:spacing w:after="0"/>
              <w:rPr>
                <w:sz w:val="23"/>
                <w:szCs w:val="23"/>
                <w:color w:val="auto"/>
              </w:rPr>
            </w:pPr>
          </w:p>
        </w:tc>
        <w:tc>
          <w:tcPr>
            <w:tcW w:w="9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Borders>
              <w:bottom w:val="single" w:sz="8" w:color="E0E0E0"/>
            </w:tcBorders>
            <w:shd w:val="clear" w:color="auto" w:fill="E0E0E0"/>
          </w:tcPr>
          <w:p>
            <w:pPr>
              <w:spacing w:after="0"/>
              <w:rPr>
                <w:sz w:val="23"/>
                <w:szCs w:val="23"/>
                <w:color w:val="auto"/>
              </w:rPr>
            </w:pPr>
          </w:p>
        </w:tc>
        <w:tc>
          <w:tcPr>
            <w:tcW w:w="140" w:type="dxa"/>
            <w:vAlign w:val="bottom"/>
            <w:tcBorders>
              <w:bottom w:val="single" w:sz="8" w:color="E0E0E0"/>
            </w:tcBorders>
            <w:shd w:val="clear" w:color="auto" w:fill="E0E0E0"/>
          </w:tcPr>
          <w:p>
            <w:pPr>
              <w:spacing w:after="0"/>
              <w:rPr>
                <w:sz w:val="23"/>
                <w:szCs w:val="23"/>
                <w:color w:val="auto"/>
              </w:rPr>
            </w:pPr>
          </w:p>
        </w:tc>
        <w:tc>
          <w:tcPr>
            <w:tcW w:w="120" w:type="dxa"/>
            <w:vAlign w:val="bottom"/>
            <w:tcBorders>
              <w:bottom w:val="single" w:sz="8" w:color="auto"/>
            </w:tcBorders>
            <w:shd w:val="clear" w:color="auto" w:fill="E0E0E0"/>
          </w:tcPr>
          <w:p>
            <w:pPr>
              <w:spacing w:after="0"/>
              <w:rPr>
                <w:sz w:val="23"/>
                <w:szCs w:val="23"/>
                <w:color w:val="auto"/>
              </w:rPr>
            </w:pPr>
          </w:p>
        </w:tc>
        <w:tc>
          <w:tcPr>
            <w:tcW w:w="9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r>
      <w:tr>
        <w:trPr>
          <w:trHeight w:val="213"/>
        </w:trPr>
        <w:tc>
          <w:tcPr>
            <w:tcW w:w="5720" w:type="dxa"/>
            <w:vAlign w:val="bottom"/>
          </w:tcPr>
          <w:p>
            <w:pPr>
              <w:ind w:left="200"/>
              <w:spacing w:after="0" w:line="213" w:lineRule="exact"/>
              <w:rPr>
                <w:sz w:val="20"/>
                <w:szCs w:val="20"/>
                <w:color w:val="auto"/>
              </w:rPr>
            </w:pPr>
            <w:r>
              <w:rPr>
                <w:rFonts w:ascii="Times New Roman" w:cs="Times New Roman" w:eastAsia="Times New Roman" w:hAnsi="Times New Roman"/>
                <w:sz w:val="20"/>
                <w:szCs w:val="20"/>
                <w:color w:val="auto"/>
              </w:rPr>
              <w:t>Net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auto"/>
              </w:rPr>
              <w:t>(58,709</w:t>
            </w:r>
          </w:p>
        </w:tc>
        <w:tc>
          <w:tcPr>
            <w:tcW w:w="8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auto"/>
                <w:w w:val="8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auto"/>
              </w:rPr>
              <w:t>(68,960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auto"/>
              </w:rPr>
              <w:t>(73,317</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44"/>
        </w:trPr>
        <w:tc>
          <w:tcPr>
            <w:tcW w:w="57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Unrealized (loss) gain on available for sale investments, net of tax</w:t>
            </w: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E0E0E0"/>
              </w:rPr>
              <w:t>)</w:t>
            </w: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635</w:t>
            </w:r>
          </w:p>
        </w:tc>
        <w:tc>
          <w:tcPr>
            <w:tcW w:w="8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(367</w:t>
            </w: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r>
      <w:tr>
        <w:trPr>
          <w:trHeight w:val="245"/>
        </w:trPr>
        <w:tc>
          <w:tcPr>
            <w:tcW w:w="572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Foreign currency translation gain (loss) gain</w:t>
            </w: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89"/>
              </w:rPr>
              <w:t>)</w:t>
            </w:r>
          </w:p>
        </w:tc>
        <w:tc>
          <w:tcPr>
            <w:tcW w:w="140" w:type="dxa"/>
            <w:vAlign w:val="bottom"/>
            <w:tcBorders>
              <w:bottom w:val="single" w:sz="8" w:color="E0E0E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80" w:type="dxa"/>
            <w:vAlign w:val="bottom"/>
            <w:tcBorders>
              <w:bottom w:val="single" w:sz="8" w:color="E0E0E0"/>
            </w:tcBorders>
          </w:tcPr>
          <w:p>
            <w:pPr>
              <w:spacing w:after="0"/>
              <w:rPr>
                <w:sz w:val="21"/>
                <w:szCs w:val="21"/>
                <w:color w:val="auto"/>
              </w:rPr>
            </w:pPr>
          </w:p>
        </w:tc>
        <w:tc>
          <w:tcPr>
            <w:tcW w:w="140" w:type="dxa"/>
            <w:vAlign w:val="bottom"/>
            <w:tcBorders>
              <w:bottom w:val="single" w:sz="8" w:color="E0E0E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E0E0E0"/>
            </w:tcBorders>
          </w:tcPr>
          <w:p>
            <w:pPr>
              <w:spacing w:after="0"/>
              <w:rPr>
                <w:sz w:val="21"/>
                <w:szCs w:val="21"/>
                <w:color w:val="auto"/>
              </w:rPr>
            </w:pPr>
          </w:p>
        </w:tc>
      </w:tr>
      <w:tr>
        <w:trPr>
          <w:trHeight w:val="234"/>
        </w:trPr>
        <w:tc>
          <w:tcPr>
            <w:tcW w:w="572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Total other comprehensive (loss) income</w:t>
            </w:r>
          </w:p>
        </w:tc>
        <w:tc>
          <w:tcPr>
            <w:tcW w:w="20" w:type="dxa"/>
            <w:vAlign w:val="bottom"/>
            <w:shd w:val="clear" w:color="auto" w:fill="E0E0E0"/>
          </w:tcPr>
          <w:p>
            <w:pPr>
              <w:spacing w:after="0"/>
              <w:rPr>
                <w:sz w:val="20"/>
                <w:szCs w:val="20"/>
                <w:color w:val="auto"/>
              </w:rPr>
            </w:pPr>
          </w:p>
        </w:tc>
        <w:tc>
          <w:tcPr>
            <w:tcW w:w="100" w:type="dxa"/>
            <w:vAlign w:val="bottom"/>
            <w:tcBorders>
              <w:bottom w:val="single" w:sz="8" w:color="auto"/>
            </w:tcBorders>
            <w:shd w:val="clear" w:color="auto" w:fill="E0E0E0"/>
          </w:tcPr>
          <w:p>
            <w:pPr>
              <w:spacing w:after="0"/>
              <w:rPr>
                <w:sz w:val="20"/>
                <w:szCs w:val="20"/>
                <w:color w:val="auto"/>
              </w:rPr>
            </w:pPr>
          </w:p>
        </w:tc>
        <w:tc>
          <w:tcPr>
            <w:tcW w:w="9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E0E0E0"/>
              </w:rPr>
              <w:t>)</w:t>
            </w:r>
          </w:p>
        </w:tc>
        <w:tc>
          <w:tcPr>
            <w:tcW w:w="140" w:type="dxa"/>
            <w:vAlign w:val="bottom"/>
            <w:shd w:val="clear" w:color="auto" w:fill="E0E0E0"/>
          </w:tcPr>
          <w:p>
            <w:pPr>
              <w:spacing w:after="0"/>
              <w:rPr>
                <w:sz w:val="20"/>
                <w:szCs w:val="20"/>
                <w:color w:val="auto"/>
              </w:rPr>
            </w:pPr>
          </w:p>
        </w:tc>
        <w:tc>
          <w:tcPr>
            <w:tcW w:w="100" w:type="dxa"/>
            <w:vAlign w:val="bottom"/>
            <w:tcBorders>
              <w:bottom w:val="single" w:sz="8" w:color="auto"/>
            </w:tcBorders>
            <w:shd w:val="clear" w:color="auto" w:fill="E0E0E0"/>
          </w:tcPr>
          <w:p>
            <w:pPr>
              <w:spacing w:after="0"/>
              <w:rPr>
                <w:sz w:val="20"/>
                <w:szCs w:val="20"/>
                <w:color w:val="auto"/>
              </w:rPr>
            </w:pPr>
          </w:p>
        </w:tc>
        <w:tc>
          <w:tcPr>
            <w:tcW w:w="9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669</w:t>
            </w:r>
          </w:p>
        </w:tc>
        <w:tc>
          <w:tcPr>
            <w:tcW w:w="8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20" w:type="dxa"/>
            <w:vAlign w:val="bottom"/>
            <w:tcBorders>
              <w:bottom w:val="single" w:sz="8" w:color="auto"/>
            </w:tcBorders>
            <w:shd w:val="clear" w:color="auto" w:fill="E0E0E0"/>
          </w:tcPr>
          <w:p>
            <w:pPr>
              <w:spacing w:after="0"/>
              <w:rPr>
                <w:sz w:val="20"/>
                <w:szCs w:val="20"/>
                <w:color w:val="auto"/>
              </w:rPr>
            </w:pPr>
          </w:p>
        </w:tc>
        <w:tc>
          <w:tcPr>
            <w:tcW w:w="9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(367</w:t>
            </w: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r>
      <w:tr>
        <w:trPr>
          <w:trHeight w:val="273"/>
        </w:trPr>
        <w:tc>
          <w:tcPr>
            <w:tcW w:w="572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Total Comprehensive loss</w:t>
            </w:r>
          </w:p>
        </w:tc>
        <w:tc>
          <w:tcPr>
            <w:tcW w:w="20" w:type="dxa"/>
            <w:vAlign w:val="bottom"/>
            <w:tcBorders>
              <w:bottom w:val="single" w:sz="8" w:color="E0E0E0"/>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(58,794</w:t>
            </w:r>
          </w:p>
        </w:tc>
        <w:tc>
          <w:tcPr>
            <w:tcW w:w="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140" w:type="dxa"/>
            <w:vAlign w:val="bottom"/>
            <w:tcBorders>
              <w:bottom w:val="single" w:sz="8" w:color="E0E0E0"/>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(68,291</w:t>
            </w:r>
          </w:p>
        </w:tc>
        <w:tc>
          <w:tcPr>
            <w:tcW w:w="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E0E0E0"/>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(73,684</w:t>
            </w:r>
          </w:p>
        </w:tc>
        <w:tc>
          <w:tcPr>
            <w:tcW w:w="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9"/>
        </w:trPr>
        <w:tc>
          <w:tcPr>
            <w:tcW w:w="57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Net loss per share -- basic and diluted</w:t>
            </w: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E0E0E0"/>
              </w:rPr>
              <w:t>)</w:t>
            </w:r>
          </w:p>
        </w:tc>
        <w:tc>
          <w:tcPr>
            <w:tcW w:w="140" w:type="dxa"/>
            <w:vAlign w:val="bottom"/>
            <w:shd w:val="clear" w:color="auto" w:fill="E0E0E0"/>
          </w:tcPr>
          <w:p>
            <w:pPr>
              <w:spacing w:after="0"/>
              <w:rPr>
                <w:sz w:val="19"/>
                <w:szCs w:val="19"/>
                <w:color w:val="auto"/>
              </w:rPr>
            </w:pPr>
          </w:p>
        </w:tc>
        <w:tc>
          <w:tcPr>
            <w:tcW w:w="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140" w:type="dxa"/>
            <w:vAlign w:val="bottom"/>
            <w:shd w:val="clear" w:color="auto" w:fill="E0E0E0"/>
          </w:tcPr>
          <w:p>
            <w:pPr>
              <w:spacing w:after="0"/>
              <w:rPr>
                <w:sz w:val="19"/>
                <w:szCs w:val="19"/>
                <w:color w:val="auto"/>
              </w:rPr>
            </w:pPr>
          </w:p>
        </w:tc>
        <w:tc>
          <w:tcPr>
            <w:tcW w:w="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(1.61</w:t>
            </w: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r>
      <w:tr>
        <w:trPr>
          <w:trHeight w:val="267"/>
        </w:trPr>
        <w:tc>
          <w:tcPr>
            <w:tcW w:w="5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Weighted-average common shares outstanding</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51,578,807</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48,014,645</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45,594,824</w:t>
            </w:r>
          </w:p>
        </w:tc>
        <w:tc>
          <w:tcPr>
            <w:tcW w:w="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3641090</wp:posOffset>
                </wp:positionH>
                <wp:positionV relativeFrom="paragraph">
                  <wp:posOffset>-2400300</wp:posOffset>
                </wp:positionV>
                <wp:extent cx="65468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68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7pt,-189pt" to="338.25pt,-18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4436745</wp:posOffset>
                </wp:positionH>
                <wp:positionV relativeFrom="paragraph">
                  <wp:posOffset>-2400300</wp:posOffset>
                </wp:positionV>
                <wp:extent cx="65468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68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35pt,-189pt" to="400.9pt,-18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5233035</wp:posOffset>
                </wp:positionH>
                <wp:positionV relativeFrom="paragraph">
                  <wp:posOffset>-2400300</wp:posOffset>
                </wp:positionV>
                <wp:extent cx="65405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05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2.05pt,-189pt" to="463.55pt,-18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-2084070</wp:posOffset>
                </wp:positionV>
                <wp:extent cx="594360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4.0999pt" to="468pt,-164.0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-1773555</wp:posOffset>
                </wp:positionV>
                <wp:extent cx="594360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9.6499pt" to="468pt,-139.6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-824865</wp:posOffset>
                </wp:positionV>
                <wp:extent cx="594360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4.9499pt" to="468pt,-64.9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-164465</wp:posOffset>
                </wp:positionV>
                <wp:extent cx="594360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9499pt" to="468pt,-12.9499pt" o:allowincell="f" strokecolor="#FFFFFF" strokeweight="0.72pt"/>
            </w:pict>
          </mc:Fallback>
        </mc:AlternateConten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9360"/>
          </w:cols>
          <w:pgMar w:left="1440" w:top="1416" w:right="1440" w:bottom="175" w:gutter="0" w:footer="0" w:header="0"/>
          <w:type w:val="continuous"/>
        </w:sectPr>
      </w:pPr>
    </w:p>
    <w:bookmarkStart w:id="111" w:name="page112"/>
    <w:bookmarkEnd w:id="111"/>
    <w:p>
      <w:pPr>
        <w:jc w:val="center"/>
        <w:ind w:right="-679"/>
        <w:spacing w:after="0"/>
        <w:rPr>
          <w:sz w:val="20"/>
          <w:szCs w:val="20"/>
          <w:color w:val="auto"/>
        </w:rPr>
      </w:pPr>
      <w:r>
        <w:rPr>
          <w:rFonts w:ascii="Times New Roman" w:cs="Times New Roman" w:eastAsia="Times New Roman" w:hAnsi="Times New Roman"/>
          <w:sz w:val="20"/>
          <w:szCs w:val="20"/>
          <w:b w:val="1"/>
          <w:bCs w:val="1"/>
          <w:color w:val="auto"/>
        </w:rPr>
        <w:t>PMV Pharmaceuticals, Inc.</w:t>
      </w:r>
    </w:p>
    <w:p>
      <w:pPr>
        <w:spacing w:after="0" w:line="44"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 (Deficit)</w:t>
      </w:r>
    </w:p>
    <w:p>
      <w:pPr>
        <w:jc w:val="center"/>
        <w:ind w:right="-679"/>
        <w:spacing w:after="0"/>
        <w:rPr>
          <w:sz w:val="20"/>
          <w:szCs w:val="20"/>
          <w:color w:val="auto"/>
        </w:rPr>
      </w:pPr>
      <w:r>
        <w:rPr>
          <w:rFonts w:ascii="Times New Roman" w:cs="Times New Roman" w:eastAsia="Times New Roman" w:hAnsi="Times New Roman"/>
          <w:sz w:val="20"/>
          <w:szCs w:val="20"/>
          <w:b w:val="1"/>
          <w:bCs w:val="1"/>
          <w:color w:val="auto"/>
        </w:rPr>
        <w:t>(in thousands except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6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6"/>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6"/>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4"/>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38"/>
        </w:trPr>
        <w:tc>
          <w:tcPr>
            <w:tcW w:w="6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6"/>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6"/>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4"/>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Stockholders’</w:t>
            </w: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9"/>
          </w:tcPr>
          <w:p>
            <w:pPr>
              <w:jc w:val="center"/>
              <w:ind w:left="931"/>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6"/>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9"/>
              </w:rPr>
              <w:t>Income (Loss)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6"/>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4"/>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Equity (Deficit)</w:t>
            </w: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336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0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Borders>
              <w:top w:val="single" w:sz="8" w:color="auto"/>
              <w:bottom w:val="single" w:sz="8" w:color="E0E0E0"/>
            </w:tcBorders>
          </w:tcPr>
          <w:p>
            <w:pPr>
              <w:spacing w:after="0"/>
              <w:rPr>
                <w:sz w:val="14"/>
                <w:szCs w:val="14"/>
                <w:color w:val="auto"/>
              </w:rPr>
            </w:pPr>
          </w:p>
        </w:tc>
        <w:tc>
          <w:tcPr>
            <w:tcW w:w="20" w:type="dxa"/>
            <w:vAlign w:val="bottom"/>
            <w:tcBorders>
              <w:top w:val="single" w:sz="8" w:color="auto"/>
              <w:bottom w:val="single" w:sz="8" w:color="E0E0E0"/>
            </w:tcBorders>
          </w:tcPr>
          <w:p>
            <w:pPr>
              <w:spacing w:after="0"/>
              <w:rPr>
                <w:sz w:val="14"/>
                <w:szCs w:val="14"/>
                <w:color w:val="auto"/>
              </w:rPr>
            </w:pPr>
          </w:p>
        </w:tc>
        <w:tc>
          <w:tcPr>
            <w:tcW w:w="120" w:type="dxa"/>
            <w:vAlign w:val="bottom"/>
            <w:tcBorders>
              <w:top w:val="single" w:sz="8" w:color="auto"/>
              <w:bottom w:val="single" w:sz="8" w:color="E0E0E0"/>
            </w:tcBorders>
          </w:tcPr>
          <w:p>
            <w:pPr>
              <w:spacing w:after="0"/>
              <w:rPr>
                <w:sz w:val="14"/>
                <w:szCs w:val="14"/>
                <w:color w:val="auto"/>
              </w:rPr>
            </w:pPr>
          </w:p>
        </w:tc>
        <w:tc>
          <w:tcPr>
            <w:tcW w:w="20" w:type="dxa"/>
            <w:vAlign w:val="bottom"/>
            <w:tcBorders>
              <w:top w:val="single" w:sz="8" w:color="auto"/>
              <w:bottom w:val="single" w:sz="8" w:color="E0E0E0"/>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2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4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0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2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80" w:type="dxa"/>
            <w:vAlign w:val="bottom"/>
          </w:tcPr>
          <w:p>
            <w:pPr>
              <w:spacing w:after="0"/>
              <w:rPr>
                <w:sz w:val="12"/>
                <w:szCs w:val="12"/>
                <w:color w:val="auto"/>
              </w:rPr>
            </w:pPr>
          </w:p>
        </w:tc>
        <w:tc>
          <w:tcPr>
            <w:tcW w:w="3360" w:type="dxa"/>
            <w:vAlign w:val="bottom"/>
            <w:tcBorders>
              <w:top w:val="single" w:sz="8" w:color="E0E0E0"/>
            </w:tcBorders>
            <w:shd w:val="clear" w:color="auto" w:fill="E0E0E0"/>
          </w:tcPr>
          <w:p>
            <w:pPr>
              <w:spacing w:after="0" w:line="145" w:lineRule="exact"/>
              <w:rPr>
                <w:sz w:val="20"/>
                <w:szCs w:val="20"/>
                <w:color w:val="auto"/>
              </w:rPr>
            </w:pPr>
            <w:r>
              <w:rPr>
                <w:rFonts w:ascii="Times New Roman" w:cs="Times New Roman" w:eastAsia="Times New Roman" w:hAnsi="Times New Roman"/>
                <w:sz w:val="14"/>
                <w:szCs w:val="14"/>
                <w:color w:val="auto"/>
              </w:rPr>
              <w:t>Balance at December 31, 2021</w:t>
            </w:r>
          </w:p>
        </w:tc>
        <w:tc>
          <w:tcPr>
            <w:tcW w:w="20" w:type="dxa"/>
            <w:vAlign w:val="bottom"/>
            <w:tcBorders>
              <w:top w:val="single" w:sz="8" w:color="E0E0E0"/>
            </w:tcBorders>
            <w:shd w:val="clear" w:color="auto" w:fill="E0E0E0"/>
          </w:tcPr>
          <w:p>
            <w:pPr>
              <w:spacing w:after="0"/>
              <w:rPr>
                <w:sz w:val="12"/>
                <w:szCs w:val="12"/>
                <w:color w:val="auto"/>
              </w:rPr>
            </w:pPr>
          </w:p>
        </w:tc>
        <w:tc>
          <w:tcPr>
            <w:tcW w:w="100" w:type="dxa"/>
            <w:vAlign w:val="bottom"/>
            <w:tcBorders>
              <w:top w:val="single" w:sz="8" w:color="E0E0E0"/>
            </w:tcBorders>
            <w:shd w:val="clear" w:color="auto" w:fill="E0E0E0"/>
          </w:tcPr>
          <w:p>
            <w:pPr>
              <w:spacing w:after="0"/>
              <w:rPr>
                <w:sz w:val="12"/>
                <w:szCs w:val="12"/>
                <w:color w:val="auto"/>
              </w:rPr>
            </w:pPr>
          </w:p>
        </w:tc>
        <w:tc>
          <w:tcPr>
            <w:tcW w:w="20" w:type="dxa"/>
            <w:vAlign w:val="bottom"/>
            <w:tcBorders>
              <w:top w:val="single" w:sz="8" w:color="E0E0E0"/>
            </w:tcBorders>
            <w:shd w:val="clear" w:color="auto" w:fill="E0E0E0"/>
          </w:tcPr>
          <w:p>
            <w:pPr>
              <w:spacing w:after="0"/>
              <w:rPr>
                <w:sz w:val="12"/>
                <w:szCs w:val="12"/>
                <w:color w:val="auto"/>
              </w:rPr>
            </w:pPr>
          </w:p>
        </w:tc>
        <w:tc>
          <w:tcPr>
            <w:tcW w:w="100" w:type="dxa"/>
            <w:vAlign w:val="bottom"/>
            <w:tcBorders>
              <w:top w:val="single" w:sz="8" w:color="E0E0E0"/>
              <w:bottom w:val="single" w:sz="8" w:color="auto"/>
            </w:tcBorders>
            <w:shd w:val="clear" w:color="auto" w:fill="E0E0E0"/>
          </w:tcPr>
          <w:p>
            <w:pPr>
              <w:spacing w:after="0"/>
              <w:rPr>
                <w:sz w:val="12"/>
                <w:szCs w:val="12"/>
                <w:color w:val="auto"/>
              </w:rPr>
            </w:pPr>
          </w:p>
        </w:tc>
        <w:tc>
          <w:tcPr>
            <w:tcW w:w="20" w:type="dxa"/>
            <w:vAlign w:val="bottom"/>
            <w:tcBorders>
              <w:top w:val="single" w:sz="8" w:color="E0E0E0"/>
              <w:bottom w:val="single" w:sz="8" w:color="auto"/>
            </w:tcBorders>
            <w:shd w:val="clear" w:color="auto" w:fill="E0E0E0"/>
          </w:tcPr>
          <w:p>
            <w:pPr>
              <w:spacing w:after="0"/>
              <w:rPr>
                <w:sz w:val="12"/>
                <w:szCs w:val="12"/>
                <w:color w:val="auto"/>
              </w:rPr>
            </w:pPr>
          </w:p>
        </w:tc>
        <w:tc>
          <w:tcPr>
            <w:tcW w:w="1180" w:type="dxa"/>
            <w:vAlign w:val="bottom"/>
            <w:tcBorders>
              <w:top w:val="single" w:sz="8" w:color="E0E0E0"/>
              <w:bottom w:val="single" w:sz="8" w:color="auto"/>
            </w:tcBorders>
            <w:shd w:val="clear" w:color="auto" w:fill="E0E0E0"/>
          </w:tcPr>
          <w:p>
            <w:pPr>
              <w:jc w:val="right"/>
              <w:spacing w:after="0" w:line="145" w:lineRule="exact"/>
              <w:rPr>
                <w:sz w:val="20"/>
                <w:szCs w:val="20"/>
                <w:color w:val="auto"/>
              </w:rPr>
            </w:pPr>
            <w:r>
              <w:rPr>
                <w:rFonts w:ascii="Times New Roman" w:cs="Times New Roman" w:eastAsia="Times New Roman" w:hAnsi="Times New Roman"/>
                <w:sz w:val="14"/>
                <w:szCs w:val="14"/>
                <w:color w:val="auto"/>
              </w:rPr>
              <w:t>45,433,684</w:t>
            </w:r>
          </w:p>
        </w:tc>
        <w:tc>
          <w:tcPr>
            <w:tcW w:w="20" w:type="dxa"/>
            <w:vAlign w:val="bottom"/>
            <w:tcBorders>
              <w:top w:val="single" w:sz="8" w:color="E0E0E0"/>
              <w:bottom w:val="single" w:sz="8" w:color="auto"/>
            </w:tcBorders>
            <w:shd w:val="clear" w:color="auto" w:fill="E0E0E0"/>
          </w:tcPr>
          <w:p>
            <w:pPr>
              <w:spacing w:after="0"/>
              <w:rPr>
                <w:sz w:val="12"/>
                <w:szCs w:val="12"/>
                <w:color w:val="auto"/>
              </w:rPr>
            </w:pPr>
          </w:p>
        </w:tc>
        <w:tc>
          <w:tcPr>
            <w:tcW w:w="100" w:type="dxa"/>
            <w:vAlign w:val="bottom"/>
            <w:tcBorders>
              <w:top w:val="single" w:sz="8" w:color="E0E0E0"/>
            </w:tcBorders>
            <w:shd w:val="clear" w:color="auto" w:fill="E0E0E0"/>
          </w:tcPr>
          <w:p>
            <w:pPr>
              <w:spacing w:after="0"/>
              <w:rPr>
                <w:sz w:val="12"/>
                <w:szCs w:val="12"/>
                <w:color w:val="auto"/>
              </w:rPr>
            </w:pPr>
          </w:p>
        </w:tc>
        <w:tc>
          <w:tcPr>
            <w:tcW w:w="20" w:type="dxa"/>
            <w:vAlign w:val="bottom"/>
            <w:tcBorders>
              <w:top w:val="single" w:sz="8" w:color="E0E0E0"/>
            </w:tcBorders>
            <w:shd w:val="clear" w:color="auto" w:fill="E0E0E0"/>
          </w:tcPr>
          <w:p>
            <w:pPr>
              <w:spacing w:after="0"/>
              <w:rPr>
                <w:sz w:val="12"/>
                <w:szCs w:val="12"/>
                <w:color w:val="auto"/>
              </w:rPr>
            </w:pPr>
          </w:p>
        </w:tc>
        <w:tc>
          <w:tcPr>
            <w:tcW w:w="120" w:type="dxa"/>
            <w:vAlign w:val="bottom"/>
            <w:tcBorders>
              <w:top w:val="single" w:sz="8" w:color="E0E0E0"/>
            </w:tcBorders>
            <w:shd w:val="clear" w:color="auto" w:fill="E0E0E0"/>
          </w:tcPr>
          <w:p>
            <w:pPr>
              <w:spacing w:after="0"/>
              <w:rPr>
                <w:sz w:val="12"/>
                <w:szCs w:val="12"/>
                <w:color w:val="auto"/>
              </w:rPr>
            </w:pPr>
          </w:p>
        </w:tc>
        <w:tc>
          <w:tcPr>
            <w:tcW w:w="20" w:type="dxa"/>
            <w:vAlign w:val="bottom"/>
            <w:tcBorders>
              <w:top w:val="single" w:sz="8" w:color="E0E0E0"/>
            </w:tcBorders>
            <w:shd w:val="clear" w:color="auto" w:fill="E0E0E0"/>
          </w:tcPr>
          <w:p>
            <w:pPr>
              <w:spacing w:after="0"/>
              <w:rPr>
                <w:sz w:val="12"/>
                <w:szCs w:val="12"/>
                <w:color w:val="auto"/>
              </w:rPr>
            </w:pPr>
          </w:p>
        </w:tc>
        <w:tc>
          <w:tcPr>
            <w:tcW w:w="100" w:type="dxa"/>
            <w:vAlign w:val="bottom"/>
            <w:tcBorders>
              <w:top w:val="single" w:sz="8" w:color="E0E0E0"/>
              <w:bottom w:val="single" w:sz="8" w:color="auto"/>
            </w:tcBorders>
            <w:shd w:val="clear" w:color="auto" w:fill="E0E0E0"/>
          </w:tcPr>
          <w:p>
            <w:pPr>
              <w:jc w:val="center"/>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top w:val="single" w:sz="8" w:color="E0E0E0"/>
              <w:bottom w:val="single" w:sz="8" w:color="auto"/>
            </w:tcBorders>
            <w:shd w:val="clear" w:color="auto" w:fill="E0E0E0"/>
          </w:tcPr>
          <w:p>
            <w:pPr>
              <w:spacing w:after="0"/>
              <w:rPr>
                <w:sz w:val="12"/>
                <w:szCs w:val="12"/>
                <w:color w:val="auto"/>
              </w:rPr>
            </w:pPr>
          </w:p>
        </w:tc>
        <w:tc>
          <w:tcPr>
            <w:tcW w:w="380" w:type="dxa"/>
            <w:vAlign w:val="bottom"/>
            <w:tcBorders>
              <w:top w:val="single" w:sz="8" w:color="E0E0E0"/>
              <w:bottom w:val="single" w:sz="8" w:color="auto"/>
            </w:tcBorders>
            <w:shd w:val="clear" w:color="auto" w:fill="E0E0E0"/>
          </w:tcPr>
          <w:p>
            <w:pPr>
              <w:spacing w:after="0"/>
              <w:rPr>
                <w:sz w:val="12"/>
                <w:szCs w:val="12"/>
                <w:color w:val="auto"/>
              </w:rPr>
            </w:pPr>
          </w:p>
        </w:tc>
        <w:tc>
          <w:tcPr>
            <w:tcW w:w="1120" w:type="dxa"/>
            <w:vAlign w:val="bottom"/>
            <w:tcBorders>
              <w:top w:val="single" w:sz="8" w:color="E0E0E0"/>
              <w:bottom w:val="single" w:sz="8" w:color="auto"/>
            </w:tcBorders>
            <w:shd w:val="clear" w:color="auto" w:fill="E0E0E0"/>
          </w:tcPr>
          <w:p>
            <w:pPr>
              <w:ind w:left="98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top w:val="single" w:sz="8" w:color="E0E0E0"/>
              <w:bottom w:val="single" w:sz="8" w:color="auto"/>
            </w:tcBorders>
            <w:shd w:val="clear" w:color="auto" w:fill="E0E0E0"/>
          </w:tcPr>
          <w:p>
            <w:pPr>
              <w:spacing w:after="0"/>
              <w:rPr>
                <w:sz w:val="12"/>
                <w:szCs w:val="12"/>
                <w:color w:val="auto"/>
              </w:rPr>
            </w:pPr>
          </w:p>
        </w:tc>
        <w:tc>
          <w:tcPr>
            <w:tcW w:w="100" w:type="dxa"/>
            <w:vAlign w:val="bottom"/>
            <w:tcBorders>
              <w:top w:val="single" w:sz="8" w:color="E0E0E0"/>
            </w:tcBorders>
            <w:shd w:val="clear" w:color="auto" w:fill="E0E0E0"/>
          </w:tcPr>
          <w:p>
            <w:pPr>
              <w:spacing w:after="0"/>
              <w:rPr>
                <w:sz w:val="12"/>
                <w:szCs w:val="12"/>
                <w:color w:val="auto"/>
              </w:rPr>
            </w:pPr>
          </w:p>
        </w:tc>
        <w:tc>
          <w:tcPr>
            <w:tcW w:w="20" w:type="dxa"/>
            <w:vAlign w:val="bottom"/>
            <w:tcBorders>
              <w:top w:val="single" w:sz="8" w:color="E0E0E0"/>
            </w:tcBorders>
            <w:shd w:val="clear" w:color="auto" w:fill="E0E0E0"/>
          </w:tcPr>
          <w:p>
            <w:pPr>
              <w:spacing w:after="0"/>
              <w:rPr>
                <w:sz w:val="12"/>
                <w:szCs w:val="12"/>
                <w:color w:val="auto"/>
              </w:rPr>
            </w:pPr>
          </w:p>
        </w:tc>
        <w:tc>
          <w:tcPr>
            <w:tcW w:w="120" w:type="dxa"/>
            <w:vAlign w:val="bottom"/>
            <w:tcBorders>
              <w:top w:val="single" w:sz="8" w:color="E0E0E0"/>
            </w:tcBorders>
            <w:shd w:val="clear" w:color="auto" w:fill="E0E0E0"/>
          </w:tcPr>
          <w:p>
            <w:pPr>
              <w:spacing w:after="0"/>
              <w:rPr>
                <w:sz w:val="12"/>
                <w:szCs w:val="12"/>
                <w:color w:val="auto"/>
              </w:rPr>
            </w:pPr>
          </w:p>
        </w:tc>
        <w:tc>
          <w:tcPr>
            <w:tcW w:w="20" w:type="dxa"/>
            <w:vAlign w:val="bottom"/>
            <w:tcBorders>
              <w:top w:val="single" w:sz="8" w:color="E0E0E0"/>
            </w:tcBorders>
            <w:shd w:val="clear" w:color="auto" w:fill="E0E0E0"/>
          </w:tcPr>
          <w:p>
            <w:pPr>
              <w:spacing w:after="0"/>
              <w:rPr>
                <w:sz w:val="12"/>
                <w:szCs w:val="12"/>
                <w:color w:val="auto"/>
              </w:rPr>
            </w:pPr>
          </w:p>
        </w:tc>
        <w:tc>
          <w:tcPr>
            <w:tcW w:w="100" w:type="dxa"/>
            <w:vAlign w:val="bottom"/>
            <w:tcBorders>
              <w:top w:val="single" w:sz="8" w:color="E0E0E0"/>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top w:val="single" w:sz="8" w:color="E0E0E0"/>
              <w:bottom w:val="single" w:sz="8" w:color="auto"/>
            </w:tcBorders>
            <w:shd w:val="clear" w:color="auto" w:fill="E0E0E0"/>
          </w:tcPr>
          <w:p>
            <w:pPr>
              <w:spacing w:after="0"/>
              <w:rPr>
                <w:sz w:val="12"/>
                <w:szCs w:val="12"/>
                <w:color w:val="auto"/>
              </w:rPr>
            </w:pPr>
          </w:p>
        </w:tc>
        <w:tc>
          <w:tcPr>
            <w:tcW w:w="1120" w:type="dxa"/>
            <w:vAlign w:val="bottom"/>
            <w:tcBorders>
              <w:top w:val="single" w:sz="8" w:color="E0E0E0"/>
              <w:bottom w:val="single" w:sz="8" w:color="auto"/>
            </w:tcBorders>
            <w:shd w:val="clear" w:color="auto" w:fill="E0E0E0"/>
          </w:tcPr>
          <w:p>
            <w:pPr>
              <w:jc w:val="right"/>
              <w:spacing w:after="0" w:line="145" w:lineRule="exact"/>
              <w:rPr>
                <w:sz w:val="20"/>
                <w:szCs w:val="20"/>
                <w:color w:val="auto"/>
              </w:rPr>
            </w:pPr>
            <w:r>
              <w:rPr>
                <w:rFonts w:ascii="Times New Roman" w:cs="Times New Roman" w:eastAsia="Times New Roman" w:hAnsi="Times New Roman"/>
                <w:sz w:val="14"/>
                <w:szCs w:val="14"/>
                <w:color w:val="auto"/>
              </w:rPr>
              <w:t>476,363</w:t>
            </w:r>
          </w:p>
        </w:tc>
        <w:tc>
          <w:tcPr>
            <w:tcW w:w="20" w:type="dxa"/>
            <w:vAlign w:val="bottom"/>
            <w:tcBorders>
              <w:top w:val="single" w:sz="8" w:color="E0E0E0"/>
              <w:bottom w:val="single" w:sz="8" w:color="auto"/>
            </w:tcBorders>
            <w:shd w:val="clear" w:color="auto" w:fill="E0E0E0"/>
          </w:tcPr>
          <w:p>
            <w:pPr>
              <w:spacing w:after="0"/>
              <w:rPr>
                <w:sz w:val="12"/>
                <w:szCs w:val="12"/>
                <w:color w:val="auto"/>
              </w:rPr>
            </w:pPr>
          </w:p>
        </w:tc>
        <w:tc>
          <w:tcPr>
            <w:tcW w:w="240" w:type="dxa"/>
            <w:vAlign w:val="bottom"/>
            <w:tcBorders>
              <w:top w:val="single" w:sz="8" w:color="E0E0E0"/>
            </w:tcBorders>
            <w:shd w:val="clear" w:color="auto" w:fill="E0E0E0"/>
          </w:tcPr>
          <w:p>
            <w:pPr>
              <w:spacing w:after="0"/>
              <w:rPr>
                <w:sz w:val="12"/>
                <w:szCs w:val="12"/>
                <w:color w:val="auto"/>
              </w:rPr>
            </w:pPr>
          </w:p>
        </w:tc>
        <w:tc>
          <w:tcPr>
            <w:tcW w:w="20" w:type="dxa"/>
            <w:vAlign w:val="bottom"/>
            <w:tcBorders>
              <w:top w:val="single" w:sz="8" w:color="E0E0E0"/>
            </w:tcBorders>
            <w:shd w:val="clear" w:color="auto" w:fill="E0E0E0"/>
          </w:tcPr>
          <w:p>
            <w:pPr>
              <w:spacing w:after="0"/>
              <w:rPr>
                <w:sz w:val="12"/>
                <w:szCs w:val="12"/>
                <w:color w:val="auto"/>
              </w:rPr>
            </w:pPr>
          </w:p>
        </w:tc>
        <w:tc>
          <w:tcPr>
            <w:tcW w:w="120" w:type="dxa"/>
            <w:vAlign w:val="bottom"/>
            <w:tcBorders>
              <w:top w:val="single" w:sz="8" w:color="E0E0E0"/>
              <w:bottom w:val="single" w:sz="8" w:color="auto"/>
            </w:tcBorders>
            <w:shd w:val="clear" w:color="auto" w:fill="E0E0E0"/>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top w:val="single" w:sz="8" w:color="E0E0E0"/>
              <w:bottom w:val="single" w:sz="8" w:color="auto"/>
            </w:tcBorders>
            <w:shd w:val="clear" w:color="auto" w:fill="E0E0E0"/>
          </w:tcPr>
          <w:p>
            <w:pPr>
              <w:spacing w:after="0"/>
              <w:rPr>
                <w:sz w:val="12"/>
                <w:szCs w:val="12"/>
                <w:color w:val="auto"/>
              </w:rPr>
            </w:pPr>
          </w:p>
        </w:tc>
        <w:tc>
          <w:tcPr>
            <w:tcW w:w="1100" w:type="dxa"/>
            <w:vAlign w:val="bottom"/>
            <w:tcBorders>
              <w:top w:val="single" w:sz="8" w:color="E0E0E0"/>
              <w:bottom w:val="single" w:sz="8" w:color="auto"/>
            </w:tcBorders>
            <w:shd w:val="clear" w:color="auto" w:fill="E0E0E0"/>
          </w:tcPr>
          <w:p>
            <w:pPr>
              <w:jc w:val="right"/>
              <w:spacing w:after="0" w:line="145" w:lineRule="exact"/>
              <w:rPr>
                <w:sz w:val="20"/>
                <w:szCs w:val="20"/>
                <w:color w:val="auto"/>
              </w:rPr>
            </w:pPr>
            <w:r>
              <w:rPr>
                <w:rFonts w:ascii="Times New Roman" w:cs="Times New Roman" w:eastAsia="Times New Roman" w:hAnsi="Times New Roman"/>
                <w:sz w:val="14"/>
                <w:szCs w:val="14"/>
                <w:color w:val="auto"/>
              </w:rPr>
              <w:t>(78</w:t>
            </w:r>
          </w:p>
        </w:tc>
        <w:tc>
          <w:tcPr>
            <w:tcW w:w="20" w:type="dxa"/>
            <w:vAlign w:val="bottom"/>
            <w:tcBorders>
              <w:top w:val="single" w:sz="8" w:color="E0E0E0"/>
              <w:bottom w:val="single" w:sz="8" w:color="auto"/>
            </w:tcBorders>
            <w:shd w:val="clear" w:color="auto" w:fill="E0E0E0"/>
          </w:tcPr>
          <w:p>
            <w:pPr>
              <w:spacing w:after="0"/>
              <w:rPr>
                <w:sz w:val="12"/>
                <w:szCs w:val="12"/>
                <w:color w:val="auto"/>
              </w:rPr>
            </w:pPr>
          </w:p>
        </w:tc>
        <w:tc>
          <w:tcPr>
            <w:tcW w:w="120" w:type="dxa"/>
            <w:vAlign w:val="bottom"/>
            <w:tcBorders>
              <w:top w:val="single" w:sz="8" w:color="E0E0E0"/>
            </w:tcBorders>
            <w:shd w:val="clear" w:color="auto" w:fill="E0E0E0"/>
          </w:tcPr>
          <w:p>
            <w:pPr>
              <w:jc w:val="right"/>
              <w:spacing w:after="0" w:line="145" w:lineRule="exact"/>
              <w:rPr>
                <w:sz w:val="20"/>
                <w:szCs w:val="20"/>
                <w:color w:val="auto"/>
              </w:rPr>
            </w:pPr>
            <w:r>
              <w:rPr>
                <w:rFonts w:ascii="Times New Roman" w:cs="Times New Roman" w:eastAsia="Times New Roman" w:hAnsi="Times New Roman"/>
                <w:sz w:val="14"/>
                <w:szCs w:val="14"/>
                <w:color w:val="auto"/>
                <w:w w:val="84"/>
              </w:rPr>
              <w:t>)</w:t>
            </w:r>
          </w:p>
        </w:tc>
        <w:tc>
          <w:tcPr>
            <w:tcW w:w="20" w:type="dxa"/>
            <w:vAlign w:val="bottom"/>
            <w:tcBorders>
              <w:top w:val="single" w:sz="8" w:color="E0E0E0"/>
            </w:tcBorders>
            <w:shd w:val="clear" w:color="auto" w:fill="E0E0E0"/>
          </w:tcPr>
          <w:p>
            <w:pPr>
              <w:spacing w:after="0"/>
              <w:rPr>
                <w:sz w:val="12"/>
                <w:szCs w:val="12"/>
                <w:color w:val="auto"/>
              </w:rPr>
            </w:pPr>
          </w:p>
        </w:tc>
        <w:tc>
          <w:tcPr>
            <w:tcW w:w="100" w:type="dxa"/>
            <w:vAlign w:val="bottom"/>
            <w:tcBorders>
              <w:top w:val="single" w:sz="8" w:color="E0E0E0"/>
            </w:tcBorders>
            <w:shd w:val="clear" w:color="auto" w:fill="E0E0E0"/>
          </w:tcPr>
          <w:p>
            <w:pPr>
              <w:spacing w:after="0"/>
              <w:rPr>
                <w:sz w:val="12"/>
                <w:szCs w:val="12"/>
                <w:color w:val="auto"/>
              </w:rPr>
            </w:pPr>
          </w:p>
        </w:tc>
        <w:tc>
          <w:tcPr>
            <w:tcW w:w="20" w:type="dxa"/>
            <w:vAlign w:val="bottom"/>
            <w:tcBorders>
              <w:top w:val="single" w:sz="8" w:color="E0E0E0"/>
            </w:tcBorders>
            <w:shd w:val="clear" w:color="auto" w:fill="E0E0E0"/>
          </w:tcPr>
          <w:p>
            <w:pPr>
              <w:spacing w:after="0"/>
              <w:rPr>
                <w:sz w:val="12"/>
                <w:szCs w:val="12"/>
                <w:color w:val="auto"/>
              </w:rPr>
            </w:pPr>
          </w:p>
        </w:tc>
        <w:tc>
          <w:tcPr>
            <w:tcW w:w="120" w:type="dxa"/>
            <w:vAlign w:val="bottom"/>
            <w:tcBorders>
              <w:top w:val="single" w:sz="8" w:color="E0E0E0"/>
              <w:bottom w:val="single" w:sz="8" w:color="auto"/>
            </w:tcBorders>
            <w:shd w:val="clear" w:color="auto" w:fill="E0E0E0"/>
          </w:tcPr>
          <w:p>
            <w:pPr>
              <w:jc w:val="right"/>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top w:val="single" w:sz="8" w:color="E0E0E0"/>
              <w:bottom w:val="single" w:sz="8" w:color="auto"/>
            </w:tcBorders>
            <w:shd w:val="clear" w:color="auto" w:fill="E0E0E0"/>
          </w:tcPr>
          <w:p>
            <w:pPr>
              <w:spacing w:after="0"/>
              <w:rPr>
                <w:sz w:val="12"/>
                <w:szCs w:val="12"/>
                <w:color w:val="auto"/>
              </w:rPr>
            </w:pPr>
          </w:p>
        </w:tc>
        <w:tc>
          <w:tcPr>
            <w:tcW w:w="1120" w:type="dxa"/>
            <w:vAlign w:val="bottom"/>
            <w:tcBorders>
              <w:top w:val="single" w:sz="8" w:color="E0E0E0"/>
              <w:bottom w:val="single" w:sz="8" w:color="auto"/>
            </w:tcBorders>
            <w:shd w:val="clear" w:color="auto" w:fill="E0E0E0"/>
          </w:tcPr>
          <w:p>
            <w:pPr>
              <w:jc w:val="right"/>
              <w:spacing w:after="0" w:line="145" w:lineRule="exact"/>
              <w:rPr>
                <w:sz w:val="20"/>
                <w:szCs w:val="20"/>
                <w:color w:val="auto"/>
              </w:rPr>
            </w:pPr>
            <w:r>
              <w:rPr>
                <w:rFonts w:ascii="Times New Roman" w:cs="Times New Roman" w:eastAsia="Times New Roman" w:hAnsi="Times New Roman"/>
                <w:sz w:val="14"/>
                <w:szCs w:val="14"/>
                <w:color w:val="auto"/>
              </w:rPr>
              <w:t>(167,726</w:t>
            </w:r>
          </w:p>
        </w:tc>
        <w:tc>
          <w:tcPr>
            <w:tcW w:w="20" w:type="dxa"/>
            <w:vAlign w:val="bottom"/>
            <w:tcBorders>
              <w:top w:val="single" w:sz="8" w:color="E0E0E0"/>
              <w:bottom w:val="single" w:sz="8" w:color="auto"/>
            </w:tcBorders>
            <w:shd w:val="clear" w:color="auto" w:fill="E0E0E0"/>
          </w:tcPr>
          <w:p>
            <w:pPr>
              <w:spacing w:after="0"/>
              <w:rPr>
                <w:sz w:val="12"/>
                <w:szCs w:val="12"/>
                <w:color w:val="auto"/>
              </w:rPr>
            </w:pPr>
          </w:p>
        </w:tc>
        <w:tc>
          <w:tcPr>
            <w:tcW w:w="100" w:type="dxa"/>
            <w:vAlign w:val="bottom"/>
            <w:tcBorders>
              <w:top w:val="single" w:sz="8" w:color="E0E0E0"/>
            </w:tcBorders>
            <w:shd w:val="clear" w:color="auto" w:fill="E0E0E0"/>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top w:val="single" w:sz="8" w:color="E0E0E0"/>
            </w:tcBorders>
            <w:shd w:val="clear" w:color="auto" w:fill="E0E0E0"/>
          </w:tcPr>
          <w:p>
            <w:pPr>
              <w:spacing w:after="0"/>
              <w:rPr>
                <w:sz w:val="12"/>
                <w:szCs w:val="12"/>
                <w:color w:val="auto"/>
              </w:rPr>
            </w:pPr>
          </w:p>
        </w:tc>
        <w:tc>
          <w:tcPr>
            <w:tcW w:w="120" w:type="dxa"/>
            <w:vAlign w:val="bottom"/>
            <w:tcBorders>
              <w:top w:val="single" w:sz="8" w:color="E0E0E0"/>
            </w:tcBorders>
            <w:shd w:val="clear" w:color="auto" w:fill="E0E0E0"/>
          </w:tcPr>
          <w:p>
            <w:pPr>
              <w:spacing w:after="0"/>
              <w:rPr>
                <w:sz w:val="12"/>
                <w:szCs w:val="12"/>
                <w:color w:val="auto"/>
              </w:rPr>
            </w:pPr>
          </w:p>
        </w:tc>
        <w:tc>
          <w:tcPr>
            <w:tcW w:w="20" w:type="dxa"/>
            <w:vAlign w:val="bottom"/>
            <w:tcBorders>
              <w:top w:val="single" w:sz="8" w:color="E0E0E0"/>
            </w:tcBorders>
            <w:shd w:val="clear" w:color="auto" w:fill="E0E0E0"/>
          </w:tcPr>
          <w:p>
            <w:pPr>
              <w:spacing w:after="0"/>
              <w:rPr>
                <w:sz w:val="12"/>
                <w:szCs w:val="12"/>
                <w:color w:val="auto"/>
              </w:rPr>
            </w:pPr>
          </w:p>
        </w:tc>
        <w:tc>
          <w:tcPr>
            <w:tcW w:w="100" w:type="dxa"/>
            <w:vAlign w:val="bottom"/>
            <w:tcBorders>
              <w:top w:val="single" w:sz="8" w:color="E0E0E0"/>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top w:val="single" w:sz="8" w:color="E0E0E0"/>
              <w:bottom w:val="single" w:sz="8" w:color="auto"/>
            </w:tcBorders>
            <w:shd w:val="clear" w:color="auto" w:fill="E0E0E0"/>
          </w:tcPr>
          <w:p>
            <w:pPr>
              <w:spacing w:after="0"/>
              <w:rPr>
                <w:sz w:val="12"/>
                <w:szCs w:val="12"/>
                <w:color w:val="auto"/>
              </w:rPr>
            </w:pPr>
          </w:p>
        </w:tc>
        <w:tc>
          <w:tcPr>
            <w:tcW w:w="1140" w:type="dxa"/>
            <w:vAlign w:val="bottom"/>
            <w:tcBorders>
              <w:top w:val="single" w:sz="8" w:color="E0E0E0"/>
              <w:bottom w:val="single" w:sz="8" w:color="auto"/>
            </w:tcBorders>
            <w:shd w:val="clear" w:color="auto" w:fill="E0E0E0"/>
          </w:tcPr>
          <w:p>
            <w:pPr>
              <w:jc w:val="right"/>
              <w:spacing w:after="0" w:line="145" w:lineRule="exact"/>
              <w:rPr>
                <w:sz w:val="20"/>
                <w:szCs w:val="20"/>
                <w:color w:val="auto"/>
              </w:rPr>
            </w:pPr>
            <w:r>
              <w:rPr>
                <w:rFonts w:ascii="Times New Roman" w:cs="Times New Roman" w:eastAsia="Times New Roman" w:hAnsi="Times New Roman"/>
                <w:sz w:val="14"/>
                <w:szCs w:val="14"/>
                <w:color w:val="auto"/>
              </w:rPr>
              <w:t>308,559</w:t>
            </w:r>
          </w:p>
        </w:tc>
        <w:tc>
          <w:tcPr>
            <w:tcW w:w="20" w:type="dxa"/>
            <w:vAlign w:val="bottom"/>
            <w:tcBorders>
              <w:top w:val="single" w:sz="8" w:color="E0E0E0"/>
              <w:bottom w:val="single" w:sz="8" w:color="auto"/>
            </w:tcBorders>
            <w:shd w:val="clear" w:color="auto" w:fill="E0E0E0"/>
          </w:tcPr>
          <w:p>
            <w:pPr>
              <w:spacing w:after="0"/>
              <w:rPr>
                <w:sz w:val="12"/>
                <w:szCs w:val="12"/>
                <w:color w:val="auto"/>
              </w:rPr>
            </w:pPr>
          </w:p>
        </w:tc>
        <w:tc>
          <w:tcPr>
            <w:tcW w:w="100" w:type="dxa"/>
            <w:vAlign w:val="bottom"/>
            <w:tcBorders>
              <w:top w:val="single" w:sz="8" w:color="E0E0E0"/>
            </w:tcBorders>
            <w:shd w:val="clear" w:color="auto" w:fill="E0E0E0"/>
          </w:tcPr>
          <w:p>
            <w:pPr>
              <w:spacing w:after="0"/>
              <w:rPr>
                <w:sz w:val="12"/>
                <w:szCs w:val="12"/>
                <w:color w:val="auto"/>
              </w:rPr>
            </w:pPr>
          </w:p>
        </w:tc>
        <w:tc>
          <w:tcPr>
            <w:tcW w:w="20" w:type="dxa"/>
            <w:vAlign w:val="bottom"/>
            <w:tcBorders>
              <w:top w:val="single" w:sz="8" w:color="E0E0E0"/>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3500" w:type="dxa"/>
            <w:vAlign w:val="bottom"/>
            <w:gridSpan w:val="4"/>
          </w:tcPr>
          <w:p>
            <w:pPr>
              <w:spacing w:after="0" w:line="135" w:lineRule="exact"/>
              <w:rPr>
                <w:sz w:val="20"/>
                <w:szCs w:val="20"/>
                <w:color w:val="auto"/>
              </w:rPr>
            </w:pPr>
            <w:r>
              <w:rPr>
                <w:rFonts w:ascii="Times New Roman" w:cs="Times New Roman" w:eastAsia="Times New Roman" w:hAnsi="Times New Roman"/>
                <w:sz w:val="14"/>
                <w:szCs w:val="14"/>
                <w:color w:val="auto"/>
              </w:rPr>
              <w:t>Exercise of stock options and common stock issued under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680" w:type="dxa"/>
            <w:vAlign w:val="bottom"/>
          </w:tcPr>
          <w:p>
            <w:pPr>
              <w:spacing w:after="0"/>
              <w:rPr>
                <w:sz w:val="16"/>
                <w:szCs w:val="16"/>
                <w:color w:val="auto"/>
              </w:rPr>
            </w:pPr>
          </w:p>
        </w:tc>
        <w:tc>
          <w:tcPr>
            <w:tcW w:w="3500" w:type="dxa"/>
            <w:vAlign w:val="bottom"/>
            <w:tcBorders>
              <w:bottom w:val="single" w:sz="8" w:color="E0E0E0"/>
            </w:tcBorders>
            <w:gridSpan w:val="4"/>
          </w:tcPr>
          <w:p>
            <w:pPr>
              <w:spacing w:after="0"/>
              <w:rPr>
                <w:sz w:val="20"/>
                <w:szCs w:val="20"/>
                <w:color w:val="auto"/>
              </w:rPr>
            </w:pPr>
            <w:r>
              <w:rPr>
                <w:rFonts w:ascii="Times New Roman" w:cs="Times New Roman" w:eastAsia="Times New Roman" w:hAnsi="Times New Roman"/>
                <w:sz w:val="14"/>
                <w:szCs w:val="14"/>
                <w:color w:val="auto"/>
              </w:rPr>
              <w:t>the 2020 ESPP</w:t>
            </w:r>
          </w:p>
        </w:tc>
        <w:tc>
          <w:tcPr>
            <w:tcW w:w="1320" w:type="dxa"/>
            <w:vAlign w:val="bottom"/>
            <w:tcBorders>
              <w:bottom w:val="single" w:sz="8" w:color="E0E0E0"/>
            </w:tcBorders>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337,648</w:t>
            </w:r>
          </w:p>
        </w:tc>
        <w:tc>
          <w:tcPr>
            <w:tcW w:w="10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12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10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380" w:type="dxa"/>
            <w:vAlign w:val="bottom"/>
            <w:tcBorders>
              <w:bottom w:val="single" w:sz="8" w:color="E0E0E0"/>
            </w:tcBorders>
          </w:tcPr>
          <w:p>
            <w:pPr>
              <w:spacing w:after="0"/>
              <w:rPr>
                <w:sz w:val="16"/>
                <w:szCs w:val="16"/>
                <w:color w:val="auto"/>
              </w:rPr>
            </w:pPr>
          </w:p>
        </w:tc>
        <w:tc>
          <w:tcPr>
            <w:tcW w:w="1140" w:type="dxa"/>
            <w:vAlign w:val="bottom"/>
            <w:tcBorders>
              <w:bottom w:val="single" w:sz="8" w:color="E0E0E0"/>
            </w:tcBorders>
            <w:gridSpan w:val="2"/>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12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100" w:type="dxa"/>
            <w:vAlign w:val="bottom"/>
            <w:tcBorders>
              <w:bottom w:val="single" w:sz="8" w:color="E0E0E0"/>
            </w:tcBorders>
          </w:tcPr>
          <w:p>
            <w:pPr>
              <w:spacing w:after="0"/>
              <w:rPr>
                <w:sz w:val="16"/>
                <w:szCs w:val="16"/>
                <w:color w:val="auto"/>
              </w:rPr>
            </w:pPr>
          </w:p>
        </w:tc>
        <w:tc>
          <w:tcPr>
            <w:tcW w:w="1160" w:type="dxa"/>
            <w:vAlign w:val="bottom"/>
            <w:tcBorders>
              <w:bottom w:val="single" w:sz="8" w:color="E0E0E0"/>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958</w:t>
            </w:r>
          </w:p>
        </w:tc>
        <w:tc>
          <w:tcPr>
            <w:tcW w:w="24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12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1380" w:type="dxa"/>
            <w:vAlign w:val="bottom"/>
            <w:tcBorders>
              <w:bottom w:val="single" w:sz="8" w:color="E0E0E0"/>
            </w:tcBorders>
            <w:gridSpan w:val="6"/>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1400" w:type="dxa"/>
            <w:vAlign w:val="bottom"/>
            <w:tcBorders>
              <w:bottom w:val="single" w:sz="8" w:color="E0E0E0"/>
            </w:tcBorders>
            <w:gridSpan w:val="6"/>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E0E0E0"/>
            </w:tcBorders>
          </w:tcPr>
          <w:p>
            <w:pPr>
              <w:spacing w:after="0"/>
              <w:rPr>
                <w:sz w:val="16"/>
                <w:szCs w:val="16"/>
                <w:color w:val="auto"/>
              </w:rPr>
            </w:pPr>
          </w:p>
        </w:tc>
        <w:tc>
          <w:tcPr>
            <w:tcW w:w="1180" w:type="dxa"/>
            <w:vAlign w:val="bottom"/>
            <w:tcBorders>
              <w:bottom w:val="single" w:sz="8" w:color="E0E0E0"/>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958</w:t>
            </w:r>
          </w:p>
        </w:tc>
        <w:tc>
          <w:tcPr>
            <w:tcW w:w="10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3360" w:type="dxa"/>
            <w:vAlign w:val="bottom"/>
            <w:shd w:val="clear" w:color="auto" w:fill="E0E0E0"/>
          </w:tcPr>
          <w:p>
            <w:pPr>
              <w:spacing w:after="0" w:line="15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80" w:type="dxa"/>
            <w:vAlign w:val="bottom"/>
            <w:shd w:val="clear" w:color="auto" w:fill="E0E0E0"/>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380" w:type="dxa"/>
            <w:vAlign w:val="bottom"/>
            <w:shd w:val="clear" w:color="auto" w:fill="E0E0E0"/>
          </w:tcPr>
          <w:p>
            <w:pPr>
              <w:spacing w:after="0"/>
              <w:rPr>
                <w:sz w:val="13"/>
                <w:szCs w:val="13"/>
                <w:color w:val="auto"/>
              </w:rPr>
            </w:pPr>
          </w:p>
        </w:tc>
        <w:tc>
          <w:tcPr>
            <w:tcW w:w="1120" w:type="dxa"/>
            <w:vAlign w:val="bottom"/>
            <w:shd w:val="clear" w:color="auto" w:fill="E0E0E0"/>
          </w:tcPr>
          <w:p>
            <w:pPr>
              <w:ind w:left="98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20" w:type="dxa"/>
            <w:vAlign w:val="bottom"/>
            <w:shd w:val="clear" w:color="auto" w:fill="E0E0E0"/>
          </w:tcPr>
          <w:p>
            <w:pPr>
              <w:jc w:val="right"/>
              <w:spacing w:after="0" w:line="159" w:lineRule="exact"/>
              <w:rPr>
                <w:sz w:val="20"/>
                <w:szCs w:val="20"/>
                <w:color w:val="auto"/>
              </w:rPr>
            </w:pPr>
            <w:r>
              <w:rPr>
                <w:rFonts w:ascii="Times New Roman" w:cs="Times New Roman" w:eastAsia="Times New Roman" w:hAnsi="Times New Roman"/>
                <w:sz w:val="14"/>
                <w:szCs w:val="14"/>
                <w:color w:val="auto"/>
              </w:rPr>
              <w:t>10,195</w:t>
            </w:r>
          </w:p>
        </w:tc>
        <w:tc>
          <w:tcPr>
            <w:tcW w:w="20" w:type="dxa"/>
            <w:vAlign w:val="bottom"/>
            <w:shd w:val="clear" w:color="auto" w:fill="E0E0E0"/>
          </w:tcPr>
          <w:p>
            <w:pPr>
              <w:spacing w:after="0"/>
              <w:rPr>
                <w:sz w:val="13"/>
                <w:szCs w:val="13"/>
                <w:color w:val="auto"/>
              </w:rPr>
            </w:pPr>
          </w:p>
        </w:tc>
        <w:tc>
          <w:tcPr>
            <w:tcW w:w="24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00" w:type="dxa"/>
            <w:vAlign w:val="bottom"/>
            <w:shd w:val="clear" w:color="auto" w:fill="E0E0E0"/>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20" w:type="dxa"/>
            <w:vAlign w:val="bottom"/>
            <w:shd w:val="clear" w:color="auto" w:fill="E0E0E0"/>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40" w:type="dxa"/>
            <w:vAlign w:val="bottom"/>
            <w:shd w:val="clear" w:color="auto" w:fill="E0E0E0"/>
          </w:tcPr>
          <w:p>
            <w:pPr>
              <w:jc w:val="right"/>
              <w:spacing w:after="0" w:line="159" w:lineRule="exact"/>
              <w:rPr>
                <w:sz w:val="20"/>
                <w:szCs w:val="20"/>
                <w:color w:val="auto"/>
              </w:rPr>
            </w:pPr>
            <w:r>
              <w:rPr>
                <w:rFonts w:ascii="Times New Roman" w:cs="Times New Roman" w:eastAsia="Times New Roman" w:hAnsi="Times New Roman"/>
                <w:sz w:val="14"/>
                <w:szCs w:val="14"/>
                <w:color w:val="auto"/>
              </w:rPr>
              <w:t>10,195</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80" w:type="dxa"/>
            <w:vAlign w:val="bottom"/>
          </w:tcPr>
          <w:p>
            <w:pPr>
              <w:spacing w:after="0"/>
              <w:rPr>
                <w:sz w:val="15"/>
                <w:szCs w:val="15"/>
                <w:color w:val="auto"/>
              </w:rPr>
            </w:pPr>
          </w:p>
        </w:tc>
        <w:tc>
          <w:tcPr>
            <w:tcW w:w="336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14"/>
                <w:szCs w:val="14"/>
                <w:color w:val="auto"/>
              </w:rPr>
              <w:t>Net loss</w:t>
            </w: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1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380" w:type="dxa"/>
            <w:vAlign w:val="bottom"/>
            <w:tcBorders>
              <w:bottom w:val="single" w:sz="8" w:color="E0E0E0"/>
            </w:tcBorders>
          </w:tcPr>
          <w:p>
            <w:pPr>
              <w:spacing w:after="0"/>
              <w:rPr>
                <w:sz w:val="15"/>
                <w:szCs w:val="15"/>
                <w:color w:val="auto"/>
              </w:rPr>
            </w:pPr>
          </w:p>
        </w:tc>
        <w:tc>
          <w:tcPr>
            <w:tcW w:w="1120" w:type="dxa"/>
            <w:vAlign w:val="bottom"/>
            <w:tcBorders>
              <w:bottom w:val="single" w:sz="8" w:color="E0E0E0"/>
            </w:tcBorders>
          </w:tcPr>
          <w:p>
            <w:pPr>
              <w:ind w:left="98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1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E0E0E0"/>
            </w:tcBorders>
          </w:tcPr>
          <w:p>
            <w:pPr>
              <w:spacing w:after="0"/>
              <w:rPr>
                <w:sz w:val="15"/>
                <w:szCs w:val="15"/>
                <w:color w:val="auto"/>
              </w:rPr>
            </w:pPr>
          </w:p>
        </w:tc>
        <w:tc>
          <w:tcPr>
            <w:tcW w:w="24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1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1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4"/>
                <w:szCs w:val="14"/>
                <w:color w:val="auto"/>
              </w:rPr>
              <w:t>(73,317</w:t>
            </w: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1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4"/>
                <w:szCs w:val="14"/>
                <w:color w:val="auto"/>
              </w:rPr>
              <w:t>(73,317</w:t>
            </w: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3360" w:type="dxa"/>
            <w:vAlign w:val="bottom"/>
            <w:shd w:val="clear" w:color="auto" w:fill="E0E0E0"/>
          </w:tcPr>
          <w:p>
            <w:pPr>
              <w:spacing w:after="0" w:line="155" w:lineRule="exact"/>
              <w:rPr>
                <w:sz w:val="20"/>
                <w:szCs w:val="20"/>
                <w:color w:val="auto"/>
              </w:rPr>
            </w:pPr>
            <w:r>
              <w:rPr>
                <w:rFonts w:ascii="Times New Roman" w:cs="Times New Roman" w:eastAsia="Times New Roman" w:hAnsi="Times New Roman"/>
                <w:sz w:val="14"/>
                <w:szCs w:val="14"/>
                <w:color w:val="auto"/>
              </w:rPr>
              <w:t>Unrealized loss on investments</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tcBorders>
              <w:bottom w:val="single" w:sz="8" w:color="auto"/>
            </w:tcBorders>
            <w:shd w:val="clear" w:color="auto" w:fill="E0E0E0"/>
          </w:tcPr>
          <w:p>
            <w:pPr>
              <w:spacing w:after="0"/>
              <w:rPr>
                <w:sz w:val="13"/>
                <w:szCs w:val="13"/>
                <w:color w:val="auto"/>
              </w:rPr>
            </w:pPr>
          </w:p>
        </w:tc>
        <w:tc>
          <w:tcPr>
            <w:tcW w:w="20" w:type="dxa"/>
            <w:vAlign w:val="bottom"/>
            <w:tcBorders>
              <w:bottom w:val="single" w:sz="8" w:color="auto"/>
            </w:tcBorders>
            <w:shd w:val="clear" w:color="auto" w:fill="E0E0E0"/>
          </w:tcPr>
          <w:p>
            <w:pPr>
              <w:spacing w:after="0"/>
              <w:rPr>
                <w:sz w:val="13"/>
                <w:szCs w:val="13"/>
                <w:color w:val="auto"/>
              </w:rPr>
            </w:pPr>
          </w:p>
        </w:tc>
        <w:tc>
          <w:tcPr>
            <w:tcW w:w="1180" w:type="dxa"/>
            <w:vAlign w:val="bottom"/>
            <w:tcBorders>
              <w:bottom w:val="single" w:sz="8" w:color="auto"/>
            </w:tcBorders>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tcBorders>
              <w:bottom w:val="single" w:sz="8" w:color="auto"/>
            </w:tcBorders>
            <w:shd w:val="clear" w:color="auto" w:fill="E0E0E0"/>
          </w:tcPr>
          <w:p>
            <w:pPr>
              <w:spacing w:after="0"/>
              <w:rPr>
                <w:sz w:val="13"/>
                <w:szCs w:val="13"/>
                <w:color w:val="auto"/>
              </w:rPr>
            </w:pPr>
          </w:p>
        </w:tc>
        <w:tc>
          <w:tcPr>
            <w:tcW w:w="20" w:type="dxa"/>
            <w:vAlign w:val="bottom"/>
            <w:tcBorders>
              <w:bottom w:val="single" w:sz="8" w:color="auto"/>
            </w:tcBorders>
            <w:shd w:val="clear" w:color="auto" w:fill="E0E0E0"/>
          </w:tcPr>
          <w:p>
            <w:pPr>
              <w:spacing w:after="0"/>
              <w:rPr>
                <w:sz w:val="13"/>
                <w:szCs w:val="13"/>
                <w:color w:val="auto"/>
              </w:rPr>
            </w:pPr>
          </w:p>
        </w:tc>
        <w:tc>
          <w:tcPr>
            <w:tcW w:w="380" w:type="dxa"/>
            <w:vAlign w:val="bottom"/>
            <w:tcBorders>
              <w:bottom w:val="single" w:sz="8" w:color="auto"/>
            </w:tcBorders>
            <w:shd w:val="clear" w:color="auto" w:fill="E0E0E0"/>
          </w:tcPr>
          <w:p>
            <w:pPr>
              <w:spacing w:after="0"/>
              <w:rPr>
                <w:sz w:val="13"/>
                <w:szCs w:val="13"/>
                <w:color w:val="auto"/>
              </w:rPr>
            </w:pPr>
          </w:p>
        </w:tc>
        <w:tc>
          <w:tcPr>
            <w:tcW w:w="1120" w:type="dxa"/>
            <w:vAlign w:val="bottom"/>
            <w:tcBorders>
              <w:bottom w:val="single" w:sz="8" w:color="auto"/>
            </w:tcBorders>
            <w:shd w:val="clear" w:color="auto" w:fill="E0E0E0"/>
          </w:tcPr>
          <w:p>
            <w:pPr>
              <w:ind w:left="98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auto"/>
            </w:tcBorders>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tcBorders>
              <w:bottom w:val="single" w:sz="8" w:color="auto"/>
            </w:tcBorders>
            <w:shd w:val="clear" w:color="auto" w:fill="E0E0E0"/>
          </w:tcPr>
          <w:p>
            <w:pPr>
              <w:spacing w:after="0"/>
              <w:rPr>
                <w:sz w:val="13"/>
                <w:szCs w:val="13"/>
                <w:color w:val="auto"/>
              </w:rPr>
            </w:pPr>
          </w:p>
        </w:tc>
        <w:tc>
          <w:tcPr>
            <w:tcW w:w="20" w:type="dxa"/>
            <w:vAlign w:val="bottom"/>
            <w:tcBorders>
              <w:bottom w:val="single" w:sz="8" w:color="auto"/>
            </w:tcBorders>
            <w:shd w:val="clear" w:color="auto" w:fill="E0E0E0"/>
          </w:tcPr>
          <w:p>
            <w:pPr>
              <w:spacing w:after="0"/>
              <w:rPr>
                <w:sz w:val="13"/>
                <w:szCs w:val="13"/>
                <w:color w:val="auto"/>
              </w:rPr>
            </w:pPr>
          </w:p>
        </w:tc>
        <w:tc>
          <w:tcPr>
            <w:tcW w:w="1120" w:type="dxa"/>
            <w:vAlign w:val="bottom"/>
            <w:tcBorders>
              <w:bottom w:val="single" w:sz="8" w:color="auto"/>
            </w:tcBorders>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E0E0E0"/>
          </w:tcPr>
          <w:p>
            <w:pPr>
              <w:spacing w:after="0"/>
              <w:rPr>
                <w:sz w:val="13"/>
                <w:szCs w:val="13"/>
                <w:color w:val="auto"/>
              </w:rPr>
            </w:pPr>
          </w:p>
        </w:tc>
        <w:tc>
          <w:tcPr>
            <w:tcW w:w="24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tcBorders>
              <w:bottom w:val="single" w:sz="8" w:color="auto"/>
            </w:tcBorders>
            <w:shd w:val="clear" w:color="auto" w:fill="E0E0E0"/>
          </w:tcPr>
          <w:p>
            <w:pPr>
              <w:spacing w:after="0"/>
              <w:rPr>
                <w:sz w:val="13"/>
                <w:szCs w:val="13"/>
                <w:color w:val="auto"/>
              </w:rPr>
            </w:pPr>
          </w:p>
        </w:tc>
        <w:tc>
          <w:tcPr>
            <w:tcW w:w="20" w:type="dxa"/>
            <w:vAlign w:val="bottom"/>
            <w:tcBorders>
              <w:bottom w:val="single" w:sz="8" w:color="auto"/>
            </w:tcBorders>
            <w:shd w:val="clear" w:color="auto" w:fill="E0E0E0"/>
          </w:tcPr>
          <w:p>
            <w:pPr>
              <w:spacing w:after="0"/>
              <w:rPr>
                <w:sz w:val="13"/>
                <w:szCs w:val="13"/>
                <w:color w:val="auto"/>
              </w:rPr>
            </w:pPr>
          </w:p>
        </w:tc>
        <w:tc>
          <w:tcPr>
            <w:tcW w:w="1100" w:type="dxa"/>
            <w:vAlign w:val="bottom"/>
            <w:tcBorders>
              <w:bottom w:val="single" w:sz="8" w:color="auto"/>
            </w:tcBorders>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(367</w:t>
            </w:r>
          </w:p>
        </w:tc>
        <w:tc>
          <w:tcPr>
            <w:tcW w:w="20" w:type="dxa"/>
            <w:vAlign w:val="bottom"/>
            <w:tcBorders>
              <w:bottom w:val="single" w:sz="8" w:color="auto"/>
            </w:tcBorders>
            <w:shd w:val="clear" w:color="auto" w:fill="E0E0E0"/>
          </w:tcPr>
          <w:p>
            <w:pPr>
              <w:spacing w:after="0"/>
              <w:rPr>
                <w:sz w:val="13"/>
                <w:szCs w:val="13"/>
                <w:color w:val="auto"/>
              </w:rPr>
            </w:pPr>
          </w:p>
        </w:tc>
        <w:tc>
          <w:tcPr>
            <w:tcW w:w="120" w:type="dxa"/>
            <w:vAlign w:val="bottom"/>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tcBorders>
              <w:bottom w:val="single" w:sz="8" w:color="auto"/>
            </w:tcBorders>
            <w:shd w:val="clear" w:color="auto" w:fill="E0E0E0"/>
          </w:tcPr>
          <w:p>
            <w:pPr>
              <w:spacing w:after="0"/>
              <w:rPr>
                <w:sz w:val="13"/>
                <w:szCs w:val="13"/>
                <w:color w:val="auto"/>
              </w:rPr>
            </w:pPr>
          </w:p>
        </w:tc>
        <w:tc>
          <w:tcPr>
            <w:tcW w:w="20" w:type="dxa"/>
            <w:vAlign w:val="bottom"/>
            <w:tcBorders>
              <w:bottom w:val="single" w:sz="8" w:color="auto"/>
            </w:tcBorders>
            <w:shd w:val="clear" w:color="auto" w:fill="E0E0E0"/>
          </w:tcPr>
          <w:p>
            <w:pPr>
              <w:spacing w:after="0"/>
              <w:rPr>
                <w:sz w:val="13"/>
                <w:szCs w:val="13"/>
                <w:color w:val="auto"/>
              </w:rPr>
            </w:pPr>
          </w:p>
        </w:tc>
        <w:tc>
          <w:tcPr>
            <w:tcW w:w="1120" w:type="dxa"/>
            <w:vAlign w:val="bottom"/>
            <w:tcBorders>
              <w:bottom w:val="single" w:sz="8" w:color="auto"/>
            </w:tcBorders>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tcBorders>
              <w:bottom w:val="single" w:sz="8" w:color="auto"/>
            </w:tcBorders>
            <w:shd w:val="clear" w:color="auto" w:fill="E0E0E0"/>
          </w:tcPr>
          <w:p>
            <w:pPr>
              <w:spacing w:after="0"/>
              <w:rPr>
                <w:sz w:val="13"/>
                <w:szCs w:val="13"/>
                <w:color w:val="auto"/>
              </w:rPr>
            </w:pPr>
          </w:p>
        </w:tc>
        <w:tc>
          <w:tcPr>
            <w:tcW w:w="20" w:type="dxa"/>
            <w:vAlign w:val="bottom"/>
            <w:tcBorders>
              <w:bottom w:val="single" w:sz="8" w:color="auto"/>
            </w:tcBorders>
            <w:shd w:val="clear" w:color="auto" w:fill="E0E0E0"/>
          </w:tcPr>
          <w:p>
            <w:pPr>
              <w:spacing w:after="0"/>
              <w:rPr>
                <w:sz w:val="13"/>
                <w:szCs w:val="13"/>
                <w:color w:val="auto"/>
              </w:rPr>
            </w:pPr>
          </w:p>
        </w:tc>
        <w:tc>
          <w:tcPr>
            <w:tcW w:w="1140" w:type="dxa"/>
            <w:vAlign w:val="bottom"/>
            <w:tcBorders>
              <w:bottom w:val="single" w:sz="8" w:color="auto"/>
            </w:tcBorders>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(367</w:t>
            </w:r>
          </w:p>
        </w:tc>
        <w:tc>
          <w:tcPr>
            <w:tcW w:w="20" w:type="dxa"/>
            <w:vAlign w:val="bottom"/>
            <w:tcBorders>
              <w:bottom w:val="single" w:sz="8" w:color="auto"/>
            </w:tcBorders>
            <w:shd w:val="clear" w:color="auto" w:fill="E0E0E0"/>
          </w:tcPr>
          <w:p>
            <w:pPr>
              <w:spacing w:after="0"/>
              <w:rPr>
                <w:sz w:val="13"/>
                <w:szCs w:val="13"/>
                <w:color w:val="auto"/>
              </w:rPr>
            </w:pPr>
          </w:p>
        </w:tc>
        <w:tc>
          <w:tcPr>
            <w:tcW w:w="100" w:type="dxa"/>
            <w:vAlign w:val="bottom"/>
            <w:shd w:val="clear" w:color="auto" w:fill="E0E0E0"/>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shd w:val="clear" w:color="auto" w:fill="E0E0E0"/>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500" w:type="dxa"/>
            <w:vAlign w:val="bottom"/>
            <w:tcBorders>
              <w:bottom w:val="single" w:sz="8" w:color="E0E0E0"/>
            </w:tcBorders>
            <w:gridSpan w:val="4"/>
          </w:tcPr>
          <w:p>
            <w:pPr>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3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45,771,332</w:t>
            </w:r>
          </w:p>
        </w:tc>
        <w:tc>
          <w:tcPr>
            <w:tcW w:w="260" w:type="dxa"/>
            <w:vAlign w:val="bottom"/>
            <w:tcBorders>
              <w:bottom w:val="single" w:sz="8" w:color="E0E0E0"/>
            </w:tcBorders>
            <w:gridSpan w:val="4"/>
          </w:tcPr>
          <w:p>
            <w:pPr>
              <w:spacing w:after="0"/>
              <w:rPr>
                <w:sz w:val="14"/>
                <w:szCs w:val="14"/>
                <w:color w:val="auto"/>
              </w:rPr>
            </w:pP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Borders>
              <w:bottom w:val="single" w:sz="8" w:color="E0E0E0"/>
            </w:tcBorders>
            <w:gridSpan w:val="4"/>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487,516</w:t>
            </w:r>
          </w:p>
        </w:tc>
        <w:tc>
          <w:tcPr>
            <w:tcW w:w="24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20" w:type="dxa"/>
            <w:vAlign w:val="bottom"/>
            <w:tcBorders>
              <w:bottom w:val="single" w:sz="8" w:color="E0E0E0"/>
            </w:tcBorders>
          </w:tcPr>
          <w:p>
            <w:pPr>
              <w:spacing w:after="0"/>
              <w:rPr>
                <w:sz w:val="14"/>
                <w:szCs w:val="14"/>
                <w:color w:val="auto"/>
              </w:rPr>
            </w:pPr>
          </w:p>
        </w:tc>
        <w:tc>
          <w:tcPr>
            <w:tcW w:w="10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(241,043</w:t>
            </w:r>
          </w:p>
        </w:tc>
        <w:tc>
          <w:tcPr>
            <w:tcW w:w="100" w:type="dxa"/>
            <w:vAlign w:val="bottom"/>
            <w:tcBorders>
              <w:bottom w:val="single" w:sz="8" w:color="E0E0E0"/>
            </w:tcBorders>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E0E0E0"/>
            </w:tcBorders>
          </w:tcPr>
          <w:p>
            <w:pPr>
              <w:spacing w:after="0"/>
              <w:rPr>
                <w:sz w:val="14"/>
                <w:szCs w:val="14"/>
                <w:color w:val="auto"/>
              </w:rPr>
            </w:pPr>
          </w:p>
        </w:tc>
        <w:tc>
          <w:tcPr>
            <w:tcW w:w="12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246,028</w:t>
            </w:r>
          </w:p>
        </w:tc>
        <w:tc>
          <w:tcPr>
            <w:tcW w:w="10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3"/>
                <w:szCs w:val="13"/>
                <w:color w:val="auto"/>
              </w:rPr>
            </w:pPr>
          </w:p>
        </w:tc>
        <w:tc>
          <w:tcPr>
            <w:tcW w:w="3360" w:type="dxa"/>
            <w:vAlign w:val="bottom"/>
            <w:shd w:val="clear" w:color="auto" w:fill="E0E0E0"/>
          </w:tcPr>
          <w:p>
            <w:pPr>
              <w:spacing w:after="0"/>
              <w:rPr>
                <w:sz w:val="20"/>
                <w:szCs w:val="20"/>
                <w:color w:val="auto"/>
              </w:rPr>
            </w:pPr>
            <w:r>
              <w:rPr>
                <w:rFonts w:ascii="Times New Roman" w:cs="Times New Roman" w:eastAsia="Times New Roman" w:hAnsi="Times New Roman"/>
                <w:sz w:val="14"/>
                <w:szCs w:val="14"/>
                <w:color w:val="auto"/>
              </w:rPr>
              <w:t>Exercise of stock options and common stock issued under</w:t>
            </w:r>
          </w:p>
        </w:tc>
        <w:tc>
          <w:tcPr>
            <w:tcW w:w="140" w:type="dxa"/>
            <w:vAlign w:val="bottom"/>
            <w:gridSpan w:val="3"/>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8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380" w:type="dxa"/>
            <w:vAlign w:val="bottom"/>
            <w:shd w:val="clear" w:color="auto" w:fill="E0E0E0"/>
          </w:tcPr>
          <w:p>
            <w:pPr>
              <w:spacing w:after="0"/>
              <w:rPr>
                <w:sz w:val="13"/>
                <w:szCs w:val="13"/>
                <w:color w:val="auto"/>
              </w:rPr>
            </w:pPr>
          </w:p>
        </w:tc>
        <w:tc>
          <w:tcPr>
            <w:tcW w:w="1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24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4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3"/>
                <w:szCs w:val="13"/>
                <w:color w:val="auto"/>
              </w:rPr>
            </w:pPr>
          </w:p>
        </w:tc>
        <w:tc>
          <w:tcPr>
            <w:tcW w:w="3360" w:type="dxa"/>
            <w:vAlign w:val="bottom"/>
            <w:shd w:val="clear" w:color="auto" w:fill="E0E0E0"/>
          </w:tcPr>
          <w:p>
            <w:pPr>
              <w:spacing w:after="0"/>
              <w:rPr>
                <w:sz w:val="20"/>
                <w:szCs w:val="20"/>
                <w:color w:val="auto"/>
              </w:rPr>
            </w:pPr>
            <w:r>
              <w:rPr>
                <w:rFonts w:ascii="Times New Roman" w:cs="Times New Roman" w:eastAsia="Times New Roman" w:hAnsi="Times New Roman"/>
                <w:sz w:val="14"/>
                <w:szCs w:val="14"/>
                <w:color w:val="auto"/>
              </w:rPr>
              <w:t>the 2020 ESPP</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525,084</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380" w:type="dxa"/>
            <w:vAlign w:val="bottom"/>
            <w:shd w:val="clear" w:color="auto" w:fill="E0E0E0"/>
          </w:tcPr>
          <w:p>
            <w:pPr>
              <w:spacing w:after="0"/>
              <w:rPr>
                <w:sz w:val="13"/>
                <w:szCs w:val="13"/>
                <w:color w:val="auto"/>
              </w:rPr>
            </w:pPr>
          </w:p>
        </w:tc>
        <w:tc>
          <w:tcPr>
            <w:tcW w:w="1120" w:type="dxa"/>
            <w:vAlign w:val="bottom"/>
            <w:shd w:val="clear" w:color="auto" w:fill="E0E0E0"/>
          </w:tcPr>
          <w:p>
            <w:pPr>
              <w:ind w:left="98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20" w:type="dxa"/>
            <w:vAlign w:val="bottom"/>
            <w:shd w:val="clear" w:color="auto" w:fill="E0E0E0"/>
          </w:tcPr>
          <w:p>
            <w:pPr>
              <w:spacing w:after="0"/>
              <w:rPr>
                <w:sz w:val="13"/>
                <w:szCs w:val="13"/>
                <w:color w:val="auto"/>
              </w:rPr>
            </w:pPr>
          </w:p>
        </w:tc>
        <w:tc>
          <w:tcPr>
            <w:tcW w:w="24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80" w:type="dxa"/>
            <w:vAlign w:val="bottom"/>
          </w:tcPr>
          <w:p>
            <w:pPr>
              <w:spacing w:after="0"/>
              <w:rPr>
                <w:sz w:val="15"/>
                <w:szCs w:val="15"/>
                <w:color w:val="auto"/>
              </w:rPr>
            </w:pPr>
          </w:p>
        </w:tc>
        <w:tc>
          <w:tcPr>
            <w:tcW w:w="336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14"/>
                <w:szCs w:val="14"/>
                <w:color w:val="auto"/>
              </w:rPr>
              <w:t>Issuance of common stock, net of issuance costs</w:t>
            </w: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1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4"/>
                <w:szCs w:val="14"/>
                <w:color w:val="auto"/>
              </w:rPr>
              <w:t>5,149,446</w:t>
            </w: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380" w:type="dxa"/>
            <w:vAlign w:val="bottom"/>
            <w:tcBorders>
              <w:bottom w:val="single" w:sz="8" w:color="E0E0E0"/>
            </w:tcBorders>
          </w:tcPr>
          <w:p>
            <w:pPr>
              <w:spacing w:after="0"/>
              <w:rPr>
                <w:sz w:val="15"/>
                <w:szCs w:val="15"/>
                <w:color w:val="auto"/>
              </w:rPr>
            </w:pPr>
          </w:p>
        </w:tc>
        <w:tc>
          <w:tcPr>
            <w:tcW w:w="1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1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4"/>
                <w:szCs w:val="14"/>
                <w:color w:val="auto"/>
              </w:rPr>
              <w:t>35,121</w:t>
            </w:r>
          </w:p>
        </w:tc>
        <w:tc>
          <w:tcPr>
            <w:tcW w:w="20" w:type="dxa"/>
            <w:vAlign w:val="bottom"/>
            <w:tcBorders>
              <w:bottom w:val="single" w:sz="8" w:color="E0E0E0"/>
            </w:tcBorders>
          </w:tcPr>
          <w:p>
            <w:pPr>
              <w:spacing w:after="0"/>
              <w:rPr>
                <w:sz w:val="15"/>
                <w:szCs w:val="15"/>
                <w:color w:val="auto"/>
              </w:rPr>
            </w:pPr>
          </w:p>
        </w:tc>
        <w:tc>
          <w:tcPr>
            <w:tcW w:w="24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1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4"/>
                <w:szCs w:val="14"/>
                <w:color w:val="auto"/>
              </w:rPr>
              <w:t>35,121</w:t>
            </w: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3360" w:type="dxa"/>
            <w:vAlign w:val="bottom"/>
            <w:shd w:val="clear" w:color="auto" w:fill="E0E0E0"/>
          </w:tcPr>
          <w:p>
            <w:pPr>
              <w:spacing w:after="0" w:line="155"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80" w:type="dxa"/>
            <w:vAlign w:val="bottom"/>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380" w:type="dxa"/>
            <w:vAlign w:val="bottom"/>
            <w:shd w:val="clear" w:color="auto" w:fill="E0E0E0"/>
          </w:tcPr>
          <w:p>
            <w:pPr>
              <w:spacing w:after="0"/>
              <w:rPr>
                <w:sz w:val="13"/>
                <w:szCs w:val="13"/>
                <w:color w:val="auto"/>
              </w:rPr>
            </w:pPr>
          </w:p>
        </w:tc>
        <w:tc>
          <w:tcPr>
            <w:tcW w:w="1120" w:type="dxa"/>
            <w:vAlign w:val="bottom"/>
            <w:shd w:val="clear" w:color="auto" w:fill="E0E0E0"/>
          </w:tcPr>
          <w:p>
            <w:pPr>
              <w:ind w:left="98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20" w:type="dxa"/>
            <w:vAlign w:val="bottom"/>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12,375</w:t>
            </w:r>
          </w:p>
        </w:tc>
        <w:tc>
          <w:tcPr>
            <w:tcW w:w="20" w:type="dxa"/>
            <w:vAlign w:val="bottom"/>
            <w:shd w:val="clear" w:color="auto" w:fill="E0E0E0"/>
          </w:tcPr>
          <w:p>
            <w:pPr>
              <w:spacing w:after="0"/>
              <w:rPr>
                <w:sz w:val="13"/>
                <w:szCs w:val="13"/>
                <w:color w:val="auto"/>
              </w:rPr>
            </w:pPr>
          </w:p>
        </w:tc>
        <w:tc>
          <w:tcPr>
            <w:tcW w:w="24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00" w:type="dxa"/>
            <w:vAlign w:val="bottom"/>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20" w:type="dxa"/>
            <w:vAlign w:val="bottom"/>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40" w:type="dxa"/>
            <w:vAlign w:val="bottom"/>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12,375</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80" w:type="dxa"/>
            <w:vAlign w:val="bottom"/>
          </w:tcPr>
          <w:p>
            <w:pPr>
              <w:spacing w:after="0"/>
              <w:rPr>
                <w:sz w:val="15"/>
                <w:szCs w:val="15"/>
                <w:color w:val="auto"/>
              </w:rPr>
            </w:pPr>
          </w:p>
        </w:tc>
        <w:tc>
          <w:tcPr>
            <w:tcW w:w="3500" w:type="dxa"/>
            <w:vAlign w:val="bottom"/>
            <w:tcBorders>
              <w:bottom w:val="single" w:sz="8" w:color="E0E0E0"/>
            </w:tcBorders>
            <w:gridSpan w:val="4"/>
          </w:tcPr>
          <w:p>
            <w:pPr>
              <w:spacing w:after="0"/>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0" w:type="dxa"/>
            <w:vAlign w:val="bottom"/>
            <w:tcBorders>
              <w:bottom w:val="single" w:sz="8" w:color="E0E0E0"/>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380" w:type="dxa"/>
            <w:vAlign w:val="bottom"/>
            <w:tcBorders>
              <w:bottom w:val="single" w:sz="8" w:color="E0E0E0"/>
            </w:tcBorders>
          </w:tcPr>
          <w:p>
            <w:pPr>
              <w:spacing w:after="0"/>
              <w:rPr>
                <w:sz w:val="15"/>
                <w:szCs w:val="15"/>
                <w:color w:val="auto"/>
              </w:rPr>
            </w:pPr>
          </w:p>
        </w:tc>
        <w:tc>
          <w:tcPr>
            <w:tcW w:w="1140" w:type="dxa"/>
            <w:vAlign w:val="bottom"/>
            <w:tcBorders>
              <w:bottom w:val="single" w:sz="8" w:color="E0E0E0"/>
            </w:tcBorders>
            <w:gridSpan w:val="2"/>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24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12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E0E0E0"/>
            </w:tcBorders>
            <w:gridSpan w:val="3"/>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1260" w:type="dxa"/>
            <w:vAlign w:val="bottom"/>
            <w:tcBorders>
              <w:bottom w:val="single" w:sz="8" w:color="E0E0E0"/>
            </w:tcBorders>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(68,960 )</w:t>
            </w: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1280" w:type="dxa"/>
            <w:vAlign w:val="bottom"/>
            <w:tcBorders>
              <w:bottom w:val="single" w:sz="8" w:color="E0E0E0"/>
            </w:tcBorders>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(68,960 )</w:t>
            </w:r>
          </w:p>
        </w:tc>
        <w:tc>
          <w:tcPr>
            <w:tcW w:w="2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3360" w:type="dxa"/>
            <w:vAlign w:val="bottom"/>
            <w:tcBorders>
              <w:bottom w:val="single" w:sz="8" w:color="E0E0E0"/>
            </w:tcBorders>
            <w:shd w:val="clear" w:color="auto" w:fill="E0E0E0"/>
          </w:tcPr>
          <w:p>
            <w:pPr>
              <w:spacing w:after="0" w:line="155" w:lineRule="exact"/>
              <w:rPr>
                <w:sz w:val="20"/>
                <w:szCs w:val="20"/>
                <w:color w:val="auto"/>
              </w:rPr>
            </w:pPr>
            <w:r>
              <w:rPr>
                <w:rFonts w:ascii="Times New Roman" w:cs="Times New Roman" w:eastAsia="Times New Roman" w:hAnsi="Times New Roman"/>
                <w:sz w:val="14"/>
                <w:szCs w:val="14"/>
                <w:color w:val="auto"/>
              </w:rPr>
              <w:t>Unrealized loss on investments</w:t>
            </w:r>
          </w:p>
        </w:tc>
        <w:tc>
          <w:tcPr>
            <w:tcW w:w="20" w:type="dxa"/>
            <w:vAlign w:val="bottom"/>
            <w:shd w:val="clear" w:color="auto" w:fill="E0E0E0"/>
          </w:tcPr>
          <w:p>
            <w:pPr>
              <w:spacing w:after="0"/>
              <w:rPr>
                <w:sz w:val="13"/>
                <w:szCs w:val="13"/>
                <w:color w:val="auto"/>
              </w:rPr>
            </w:pPr>
          </w:p>
        </w:tc>
        <w:tc>
          <w:tcPr>
            <w:tcW w:w="100" w:type="dxa"/>
            <w:vAlign w:val="bottom"/>
            <w:tcBorders>
              <w:bottom w:val="single" w:sz="8" w:color="E0E0E0"/>
            </w:tcBorders>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tcBorders>
              <w:bottom w:val="single" w:sz="8" w:color="E0E0E0"/>
            </w:tcBorders>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80" w:type="dxa"/>
            <w:vAlign w:val="bottom"/>
            <w:tcBorders>
              <w:bottom w:val="single" w:sz="8" w:color="E0E0E0"/>
            </w:tcBorders>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0E0E0"/>
          </w:tcPr>
          <w:p>
            <w:pPr>
              <w:spacing w:after="0"/>
              <w:rPr>
                <w:sz w:val="13"/>
                <w:szCs w:val="13"/>
                <w:color w:val="auto"/>
              </w:rPr>
            </w:pPr>
          </w:p>
        </w:tc>
        <w:tc>
          <w:tcPr>
            <w:tcW w:w="100" w:type="dxa"/>
            <w:vAlign w:val="bottom"/>
            <w:tcBorders>
              <w:bottom w:val="single" w:sz="8" w:color="E0E0E0"/>
            </w:tcBorders>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tcBorders>
              <w:bottom w:val="single" w:sz="8" w:color="E0E0E0"/>
            </w:tcBorders>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tcBorders>
              <w:bottom w:val="single" w:sz="8" w:color="E0E0E0"/>
            </w:tcBorders>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380" w:type="dxa"/>
            <w:vAlign w:val="bottom"/>
            <w:tcBorders>
              <w:bottom w:val="single" w:sz="8" w:color="E0E0E0"/>
            </w:tcBorders>
            <w:shd w:val="clear" w:color="auto" w:fill="E0E0E0"/>
          </w:tcPr>
          <w:p>
            <w:pPr>
              <w:spacing w:after="0"/>
              <w:rPr>
                <w:sz w:val="13"/>
                <w:szCs w:val="13"/>
                <w:color w:val="auto"/>
              </w:rPr>
            </w:pPr>
          </w:p>
        </w:tc>
        <w:tc>
          <w:tcPr>
            <w:tcW w:w="1120" w:type="dxa"/>
            <w:vAlign w:val="bottom"/>
            <w:tcBorders>
              <w:bottom w:val="single" w:sz="8" w:color="E0E0E0"/>
            </w:tcBorders>
            <w:shd w:val="clear" w:color="auto" w:fill="E0E0E0"/>
          </w:tcPr>
          <w:p>
            <w:pPr>
              <w:ind w:left="98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E0E0E0"/>
          </w:tcPr>
          <w:p>
            <w:pPr>
              <w:spacing w:after="0"/>
              <w:rPr>
                <w:sz w:val="13"/>
                <w:szCs w:val="13"/>
                <w:color w:val="auto"/>
              </w:rPr>
            </w:pPr>
          </w:p>
        </w:tc>
        <w:tc>
          <w:tcPr>
            <w:tcW w:w="100" w:type="dxa"/>
            <w:vAlign w:val="bottom"/>
            <w:tcBorders>
              <w:bottom w:val="single" w:sz="8" w:color="E0E0E0"/>
            </w:tcBorders>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tcBorders>
              <w:bottom w:val="single" w:sz="8" w:color="E0E0E0"/>
            </w:tcBorders>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tcBorders>
              <w:bottom w:val="single" w:sz="8" w:color="E0E0E0"/>
            </w:tcBorders>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20" w:type="dxa"/>
            <w:vAlign w:val="bottom"/>
            <w:tcBorders>
              <w:bottom w:val="single" w:sz="8" w:color="E0E0E0"/>
            </w:tcBorders>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0E0E0"/>
          </w:tcPr>
          <w:p>
            <w:pPr>
              <w:spacing w:after="0"/>
              <w:rPr>
                <w:sz w:val="13"/>
                <w:szCs w:val="13"/>
                <w:color w:val="auto"/>
              </w:rPr>
            </w:pPr>
          </w:p>
        </w:tc>
        <w:tc>
          <w:tcPr>
            <w:tcW w:w="240" w:type="dxa"/>
            <w:vAlign w:val="bottom"/>
            <w:tcBorders>
              <w:bottom w:val="single" w:sz="8" w:color="E0E0E0"/>
            </w:tcBorders>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tcBorders>
              <w:bottom w:val="single" w:sz="8" w:color="E0E0E0"/>
            </w:tcBorders>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00" w:type="dxa"/>
            <w:vAlign w:val="bottom"/>
            <w:tcBorders>
              <w:bottom w:val="single" w:sz="8" w:color="E0E0E0"/>
            </w:tcBorders>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0E0E0"/>
          </w:tcPr>
          <w:p>
            <w:pPr>
              <w:spacing w:after="0"/>
              <w:rPr>
                <w:sz w:val="13"/>
                <w:szCs w:val="13"/>
                <w:color w:val="auto"/>
              </w:rPr>
            </w:pPr>
          </w:p>
        </w:tc>
        <w:tc>
          <w:tcPr>
            <w:tcW w:w="120" w:type="dxa"/>
            <w:vAlign w:val="bottom"/>
            <w:tcBorders>
              <w:bottom w:val="single" w:sz="8" w:color="E0E0E0"/>
            </w:tcBorders>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tcBorders>
              <w:bottom w:val="single" w:sz="8" w:color="E0E0E0"/>
            </w:tcBorders>
            <w:shd w:val="clear" w:color="auto" w:fill="E0E0E0"/>
          </w:tcPr>
          <w:p>
            <w:pPr>
              <w:spacing w:after="0"/>
              <w:rPr>
                <w:sz w:val="13"/>
                <w:szCs w:val="13"/>
                <w:color w:val="auto"/>
              </w:rPr>
            </w:pPr>
          </w:p>
        </w:tc>
        <w:tc>
          <w:tcPr>
            <w:tcW w:w="20" w:type="dxa"/>
            <w:vAlign w:val="bottom"/>
            <w:tcBorders>
              <w:bottom w:val="single" w:sz="8" w:color="E0E0E0"/>
            </w:tcBorders>
            <w:shd w:val="clear" w:color="auto" w:fill="E0E0E0"/>
          </w:tcPr>
          <w:p>
            <w:pPr>
              <w:spacing w:after="0"/>
              <w:rPr>
                <w:sz w:val="13"/>
                <w:szCs w:val="13"/>
                <w:color w:val="auto"/>
              </w:rPr>
            </w:pPr>
          </w:p>
        </w:tc>
        <w:tc>
          <w:tcPr>
            <w:tcW w:w="120" w:type="dxa"/>
            <w:vAlign w:val="bottom"/>
            <w:tcBorders>
              <w:bottom w:val="single" w:sz="8" w:color="E0E0E0"/>
            </w:tcBorders>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20" w:type="dxa"/>
            <w:vAlign w:val="bottom"/>
            <w:tcBorders>
              <w:bottom w:val="single" w:sz="8" w:color="E0E0E0"/>
            </w:tcBorders>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0E0E0"/>
          </w:tcPr>
          <w:p>
            <w:pPr>
              <w:spacing w:after="0"/>
              <w:rPr>
                <w:sz w:val="13"/>
                <w:szCs w:val="13"/>
                <w:color w:val="auto"/>
              </w:rPr>
            </w:pPr>
          </w:p>
        </w:tc>
        <w:tc>
          <w:tcPr>
            <w:tcW w:w="100" w:type="dxa"/>
            <w:vAlign w:val="bottom"/>
            <w:tcBorders>
              <w:bottom w:val="single" w:sz="8" w:color="E0E0E0"/>
            </w:tcBorders>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tcBorders>
              <w:bottom w:val="single" w:sz="8" w:color="E0E0E0"/>
            </w:tcBorders>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tcBorders>
              <w:bottom w:val="single" w:sz="8" w:color="E0E0E0"/>
            </w:tcBorders>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40" w:type="dxa"/>
            <w:vAlign w:val="bottom"/>
            <w:tcBorders>
              <w:bottom w:val="single" w:sz="8" w:color="E0E0E0"/>
            </w:tcBorders>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0E0E0"/>
          </w:tcPr>
          <w:p>
            <w:pPr>
              <w:spacing w:after="0"/>
              <w:rPr>
                <w:sz w:val="13"/>
                <w:szCs w:val="13"/>
                <w:color w:val="auto"/>
              </w:rPr>
            </w:pPr>
          </w:p>
        </w:tc>
        <w:tc>
          <w:tcPr>
            <w:tcW w:w="100" w:type="dxa"/>
            <w:vAlign w:val="bottom"/>
            <w:tcBorders>
              <w:bottom w:val="single" w:sz="8" w:color="E0E0E0"/>
            </w:tcBorders>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80" w:type="dxa"/>
            <w:vAlign w:val="bottom"/>
          </w:tcPr>
          <w:p>
            <w:pPr>
              <w:spacing w:after="0"/>
              <w:rPr>
                <w:sz w:val="13"/>
                <w:szCs w:val="13"/>
                <w:color w:val="auto"/>
              </w:rPr>
            </w:pPr>
          </w:p>
        </w:tc>
        <w:tc>
          <w:tcPr>
            <w:tcW w:w="3360" w:type="dxa"/>
            <w:vAlign w:val="bottom"/>
            <w:tcBorders>
              <w:bottom w:val="single" w:sz="8" w:color="E0E0E0"/>
            </w:tcBorders>
          </w:tcPr>
          <w:p>
            <w:pPr>
              <w:spacing w:after="0" w:line="154" w:lineRule="exact"/>
              <w:rPr>
                <w:sz w:val="20"/>
                <w:szCs w:val="20"/>
                <w:color w:val="auto"/>
              </w:rPr>
            </w:pPr>
            <w:r>
              <w:rPr>
                <w:rFonts w:ascii="Times New Roman" w:cs="Times New Roman" w:eastAsia="Times New Roman" w:hAnsi="Times New Roman"/>
                <w:sz w:val="14"/>
                <w:szCs w:val="14"/>
                <w:color w:val="auto"/>
              </w:rPr>
              <w:t>Unrealized gain on investments</w:t>
            </w:r>
          </w:p>
        </w:tc>
        <w:tc>
          <w:tcPr>
            <w:tcW w:w="20" w:type="dxa"/>
            <w:vAlign w:val="bottom"/>
            <w:tcBorders>
              <w:bottom w:val="single" w:sz="8" w:color="E0E0E0"/>
            </w:tcBorders>
          </w:tcPr>
          <w:p>
            <w:pPr>
              <w:spacing w:after="0"/>
              <w:rPr>
                <w:sz w:val="13"/>
                <w:szCs w:val="13"/>
                <w:color w:val="auto"/>
              </w:rPr>
            </w:pPr>
          </w:p>
        </w:tc>
        <w:tc>
          <w:tcPr>
            <w:tcW w:w="10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0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180" w:type="dxa"/>
            <w:vAlign w:val="bottom"/>
            <w:tcBorders>
              <w:bottom w:val="single" w:sz="8" w:color="E0E0E0"/>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E0E0E0"/>
            </w:tcBorders>
          </w:tcPr>
          <w:p>
            <w:pPr>
              <w:spacing w:after="0"/>
              <w:rPr>
                <w:sz w:val="13"/>
                <w:szCs w:val="13"/>
                <w:color w:val="auto"/>
              </w:rPr>
            </w:pPr>
          </w:p>
        </w:tc>
        <w:tc>
          <w:tcPr>
            <w:tcW w:w="10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2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0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380" w:type="dxa"/>
            <w:vAlign w:val="bottom"/>
            <w:tcBorders>
              <w:bottom w:val="single" w:sz="8" w:color="E0E0E0"/>
            </w:tcBorders>
          </w:tcPr>
          <w:p>
            <w:pPr>
              <w:spacing w:after="0"/>
              <w:rPr>
                <w:sz w:val="13"/>
                <w:szCs w:val="13"/>
                <w:color w:val="auto"/>
              </w:rPr>
            </w:pPr>
          </w:p>
        </w:tc>
        <w:tc>
          <w:tcPr>
            <w:tcW w:w="1120" w:type="dxa"/>
            <w:vAlign w:val="bottom"/>
            <w:tcBorders>
              <w:bottom w:val="single" w:sz="8" w:color="E0E0E0"/>
            </w:tcBorders>
          </w:tcPr>
          <w:p>
            <w:pPr>
              <w:ind w:left="980"/>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E0E0E0"/>
            </w:tcBorders>
          </w:tcPr>
          <w:p>
            <w:pPr>
              <w:spacing w:after="0"/>
              <w:rPr>
                <w:sz w:val="13"/>
                <w:szCs w:val="13"/>
                <w:color w:val="auto"/>
              </w:rPr>
            </w:pPr>
          </w:p>
        </w:tc>
        <w:tc>
          <w:tcPr>
            <w:tcW w:w="10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2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0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120" w:type="dxa"/>
            <w:vAlign w:val="bottom"/>
            <w:tcBorders>
              <w:bottom w:val="single" w:sz="8" w:color="E0E0E0"/>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E0E0E0"/>
            </w:tcBorders>
          </w:tcPr>
          <w:p>
            <w:pPr>
              <w:spacing w:after="0"/>
              <w:rPr>
                <w:sz w:val="13"/>
                <w:szCs w:val="13"/>
                <w:color w:val="auto"/>
              </w:rPr>
            </w:pPr>
          </w:p>
        </w:tc>
        <w:tc>
          <w:tcPr>
            <w:tcW w:w="24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2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100" w:type="dxa"/>
            <w:vAlign w:val="bottom"/>
            <w:tcBorders>
              <w:bottom w:val="single" w:sz="8" w:color="E0E0E0"/>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635</w:t>
            </w:r>
          </w:p>
        </w:tc>
        <w:tc>
          <w:tcPr>
            <w:tcW w:w="20" w:type="dxa"/>
            <w:vAlign w:val="bottom"/>
            <w:tcBorders>
              <w:bottom w:val="single" w:sz="8" w:color="E0E0E0"/>
            </w:tcBorders>
          </w:tcPr>
          <w:p>
            <w:pPr>
              <w:spacing w:after="0"/>
              <w:rPr>
                <w:sz w:val="13"/>
                <w:szCs w:val="13"/>
                <w:color w:val="auto"/>
              </w:rPr>
            </w:pPr>
          </w:p>
        </w:tc>
        <w:tc>
          <w:tcPr>
            <w:tcW w:w="12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0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2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120" w:type="dxa"/>
            <w:vAlign w:val="bottom"/>
            <w:tcBorders>
              <w:bottom w:val="single" w:sz="8" w:color="E0E0E0"/>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E0E0E0"/>
            </w:tcBorders>
          </w:tcPr>
          <w:p>
            <w:pPr>
              <w:spacing w:after="0"/>
              <w:rPr>
                <w:sz w:val="13"/>
                <w:szCs w:val="13"/>
                <w:color w:val="auto"/>
              </w:rPr>
            </w:pPr>
          </w:p>
        </w:tc>
        <w:tc>
          <w:tcPr>
            <w:tcW w:w="10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2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0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140" w:type="dxa"/>
            <w:vAlign w:val="bottom"/>
            <w:tcBorders>
              <w:bottom w:val="single" w:sz="8" w:color="E0E0E0"/>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635</w:t>
            </w:r>
          </w:p>
        </w:tc>
        <w:tc>
          <w:tcPr>
            <w:tcW w:w="20" w:type="dxa"/>
            <w:vAlign w:val="bottom"/>
            <w:tcBorders>
              <w:bottom w:val="single" w:sz="8" w:color="E0E0E0"/>
            </w:tcBorders>
          </w:tcPr>
          <w:p>
            <w:pPr>
              <w:spacing w:after="0"/>
              <w:rPr>
                <w:sz w:val="13"/>
                <w:szCs w:val="13"/>
                <w:color w:val="auto"/>
              </w:rPr>
            </w:pPr>
          </w:p>
        </w:tc>
        <w:tc>
          <w:tcPr>
            <w:tcW w:w="10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360" w:type="dxa"/>
            <w:vAlign w:val="bottom"/>
            <w:shd w:val="clear" w:color="auto" w:fill="E0E0E0"/>
          </w:tcPr>
          <w:p>
            <w:pPr>
              <w:spacing w:after="0" w:line="157" w:lineRule="exact"/>
              <w:rPr>
                <w:sz w:val="20"/>
                <w:szCs w:val="20"/>
                <w:color w:val="auto"/>
              </w:rPr>
            </w:pPr>
            <w:r>
              <w:rPr>
                <w:rFonts w:ascii="Times New Roman" w:cs="Times New Roman" w:eastAsia="Times New Roman" w:hAnsi="Times New Roman"/>
                <w:sz w:val="14"/>
                <w:szCs w:val="14"/>
                <w:color w:val="auto"/>
              </w:rPr>
              <w:t>Foreign currency translation gain</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tcBorders>
              <w:bottom w:val="single" w:sz="8" w:color="auto"/>
            </w:tcBorders>
            <w:shd w:val="clear" w:color="auto" w:fill="E0E0E0"/>
          </w:tcPr>
          <w:p>
            <w:pPr>
              <w:spacing w:after="0"/>
              <w:rPr>
                <w:sz w:val="13"/>
                <w:szCs w:val="13"/>
                <w:color w:val="auto"/>
              </w:rPr>
            </w:pPr>
          </w:p>
        </w:tc>
        <w:tc>
          <w:tcPr>
            <w:tcW w:w="20" w:type="dxa"/>
            <w:vAlign w:val="bottom"/>
            <w:tcBorders>
              <w:bottom w:val="single" w:sz="8" w:color="auto"/>
            </w:tcBorders>
            <w:shd w:val="clear" w:color="auto" w:fill="E0E0E0"/>
          </w:tcPr>
          <w:p>
            <w:pPr>
              <w:spacing w:after="0"/>
              <w:rPr>
                <w:sz w:val="13"/>
                <w:szCs w:val="13"/>
                <w:color w:val="auto"/>
              </w:rPr>
            </w:pPr>
          </w:p>
        </w:tc>
        <w:tc>
          <w:tcPr>
            <w:tcW w:w="1180" w:type="dxa"/>
            <w:vAlign w:val="bottom"/>
            <w:tcBorders>
              <w:bottom w:val="single" w:sz="8" w:color="auto"/>
            </w:tcBorders>
            <w:shd w:val="clear" w:color="auto" w:fill="E0E0E0"/>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tcBorders>
              <w:bottom w:val="single" w:sz="8" w:color="auto"/>
            </w:tcBorders>
            <w:shd w:val="clear" w:color="auto" w:fill="E0E0E0"/>
          </w:tcPr>
          <w:p>
            <w:pPr>
              <w:spacing w:after="0"/>
              <w:rPr>
                <w:sz w:val="13"/>
                <w:szCs w:val="13"/>
                <w:color w:val="auto"/>
              </w:rPr>
            </w:pPr>
          </w:p>
        </w:tc>
        <w:tc>
          <w:tcPr>
            <w:tcW w:w="20" w:type="dxa"/>
            <w:vAlign w:val="bottom"/>
            <w:tcBorders>
              <w:bottom w:val="single" w:sz="8" w:color="auto"/>
            </w:tcBorders>
            <w:shd w:val="clear" w:color="auto" w:fill="E0E0E0"/>
          </w:tcPr>
          <w:p>
            <w:pPr>
              <w:spacing w:after="0"/>
              <w:rPr>
                <w:sz w:val="13"/>
                <w:szCs w:val="13"/>
                <w:color w:val="auto"/>
              </w:rPr>
            </w:pPr>
          </w:p>
        </w:tc>
        <w:tc>
          <w:tcPr>
            <w:tcW w:w="380" w:type="dxa"/>
            <w:vAlign w:val="bottom"/>
            <w:tcBorders>
              <w:bottom w:val="single" w:sz="8" w:color="auto"/>
            </w:tcBorders>
            <w:shd w:val="clear" w:color="auto" w:fill="E0E0E0"/>
          </w:tcPr>
          <w:p>
            <w:pPr>
              <w:spacing w:after="0"/>
              <w:rPr>
                <w:sz w:val="13"/>
                <w:szCs w:val="13"/>
                <w:color w:val="auto"/>
              </w:rPr>
            </w:pPr>
          </w:p>
        </w:tc>
        <w:tc>
          <w:tcPr>
            <w:tcW w:w="1120" w:type="dxa"/>
            <w:vAlign w:val="bottom"/>
            <w:tcBorders>
              <w:bottom w:val="single" w:sz="8" w:color="auto"/>
            </w:tcBorders>
            <w:shd w:val="clear" w:color="auto" w:fill="E0E0E0"/>
          </w:tcPr>
          <w:p>
            <w:pPr>
              <w:ind w:left="980"/>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auto"/>
            </w:tcBorders>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tcBorders>
              <w:bottom w:val="single" w:sz="8" w:color="auto"/>
            </w:tcBorders>
            <w:shd w:val="clear" w:color="auto" w:fill="E0E0E0"/>
          </w:tcPr>
          <w:p>
            <w:pPr>
              <w:spacing w:after="0"/>
              <w:rPr>
                <w:sz w:val="13"/>
                <w:szCs w:val="13"/>
                <w:color w:val="auto"/>
              </w:rPr>
            </w:pPr>
          </w:p>
        </w:tc>
        <w:tc>
          <w:tcPr>
            <w:tcW w:w="20" w:type="dxa"/>
            <w:vAlign w:val="bottom"/>
            <w:tcBorders>
              <w:bottom w:val="single" w:sz="8" w:color="auto"/>
            </w:tcBorders>
            <w:shd w:val="clear" w:color="auto" w:fill="E0E0E0"/>
          </w:tcPr>
          <w:p>
            <w:pPr>
              <w:spacing w:after="0"/>
              <w:rPr>
                <w:sz w:val="13"/>
                <w:szCs w:val="13"/>
                <w:color w:val="auto"/>
              </w:rPr>
            </w:pPr>
          </w:p>
        </w:tc>
        <w:tc>
          <w:tcPr>
            <w:tcW w:w="1120" w:type="dxa"/>
            <w:vAlign w:val="bottom"/>
            <w:tcBorders>
              <w:bottom w:val="single" w:sz="8" w:color="auto"/>
            </w:tcBorders>
            <w:shd w:val="clear" w:color="auto" w:fill="E0E0E0"/>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E0E0E0"/>
          </w:tcPr>
          <w:p>
            <w:pPr>
              <w:spacing w:after="0"/>
              <w:rPr>
                <w:sz w:val="13"/>
                <w:szCs w:val="13"/>
                <w:color w:val="auto"/>
              </w:rPr>
            </w:pPr>
          </w:p>
        </w:tc>
        <w:tc>
          <w:tcPr>
            <w:tcW w:w="24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tcBorders>
              <w:bottom w:val="single" w:sz="8" w:color="auto"/>
            </w:tcBorders>
            <w:shd w:val="clear" w:color="auto" w:fill="E0E0E0"/>
          </w:tcPr>
          <w:p>
            <w:pPr>
              <w:spacing w:after="0"/>
              <w:rPr>
                <w:sz w:val="13"/>
                <w:szCs w:val="13"/>
                <w:color w:val="auto"/>
              </w:rPr>
            </w:pPr>
          </w:p>
        </w:tc>
        <w:tc>
          <w:tcPr>
            <w:tcW w:w="20" w:type="dxa"/>
            <w:vAlign w:val="bottom"/>
            <w:tcBorders>
              <w:bottom w:val="single" w:sz="8" w:color="auto"/>
            </w:tcBorders>
            <w:shd w:val="clear" w:color="auto" w:fill="E0E0E0"/>
          </w:tcPr>
          <w:p>
            <w:pPr>
              <w:spacing w:after="0"/>
              <w:rPr>
                <w:sz w:val="13"/>
                <w:szCs w:val="13"/>
                <w:color w:val="auto"/>
              </w:rPr>
            </w:pPr>
          </w:p>
        </w:tc>
        <w:tc>
          <w:tcPr>
            <w:tcW w:w="1100" w:type="dxa"/>
            <w:vAlign w:val="bottom"/>
            <w:tcBorders>
              <w:bottom w:val="single" w:sz="8" w:color="auto"/>
            </w:tcBorders>
            <w:shd w:val="clear" w:color="auto" w:fill="E0E0E0"/>
          </w:tcPr>
          <w:p>
            <w:pPr>
              <w:jc w:val="right"/>
              <w:spacing w:after="0" w:line="157" w:lineRule="exact"/>
              <w:rPr>
                <w:sz w:val="20"/>
                <w:szCs w:val="20"/>
                <w:color w:val="auto"/>
              </w:rPr>
            </w:pPr>
            <w:r>
              <w:rPr>
                <w:rFonts w:ascii="Times New Roman" w:cs="Times New Roman" w:eastAsia="Times New Roman" w:hAnsi="Times New Roman"/>
                <w:sz w:val="14"/>
                <w:szCs w:val="14"/>
                <w:color w:val="auto"/>
              </w:rPr>
              <w:t>34</w:t>
            </w:r>
          </w:p>
        </w:tc>
        <w:tc>
          <w:tcPr>
            <w:tcW w:w="20" w:type="dxa"/>
            <w:vAlign w:val="bottom"/>
            <w:tcBorders>
              <w:bottom w:val="single" w:sz="8" w:color="auto"/>
            </w:tcBorders>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tcBorders>
              <w:bottom w:val="single" w:sz="8" w:color="auto"/>
            </w:tcBorders>
            <w:shd w:val="clear" w:color="auto" w:fill="E0E0E0"/>
          </w:tcPr>
          <w:p>
            <w:pPr>
              <w:spacing w:after="0"/>
              <w:rPr>
                <w:sz w:val="13"/>
                <w:szCs w:val="13"/>
                <w:color w:val="auto"/>
              </w:rPr>
            </w:pPr>
          </w:p>
        </w:tc>
        <w:tc>
          <w:tcPr>
            <w:tcW w:w="20" w:type="dxa"/>
            <w:vAlign w:val="bottom"/>
            <w:tcBorders>
              <w:bottom w:val="single" w:sz="8" w:color="auto"/>
            </w:tcBorders>
            <w:shd w:val="clear" w:color="auto" w:fill="E0E0E0"/>
          </w:tcPr>
          <w:p>
            <w:pPr>
              <w:spacing w:after="0"/>
              <w:rPr>
                <w:sz w:val="13"/>
                <w:szCs w:val="13"/>
                <w:color w:val="auto"/>
              </w:rPr>
            </w:pPr>
          </w:p>
        </w:tc>
        <w:tc>
          <w:tcPr>
            <w:tcW w:w="1120" w:type="dxa"/>
            <w:vAlign w:val="bottom"/>
            <w:tcBorders>
              <w:bottom w:val="single" w:sz="8" w:color="auto"/>
            </w:tcBorders>
            <w:shd w:val="clear" w:color="auto" w:fill="E0E0E0"/>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tcBorders>
              <w:bottom w:val="single" w:sz="8" w:color="auto"/>
            </w:tcBorders>
            <w:shd w:val="clear" w:color="auto" w:fill="E0E0E0"/>
          </w:tcPr>
          <w:p>
            <w:pPr>
              <w:spacing w:after="0"/>
              <w:rPr>
                <w:sz w:val="13"/>
                <w:szCs w:val="13"/>
                <w:color w:val="auto"/>
              </w:rPr>
            </w:pPr>
          </w:p>
        </w:tc>
        <w:tc>
          <w:tcPr>
            <w:tcW w:w="20" w:type="dxa"/>
            <w:vAlign w:val="bottom"/>
            <w:tcBorders>
              <w:bottom w:val="single" w:sz="8" w:color="auto"/>
            </w:tcBorders>
            <w:shd w:val="clear" w:color="auto" w:fill="E0E0E0"/>
          </w:tcPr>
          <w:p>
            <w:pPr>
              <w:spacing w:after="0"/>
              <w:rPr>
                <w:sz w:val="13"/>
                <w:szCs w:val="13"/>
                <w:color w:val="auto"/>
              </w:rPr>
            </w:pPr>
          </w:p>
        </w:tc>
        <w:tc>
          <w:tcPr>
            <w:tcW w:w="1140" w:type="dxa"/>
            <w:vAlign w:val="bottom"/>
            <w:tcBorders>
              <w:bottom w:val="single" w:sz="8" w:color="auto"/>
            </w:tcBorders>
            <w:shd w:val="clear" w:color="auto" w:fill="E0E0E0"/>
          </w:tcPr>
          <w:p>
            <w:pPr>
              <w:jc w:val="right"/>
              <w:spacing w:after="0" w:line="157" w:lineRule="exact"/>
              <w:rPr>
                <w:sz w:val="20"/>
                <w:szCs w:val="20"/>
                <w:color w:val="auto"/>
              </w:rPr>
            </w:pPr>
            <w:r>
              <w:rPr>
                <w:rFonts w:ascii="Times New Roman" w:cs="Times New Roman" w:eastAsia="Times New Roman" w:hAnsi="Times New Roman"/>
                <w:sz w:val="14"/>
                <w:szCs w:val="14"/>
                <w:color w:val="auto"/>
              </w:rPr>
              <w:t>34</w:t>
            </w:r>
          </w:p>
        </w:tc>
        <w:tc>
          <w:tcPr>
            <w:tcW w:w="20" w:type="dxa"/>
            <w:vAlign w:val="bottom"/>
            <w:tcBorders>
              <w:bottom w:val="single" w:sz="8" w:color="auto"/>
            </w:tcBorders>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500" w:type="dxa"/>
            <w:vAlign w:val="bottom"/>
            <w:tcBorders>
              <w:bottom w:val="single" w:sz="8" w:color="E0E0E0"/>
            </w:tcBorders>
            <w:gridSpan w:val="4"/>
          </w:tcPr>
          <w:p>
            <w:pPr>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3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51,445,862</w:t>
            </w:r>
          </w:p>
        </w:tc>
        <w:tc>
          <w:tcPr>
            <w:tcW w:w="260" w:type="dxa"/>
            <w:vAlign w:val="bottom"/>
            <w:tcBorders>
              <w:bottom w:val="single" w:sz="8" w:color="E0E0E0"/>
            </w:tcBorders>
            <w:gridSpan w:val="4"/>
          </w:tcPr>
          <w:p>
            <w:pPr>
              <w:spacing w:after="0"/>
              <w:rPr>
                <w:sz w:val="14"/>
                <w:szCs w:val="14"/>
                <w:color w:val="auto"/>
              </w:rPr>
            </w:pP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Borders>
              <w:bottom w:val="single" w:sz="8" w:color="E0E0E0"/>
            </w:tcBorders>
            <w:gridSpan w:val="4"/>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535,468</w:t>
            </w:r>
          </w:p>
        </w:tc>
        <w:tc>
          <w:tcPr>
            <w:tcW w:w="24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2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0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(310,003</w:t>
            </w:r>
          </w:p>
        </w:tc>
        <w:tc>
          <w:tcPr>
            <w:tcW w:w="100" w:type="dxa"/>
            <w:vAlign w:val="bottom"/>
            <w:tcBorders>
              <w:bottom w:val="single" w:sz="8" w:color="E0E0E0"/>
            </w:tcBorders>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E0E0E0"/>
            </w:tcBorders>
          </w:tcPr>
          <w:p>
            <w:pPr>
              <w:spacing w:after="0"/>
              <w:rPr>
                <w:sz w:val="14"/>
                <w:szCs w:val="14"/>
                <w:color w:val="auto"/>
              </w:rPr>
            </w:pPr>
          </w:p>
        </w:tc>
        <w:tc>
          <w:tcPr>
            <w:tcW w:w="12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225,689</w:t>
            </w:r>
          </w:p>
        </w:tc>
        <w:tc>
          <w:tcPr>
            <w:tcW w:w="10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vMerge w:val="restart"/>
            <w:textDirection w:val="tbRl"/>
          </w:tcPr>
          <w:p>
            <w:pPr>
              <w:jc w:val="right"/>
              <w:ind w:right="337"/>
              <w:spacing w:after="0"/>
              <w:rPr>
                <w:sz w:val="20"/>
                <w:szCs w:val="20"/>
                <w:color w:val="auto"/>
              </w:rPr>
            </w:pPr>
            <w:r>
              <w:rPr>
                <w:rFonts w:ascii="PMingLiU" w:cs="PMingLiU" w:eastAsia="PMingLiU" w:hAnsi="PMingLiU"/>
                <w:sz w:val="20"/>
                <w:szCs w:val="20"/>
                <w:color w:val="auto"/>
              </w:rPr>
              <w:t/>
            </w:r>
            <w:r>
              <w:rPr>
                <w:rFonts w:ascii="Times New Roman" w:cs="Times New Roman" w:eastAsia="Times New Roman" w:hAnsi="Times New Roman"/>
                <w:sz w:val="20"/>
                <w:szCs w:val="20"/>
                <w:color w:val="auto"/>
              </w:rPr>
              <w:t>10</w:t>
            </w:r>
          </w:p>
        </w:tc>
        <w:tc>
          <w:tcPr>
            <w:tcW w:w="3360" w:type="dxa"/>
            <w:vAlign w:val="bottom"/>
            <w:shd w:val="clear" w:color="auto" w:fill="E0E0E0"/>
          </w:tcPr>
          <w:p>
            <w:pPr>
              <w:spacing w:after="0"/>
              <w:rPr>
                <w:sz w:val="20"/>
                <w:szCs w:val="20"/>
                <w:color w:val="auto"/>
              </w:rPr>
            </w:pPr>
            <w:r>
              <w:rPr>
                <w:rFonts w:ascii="Times New Roman" w:cs="Times New Roman" w:eastAsia="Times New Roman" w:hAnsi="Times New Roman"/>
                <w:sz w:val="14"/>
                <w:szCs w:val="14"/>
                <w:color w:val="auto"/>
              </w:rPr>
              <w:t>Exercise of stock options, common stock issued under the</w:t>
            </w:r>
          </w:p>
        </w:tc>
        <w:tc>
          <w:tcPr>
            <w:tcW w:w="140" w:type="dxa"/>
            <w:vAlign w:val="bottom"/>
            <w:gridSpan w:val="3"/>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8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380" w:type="dxa"/>
            <w:vAlign w:val="bottom"/>
            <w:shd w:val="clear" w:color="auto" w:fill="E0E0E0"/>
          </w:tcPr>
          <w:p>
            <w:pPr>
              <w:spacing w:after="0"/>
              <w:rPr>
                <w:sz w:val="13"/>
                <w:szCs w:val="13"/>
                <w:color w:val="auto"/>
              </w:rPr>
            </w:pPr>
          </w:p>
        </w:tc>
        <w:tc>
          <w:tcPr>
            <w:tcW w:w="1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24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4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680" w:type="dxa"/>
            <w:vAlign w:val="bottom"/>
            <w:vMerge w:val="continue"/>
          </w:tcPr>
          <w:p>
            <w:pPr>
              <w:spacing w:after="0"/>
              <w:rPr>
                <w:sz w:val="12"/>
                <w:szCs w:val="12"/>
                <w:color w:val="auto"/>
              </w:rPr>
            </w:pPr>
          </w:p>
        </w:tc>
        <w:tc>
          <w:tcPr>
            <w:tcW w:w="3360" w:type="dxa"/>
            <w:vAlign w:val="bottom"/>
            <w:tcBorders>
              <w:bottom w:val="single" w:sz="8" w:color="E0E0E0"/>
            </w:tcBorders>
            <w:shd w:val="clear" w:color="auto" w:fill="E0E0E0"/>
          </w:tcPr>
          <w:p>
            <w:pPr>
              <w:spacing w:after="0" w:line="141" w:lineRule="exact"/>
              <w:rPr>
                <w:sz w:val="20"/>
                <w:szCs w:val="20"/>
                <w:color w:val="auto"/>
              </w:rPr>
            </w:pPr>
            <w:r>
              <w:rPr>
                <w:rFonts w:ascii="Times New Roman" w:cs="Times New Roman" w:eastAsia="Times New Roman" w:hAnsi="Times New Roman"/>
                <w:sz w:val="14"/>
                <w:szCs w:val="14"/>
                <w:color w:val="auto"/>
              </w:rPr>
              <w:t>2020 ESPP, and release of vested restricted stock units</w:t>
            </w:r>
          </w:p>
        </w:tc>
        <w:tc>
          <w:tcPr>
            <w:tcW w:w="20" w:type="dxa"/>
            <w:vAlign w:val="bottom"/>
            <w:tcBorders>
              <w:bottom w:val="single" w:sz="8" w:color="E0E0E0"/>
            </w:tcBorders>
            <w:shd w:val="clear" w:color="auto" w:fill="E0E0E0"/>
          </w:tcPr>
          <w:p>
            <w:pPr>
              <w:spacing w:after="0"/>
              <w:rPr>
                <w:sz w:val="12"/>
                <w:szCs w:val="12"/>
                <w:color w:val="auto"/>
              </w:rPr>
            </w:pPr>
          </w:p>
        </w:tc>
        <w:tc>
          <w:tcPr>
            <w:tcW w:w="100" w:type="dxa"/>
            <w:vAlign w:val="bottom"/>
            <w:tcBorders>
              <w:bottom w:val="single" w:sz="8" w:color="E0E0E0"/>
            </w:tcBorders>
            <w:shd w:val="clear" w:color="auto" w:fill="E0E0E0"/>
          </w:tcPr>
          <w:p>
            <w:pPr>
              <w:spacing w:after="0"/>
              <w:rPr>
                <w:sz w:val="12"/>
                <w:szCs w:val="12"/>
                <w:color w:val="auto"/>
              </w:rPr>
            </w:pPr>
          </w:p>
        </w:tc>
        <w:tc>
          <w:tcPr>
            <w:tcW w:w="20" w:type="dxa"/>
            <w:vAlign w:val="bottom"/>
            <w:tcBorders>
              <w:bottom w:val="single" w:sz="8" w:color="E0E0E0"/>
            </w:tcBorders>
            <w:shd w:val="clear" w:color="auto" w:fill="E0E0E0"/>
          </w:tcPr>
          <w:p>
            <w:pPr>
              <w:spacing w:after="0"/>
              <w:rPr>
                <w:sz w:val="12"/>
                <w:szCs w:val="12"/>
                <w:color w:val="auto"/>
              </w:rPr>
            </w:pPr>
          </w:p>
        </w:tc>
        <w:tc>
          <w:tcPr>
            <w:tcW w:w="100" w:type="dxa"/>
            <w:vAlign w:val="bottom"/>
            <w:tcBorders>
              <w:bottom w:val="single" w:sz="8" w:color="E0E0E0"/>
            </w:tcBorders>
            <w:shd w:val="clear" w:color="auto" w:fill="E0E0E0"/>
          </w:tcPr>
          <w:p>
            <w:pPr>
              <w:spacing w:after="0"/>
              <w:rPr>
                <w:sz w:val="12"/>
                <w:szCs w:val="12"/>
                <w:color w:val="auto"/>
              </w:rPr>
            </w:pPr>
          </w:p>
        </w:tc>
        <w:tc>
          <w:tcPr>
            <w:tcW w:w="20" w:type="dxa"/>
            <w:vAlign w:val="bottom"/>
            <w:tcBorders>
              <w:bottom w:val="single" w:sz="8" w:color="E0E0E0"/>
            </w:tcBorders>
            <w:shd w:val="clear" w:color="auto" w:fill="E0E0E0"/>
          </w:tcPr>
          <w:p>
            <w:pPr>
              <w:spacing w:after="0"/>
              <w:rPr>
                <w:sz w:val="12"/>
                <w:szCs w:val="12"/>
                <w:color w:val="auto"/>
              </w:rPr>
            </w:pPr>
          </w:p>
        </w:tc>
        <w:tc>
          <w:tcPr>
            <w:tcW w:w="1180" w:type="dxa"/>
            <w:vAlign w:val="bottom"/>
            <w:tcBorders>
              <w:bottom w:val="single" w:sz="8" w:color="E0E0E0"/>
            </w:tcBorders>
            <w:shd w:val="clear" w:color="auto" w:fill="E0E0E0"/>
          </w:tcPr>
          <w:p>
            <w:pPr>
              <w:jc w:val="right"/>
              <w:spacing w:after="0" w:line="141" w:lineRule="exact"/>
              <w:rPr>
                <w:sz w:val="20"/>
                <w:szCs w:val="20"/>
                <w:color w:val="auto"/>
              </w:rPr>
            </w:pPr>
            <w:r>
              <w:rPr>
                <w:rFonts w:ascii="Times New Roman" w:cs="Times New Roman" w:eastAsia="Times New Roman" w:hAnsi="Times New Roman"/>
                <w:sz w:val="14"/>
                <w:szCs w:val="14"/>
                <w:color w:val="auto"/>
              </w:rPr>
              <w:t>489,272</w:t>
            </w:r>
          </w:p>
        </w:tc>
        <w:tc>
          <w:tcPr>
            <w:tcW w:w="20" w:type="dxa"/>
            <w:vAlign w:val="bottom"/>
            <w:tcBorders>
              <w:bottom w:val="single" w:sz="8" w:color="E0E0E0"/>
            </w:tcBorders>
            <w:shd w:val="clear" w:color="auto" w:fill="E0E0E0"/>
          </w:tcPr>
          <w:p>
            <w:pPr>
              <w:spacing w:after="0"/>
              <w:rPr>
                <w:sz w:val="12"/>
                <w:szCs w:val="12"/>
                <w:color w:val="auto"/>
              </w:rPr>
            </w:pPr>
          </w:p>
        </w:tc>
        <w:tc>
          <w:tcPr>
            <w:tcW w:w="100" w:type="dxa"/>
            <w:vAlign w:val="bottom"/>
            <w:tcBorders>
              <w:bottom w:val="single" w:sz="8" w:color="E0E0E0"/>
            </w:tcBorders>
            <w:shd w:val="clear" w:color="auto" w:fill="E0E0E0"/>
          </w:tcPr>
          <w:p>
            <w:pPr>
              <w:spacing w:after="0"/>
              <w:rPr>
                <w:sz w:val="12"/>
                <w:szCs w:val="12"/>
                <w:color w:val="auto"/>
              </w:rPr>
            </w:pPr>
          </w:p>
        </w:tc>
        <w:tc>
          <w:tcPr>
            <w:tcW w:w="20" w:type="dxa"/>
            <w:vAlign w:val="bottom"/>
            <w:tcBorders>
              <w:bottom w:val="single" w:sz="8" w:color="E0E0E0"/>
            </w:tcBorders>
            <w:shd w:val="clear" w:color="auto" w:fill="E0E0E0"/>
          </w:tcPr>
          <w:p>
            <w:pPr>
              <w:spacing w:after="0"/>
              <w:rPr>
                <w:sz w:val="12"/>
                <w:szCs w:val="12"/>
                <w:color w:val="auto"/>
              </w:rPr>
            </w:pPr>
          </w:p>
        </w:tc>
        <w:tc>
          <w:tcPr>
            <w:tcW w:w="120" w:type="dxa"/>
            <w:vAlign w:val="bottom"/>
            <w:tcBorders>
              <w:bottom w:val="single" w:sz="8" w:color="E0E0E0"/>
            </w:tcBorders>
            <w:shd w:val="clear" w:color="auto" w:fill="E0E0E0"/>
          </w:tcPr>
          <w:p>
            <w:pPr>
              <w:spacing w:after="0"/>
              <w:rPr>
                <w:sz w:val="12"/>
                <w:szCs w:val="12"/>
                <w:color w:val="auto"/>
              </w:rPr>
            </w:pPr>
          </w:p>
        </w:tc>
        <w:tc>
          <w:tcPr>
            <w:tcW w:w="20" w:type="dxa"/>
            <w:vAlign w:val="bottom"/>
            <w:tcBorders>
              <w:bottom w:val="single" w:sz="8" w:color="E0E0E0"/>
            </w:tcBorders>
            <w:shd w:val="clear" w:color="auto" w:fill="E0E0E0"/>
          </w:tcPr>
          <w:p>
            <w:pPr>
              <w:spacing w:after="0"/>
              <w:rPr>
                <w:sz w:val="12"/>
                <w:szCs w:val="12"/>
                <w:color w:val="auto"/>
              </w:rPr>
            </w:pPr>
          </w:p>
        </w:tc>
        <w:tc>
          <w:tcPr>
            <w:tcW w:w="100" w:type="dxa"/>
            <w:vAlign w:val="bottom"/>
            <w:tcBorders>
              <w:bottom w:val="single" w:sz="8" w:color="E0E0E0"/>
            </w:tcBorders>
            <w:shd w:val="clear" w:color="auto" w:fill="E0E0E0"/>
          </w:tcPr>
          <w:p>
            <w:pPr>
              <w:spacing w:after="0"/>
              <w:rPr>
                <w:sz w:val="12"/>
                <w:szCs w:val="12"/>
                <w:color w:val="auto"/>
              </w:rPr>
            </w:pPr>
          </w:p>
        </w:tc>
        <w:tc>
          <w:tcPr>
            <w:tcW w:w="20" w:type="dxa"/>
            <w:vAlign w:val="bottom"/>
            <w:tcBorders>
              <w:bottom w:val="single" w:sz="8" w:color="E0E0E0"/>
            </w:tcBorders>
            <w:shd w:val="clear" w:color="auto" w:fill="E0E0E0"/>
          </w:tcPr>
          <w:p>
            <w:pPr>
              <w:spacing w:after="0"/>
              <w:rPr>
                <w:sz w:val="12"/>
                <w:szCs w:val="12"/>
                <w:color w:val="auto"/>
              </w:rPr>
            </w:pPr>
          </w:p>
        </w:tc>
        <w:tc>
          <w:tcPr>
            <w:tcW w:w="380" w:type="dxa"/>
            <w:vAlign w:val="bottom"/>
            <w:tcBorders>
              <w:bottom w:val="single" w:sz="8" w:color="E0E0E0"/>
            </w:tcBorders>
            <w:shd w:val="clear" w:color="auto" w:fill="E0E0E0"/>
          </w:tcPr>
          <w:p>
            <w:pPr>
              <w:spacing w:after="0"/>
              <w:rPr>
                <w:sz w:val="12"/>
                <w:szCs w:val="12"/>
                <w:color w:val="auto"/>
              </w:rPr>
            </w:pPr>
          </w:p>
        </w:tc>
        <w:tc>
          <w:tcPr>
            <w:tcW w:w="1120" w:type="dxa"/>
            <w:vAlign w:val="bottom"/>
            <w:tcBorders>
              <w:bottom w:val="single" w:sz="8" w:color="E0E0E0"/>
            </w:tcBorders>
            <w:shd w:val="clear" w:color="auto" w:fill="E0E0E0"/>
          </w:tcPr>
          <w:p>
            <w:pPr>
              <w:ind w:left="980"/>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E0E0E0"/>
            </w:tcBorders>
            <w:shd w:val="clear" w:color="auto" w:fill="E0E0E0"/>
          </w:tcPr>
          <w:p>
            <w:pPr>
              <w:spacing w:after="0"/>
              <w:rPr>
                <w:sz w:val="12"/>
                <w:szCs w:val="12"/>
                <w:color w:val="auto"/>
              </w:rPr>
            </w:pPr>
          </w:p>
        </w:tc>
        <w:tc>
          <w:tcPr>
            <w:tcW w:w="100" w:type="dxa"/>
            <w:vAlign w:val="bottom"/>
            <w:tcBorders>
              <w:bottom w:val="single" w:sz="8" w:color="E0E0E0"/>
            </w:tcBorders>
            <w:shd w:val="clear" w:color="auto" w:fill="E0E0E0"/>
          </w:tcPr>
          <w:p>
            <w:pPr>
              <w:spacing w:after="0"/>
              <w:rPr>
                <w:sz w:val="12"/>
                <w:szCs w:val="12"/>
                <w:color w:val="auto"/>
              </w:rPr>
            </w:pPr>
          </w:p>
        </w:tc>
        <w:tc>
          <w:tcPr>
            <w:tcW w:w="20" w:type="dxa"/>
            <w:vAlign w:val="bottom"/>
            <w:tcBorders>
              <w:bottom w:val="single" w:sz="8" w:color="E0E0E0"/>
            </w:tcBorders>
            <w:shd w:val="clear" w:color="auto" w:fill="E0E0E0"/>
          </w:tcPr>
          <w:p>
            <w:pPr>
              <w:spacing w:after="0"/>
              <w:rPr>
                <w:sz w:val="12"/>
                <w:szCs w:val="12"/>
                <w:color w:val="auto"/>
              </w:rPr>
            </w:pPr>
          </w:p>
        </w:tc>
        <w:tc>
          <w:tcPr>
            <w:tcW w:w="120" w:type="dxa"/>
            <w:vAlign w:val="bottom"/>
            <w:tcBorders>
              <w:bottom w:val="single" w:sz="8" w:color="E0E0E0"/>
            </w:tcBorders>
            <w:shd w:val="clear" w:color="auto" w:fill="E0E0E0"/>
          </w:tcPr>
          <w:p>
            <w:pPr>
              <w:spacing w:after="0"/>
              <w:rPr>
                <w:sz w:val="12"/>
                <w:szCs w:val="12"/>
                <w:color w:val="auto"/>
              </w:rPr>
            </w:pPr>
          </w:p>
        </w:tc>
        <w:tc>
          <w:tcPr>
            <w:tcW w:w="20" w:type="dxa"/>
            <w:vAlign w:val="bottom"/>
            <w:tcBorders>
              <w:bottom w:val="single" w:sz="8" w:color="E0E0E0"/>
            </w:tcBorders>
            <w:shd w:val="clear" w:color="auto" w:fill="E0E0E0"/>
          </w:tcPr>
          <w:p>
            <w:pPr>
              <w:spacing w:after="0"/>
              <w:rPr>
                <w:sz w:val="12"/>
                <w:szCs w:val="12"/>
                <w:color w:val="auto"/>
              </w:rPr>
            </w:pPr>
          </w:p>
        </w:tc>
        <w:tc>
          <w:tcPr>
            <w:tcW w:w="100" w:type="dxa"/>
            <w:vAlign w:val="bottom"/>
            <w:tcBorders>
              <w:bottom w:val="single" w:sz="8" w:color="E0E0E0"/>
            </w:tcBorders>
            <w:shd w:val="clear" w:color="auto" w:fill="E0E0E0"/>
          </w:tcPr>
          <w:p>
            <w:pPr>
              <w:spacing w:after="0"/>
              <w:rPr>
                <w:sz w:val="12"/>
                <w:szCs w:val="12"/>
                <w:color w:val="auto"/>
              </w:rPr>
            </w:pPr>
          </w:p>
        </w:tc>
        <w:tc>
          <w:tcPr>
            <w:tcW w:w="20" w:type="dxa"/>
            <w:vAlign w:val="bottom"/>
            <w:tcBorders>
              <w:bottom w:val="single" w:sz="8" w:color="E0E0E0"/>
            </w:tcBorders>
            <w:shd w:val="clear" w:color="auto" w:fill="E0E0E0"/>
          </w:tcPr>
          <w:p>
            <w:pPr>
              <w:spacing w:after="0"/>
              <w:rPr>
                <w:sz w:val="12"/>
                <w:szCs w:val="12"/>
                <w:color w:val="auto"/>
              </w:rPr>
            </w:pPr>
          </w:p>
        </w:tc>
        <w:tc>
          <w:tcPr>
            <w:tcW w:w="1120" w:type="dxa"/>
            <w:vAlign w:val="bottom"/>
            <w:tcBorders>
              <w:bottom w:val="single" w:sz="8" w:color="E0E0E0"/>
            </w:tcBorders>
            <w:shd w:val="clear" w:color="auto" w:fill="E0E0E0"/>
          </w:tcPr>
          <w:p>
            <w:pPr>
              <w:jc w:val="right"/>
              <w:spacing w:after="0" w:line="141" w:lineRule="exact"/>
              <w:rPr>
                <w:sz w:val="20"/>
                <w:szCs w:val="20"/>
                <w:color w:val="auto"/>
              </w:rPr>
            </w:pPr>
            <w:r>
              <w:rPr>
                <w:rFonts w:ascii="Times New Roman" w:cs="Times New Roman" w:eastAsia="Times New Roman" w:hAnsi="Times New Roman"/>
                <w:sz w:val="14"/>
                <w:szCs w:val="14"/>
                <w:color w:val="auto"/>
              </w:rPr>
              <w:t>313</w:t>
            </w:r>
          </w:p>
        </w:tc>
        <w:tc>
          <w:tcPr>
            <w:tcW w:w="20" w:type="dxa"/>
            <w:vAlign w:val="bottom"/>
            <w:tcBorders>
              <w:bottom w:val="single" w:sz="8" w:color="E0E0E0"/>
            </w:tcBorders>
            <w:shd w:val="clear" w:color="auto" w:fill="E0E0E0"/>
          </w:tcPr>
          <w:p>
            <w:pPr>
              <w:spacing w:after="0"/>
              <w:rPr>
                <w:sz w:val="12"/>
                <w:szCs w:val="12"/>
                <w:color w:val="auto"/>
              </w:rPr>
            </w:pPr>
          </w:p>
        </w:tc>
        <w:tc>
          <w:tcPr>
            <w:tcW w:w="240" w:type="dxa"/>
            <w:vAlign w:val="bottom"/>
            <w:tcBorders>
              <w:bottom w:val="single" w:sz="8" w:color="E0E0E0"/>
            </w:tcBorders>
            <w:shd w:val="clear" w:color="auto" w:fill="E0E0E0"/>
          </w:tcPr>
          <w:p>
            <w:pPr>
              <w:spacing w:after="0"/>
              <w:rPr>
                <w:sz w:val="12"/>
                <w:szCs w:val="12"/>
                <w:color w:val="auto"/>
              </w:rPr>
            </w:pPr>
          </w:p>
        </w:tc>
        <w:tc>
          <w:tcPr>
            <w:tcW w:w="20" w:type="dxa"/>
            <w:vAlign w:val="bottom"/>
            <w:tcBorders>
              <w:bottom w:val="single" w:sz="8" w:color="E0E0E0"/>
            </w:tcBorders>
            <w:shd w:val="clear" w:color="auto" w:fill="E0E0E0"/>
          </w:tcPr>
          <w:p>
            <w:pPr>
              <w:spacing w:after="0"/>
              <w:rPr>
                <w:sz w:val="12"/>
                <w:szCs w:val="12"/>
                <w:color w:val="auto"/>
              </w:rPr>
            </w:pPr>
          </w:p>
        </w:tc>
        <w:tc>
          <w:tcPr>
            <w:tcW w:w="120" w:type="dxa"/>
            <w:vAlign w:val="bottom"/>
            <w:tcBorders>
              <w:bottom w:val="single" w:sz="8" w:color="E0E0E0"/>
            </w:tcBorders>
            <w:shd w:val="clear" w:color="auto" w:fill="E0E0E0"/>
          </w:tcPr>
          <w:p>
            <w:pPr>
              <w:spacing w:after="0"/>
              <w:rPr>
                <w:sz w:val="12"/>
                <w:szCs w:val="12"/>
                <w:color w:val="auto"/>
              </w:rPr>
            </w:pPr>
          </w:p>
        </w:tc>
        <w:tc>
          <w:tcPr>
            <w:tcW w:w="20" w:type="dxa"/>
            <w:vAlign w:val="bottom"/>
            <w:tcBorders>
              <w:bottom w:val="single" w:sz="8" w:color="E0E0E0"/>
            </w:tcBorders>
            <w:shd w:val="clear" w:color="auto" w:fill="E0E0E0"/>
          </w:tcPr>
          <w:p>
            <w:pPr>
              <w:spacing w:after="0"/>
              <w:rPr>
                <w:sz w:val="12"/>
                <w:szCs w:val="12"/>
                <w:color w:val="auto"/>
              </w:rPr>
            </w:pPr>
          </w:p>
        </w:tc>
        <w:tc>
          <w:tcPr>
            <w:tcW w:w="1100" w:type="dxa"/>
            <w:vAlign w:val="bottom"/>
            <w:tcBorders>
              <w:bottom w:val="single" w:sz="8" w:color="E0E0E0"/>
            </w:tcBorders>
            <w:shd w:val="clear" w:color="auto" w:fill="E0E0E0"/>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E0E0E0"/>
            </w:tcBorders>
            <w:shd w:val="clear" w:color="auto" w:fill="E0E0E0"/>
          </w:tcPr>
          <w:p>
            <w:pPr>
              <w:spacing w:after="0"/>
              <w:rPr>
                <w:sz w:val="12"/>
                <w:szCs w:val="12"/>
                <w:color w:val="auto"/>
              </w:rPr>
            </w:pPr>
          </w:p>
        </w:tc>
        <w:tc>
          <w:tcPr>
            <w:tcW w:w="120" w:type="dxa"/>
            <w:vAlign w:val="bottom"/>
            <w:tcBorders>
              <w:bottom w:val="single" w:sz="8" w:color="E0E0E0"/>
            </w:tcBorders>
            <w:shd w:val="clear" w:color="auto" w:fill="E0E0E0"/>
          </w:tcPr>
          <w:p>
            <w:pPr>
              <w:spacing w:after="0"/>
              <w:rPr>
                <w:sz w:val="12"/>
                <w:szCs w:val="12"/>
                <w:color w:val="auto"/>
              </w:rPr>
            </w:pPr>
          </w:p>
        </w:tc>
        <w:tc>
          <w:tcPr>
            <w:tcW w:w="20" w:type="dxa"/>
            <w:vAlign w:val="bottom"/>
            <w:tcBorders>
              <w:bottom w:val="single" w:sz="8" w:color="E0E0E0"/>
            </w:tcBorders>
            <w:shd w:val="clear" w:color="auto" w:fill="E0E0E0"/>
          </w:tcPr>
          <w:p>
            <w:pPr>
              <w:spacing w:after="0"/>
              <w:rPr>
                <w:sz w:val="12"/>
                <w:szCs w:val="12"/>
                <w:color w:val="auto"/>
              </w:rPr>
            </w:pPr>
          </w:p>
        </w:tc>
        <w:tc>
          <w:tcPr>
            <w:tcW w:w="100" w:type="dxa"/>
            <w:vAlign w:val="bottom"/>
            <w:tcBorders>
              <w:bottom w:val="single" w:sz="8" w:color="E0E0E0"/>
            </w:tcBorders>
            <w:shd w:val="clear" w:color="auto" w:fill="E0E0E0"/>
          </w:tcPr>
          <w:p>
            <w:pPr>
              <w:spacing w:after="0"/>
              <w:rPr>
                <w:sz w:val="12"/>
                <w:szCs w:val="12"/>
                <w:color w:val="auto"/>
              </w:rPr>
            </w:pPr>
          </w:p>
        </w:tc>
        <w:tc>
          <w:tcPr>
            <w:tcW w:w="20" w:type="dxa"/>
            <w:vAlign w:val="bottom"/>
            <w:tcBorders>
              <w:bottom w:val="single" w:sz="8" w:color="E0E0E0"/>
            </w:tcBorders>
            <w:shd w:val="clear" w:color="auto" w:fill="E0E0E0"/>
          </w:tcPr>
          <w:p>
            <w:pPr>
              <w:spacing w:after="0"/>
              <w:rPr>
                <w:sz w:val="12"/>
                <w:szCs w:val="12"/>
                <w:color w:val="auto"/>
              </w:rPr>
            </w:pPr>
          </w:p>
        </w:tc>
        <w:tc>
          <w:tcPr>
            <w:tcW w:w="120" w:type="dxa"/>
            <w:vAlign w:val="bottom"/>
            <w:tcBorders>
              <w:bottom w:val="single" w:sz="8" w:color="E0E0E0"/>
            </w:tcBorders>
            <w:shd w:val="clear" w:color="auto" w:fill="E0E0E0"/>
          </w:tcPr>
          <w:p>
            <w:pPr>
              <w:spacing w:after="0"/>
              <w:rPr>
                <w:sz w:val="12"/>
                <w:szCs w:val="12"/>
                <w:color w:val="auto"/>
              </w:rPr>
            </w:pPr>
          </w:p>
        </w:tc>
        <w:tc>
          <w:tcPr>
            <w:tcW w:w="20" w:type="dxa"/>
            <w:vAlign w:val="bottom"/>
            <w:tcBorders>
              <w:bottom w:val="single" w:sz="8" w:color="E0E0E0"/>
            </w:tcBorders>
            <w:shd w:val="clear" w:color="auto" w:fill="E0E0E0"/>
          </w:tcPr>
          <w:p>
            <w:pPr>
              <w:spacing w:after="0"/>
              <w:rPr>
                <w:sz w:val="12"/>
                <w:szCs w:val="12"/>
                <w:color w:val="auto"/>
              </w:rPr>
            </w:pPr>
          </w:p>
        </w:tc>
        <w:tc>
          <w:tcPr>
            <w:tcW w:w="1120" w:type="dxa"/>
            <w:vAlign w:val="bottom"/>
            <w:tcBorders>
              <w:bottom w:val="single" w:sz="8" w:color="E0E0E0"/>
            </w:tcBorders>
            <w:shd w:val="clear" w:color="auto" w:fill="E0E0E0"/>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E0E0E0"/>
            </w:tcBorders>
            <w:shd w:val="clear" w:color="auto" w:fill="E0E0E0"/>
          </w:tcPr>
          <w:p>
            <w:pPr>
              <w:spacing w:after="0"/>
              <w:rPr>
                <w:sz w:val="12"/>
                <w:szCs w:val="12"/>
                <w:color w:val="auto"/>
              </w:rPr>
            </w:pPr>
          </w:p>
        </w:tc>
        <w:tc>
          <w:tcPr>
            <w:tcW w:w="100" w:type="dxa"/>
            <w:vAlign w:val="bottom"/>
            <w:tcBorders>
              <w:bottom w:val="single" w:sz="8" w:color="E0E0E0"/>
            </w:tcBorders>
            <w:shd w:val="clear" w:color="auto" w:fill="E0E0E0"/>
          </w:tcPr>
          <w:p>
            <w:pPr>
              <w:spacing w:after="0"/>
              <w:rPr>
                <w:sz w:val="12"/>
                <w:szCs w:val="12"/>
                <w:color w:val="auto"/>
              </w:rPr>
            </w:pPr>
          </w:p>
        </w:tc>
        <w:tc>
          <w:tcPr>
            <w:tcW w:w="20" w:type="dxa"/>
            <w:vAlign w:val="bottom"/>
            <w:tcBorders>
              <w:bottom w:val="single" w:sz="8" w:color="E0E0E0"/>
            </w:tcBorders>
            <w:shd w:val="clear" w:color="auto" w:fill="E0E0E0"/>
          </w:tcPr>
          <w:p>
            <w:pPr>
              <w:spacing w:after="0"/>
              <w:rPr>
                <w:sz w:val="12"/>
                <w:szCs w:val="12"/>
                <w:color w:val="auto"/>
              </w:rPr>
            </w:pPr>
          </w:p>
        </w:tc>
        <w:tc>
          <w:tcPr>
            <w:tcW w:w="120" w:type="dxa"/>
            <w:vAlign w:val="bottom"/>
            <w:tcBorders>
              <w:bottom w:val="single" w:sz="8" w:color="E0E0E0"/>
            </w:tcBorders>
            <w:shd w:val="clear" w:color="auto" w:fill="E0E0E0"/>
          </w:tcPr>
          <w:p>
            <w:pPr>
              <w:spacing w:after="0"/>
              <w:rPr>
                <w:sz w:val="12"/>
                <w:szCs w:val="12"/>
                <w:color w:val="auto"/>
              </w:rPr>
            </w:pPr>
          </w:p>
        </w:tc>
        <w:tc>
          <w:tcPr>
            <w:tcW w:w="20" w:type="dxa"/>
            <w:vAlign w:val="bottom"/>
            <w:tcBorders>
              <w:bottom w:val="single" w:sz="8" w:color="E0E0E0"/>
            </w:tcBorders>
            <w:shd w:val="clear" w:color="auto" w:fill="E0E0E0"/>
          </w:tcPr>
          <w:p>
            <w:pPr>
              <w:spacing w:after="0"/>
              <w:rPr>
                <w:sz w:val="12"/>
                <w:szCs w:val="12"/>
                <w:color w:val="auto"/>
              </w:rPr>
            </w:pPr>
          </w:p>
        </w:tc>
        <w:tc>
          <w:tcPr>
            <w:tcW w:w="100" w:type="dxa"/>
            <w:vAlign w:val="bottom"/>
            <w:tcBorders>
              <w:bottom w:val="single" w:sz="8" w:color="E0E0E0"/>
            </w:tcBorders>
            <w:shd w:val="clear" w:color="auto" w:fill="E0E0E0"/>
          </w:tcPr>
          <w:p>
            <w:pPr>
              <w:spacing w:after="0"/>
              <w:rPr>
                <w:sz w:val="12"/>
                <w:szCs w:val="12"/>
                <w:color w:val="auto"/>
              </w:rPr>
            </w:pPr>
          </w:p>
        </w:tc>
        <w:tc>
          <w:tcPr>
            <w:tcW w:w="20" w:type="dxa"/>
            <w:vAlign w:val="bottom"/>
            <w:tcBorders>
              <w:bottom w:val="single" w:sz="8" w:color="E0E0E0"/>
            </w:tcBorders>
            <w:shd w:val="clear" w:color="auto" w:fill="E0E0E0"/>
          </w:tcPr>
          <w:p>
            <w:pPr>
              <w:spacing w:after="0"/>
              <w:rPr>
                <w:sz w:val="12"/>
                <w:szCs w:val="12"/>
                <w:color w:val="auto"/>
              </w:rPr>
            </w:pPr>
          </w:p>
        </w:tc>
        <w:tc>
          <w:tcPr>
            <w:tcW w:w="1140" w:type="dxa"/>
            <w:vAlign w:val="bottom"/>
            <w:tcBorders>
              <w:bottom w:val="single" w:sz="8" w:color="E0E0E0"/>
            </w:tcBorders>
            <w:shd w:val="clear" w:color="auto" w:fill="E0E0E0"/>
          </w:tcPr>
          <w:p>
            <w:pPr>
              <w:jc w:val="right"/>
              <w:spacing w:after="0" w:line="141" w:lineRule="exact"/>
              <w:rPr>
                <w:sz w:val="20"/>
                <w:szCs w:val="20"/>
                <w:color w:val="auto"/>
              </w:rPr>
            </w:pPr>
            <w:r>
              <w:rPr>
                <w:rFonts w:ascii="Times New Roman" w:cs="Times New Roman" w:eastAsia="Times New Roman" w:hAnsi="Times New Roman"/>
                <w:sz w:val="14"/>
                <w:szCs w:val="14"/>
                <w:color w:val="auto"/>
              </w:rPr>
              <w:t>313</w:t>
            </w:r>
          </w:p>
        </w:tc>
        <w:tc>
          <w:tcPr>
            <w:tcW w:w="20" w:type="dxa"/>
            <w:vAlign w:val="bottom"/>
            <w:tcBorders>
              <w:bottom w:val="single" w:sz="8" w:color="E0E0E0"/>
            </w:tcBorders>
            <w:shd w:val="clear" w:color="auto" w:fill="E0E0E0"/>
          </w:tcPr>
          <w:p>
            <w:pPr>
              <w:spacing w:after="0"/>
              <w:rPr>
                <w:sz w:val="12"/>
                <w:szCs w:val="12"/>
                <w:color w:val="auto"/>
              </w:rPr>
            </w:pPr>
          </w:p>
        </w:tc>
        <w:tc>
          <w:tcPr>
            <w:tcW w:w="100" w:type="dxa"/>
            <w:vAlign w:val="bottom"/>
            <w:tcBorders>
              <w:bottom w:val="single" w:sz="8" w:color="E0E0E0"/>
            </w:tcBorders>
            <w:shd w:val="clear" w:color="auto" w:fill="E0E0E0"/>
          </w:tcPr>
          <w:p>
            <w:pPr>
              <w:spacing w:after="0"/>
              <w:rPr>
                <w:sz w:val="12"/>
                <w:szCs w:val="12"/>
                <w:color w:val="auto"/>
              </w:rPr>
            </w:pPr>
          </w:p>
        </w:tc>
        <w:tc>
          <w:tcPr>
            <w:tcW w:w="20" w:type="dxa"/>
            <w:vAlign w:val="bottom"/>
            <w:tcBorders>
              <w:bottom w:val="single" w:sz="8" w:color="E0E0E0"/>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80" w:type="dxa"/>
            <w:vAlign w:val="bottom"/>
          </w:tcPr>
          <w:p>
            <w:pPr>
              <w:spacing w:after="0"/>
              <w:rPr>
                <w:sz w:val="15"/>
                <w:szCs w:val="15"/>
                <w:color w:val="auto"/>
              </w:rPr>
            </w:pPr>
          </w:p>
        </w:tc>
        <w:tc>
          <w:tcPr>
            <w:tcW w:w="3500" w:type="dxa"/>
            <w:vAlign w:val="bottom"/>
            <w:tcBorders>
              <w:bottom w:val="single" w:sz="8" w:color="E0E0E0"/>
            </w:tcBorders>
            <w:gridSpan w:val="4"/>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0" w:type="dxa"/>
            <w:vAlign w:val="bottom"/>
            <w:tcBorders>
              <w:bottom w:val="single" w:sz="8" w:color="E0E0E0"/>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380" w:type="dxa"/>
            <w:vAlign w:val="bottom"/>
            <w:tcBorders>
              <w:bottom w:val="single" w:sz="8" w:color="E0E0E0"/>
            </w:tcBorders>
          </w:tcPr>
          <w:p>
            <w:pPr>
              <w:spacing w:after="0"/>
              <w:rPr>
                <w:sz w:val="15"/>
                <w:szCs w:val="15"/>
                <w:color w:val="auto"/>
              </w:rPr>
            </w:pPr>
          </w:p>
        </w:tc>
        <w:tc>
          <w:tcPr>
            <w:tcW w:w="1140" w:type="dxa"/>
            <w:vAlign w:val="bottom"/>
            <w:tcBorders>
              <w:bottom w:val="single" w:sz="8" w:color="E0E0E0"/>
            </w:tcBorders>
            <w:gridSpan w:val="2"/>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1160" w:type="dxa"/>
            <w:vAlign w:val="bottom"/>
            <w:tcBorders>
              <w:bottom w:val="single" w:sz="8" w:color="E0E0E0"/>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8,872</w:t>
            </w:r>
          </w:p>
        </w:tc>
        <w:tc>
          <w:tcPr>
            <w:tcW w:w="24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12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E0E0E0"/>
            </w:tcBorders>
            <w:gridSpan w:val="3"/>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400" w:type="dxa"/>
            <w:vAlign w:val="bottom"/>
            <w:tcBorders>
              <w:bottom w:val="single" w:sz="8" w:color="E0E0E0"/>
            </w:tcBorders>
            <w:gridSpan w:val="6"/>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E0E0E0"/>
            </w:tcBorders>
          </w:tcPr>
          <w:p>
            <w:pPr>
              <w:spacing w:after="0"/>
              <w:rPr>
                <w:sz w:val="15"/>
                <w:szCs w:val="15"/>
                <w:color w:val="auto"/>
              </w:rPr>
            </w:pPr>
          </w:p>
        </w:tc>
        <w:tc>
          <w:tcPr>
            <w:tcW w:w="1180" w:type="dxa"/>
            <w:vAlign w:val="bottom"/>
            <w:tcBorders>
              <w:bottom w:val="single" w:sz="8" w:color="E0E0E0"/>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8,872</w:t>
            </w: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3360" w:type="dxa"/>
            <w:vAlign w:val="bottom"/>
            <w:shd w:val="clear" w:color="auto" w:fill="E0E0E0"/>
          </w:tcPr>
          <w:p>
            <w:pPr>
              <w:spacing w:after="0" w:line="155" w:lineRule="exact"/>
              <w:rPr>
                <w:sz w:val="20"/>
                <w:szCs w:val="20"/>
                <w:color w:val="auto"/>
              </w:rPr>
            </w:pPr>
            <w:r>
              <w:rPr>
                <w:rFonts w:ascii="Times New Roman" w:cs="Times New Roman" w:eastAsia="Times New Roman" w:hAnsi="Times New Roman"/>
                <w:sz w:val="14"/>
                <w:szCs w:val="14"/>
                <w:color w:val="auto"/>
              </w:rPr>
              <w:t>Net loss</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80" w:type="dxa"/>
            <w:vAlign w:val="bottom"/>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380" w:type="dxa"/>
            <w:vAlign w:val="bottom"/>
            <w:shd w:val="clear" w:color="auto" w:fill="E0E0E0"/>
          </w:tcPr>
          <w:p>
            <w:pPr>
              <w:spacing w:after="0"/>
              <w:rPr>
                <w:sz w:val="13"/>
                <w:szCs w:val="13"/>
                <w:color w:val="auto"/>
              </w:rPr>
            </w:pPr>
          </w:p>
        </w:tc>
        <w:tc>
          <w:tcPr>
            <w:tcW w:w="1120" w:type="dxa"/>
            <w:vAlign w:val="bottom"/>
            <w:shd w:val="clear" w:color="auto" w:fill="E0E0E0"/>
          </w:tcPr>
          <w:p>
            <w:pPr>
              <w:ind w:left="98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20" w:type="dxa"/>
            <w:vAlign w:val="bottom"/>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0E0E0"/>
          </w:tcPr>
          <w:p>
            <w:pPr>
              <w:spacing w:after="0"/>
              <w:rPr>
                <w:sz w:val="13"/>
                <w:szCs w:val="13"/>
                <w:color w:val="auto"/>
              </w:rPr>
            </w:pPr>
          </w:p>
        </w:tc>
        <w:tc>
          <w:tcPr>
            <w:tcW w:w="24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00" w:type="dxa"/>
            <w:vAlign w:val="bottom"/>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20" w:type="dxa"/>
            <w:vAlign w:val="bottom"/>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(58,709</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40" w:type="dxa"/>
            <w:vAlign w:val="bottom"/>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(58,709</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shd w:val="clear" w:color="auto" w:fill="E0E0E0"/>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80" w:type="dxa"/>
            <w:vAlign w:val="bottom"/>
          </w:tcPr>
          <w:p>
            <w:pPr>
              <w:spacing w:after="0"/>
              <w:rPr>
                <w:sz w:val="15"/>
                <w:szCs w:val="15"/>
                <w:color w:val="auto"/>
              </w:rPr>
            </w:pPr>
          </w:p>
        </w:tc>
        <w:tc>
          <w:tcPr>
            <w:tcW w:w="336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14"/>
                <w:szCs w:val="14"/>
                <w:color w:val="auto"/>
              </w:rPr>
              <w:t>Unrealized loss on investments</w:t>
            </w: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1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380" w:type="dxa"/>
            <w:vAlign w:val="bottom"/>
            <w:tcBorders>
              <w:bottom w:val="single" w:sz="8" w:color="E0E0E0"/>
            </w:tcBorders>
          </w:tcPr>
          <w:p>
            <w:pPr>
              <w:spacing w:after="0"/>
              <w:rPr>
                <w:sz w:val="15"/>
                <w:szCs w:val="15"/>
                <w:color w:val="auto"/>
              </w:rPr>
            </w:pPr>
          </w:p>
        </w:tc>
        <w:tc>
          <w:tcPr>
            <w:tcW w:w="1120" w:type="dxa"/>
            <w:vAlign w:val="bottom"/>
            <w:tcBorders>
              <w:bottom w:val="single" w:sz="8" w:color="E0E0E0"/>
            </w:tcBorders>
          </w:tcPr>
          <w:p>
            <w:pPr>
              <w:ind w:left="98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1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E0E0E0"/>
            </w:tcBorders>
          </w:tcPr>
          <w:p>
            <w:pPr>
              <w:spacing w:after="0"/>
              <w:rPr>
                <w:sz w:val="15"/>
                <w:szCs w:val="15"/>
                <w:color w:val="auto"/>
              </w:rPr>
            </w:pPr>
          </w:p>
        </w:tc>
        <w:tc>
          <w:tcPr>
            <w:tcW w:w="24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1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1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3360" w:type="dxa"/>
            <w:vAlign w:val="bottom"/>
            <w:shd w:val="clear" w:color="auto" w:fill="E0E0E0"/>
          </w:tcPr>
          <w:p>
            <w:pPr>
              <w:spacing w:after="0" w:line="155" w:lineRule="exact"/>
              <w:rPr>
                <w:sz w:val="20"/>
                <w:szCs w:val="20"/>
                <w:color w:val="auto"/>
              </w:rPr>
            </w:pPr>
            <w:r>
              <w:rPr>
                <w:rFonts w:ascii="Times New Roman" w:cs="Times New Roman" w:eastAsia="Times New Roman" w:hAnsi="Times New Roman"/>
                <w:sz w:val="14"/>
                <w:szCs w:val="14"/>
                <w:color w:val="auto"/>
              </w:rPr>
              <w:t>Foreign currency translation loss</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tcBorders>
              <w:bottom w:val="single" w:sz="8" w:color="auto"/>
            </w:tcBorders>
            <w:shd w:val="clear" w:color="auto" w:fill="E0E0E0"/>
          </w:tcPr>
          <w:p>
            <w:pPr>
              <w:spacing w:after="0"/>
              <w:rPr>
                <w:sz w:val="13"/>
                <w:szCs w:val="13"/>
                <w:color w:val="auto"/>
              </w:rPr>
            </w:pPr>
          </w:p>
        </w:tc>
        <w:tc>
          <w:tcPr>
            <w:tcW w:w="20" w:type="dxa"/>
            <w:vAlign w:val="bottom"/>
            <w:tcBorders>
              <w:bottom w:val="single" w:sz="8" w:color="auto"/>
            </w:tcBorders>
            <w:shd w:val="clear" w:color="auto" w:fill="E0E0E0"/>
          </w:tcPr>
          <w:p>
            <w:pPr>
              <w:spacing w:after="0"/>
              <w:rPr>
                <w:sz w:val="13"/>
                <w:szCs w:val="13"/>
                <w:color w:val="auto"/>
              </w:rPr>
            </w:pPr>
          </w:p>
        </w:tc>
        <w:tc>
          <w:tcPr>
            <w:tcW w:w="1180" w:type="dxa"/>
            <w:vAlign w:val="bottom"/>
            <w:tcBorders>
              <w:bottom w:val="single" w:sz="8" w:color="auto"/>
            </w:tcBorders>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tcBorders>
              <w:bottom w:val="single" w:sz="8" w:color="auto"/>
            </w:tcBorders>
            <w:shd w:val="clear" w:color="auto" w:fill="E0E0E0"/>
          </w:tcPr>
          <w:p>
            <w:pPr>
              <w:spacing w:after="0"/>
              <w:rPr>
                <w:sz w:val="13"/>
                <w:szCs w:val="13"/>
                <w:color w:val="auto"/>
              </w:rPr>
            </w:pPr>
          </w:p>
        </w:tc>
        <w:tc>
          <w:tcPr>
            <w:tcW w:w="20" w:type="dxa"/>
            <w:vAlign w:val="bottom"/>
            <w:tcBorders>
              <w:bottom w:val="single" w:sz="8" w:color="auto"/>
            </w:tcBorders>
            <w:shd w:val="clear" w:color="auto" w:fill="E0E0E0"/>
          </w:tcPr>
          <w:p>
            <w:pPr>
              <w:spacing w:after="0"/>
              <w:rPr>
                <w:sz w:val="13"/>
                <w:szCs w:val="13"/>
                <w:color w:val="auto"/>
              </w:rPr>
            </w:pPr>
          </w:p>
        </w:tc>
        <w:tc>
          <w:tcPr>
            <w:tcW w:w="380" w:type="dxa"/>
            <w:vAlign w:val="bottom"/>
            <w:tcBorders>
              <w:bottom w:val="single" w:sz="8" w:color="auto"/>
            </w:tcBorders>
            <w:shd w:val="clear" w:color="auto" w:fill="E0E0E0"/>
          </w:tcPr>
          <w:p>
            <w:pPr>
              <w:spacing w:after="0"/>
              <w:rPr>
                <w:sz w:val="13"/>
                <w:szCs w:val="13"/>
                <w:color w:val="auto"/>
              </w:rPr>
            </w:pPr>
          </w:p>
        </w:tc>
        <w:tc>
          <w:tcPr>
            <w:tcW w:w="1120" w:type="dxa"/>
            <w:vAlign w:val="bottom"/>
            <w:tcBorders>
              <w:bottom w:val="single" w:sz="8" w:color="auto"/>
            </w:tcBorders>
            <w:shd w:val="clear" w:color="auto" w:fill="E0E0E0"/>
          </w:tcPr>
          <w:p>
            <w:pPr>
              <w:ind w:left="98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auto"/>
            </w:tcBorders>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tcBorders>
              <w:bottom w:val="single" w:sz="8" w:color="auto"/>
            </w:tcBorders>
            <w:shd w:val="clear" w:color="auto" w:fill="E0E0E0"/>
          </w:tcPr>
          <w:p>
            <w:pPr>
              <w:spacing w:after="0"/>
              <w:rPr>
                <w:sz w:val="13"/>
                <w:szCs w:val="13"/>
                <w:color w:val="auto"/>
              </w:rPr>
            </w:pPr>
          </w:p>
        </w:tc>
        <w:tc>
          <w:tcPr>
            <w:tcW w:w="20" w:type="dxa"/>
            <w:vAlign w:val="bottom"/>
            <w:tcBorders>
              <w:bottom w:val="single" w:sz="8" w:color="auto"/>
            </w:tcBorders>
            <w:shd w:val="clear" w:color="auto" w:fill="E0E0E0"/>
          </w:tcPr>
          <w:p>
            <w:pPr>
              <w:spacing w:after="0"/>
              <w:rPr>
                <w:sz w:val="13"/>
                <w:szCs w:val="13"/>
                <w:color w:val="auto"/>
              </w:rPr>
            </w:pPr>
          </w:p>
        </w:tc>
        <w:tc>
          <w:tcPr>
            <w:tcW w:w="1120" w:type="dxa"/>
            <w:vAlign w:val="bottom"/>
            <w:tcBorders>
              <w:bottom w:val="single" w:sz="8" w:color="auto"/>
            </w:tcBorders>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E0E0E0"/>
          </w:tcPr>
          <w:p>
            <w:pPr>
              <w:spacing w:after="0"/>
              <w:rPr>
                <w:sz w:val="13"/>
                <w:szCs w:val="13"/>
                <w:color w:val="auto"/>
              </w:rPr>
            </w:pPr>
          </w:p>
        </w:tc>
        <w:tc>
          <w:tcPr>
            <w:tcW w:w="24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tcBorders>
              <w:bottom w:val="single" w:sz="8" w:color="auto"/>
            </w:tcBorders>
            <w:shd w:val="clear" w:color="auto" w:fill="E0E0E0"/>
          </w:tcPr>
          <w:p>
            <w:pPr>
              <w:spacing w:after="0"/>
              <w:rPr>
                <w:sz w:val="13"/>
                <w:szCs w:val="13"/>
                <w:color w:val="auto"/>
              </w:rPr>
            </w:pPr>
          </w:p>
        </w:tc>
        <w:tc>
          <w:tcPr>
            <w:tcW w:w="20" w:type="dxa"/>
            <w:vAlign w:val="bottom"/>
            <w:tcBorders>
              <w:bottom w:val="single" w:sz="8" w:color="auto"/>
            </w:tcBorders>
            <w:shd w:val="clear" w:color="auto" w:fill="E0E0E0"/>
          </w:tcPr>
          <w:p>
            <w:pPr>
              <w:spacing w:after="0"/>
              <w:rPr>
                <w:sz w:val="13"/>
                <w:szCs w:val="13"/>
                <w:color w:val="auto"/>
              </w:rPr>
            </w:pPr>
          </w:p>
        </w:tc>
        <w:tc>
          <w:tcPr>
            <w:tcW w:w="1100" w:type="dxa"/>
            <w:vAlign w:val="bottom"/>
            <w:tcBorders>
              <w:bottom w:val="single" w:sz="8" w:color="auto"/>
            </w:tcBorders>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(35</w:t>
            </w:r>
          </w:p>
        </w:tc>
        <w:tc>
          <w:tcPr>
            <w:tcW w:w="20" w:type="dxa"/>
            <w:vAlign w:val="bottom"/>
            <w:tcBorders>
              <w:bottom w:val="single" w:sz="8" w:color="auto"/>
            </w:tcBorders>
            <w:shd w:val="clear" w:color="auto" w:fill="E0E0E0"/>
          </w:tcPr>
          <w:p>
            <w:pPr>
              <w:spacing w:after="0"/>
              <w:rPr>
                <w:sz w:val="13"/>
                <w:szCs w:val="13"/>
                <w:color w:val="auto"/>
              </w:rPr>
            </w:pPr>
          </w:p>
        </w:tc>
        <w:tc>
          <w:tcPr>
            <w:tcW w:w="120" w:type="dxa"/>
            <w:vAlign w:val="bottom"/>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tcBorders>
              <w:bottom w:val="single" w:sz="8" w:color="auto"/>
            </w:tcBorders>
            <w:shd w:val="clear" w:color="auto" w:fill="E0E0E0"/>
          </w:tcPr>
          <w:p>
            <w:pPr>
              <w:spacing w:after="0"/>
              <w:rPr>
                <w:sz w:val="13"/>
                <w:szCs w:val="13"/>
                <w:color w:val="auto"/>
              </w:rPr>
            </w:pPr>
          </w:p>
        </w:tc>
        <w:tc>
          <w:tcPr>
            <w:tcW w:w="20" w:type="dxa"/>
            <w:vAlign w:val="bottom"/>
            <w:tcBorders>
              <w:bottom w:val="single" w:sz="8" w:color="auto"/>
            </w:tcBorders>
            <w:shd w:val="clear" w:color="auto" w:fill="E0E0E0"/>
          </w:tcPr>
          <w:p>
            <w:pPr>
              <w:spacing w:after="0"/>
              <w:rPr>
                <w:sz w:val="13"/>
                <w:szCs w:val="13"/>
                <w:color w:val="auto"/>
              </w:rPr>
            </w:pPr>
          </w:p>
        </w:tc>
        <w:tc>
          <w:tcPr>
            <w:tcW w:w="1120" w:type="dxa"/>
            <w:vAlign w:val="bottom"/>
            <w:tcBorders>
              <w:bottom w:val="single" w:sz="8" w:color="auto"/>
            </w:tcBorders>
            <w:shd w:val="clear" w:color="auto" w:fill="E0E0E0"/>
          </w:tcPr>
          <w:p>
            <w:pPr>
              <w:spacing w:after="0"/>
              <w:rPr>
                <w:sz w:val="13"/>
                <w:szCs w:val="13"/>
                <w:color w:val="auto"/>
              </w:rPr>
            </w:pPr>
          </w:p>
        </w:tc>
        <w:tc>
          <w:tcPr>
            <w:tcW w:w="20" w:type="dxa"/>
            <w:vAlign w:val="bottom"/>
            <w:tcBorders>
              <w:bottom w:val="single" w:sz="8" w:color="auto"/>
            </w:tcBorders>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tcBorders>
              <w:bottom w:val="single" w:sz="8" w:color="auto"/>
            </w:tcBorders>
            <w:shd w:val="clear" w:color="auto" w:fill="E0E0E0"/>
          </w:tcPr>
          <w:p>
            <w:pPr>
              <w:spacing w:after="0"/>
              <w:rPr>
                <w:sz w:val="13"/>
                <w:szCs w:val="13"/>
                <w:color w:val="auto"/>
              </w:rPr>
            </w:pPr>
          </w:p>
        </w:tc>
        <w:tc>
          <w:tcPr>
            <w:tcW w:w="20" w:type="dxa"/>
            <w:vAlign w:val="bottom"/>
            <w:tcBorders>
              <w:bottom w:val="single" w:sz="8" w:color="auto"/>
            </w:tcBorders>
            <w:shd w:val="clear" w:color="auto" w:fill="E0E0E0"/>
          </w:tcPr>
          <w:p>
            <w:pPr>
              <w:spacing w:after="0"/>
              <w:rPr>
                <w:sz w:val="13"/>
                <w:szCs w:val="13"/>
                <w:color w:val="auto"/>
              </w:rPr>
            </w:pPr>
          </w:p>
        </w:tc>
        <w:tc>
          <w:tcPr>
            <w:tcW w:w="1140" w:type="dxa"/>
            <w:vAlign w:val="bottom"/>
            <w:tcBorders>
              <w:bottom w:val="single" w:sz="8" w:color="auto"/>
            </w:tcBorders>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(35</w:t>
            </w:r>
          </w:p>
        </w:tc>
        <w:tc>
          <w:tcPr>
            <w:tcW w:w="20" w:type="dxa"/>
            <w:vAlign w:val="bottom"/>
            <w:tcBorders>
              <w:bottom w:val="single" w:sz="8" w:color="auto"/>
            </w:tcBorders>
            <w:shd w:val="clear" w:color="auto" w:fill="E0E0E0"/>
          </w:tcPr>
          <w:p>
            <w:pPr>
              <w:spacing w:after="0"/>
              <w:rPr>
                <w:sz w:val="13"/>
                <w:szCs w:val="13"/>
                <w:color w:val="auto"/>
              </w:rPr>
            </w:pPr>
          </w:p>
        </w:tc>
        <w:tc>
          <w:tcPr>
            <w:tcW w:w="100" w:type="dxa"/>
            <w:vAlign w:val="bottom"/>
            <w:shd w:val="clear" w:color="auto" w:fill="E0E0E0"/>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shd w:val="clear" w:color="auto" w:fill="E0E0E0"/>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5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3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51,935,134</w:t>
            </w:r>
          </w:p>
        </w:tc>
        <w:tc>
          <w:tcPr>
            <w:tcW w:w="260" w:type="dxa"/>
            <w:vAlign w:val="bottom"/>
            <w:gridSpan w:val="4"/>
          </w:tcPr>
          <w:p>
            <w:pPr>
              <w:spacing w:after="0"/>
              <w:rPr>
                <w:sz w:val="14"/>
                <w:szCs w:val="14"/>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gridSpan w:val="4"/>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544,653</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(368,712</w:t>
            </w:r>
          </w:p>
        </w:tc>
        <w:tc>
          <w:tcPr>
            <w:tcW w:w="1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176,080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431165</wp:posOffset>
                </wp:positionH>
                <wp:positionV relativeFrom="paragraph">
                  <wp:posOffset>-2148840</wp:posOffset>
                </wp:positionV>
                <wp:extent cx="823023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302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5pt,-169.1999pt" to="682pt,-169.1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2651125</wp:posOffset>
                </wp:positionH>
                <wp:positionV relativeFrom="paragraph">
                  <wp:posOffset>-1920875</wp:posOffset>
                </wp:positionV>
                <wp:extent cx="83375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37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8.75pt,-151.2499pt" to="274.4pt,-151.2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3648710</wp:posOffset>
                </wp:positionH>
                <wp:positionV relativeFrom="paragraph">
                  <wp:posOffset>-1920875</wp:posOffset>
                </wp:positionV>
                <wp:extent cx="104203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20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3pt,-151.2499pt" to="369.35pt,-151.2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4856480</wp:posOffset>
                </wp:positionH>
                <wp:positionV relativeFrom="paragraph">
                  <wp:posOffset>-1920875</wp:posOffset>
                </wp:positionV>
                <wp:extent cx="80454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454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2.4pt,-151.2499pt" to="445.75pt,-151.2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5826125</wp:posOffset>
                </wp:positionH>
                <wp:positionV relativeFrom="paragraph">
                  <wp:posOffset>-1920875</wp:posOffset>
                </wp:positionV>
                <wp:extent cx="80581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581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8.75pt,-151.2499pt" to="522.2pt,-151.2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6796405</wp:posOffset>
                </wp:positionH>
                <wp:positionV relativeFrom="paragraph">
                  <wp:posOffset>-1920875</wp:posOffset>
                </wp:positionV>
                <wp:extent cx="80581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581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5.15pt,-151.2499pt" to="598.6pt,-151.2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7767320</wp:posOffset>
                </wp:positionH>
                <wp:positionV relativeFrom="paragraph">
                  <wp:posOffset>-1920875</wp:posOffset>
                </wp:positionV>
                <wp:extent cx="81280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8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1.6pt,-151.2499pt" to="675.6pt,-151.2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431165</wp:posOffset>
                </wp:positionH>
                <wp:positionV relativeFrom="paragraph">
                  <wp:posOffset>-1589405</wp:posOffset>
                </wp:positionV>
                <wp:extent cx="823023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302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5pt,-125.1499pt" to="682pt,-125.1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431165</wp:posOffset>
                </wp:positionH>
                <wp:positionV relativeFrom="paragraph">
                  <wp:posOffset>-363220</wp:posOffset>
                </wp:positionV>
                <wp:extent cx="823023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302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5pt,-28.5999pt" to="682pt,-28.5999pt" o:allowincell="f" strokecolor="#FFFFFF" strokeweight="0.72pt"/>
            </w:pict>
          </mc:Fallback>
        </mc:AlternateContent>
      </w:r>
    </w:p>
    <w:p>
      <w:pPr>
        <w:spacing w:after="0" w:line="15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5840" w:h="12240" w:orient="landscape"/>
          <w:cols w:equalWidth="0" w:num="1">
            <w:col w:w="13640"/>
          </w:cols>
          <w:pgMar w:left="760" w:top="1384" w:right="1440"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0"/>
          <w:szCs w:val="20"/>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68"/>
        </w:trPr>
        <w:tc>
          <w:tcPr>
            <w:tcW w:w="5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jc w:val="right"/>
              <w:ind w:right="100"/>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4"/>
                <w:szCs w:val="14"/>
                <w:color w:val="auto"/>
              </w:rPr>
            </w:pPr>
          </w:p>
        </w:tc>
        <w:tc>
          <w:tcPr>
            <w:tcW w:w="1180" w:type="dxa"/>
            <w:vAlign w:val="bottom"/>
            <w:gridSpan w:val="3"/>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40" w:type="dxa"/>
            <w:vAlign w:val="bottom"/>
          </w:tcPr>
          <w:p>
            <w:pPr>
              <w:spacing w:after="0"/>
              <w:rPr>
                <w:sz w:val="14"/>
                <w:szCs w:val="14"/>
                <w:color w:val="auto"/>
              </w:rPr>
            </w:pPr>
          </w:p>
        </w:tc>
        <w:tc>
          <w:tcPr>
            <w:tcW w:w="1120" w:type="dxa"/>
            <w:vAlign w:val="bottom"/>
            <w:gridSpan w:val="2"/>
          </w:tcPr>
          <w:p>
            <w:pPr>
              <w:jc w:val="right"/>
              <w:ind w:right="1"/>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4"/>
                <w:szCs w:val="14"/>
                <w:color w:val="auto"/>
              </w:rPr>
            </w:pPr>
          </w:p>
        </w:tc>
      </w:tr>
      <w:tr>
        <w:trPr>
          <w:trHeight w:val="204"/>
        </w:trPr>
        <w:tc>
          <w:tcPr>
            <w:tcW w:w="5360" w:type="dxa"/>
            <w:vAlign w:val="bottom"/>
            <w:tcBorders>
              <w:bottom w:val="single" w:sz="8" w:color="E0E0E0"/>
            </w:tcBorders>
          </w:tcPr>
          <w:p>
            <w:pPr>
              <w:spacing w:after="0"/>
              <w:rPr>
                <w:sz w:val="17"/>
                <w:szCs w:val="17"/>
                <w:color w:val="auto"/>
              </w:rPr>
            </w:pPr>
          </w:p>
        </w:tc>
        <w:tc>
          <w:tcPr>
            <w:tcW w:w="140" w:type="dxa"/>
            <w:vAlign w:val="bottom"/>
            <w:tcBorders>
              <w:bottom w:val="single" w:sz="8" w:color="E0E0E0"/>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E0E0E0"/>
            </w:tcBorders>
          </w:tcPr>
          <w:p>
            <w:pPr>
              <w:spacing w:after="0"/>
              <w:rPr>
                <w:sz w:val="17"/>
                <w:szCs w:val="17"/>
                <w:color w:val="auto"/>
              </w:rPr>
            </w:pPr>
          </w:p>
        </w:tc>
        <w:tc>
          <w:tcPr>
            <w:tcW w:w="140" w:type="dxa"/>
            <w:vAlign w:val="bottom"/>
            <w:tcBorders>
              <w:bottom w:val="single" w:sz="8" w:color="E0E0E0"/>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Borders>
              <w:bottom w:val="single" w:sz="8" w:color="E0E0E0"/>
            </w:tcBorders>
          </w:tcPr>
          <w:p>
            <w:pPr>
              <w:spacing w:after="0"/>
              <w:rPr>
                <w:sz w:val="17"/>
                <w:szCs w:val="17"/>
                <w:color w:val="auto"/>
              </w:rPr>
            </w:pPr>
          </w:p>
        </w:tc>
        <w:tc>
          <w:tcPr>
            <w:tcW w:w="140" w:type="dxa"/>
            <w:vAlign w:val="bottom"/>
            <w:tcBorders>
              <w:bottom w:val="single" w:sz="8" w:color="E0E0E0"/>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E0E0E0"/>
            </w:tcBorders>
          </w:tcPr>
          <w:p>
            <w:pPr>
              <w:spacing w:after="0"/>
              <w:rPr>
                <w:sz w:val="17"/>
                <w:szCs w:val="17"/>
                <w:color w:val="auto"/>
              </w:rPr>
            </w:pPr>
          </w:p>
        </w:tc>
      </w:tr>
      <w:tr>
        <w:trPr>
          <w:trHeight w:val="233"/>
        </w:trPr>
        <w:tc>
          <w:tcPr>
            <w:tcW w:w="53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14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0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00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0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r>
      <w:tr>
        <w:trPr>
          <w:trHeight w:val="244"/>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(58,709 )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(68,960 )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(73,317 )</w:t>
            </w:r>
          </w:p>
        </w:tc>
      </w:tr>
      <w:tr>
        <w:trPr>
          <w:trHeight w:val="245"/>
        </w:trPr>
        <w:tc>
          <w:tcPr>
            <w:tcW w:w="53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Adjustments to reconcile net loss to net cash used in operating</w:t>
            </w: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2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0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2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r>
      <w:tr>
        <w:trPr>
          <w:trHeight w:val="229"/>
        </w:trPr>
        <w:tc>
          <w:tcPr>
            <w:tcW w:w="53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activities:</w:t>
            </w:r>
          </w:p>
        </w:tc>
        <w:tc>
          <w:tcPr>
            <w:tcW w:w="1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0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r>
      <w:tr>
        <w:trPr>
          <w:trHeight w:val="245"/>
        </w:trPr>
        <w:tc>
          <w:tcPr>
            <w:tcW w:w="5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8,872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12,375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10,195</w:t>
            </w:r>
          </w:p>
        </w:tc>
        <w:tc>
          <w:tcPr>
            <w:tcW w:w="80" w:type="dxa"/>
            <w:vAlign w:val="bottom"/>
          </w:tcPr>
          <w:p>
            <w:pPr>
              <w:spacing w:after="0"/>
              <w:rPr>
                <w:sz w:val="21"/>
                <w:szCs w:val="21"/>
                <w:color w:val="auto"/>
              </w:rPr>
            </w:pPr>
          </w:p>
        </w:tc>
      </w:tr>
      <w:tr>
        <w:trPr>
          <w:trHeight w:val="244"/>
        </w:trPr>
        <w:tc>
          <w:tcPr>
            <w:tcW w:w="53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Depreciation</w:t>
            </w: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1,144</w:t>
            </w:r>
          </w:p>
        </w:tc>
        <w:tc>
          <w:tcPr>
            <w:tcW w:w="8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1,257</w:t>
            </w:r>
          </w:p>
        </w:tc>
        <w:tc>
          <w:tcPr>
            <w:tcW w:w="8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315</w:t>
            </w:r>
          </w:p>
        </w:tc>
        <w:tc>
          <w:tcPr>
            <w:tcW w:w="80" w:type="dxa"/>
            <w:vAlign w:val="bottom"/>
            <w:shd w:val="clear" w:color="auto" w:fill="E0E0E0"/>
          </w:tcPr>
          <w:p>
            <w:pPr>
              <w:spacing w:after="0"/>
              <w:rPr>
                <w:sz w:val="21"/>
                <w:szCs w:val="21"/>
                <w:color w:val="auto"/>
              </w:rPr>
            </w:pPr>
          </w:p>
        </w:tc>
      </w:tr>
      <w:tr>
        <w:trPr>
          <w:trHeight w:val="244"/>
        </w:trPr>
        <w:tc>
          <w:tcPr>
            <w:tcW w:w="5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Accretion of discounts on marketable securities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(5,371 )</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(5,386 )</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(628 )</w:t>
            </w:r>
          </w:p>
        </w:tc>
      </w:tr>
      <w:tr>
        <w:trPr>
          <w:trHeight w:val="245"/>
        </w:trPr>
        <w:tc>
          <w:tcPr>
            <w:tcW w:w="53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Non cash lease expense</w:t>
            </w: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(248</w:t>
            </w: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(370</w:t>
            </w: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E0E0E0"/>
              </w:rPr>
              <w:t>)</w:t>
            </w: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335</w:t>
            </w:r>
          </w:p>
        </w:tc>
        <w:tc>
          <w:tcPr>
            <w:tcW w:w="80" w:type="dxa"/>
            <w:vAlign w:val="bottom"/>
            <w:shd w:val="clear" w:color="auto" w:fill="E0E0E0"/>
          </w:tcPr>
          <w:p>
            <w:pPr>
              <w:spacing w:after="0"/>
              <w:rPr>
                <w:sz w:val="21"/>
                <w:szCs w:val="21"/>
                <w:color w:val="auto"/>
              </w:rPr>
            </w:pPr>
          </w:p>
        </w:tc>
      </w:tr>
      <w:tr>
        <w:trPr>
          <w:trHeight w:val="244"/>
        </w:trPr>
        <w:tc>
          <w:tcPr>
            <w:tcW w:w="5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Loss on termination of lease, net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3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Loss on sales and disposals of fixed assets, net</w:t>
            </w: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8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0E0E0"/>
          </w:tcPr>
          <w:p>
            <w:pPr>
              <w:spacing w:after="0"/>
              <w:rPr>
                <w:sz w:val="21"/>
                <w:szCs w:val="21"/>
                <w:color w:val="auto"/>
              </w:rPr>
            </w:pPr>
          </w:p>
        </w:tc>
      </w:tr>
      <w:tr>
        <w:trPr>
          <w:trHeight w:val="245"/>
        </w:trPr>
        <w:tc>
          <w:tcPr>
            <w:tcW w:w="5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net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r>
      <w:tr>
        <w:trPr>
          <w:trHeight w:val="244"/>
        </w:trPr>
        <w:tc>
          <w:tcPr>
            <w:tcW w:w="53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Change in operating assets and liabilities:</w:t>
            </w: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2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0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2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r>
      <w:tr>
        <w:trPr>
          <w:trHeight w:val="244"/>
        </w:trPr>
        <w:tc>
          <w:tcPr>
            <w:tcW w:w="53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Prepaid expenses and other assets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(2,674 )</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(1,829 )</w:t>
            </w:r>
          </w:p>
        </w:tc>
      </w:tr>
      <w:tr>
        <w:trPr>
          <w:trHeight w:val="244"/>
        </w:trPr>
        <w:tc>
          <w:tcPr>
            <w:tcW w:w="536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241</w:t>
            </w:r>
          </w:p>
        </w:tc>
        <w:tc>
          <w:tcPr>
            <w:tcW w:w="8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837</w:t>
            </w:r>
          </w:p>
        </w:tc>
        <w:tc>
          <w:tcPr>
            <w:tcW w:w="8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2,969</w:t>
            </w:r>
          </w:p>
        </w:tc>
        <w:tc>
          <w:tcPr>
            <w:tcW w:w="80" w:type="dxa"/>
            <w:vAlign w:val="bottom"/>
            <w:shd w:val="clear" w:color="auto" w:fill="E0E0E0"/>
          </w:tcPr>
          <w:p>
            <w:pPr>
              <w:spacing w:after="0"/>
              <w:rPr>
                <w:sz w:val="21"/>
                <w:szCs w:val="21"/>
                <w:color w:val="auto"/>
              </w:rPr>
            </w:pPr>
          </w:p>
        </w:tc>
      </w:tr>
      <w:tr>
        <w:trPr>
          <w:trHeight w:val="245"/>
        </w:trPr>
        <w:tc>
          <w:tcPr>
            <w:tcW w:w="53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Accounts payable</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r>
      <w:tr>
        <w:trPr>
          <w:trHeight w:val="264"/>
        </w:trPr>
        <w:tc>
          <w:tcPr>
            <w:tcW w:w="5360" w:type="dxa"/>
            <w:vAlign w:val="bottom"/>
            <w:tcBorders>
              <w:bottom w:val="single" w:sz="8" w:color="E0E0E0"/>
            </w:tcBorders>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Accrued expenses</w:t>
            </w:r>
          </w:p>
        </w:tc>
        <w:tc>
          <w:tcPr>
            <w:tcW w:w="140" w:type="dxa"/>
            <w:vAlign w:val="bottom"/>
            <w:tcBorders>
              <w:bottom w:val="single" w:sz="8" w:color="E0E0E0"/>
            </w:tcBorders>
            <w:shd w:val="clear" w:color="auto" w:fill="E0E0E0"/>
          </w:tcPr>
          <w:p>
            <w:pPr>
              <w:spacing w:after="0"/>
              <w:rPr>
                <w:sz w:val="22"/>
                <w:szCs w:val="22"/>
                <w:color w:val="auto"/>
              </w:rPr>
            </w:pPr>
          </w:p>
        </w:tc>
        <w:tc>
          <w:tcPr>
            <w:tcW w:w="100" w:type="dxa"/>
            <w:vAlign w:val="bottom"/>
            <w:tcBorders>
              <w:bottom w:val="single" w:sz="8" w:color="auto"/>
            </w:tcBorders>
            <w:shd w:val="clear" w:color="auto" w:fill="E0E0E0"/>
          </w:tcPr>
          <w:p>
            <w:pPr>
              <w:spacing w:after="0"/>
              <w:rPr>
                <w:sz w:val="22"/>
                <w:szCs w:val="22"/>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(2,501</w:t>
            </w:r>
          </w:p>
        </w:tc>
        <w:tc>
          <w:tcPr>
            <w:tcW w:w="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140" w:type="dxa"/>
            <w:vAlign w:val="bottom"/>
            <w:tcBorders>
              <w:bottom w:val="single" w:sz="8" w:color="E0E0E0"/>
            </w:tcBorders>
            <w:shd w:val="clear" w:color="auto" w:fill="E0E0E0"/>
          </w:tcPr>
          <w:p>
            <w:pPr>
              <w:spacing w:after="0"/>
              <w:rPr>
                <w:sz w:val="22"/>
                <w:szCs w:val="22"/>
                <w:color w:val="auto"/>
              </w:rPr>
            </w:pPr>
          </w:p>
        </w:tc>
        <w:tc>
          <w:tcPr>
            <w:tcW w:w="100" w:type="dxa"/>
            <w:vAlign w:val="bottom"/>
            <w:tcBorders>
              <w:bottom w:val="single" w:sz="8" w:color="auto"/>
            </w:tcBorders>
            <w:shd w:val="clear" w:color="auto" w:fill="E0E0E0"/>
          </w:tcPr>
          <w:p>
            <w:pPr>
              <w:spacing w:after="0"/>
              <w:rPr>
                <w:sz w:val="22"/>
                <w:szCs w:val="22"/>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2,632</w:t>
            </w:r>
          </w:p>
        </w:tc>
        <w:tc>
          <w:tcPr>
            <w:tcW w:w="80" w:type="dxa"/>
            <w:vAlign w:val="bottom"/>
            <w:tcBorders>
              <w:bottom w:val="single" w:sz="8" w:color="E0E0E0"/>
            </w:tcBorders>
            <w:shd w:val="clear" w:color="auto" w:fill="E0E0E0"/>
          </w:tcPr>
          <w:p>
            <w:pPr>
              <w:spacing w:after="0"/>
              <w:rPr>
                <w:sz w:val="22"/>
                <w:szCs w:val="22"/>
                <w:color w:val="auto"/>
              </w:rPr>
            </w:pPr>
          </w:p>
        </w:tc>
        <w:tc>
          <w:tcPr>
            <w:tcW w:w="140" w:type="dxa"/>
            <w:vAlign w:val="bottom"/>
            <w:tcBorders>
              <w:bottom w:val="single" w:sz="8" w:color="E0E0E0"/>
            </w:tcBorders>
            <w:shd w:val="clear" w:color="auto" w:fill="E0E0E0"/>
          </w:tcPr>
          <w:p>
            <w:pPr>
              <w:spacing w:after="0"/>
              <w:rPr>
                <w:sz w:val="22"/>
                <w:szCs w:val="22"/>
                <w:color w:val="auto"/>
              </w:rPr>
            </w:pPr>
          </w:p>
        </w:tc>
        <w:tc>
          <w:tcPr>
            <w:tcW w:w="100" w:type="dxa"/>
            <w:vAlign w:val="bottom"/>
            <w:tcBorders>
              <w:bottom w:val="single" w:sz="8" w:color="auto"/>
            </w:tcBorders>
            <w:shd w:val="clear" w:color="auto" w:fill="E0E0E0"/>
          </w:tcPr>
          <w:p>
            <w:pPr>
              <w:spacing w:after="0"/>
              <w:rPr>
                <w:sz w:val="22"/>
                <w:szCs w:val="22"/>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(1,319</w:t>
            </w:r>
          </w:p>
        </w:tc>
        <w:tc>
          <w:tcPr>
            <w:tcW w:w="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r>
      <w:tr>
        <w:trPr>
          <w:trHeight w:val="214"/>
        </w:trPr>
        <w:tc>
          <w:tcPr>
            <w:tcW w:w="5360" w:type="dxa"/>
            <w:vAlign w:val="bottom"/>
            <w:tcBorders>
              <w:bottom w:val="single" w:sz="8" w:color="E0E0E0"/>
            </w:tcBorders>
          </w:tcPr>
          <w:p>
            <w:pPr>
              <w:ind w:left="600"/>
              <w:spacing w:after="0" w:line="214" w:lineRule="exact"/>
              <w:rPr>
                <w:sz w:val="20"/>
                <w:szCs w:val="20"/>
                <w:color w:val="auto"/>
              </w:rPr>
            </w:pPr>
            <w:r>
              <w:rPr>
                <w:rFonts w:ascii="Times New Roman" w:cs="Times New Roman" w:eastAsia="Times New Roman" w:hAnsi="Times New Roman"/>
                <w:sz w:val="20"/>
                <w:szCs w:val="20"/>
                <w:color w:val="auto"/>
              </w:rPr>
              <w:t>Net cash used in operating activities</w:t>
            </w:r>
          </w:p>
        </w:tc>
        <w:tc>
          <w:tcPr>
            <w:tcW w:w="140" w:type="dxa"/>
            <w:vAlign w:val="bottom"/>
            <w:tcBorders>
              <w:bottom w:val="single" w:sz="8" w:color="E0E0E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(51,282</w:t>
            </w:r>
          </w:p>
        </w:tc>
        <w:tc>
          <w:tcPr>
            <w:tcW w:w="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E0E0E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(55,657</w:t>
            </w:r>
          </w:p>
        </w:tc>
        <w:tc>
          <w:tcPr>
            <w:tcW w:w="80" w:type="dxa"/>
            <w:vAlign w:val="bottom"/>
            <w:tcBorders>
              <w:bottom w:val="single" w:sz="8" w:color="E0E0E0"/>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w w:val="89"/>
              </w:rPr>
              <w:t>)</w:t>
            </w:r>
          </w:p>
        </w:tc>
        <w:tc>
          <w:tcPr>
            <w:tcW w:w="140" w:type="dxa"/>
            <w:vAlign w:val="bottom"/>
            <w:tcBorders>
              <w:bottom w:val="single" w:sz="8" w:color="E0E0E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(63,760</w:t>
            </w:r>
          </w:p>
        </w:tc>
        <w:tc>
          <w:tcPr>
            <w:tcW w:w="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3"/>
        </w:trPr>
        <w:tc>
          <w:tcPr>
            <w:tcW w:w="53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14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0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00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0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r>
      <w:tr>
        <w:trPr>
          <w:trHeight w:val="245"/>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Purchases of property and equipment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(962</w:t>
            </w:r>
          </w:p>
        </w:tc>
        <w:tc>
          <w:tcPr>
            <w:tcW w:w="8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89"/>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(7,984</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r>
      <w:tr>
        <w:trPr>
          <w:trHeight w:val="244"/>
        </w:trPr>
        <w:tc>
          <w:tcPr>
            <w:tcW w:w="53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Proceeds from sale of property and equipment</w:t>
            </w: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251</w:t>
            </w:r>
          </w:p>
        </w:tc>
        <w:tc>
          <w:tcPr>
            <w:tcW w:w="8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0E0E0"/>
          </w:tcPr>
          <w:p>
            <w:pPr>
              <w:spacing w:after="0"/>
              <w:rPr>
                <w:sz w:val="21"/>
                <w:szCs w:val="21"/>
                <w:color w:val="auto"/>
              </w:rPr>
            </w:pPr>
          </w:p>
        </w:tc>
      </w:tr>
      <w:tr>
        <w:trPr>
          <w:trHeight w:val="244"/>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Purchases of marketable securities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(148,286 )</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(220,539 )</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(229,199 )</w:t>
            </w:r>
          </w:p>
        </w:tc>
      </w:tr>
      <w:tr>
        <w:trPr>
          <w:trHeight w:val="265"/>
        </w:trPr>
        <w:tc>
          <w:tcPr>
            <w:tcW w:w="536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Maturities of marketable securities</w:t>
            </w:r>
          </w:p>
        </w:tc>
        <w:tc>
          <w:tcPr>
            <w:tcW w:w="140" w:type="dxa"/>
            <w:vAlign w:val="bottom"/>
            <w:tcBorders>
              <w:bottom w:val="single" w:sz="8" w:color="E0E0E0"/>
            </w:tcBorders>
            <w:shd w:val="clear" w:color="auto" w:fill="E0E0E0"/>
          </w:tcPr>
          <w:p>
            <w:pPr>
              <w:spacing w:after="0"/>
              <w:rPr>
                <w:sz w:val="23"/>
                <w:szCs w:val="23"/>
                <w:color w:val="auto"/>
              </w:rPr>
            </w:pPr>
          </w:p>
        </w:tc>
        <w:tc>
          <w:tcPr>
            <w:tcW w:w="100" w:type="dxa"/>
            <w:vAlign w:val="bottom"/>
            <w:tcBorders>
              <w:bottom w:val="single" w:sz="8" w:color="auto"/>
            </w:tcBorders>
            <w:shd w:val="clear" w:color="auto" w:fill="E0E0E0"/>
          </w:tcPr>
          <w:p>
            <w:pPr>
              <w:spacing w:after="0"/>
              <w:rPr>
                <w:sz w:val="23"/>
                <w:szCs w:val="23"/>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202,042</w:t>
            </w:r>
          </w:p>
        </w:tc>
        <w:tc>
          <w:tcPr>
            <w:tcW w:w="80" w:type="dxa"/>
            <w:vAlign w:val="bottom"/>
            <w:tcBorders>
              <w:bottom w:val="single" w:sz="8" w:color="E0E0E0"/>
            </w:tcBorders>
            <w:shd w:val="clear" w:color="auto" w:fill="E0E0E0"/>
          </w:tcPr>
          <w:p>
            <w:pPr>
              <w:spacing w:after="0"/>
              <w:rPr>
                <w:sz w:val="23"/>
                <w:szCs w:val="23"/>
                <w:color w:val="auto"/>
              </w:rPr>
            </w:pPr>
          </w:p>
        </w:tc>
        <w:tc>
          <w:tcPr>
            <w:tcW w:w="140" w:type="dxa"/>
            <w:vAlign w:val="bottom"/>
            <w:tcBorders>
              <w:bottom w:val="single" w:sz="8" w:color="E0E0E0"/>
            </w:tcBorders>
            <w:shd w:val="clear" w:color="auto" w:fill="E0E0E0"/>
          </w:tcPr>
          <w:p>
            <w:pPr>
              <w:spacing w:after="0"/>
              <w:rPr>
                <w:sz w:val="23"/>
                <w:szCs w:val="23"/>
                <w:color w:val="auto"/>
              </w:rPr>
            </w:pPr>
          </w:p>
        </w:tc>
        <w:tc>
          <w:tcPr>
            <w:tcW w:w="100" w:type="dxa"/>
            <w:vAlign w:val="bottom"/>
            <w:tcBorders>
              <w:bottom w:val="single" w:sz="8" w:color="auto"/>
            </w:tcBorders>
            <w:shd w:val="clear" w:color="auto" w:fill="E0E0E0"/>
          </w:tcPr>
          <w:p>
            <w:pPr>
              <w:spacing w:after="0"/>
              <w:rPr>
                <w:sz w:val="23"/>
                <w:szCs w:val="23"/>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170,956</w:t>
            </w:r>
          </w:p>
        </w:tc>
        <w:tc>
          <w:tcPr>
            <w:tcW w:w="80" w:type="dxa"/>
            <w:vAlign w:val="bottom"/>
            <w:tcBorders>
              <w:bottom w:val="single" w:sz="8" w:color="E0E0E0"/>
            </w:tcBorders>
            <w:shd w:val="clear" w:color="auto" w:fill="E0E0E0"/>
          </w:tcPr>
          <w:p>
            <w:pPr>
              <w:spacing w:after="0"/>
              <w:rPr>
                <w:sz w:val="23"/>
                <w:szCs w:val="23"/>
                <w:color w:val="auto"/>
              </w:rPr>
            </w:pPr>
          </w:p>
        </w:tc>
        <w:tc>
          <w:tcPr>
            <w:tcW w:w="140" w:type="dxa"/>
            <w:vAlign w:val="bottom"/>
            <w:tcBorders>
              <w:bottom w:val="single" w:sz="8" w:color="E0E0E0"/>
            </w:tcBorders>
            <w:shd w:val="clear" w:color="auto" w:fill="E0E0E0"/>
          </w:tcPr>
          <w:p>
            <w:pPr>
              <w:spacing w:after="0"/>
              <w:rPr>
                <w:sz w:val="23"/>
                <w:szCs w:val="23"/>
                <w:color w:val="auto"/>
              </w:rPr>
            </w:pPr>
          </w:p>
        </w:tc>
        <w:tc>
          <w:tcPr>
            <w:tcW w:w="100" w:type="dxa"/>
            <w:vAlign w:val="bottom"/>
            <w:tcBorders>
              <w:bottom w:val="single" w:sz="8" w:color="auto"/>
            </w:tcBorders>
            <w:shd w:val="clear" w:color="auto" w:fill="E0E0E0"/>
          </w:tcPr>
          <w:p>
            <w:pPr>
              <w:spacing w:after="0"/>
              <w:rPr>
                <w:sz w:val="23"/>
                <w:szCs w:val="23"/>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235,815</w:t>
            </w:r>
          </w:p>
        </w:tc>
        <w:tc>
          <w:tcPr>
            <w:tcW w:w="80" w:type="dxa"/>
            <w:vAlign w:val="bottom"/>
            <w:tcBorders>
              <w:bottom w:val="single" w:sz="8" w:color="E0E0E0"/>
            </w:tcBorders>
            <w:shd w:val="clear" w:color="auto" w:fill="E0E0E0"/>
          </w:tcPr>
          <w:p>
            <w:pPr>
              <w:spacing w:after="0"/>
              <w:rPr>
                <w:sz w:val="23"/>
                <w:szCs w:val="23"/>
                <w:color w:val="auto"/>
              </w:rPr>
            </w:pPr>
          </w:p>
        </w:tc>
      </w:tr>
      <w:tr>
        <w:trPr>
          <w:trHeight w:val="214"/>
        </w:trPr>
        <w:tc>
          <w:tcPr>
            <w:tcW w:w="5360" w:type="dxa"/>
            <w:vAlign w:val="bottom"/>
            <w:tcBorders>
              <w:bottom w:val="single" w:sz="8" w:color="E0E0E0"/>
            </w:tcBorders>
          </w:tcPr>
          <w:p>
            <w:pPr>
              <w:ind w:left="600"/>
              <w:spacing w:after="0" w:line="214" w:lineRule="exact"/>
              <w:rPr>
                <w:sz w:val="20"/>
                <w:szCs w:val="20"/>
                <w:color w:val="auto"/>
              </w:rPr>
            </w:pPr>
            <w:r>
              <w:rPr>
                <w:rFonts w:ascii="Times New Roman" w:cs="Times New Roman" w:eastAsia="Times New Roman" w:hAnsi="Times New Roman"/>
                <w:sz w:val="20"/>
                <w:szCs w:val="20"/>
                <w:color w:val="auto"/>
              </w:rPr>
              <w:t>Net cash provided by investing activities</w:t>
            </w:r>
          </w:p>
        </w:tc>
        <w:tc>
          <w:tcPr>
            <w:tcW w:w="140" w:type="dxa"/>
            <w:vAlign w:val="bottom"/>
            <w:tcBorders>
              <w:bottom w:val="single" w:sz="8" w:color="E0E0E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53,352</w:t>
            </w:r>
          </w:p>
        </w:tc>
        <w:tc>
          <w:tcPr>
            <w:tcW w:w="80" w:type="dxa"/>
            <w:vAlign w:val="bottom"/>
            <w:tcBorders>
              <w:bottom w:val="single" w:sz="8" w:color="E0E0E0"/>
            </w:tcBorders>
          </w:tcPr>
          <w:p>
            <w:pPr>
              <w:spacing w:after="0"/>
              <w:rPr>
                <w:sz w:val="18"/>
                <w:szCs w:val="18"/>
                <w:color w:val="auto"/>
              </w:rPr>
            </w:pPr>
          </w:p>
        </w:tc>
        <w:tc>
          <w:tcPr>
            <w:tcW w:w="140" w:type="dxa"/>
            <w:vAlign w:val="bottom"/>
            <w:tcBorders>
              <w:bottom w:val="single" w:sz="8" w:color="E0E0E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(50,545</w:t>
            </w:r>
          </w:p>
        </w:tc>
        <w:tc>
          <w:tcPr>
            <w:tcW w:w="80" w:type="dxa"/>
            <w:vAlign w:val="bottom"/>
            <w:tcBorders>
              <w:bottom w:val="single" w:sz="8" w:color="E0E0E0"/>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w w:val="89"/>
              </w:rPr>
              <w:t>)</w:t>
            </w:r>
          </w:p>
        </w:tc>
        <w:tc>
          <w:tcPr>
            <w:tcW w:w="140" w:type="dxa"/>
            <w:vAlign w:val="bottom"/>
            <w:tcBorders>
              <w:bottom w:val="single" w:sz="8" w:color="E0E0E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(1,368</w:t>
            </w:r>
          </w:p>
        </w:tc>
        <w:tc>
          <w:tcPr>
            <w:tcW w:w="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3"/>
        </w:trPr>
        <w:tc>
          <w:tcPr>
            <w:tcW w:w="53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14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0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00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0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r>
      <w:tr>
        <w:trPr>
          <w:trHeight w:val="244"/>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Issuance of common stock, net of issuance costs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35,121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53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Proceeds from the exercise of stock options and common stock</w:t>
            </w: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2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0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2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r>
      <w:tr>
        <w:trPr>
          <w:trHeight w:val="250"/>
        </w:trPr>
        <w:tc>
          <w:tcPr>
            <w:tcW w:w="5360" w:type="dxa"/>
            <w:vAlign w:val="bottom"/>
            <w:tcBorders>
              <w:bottom w:val="single" w:sz="8" w:color="E0E0E0"/>
            </w:tcBorders>
            <w:shd w:val="clear" w:color="auto" w:fill="E0E0E0"/>
          </w:tcPr>
          <w:p>
            <w:pPr>
              <w:ind w:left="160"/>
              <w:spacing w:after="0"/>
              <w:rPr>
                <w:sz w:val="20"/>
                <w:szCs w:val="20"/>
                <w:color w:val="auto"/>
              </w:rPr>
            </w:pPr>
            <w:r>
              <w:rPr>
                <w:rFonts w:ascii="Times New Roman" w:cs="Times New Roman" w:eastAsia="Times New Roman" w:hAnsi="Times New Roman"/>
                <w:sz w:val="20"/>
                <w:szCs w:val="20"/>
                <w:color w:val="auto"/>
              </w:rPr>
              <w:t>issued under the 2020 ESPP</w:t>
            </w:r>
          </w:p>
        </w:tc>
        <w:tc>
          <w:tcPr>
            <w:tcW w:w="140" w:type="dxa"/>
            <w:vAlign w:val="bottom"/>
            <w:tcBorders>
              <w:bottom w:val="single" w:sz="8" w:color="E0E0E0"/>
            </w:tcBorders>
            <w:shd w:val="clear" w:color="auto" w:fill="E0E0E0"/>
          </w:tcPr>
          <w:p>
            <w:pPr>
              <w:spacing w:after="0"/>
              <w:rPr>
                <w:sz w:val="21"/>
                <w:szCs w:val="21"/>
                <w:color w:val="auto"/>
              </w:rPr>
            </w:pPr>
          </w:p>
        </w:tc>
        <w:tc>
          <w:tcPr>
            <w:tcW w:w="100" w:type="dxa"/>
            <w:vAlign w:val="bottom"/>
            <w:tcBorders>
              <w:bottom w:val="single" w:sz="8" w:color="auto"/>
            </w:tcBorders>
            <w:shd w:val="clear" w:color="auto" w:fill="E0E0E0"/>
          </w:tcPr>
          <w:p>
            <w:pPr>
              <w:spacing w:after="0"/>
              <w:rPr>
                <w:sz w:val="21"/>
                <w:szCs w:val="21"/>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313</w:t>
            </w:r>
          </w:p>
        </w:tc>
        <w:tc>
          <w:tcPr>
            <w:tcW w:w="80" w:type="dxa"/>
            <w:vAlign w:val="bottom"/>
            <w:tcBorders>
              <w:bottom w:val="single" w:sz="8" w:color="E0E0E0"/>
            </w:tcBorders>
            <w:shd w:val="clear" w:color="auto" w:fill="E0E0E0"/>
          </w:tcPr>
          <w:p>
            <w:pPr>
              <w:spacing w:after="0"/>
              <w:rPr>
                <w:sz w:val="21"/>
                <w:szCs w:val="21"/>
                <w:color w:val="auto"/>
              </w:rPr>
            </w:pPr>
          </w:p>
        </w:tc>
        <w:tc>
          <w:tcPr>
            <w:tcW w:w="140" w:type="dxa"/>
            <w:vAlign w:val="bottom"/>
            <w:tcBorders>
              <w:bottom w:val="single" w:sz="8" w:color="E0E0E0"/>
            </w:tcBorders>
            <w:shd w:val="clear" w:color="auto" w:fill="E0E0E0"/>
          </w:tcPr>
          <w:p>
            <w:pPr>
              <w:spacing w:after="0"/>
              <w:rPr>
                <w:sz w:val="21"/>
                <w:szCs w:val="21"/>
                <w:color w:val="auto"/>
              </w:rPr>
            </w:pPr>
          </w:p>
        </w:tc>
        <w:tc>
          <w:tcPr>
            <w:tcW w:w="100" w:type="dxa"/>
            <w:vAlign w:val="bottom"/>
            <w:tcBorders>
              <w:bottom w:val="single" w:sz="8" w:color="auto"/>
            </w:tcBorders>
            <w:shd w:val="clear" w:color="auto" w:fill="E0E0E0"/>
          </w:tcPr>
          <w:p>
            <w:pPr>
              <w:spacing w:after="0"/>
              <w:rPr>
                <w:sz w:val="21"/>
                <w:szCs w:val="21"/>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456</w:t>
            </w:r>
          </w:p>
        </w:tc>
        <w:tc>
          <w:tcPr>
            <w:tcW w:w="80" w:type="dxa"/>
            <w:vAlign w:val="bottom"/>
            <w:tcBorders>
              <w:bottom w:val="single" w:sz="8" w:color="E0E0E0"/>
            </w:tcBorders>
            <w:shd w:val="clear" w:color="auto" w:fill="E0E0E0"/>
          </w:tcPr>
          <w:p>
            <w:pPr>
              <w:spacing w:after="0"/>
              <w:rPr>
                <w:sz w:val="21"/>
                <w:szCs w:val="21"/>
                <w:color w:val="auto"/>
              </w:rPr>
            </w:pPr>
          </w:p>
        </w:tc>
        <w:tc>
          <w:tcPr>
            <w:tcW w:w="140" w:type="dxa"/>
            <w:vAlign w:val="bottom"/>
            <w:tcBorders>
              <w:bottom w:val="single" w:sz="8" w:color="E0E0E0"/>
            </w:tcBorders>
            <w:shd w:val="clear" w:color="auto" w:fill="E0E0E0"/>
          </w:tcPr>
          <w:p>
            <w:pPr>
              <w:spacing w:after="0"/>
              <w:rPr>
                <w:sz w:val="21"/>
                <w:szCs w:val="21"/>
                <w:color w:val="auto"/>
              </w:rPr>
            </w:pPr>
          </w:p>
        </w:tc>
        <w:tc>
          <w:tcPr>
            <w:tcW w:w="100" w:type="dxa"/>
            <w:vAlign w:val="bottom"/>
            <w:tcBorders>
              <w:bottom w:val="single" w:sz="8" w:color="auto"/>
            </w:tcBorders>
            <w:shd w:val="clear" w:color="auto" w:fill="E0E0E0"/>
          </w:tcPr>
          <w:p>
            <w:pPr>
              <w:spacing w:after="0"/>
              <w:rPr>
                <w:sz w:val="21"/>
                <w:szCs w:val="21"/>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958</w:t>
            </w:r>
          </w:p>
        </w:tc>
        <w:tc>
          <w:tcPr>
            <w:tcW w:w="80" w:type="dxa"/>
            <w:vAlign w:val="bottom"/>
            <w:tcBorders>
              <w:bottom w:val="single" w:sz="8" w:color="E0E0E0"/>
            </w:tcBorders>
            <w:shd w:val="clear" w:color="auto" w:fill="E0E0E0"/>
          </w:tcPr>
          <w:p>
            <w:pPr>
              <w:spacing w:after="0"/>
              <w:rPr>
                <w:sz w:val="21"/>
                <w:szCs w:val="21"/>
                <w:color w:val="auto"/>
              </w:rPr>
            </w:pPr>
          </w:p>
        </w:tc>
      </w:tr>
      <w:tr>
        <w:trPr>
          <w:trHeight w:val="213"/>
        </w:trPr>
        <w:tc>
          <w:tcPr>
            <w:tcW w:w="5360" w:type="dxa"/>
            <w:vAlign w:val="bottom"/>
            <w:tcBorders>
              <w:bottom w:val="single" w:sz="8" w:color="E0E0E0"/>
            </w:tcBorders>
          </w:tcPr>
          <w:p>
            <w:pPr>
              <w:ind w:left="600"/>
              <w:spacing w:after="0" w:line="213" w:lineRule="exact"/>
              <w:rPr>
                <w:sz w:val="20"/>
                <w:szCs w:val="20"/>
                <w:color w:val="auto"/>
              </w:rPr>
            </w:pPr>
            <w:r>
              <w:rPr>
                <w:rFonts w:ascii="Times New Roman" w:cs="Times New Roman" w:eastAsia="Times New Roman" w:hAnsi="Times New Roman"/>
                <w:sz w:val="20"/>
                <w:szCs w:val="20"/>
                <w:color w:val="auto"/>
              </w:rPr>
              <w:t>Net cash provided by financing activities</w:t>
            </w:r>
          </w:p>
        </w:tc>
        <w:tc>
          <w:tcPr>
            <w:tcW w:w="140" w:type="dxa"/>
            <w:vAlign w:val="bottom"/>
            <w:tcBorders>
              <w:bottom w:val="single" w:sz="8" w:color="E0E0E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20"/>
                <w:szCs w:val="20"/>
                <w:color w:val="auto"/>
              </w:rPr>
              <w:t>313</w:t>
            </w:r>
          </w:p>
        </w:tc>
        <w:tc>
          <w:tcPr>
            <w:tcW w:w="80" w:type="dxa"/>
            <w:vAlign w:val="bottom"/>
            <w:tcBorders>
              <w:bottom w:val="single" w:sz="8" w:color="E0E0E0"/>
            </w:tcBorders>
          </w:tcPr>
          <w:p>
            <w:pPr>
              <w:spacing w:after="0"/>
              <w:rPr>
                <w:sz w:val="18"/>
                <w:szCs w:val="18"/>
                <w:color w:val="auto"/>
              </w:rPr>
            </w:pPr>
          </w:p>
        </w:tc>
        <w:tc>
          <w:tcPr>
            <w:tcW w:w="140" w:type="dxa"/>
            <w:vAlign w:val="bottom"/>
            <w:tcBorders>
              <w:bottom w:val="single" w:sz="8" w:color="E0E0E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20"/>
                <w:szCs w:val="20"/>
                <w:color w:val="auto"/>
              </w:rPr>
              <w:t>35,577</w:t>
            </w:r>
          </w:p>
        </w:tc>
        <w:tc>
          <w:tcPr>
            <w:tcW w:w="80" w:type="dxa"/>
            <w:vAlign w:val="bottom"/>
            <w:tcBorders>
              <w:bottom w:val="single" w:sz="8" w:color="E0E0E0"/>
            </w:tcBorders>
          </w:tcPr>
          <w:p>
            <w:pPr>
              <w:spacing w:after="0"/>
              <w:rPr>
                <w:sz w:val="18"/>
                <w:szCs w:val="18"/>
                <w:color w:val="auto"/>
              </w:rPr>
            </w:pPr>
          </w:p>
        </w:tc>
        <w:tc>
          <w:tcPr>
            <w:tcW w:w="140" w:type="dxa"/>
            <w:vAlign w:val="bottom"/>
            <w:tcBorders>
              <w:bottom w:val="single" w:sz="8" w:color="E0E0E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20"/>
                <w:szCs w:val="20"/>
                <w:color w:val="auto"/>
              </w:rPr>
              <w:t>958</w:t>
            </w:r>
          </w:p>
        </w:tc>
        <w:tc>
          <w:tcPr>
            <w:tcW w:w="80" w:type="dxa"/>
            <w:vAlign w:val="bottom"/>
            <w:tcBorders>
              <w:bottom w:val="single" w:sz="8" w:color="E0E0E0"/>
            </w:tcBorders>
          </w:tcPr>
          <w:p>
            <w:pPr>
              <w:spacing w:after="0"/>
              <w:rPr>
                <w:sz w:val="18"/>
                <w:szCs w:val="18"/>
                <w:color w:val="auto"/>
              </w:rPr>
            </w:pPr>
          </w:p>
        </w:tc>
      </w:tr>
      <w:tr>
        <w:trPr>
          <w:trHeight w:val="234"/>
        </w:trPr>
        <w:tc>
          <w:tcPr>
            <w:tcW w:w="5360" w:type="dxa"/>
            <w:vAlign w:val="bottom"/>
            <w:shd w:val="clear" w:color="auto" w:fill="E0E0E0"/>
          </w:tcPr>
          <w:p>
            <w:pPr>
              <w:ind w:left="600"/>
              <w:spacing w:after="0"/>
              <w:rPr>
                <w:sz w:val="20"/>
                <w:szCs w:val="20"/>
                <w:color w:val="auto"/>
              </w:rPr>
            </w:pPr>
            <w:r>
              <w:rPr>
                <w:rFonts w:ascii="Times New Roman" w:cs="Times New Roman" w:eastAsia="Times New Roman" w:hAnsi="Times New Roman"/>
                <w:sz w:val="20"/>
                <w:szCs w:val="20"/>
                <w:color w:val="auto"/>
              </w:rPr>
              <w:t>Impact of exchange rates on cash, cash equivalents, and</w:t>
            </w:r>
          </w:p>
        </w:tc>
        <w:tc>
          <w:tcPr>
            <w:tcW w:w="14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0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00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0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r>
      <w:tr>
        <w:trPr>
          <w:trHeight w:val="229"/>
        </w:trPr>
        <w:tc>
          <w:tcPr>
            <w:tcW w:w="5360" w:type="dxa"/>
            <w:vAlign w:val="bottom"/>
            <w:shd w:val="clear" w:color="auto" w:fill="E0E0E0"/>
          </w:tcPr>
          <w:p>
            <w:pPr>
              <w:ind w:left="600"/>
              <w:spacing w:after="0"/>
              <w:rPr>
                <w:sz w:val="20"/>
                <w:szCs w:val="20"/>
                <w:color w:val="auto"/>
              </w:rPr>
            </w:pPr>
            <w:r>
              <w:rPr>
                <w:rFonts w:ascii="Times New Roman" w:cs="Times New Roman" w:eastAsia="Times New Roman" w:hAnsi="Times New Roman"/>
                <w:sz w:val="20"/>
                <w:szCs w:val="20"/>
                <w:color w:val="auto"/>
              </w:rPr>
              <w:t>restricted cash</w:t>
            </w:r>
          </w:p>
        </w:tc>
        <w:tc>
          <w:tcPr>
            <w:tcW w:w="1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1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8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0E0E0"/>
          </w:tcPr>
          <w:p>
            <w:pPr>
              <w:spacing w:after="0"/>
              <w:rPr>
                <w:sz w:val="19"/>
                <w:szCs w:val="19"/>
                <w:color w:val="auto"/>
              </w:rPr>
            </w:pPr>
          </w:p>
        </w:tc>
      </w:tr>
      <w:tr>
        <w:trPr>
          <w:trHeight w:val="245"/>
        </w:trPr>
        <w:tc>
          <w:tcPr>
            <w:tcW w:w="53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Net increase (decrease) in cash, cash equivalents, and</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9"/>
        </w:trPr>
        <w:tc>
          <w:tcPr>
            <w:tcW w:w="53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restricted cash</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(70,591</w:t>
            </w:r>
          </w:p>
        </w:tc>
        <w:tc>
          <w:tcPr>
            <w:tcW w:w="8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89"/>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(64,170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r>
      <w:tr>
        <w:trPr>
          <w:trHeight w:val="244"/>
        </w:trPr>
        <w:tc>
          <w:tcPr>
            <w:tcW w:w="53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Cash, cash equivalents, and restricted cash</w:t>
            </w: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2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0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2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r>
      <w:tr>
        <w:trPr>
          <w:trHeight w:val="245"/>
        </w:trPr>
        <w:tc>
          <w:tcPr>
            <w:tcW w:w="536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 beginning of period</w:t>
            </w:r>
          </w:p>
        </w:tc>
        <w:tc>
          <w:tcPr>
            <w:tcW w:w="140" w:type="dxa"/>
            <w:vAlign w:val="bottom"/>
            <w:tcBorders>
              <w:bottom w:val="single" w:sz="8" w:color="E0E0E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38,528</w:t>
            </w:r>
          </w:p>
        </w:tc>
        <w:tc>
          <w:tcPr>
            <w:tcW w:w="80" w:type="dxa"/>
            <w:vAlign w:val="bottom"/>
            <w:tcBorders>
              <w:bottom w:val="single" w:sz="8" w:color="E0E0E0"/>
            </w:tcBorders>
          </w:tcPr>
          <w:p>
            <w:pPr>
              <w:spacing w:after="0"/>
              <w:rPr>
                <w:sz w:val="21"/>
                <w:szCs w:val="21"/>
                <w:color w:val="auto"/>
              </w:rPr>
            </w:pPr>
          </w:p>
        </w:tc>
        <w:tc>
          <w:tcPr>
            <w:tcW w:w="140" w:type="dxa"/>
            <w:vAlign w:val="bottom"/>
            <w:tcBorders>
              <w:bottom w:val="single" w:sz="8" w:color="E0E0E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109,119</w:t>
            </w:r>
          </w:p>
        </w:tc>
        <w:tc>
          <w:tcPr>
            <w:tcW w:w="80" w:type="dxa"/>
            <w:vAlign w:val="bottom"/>
            <w:tcBorders>
              <w:bottom w:val="single" w:sz="8" w:color="E0E0E0"/>
            </w:tcBorders>
          </w:tcPr>
          <w:p>
            <w:pPr>
              <w:spacing w:after="0"/>
              <w:rPr>
                <w:sz w:val="21"/>
                <w:szCs w:val="21"/>
                <w:color w:val="auto"/>
              </w:rPr>
            </w:pPr>
          </w:p>
        </w:tc>
        <w:tc>
          <w:tcPr>
            <w:tcW w:w="140" w:type="dxa"/>
            <w:vAlign w:val="bottom"/>
            <w:tcBorders>
              <w:bottom w:val="single" w:sz="8" w:color="E0E0E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173,289</w:t>
            </w:r>
          </w:p>
        </w:tc>
        <w:tc>
          <w:tcPr>
            <w:tcW w:w="80" w:type="dxa"/>
            <w:vAlign w:val="bottom"/>
            <w:tcBorders>
              <w:bottom w:val="single" w:sz="8" w:color="E0E0E0"/>
            </w:tcBorders>
          </w:tcPr>
          <w:p>
            <w:pPr>
              <w:spacing w:after="0"/>
              <w:rPr>
                <w:sz w:val="21"/>
                <w:szCs w:val="21"/>
                <w:color w:val="auto"/>
              </w:rPr>
            </w:pPr>
          </w:p>
        </w:tc>
      </w:tr>
      <w:tr>
        <w:trPr>
          <w:trHeight w:val="234"/>
        </w:trPr>
        <w:tc>
          <w:tcPr>
            <w:tcW w:w="53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 end of period</w:t>
            </w:r>
          </w:p>
        </w:tc>
        <w:tc>
          <w:tcPr>
            <w:tcW w:w="140" w:type="dxa"/>
            <w:vAlign w:val="bottom"/>
            <w:shd w:val="clear" w:color="auto" w:fill="E0E0E0"/>
          </w:tcPr>
          <w:p>
            <w:pPr>
              <w:spacing w:after="0"/>
              <w:rPr>
                <w:sz w:val="20"/>
                <w:szCs w:val="20"/>
                <w:color w:val="auto"/>
              </w:rPr>
            </w:pPr>
          </w:p>
        </w:tc>
        <w:tc>
          <w:tcPr>
            <w:tcW w:w="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40,876</w:t>
            </w:r>
          </w:p>
        </w:tc>
        <w:tc>
          <w:tcPr>
            <w:tcW w:w="8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38,528</w:t>
            </w:r>
          </w:p>
        </w:tc>
        <w:tc>
          <w:tcPr>
            <w:tcW w:w="8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00" w:type="dxa"/>
            <w:vAlign w:val="bottom"/>
            <w:tcBorders>
              <w:bottom w:val="single" w:sz="8" w:color="auto"/>
            </w:tcBorders>
            <w:shd w:val="clear" w:color="auto" w:fill="E0E0E0"/>
          </w:tcPr>
          <w:p>
            <w:pPr>
              <w:spacing w:after="0"/>
              <w:rPr>
                <w:sz w:val="20"/>
                <w:szCs w:val="20"/>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109,119</w:t>
            </w:r>
          </w:p>
        </w:tc>
        <w:tc>
          <w:tcPr>
            <w:tcW w:w="80" w:type="dxa"/>
            <w:vAlign w:val="bottom"/>
            <w:shd w:val="clear" w:color="auto" w:fill="E0E0E0"/>
          </w:tcPr>
          <w:p>
            <w:pPr>
              <w:spacing w:after="0"/>
              <w:rPr>
                <w:sz w:val="20"/>
                <w:szCs w:val="20"/>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-5299710</wp:posOffset>
                </wp:positionV>
                <wp:extent cx="594360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17.2999pt" to="468pt,-417.2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-4843145</wp:posOffset>
                </wp:positionV>
                <wp:extent cx="594360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1.3499pt" to="468pt,-381.3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-3913505</wp:posOffset>
                </wp:positionV>
                <wp:extent cx="594360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08.1499pt" to="468pt,-308.1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-3293745</wp:posOffset>
                </wp:positionV>
                <wp:extent cx="594360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9.3499pt" to="468pt,-259.3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-2661285</wp:posOffset>
                </wp:positionV>
                <wp:extent cx="594360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9.5499pt" to="468pt,-209.5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-794385</wp:posOffset>
                </wp:positionV>
                <wp:extent cx="594360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2.5499pt" to="468pt,-62.5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-339090</wp:posOffset>
                </wp:positionV>
                <wp:extent cx="594360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6999pt" to="468pt,-26.6999pt" o:allowincell="f" strokecolor="#FFFFFF" strokeweight="0.7199pt"/>
            </w:pict>
          </mc:Fallback>
        </mc:AlternateContent>
      </w:r>
    </w:p>
    <w:p>
      <w:pPr>
        <w:spacing w:after="0"/>
        <w:rPr>
          <w:sz w:val="20"/>
          <w:szCs w:val="20"/>
          <w:color w:val="auto"/>
        </w:rPr>
      </w:pPr>
      <w:r>
        <w:rPr>
          <w:rFonts w:ascii="Times New Roman" w:cs="Times New Roman" w:eastAsia="Times New Roman" w:hAnsi="Times New Roman"/>
          <w:sz w:val="20"/>
          <w:szCs w:val="20"/>
          <w:b w:val="1"/>
          <w:bCs w:val="1"/>
          <w:color w:val="auto"/>
        </w:rPr>
        <w:t>Supplemental disclosures of noncash investing activities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9525</wp:posOffset>
                </wp:positionV>
                <wp:extent cx="5943600" cy="155575"/>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55575"/>
                        </a:xfrm>
                        <a:prstGeom prst="rect">
                          <a:avLst/>
                        </a:prstGeom>
                        <a:solidFill>
                          <a:srgbClr val="E0E0E0"/>
                        </a:solidFill>
                      </wps:spPr>
                      <wps:bodyPr/>
                    </wps:wsp>
                  </a:graphicData>
                </a:graphic>
              </wp:anchor>
            </w:drawing>
          </mc:Choice>
          <mc:Fallback>
            <w:pict>
              <v:rect id="Shape 53" o:spid="_x0000_s1078" style="position:absolute;margin-left:0pt;margin-top:0.75pt;width:468pt;height: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18415</wp:posOffset>
                </wp:positionV>
                <wp:extent cx="3404870" cy="14605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04870" cy="146050"/>
                        </a:xfrm>
                        <a:prstGeom prst="rect">
                          <a:avLst/>
                        </a:prstGeom>
                        <a:solidFill>
                          <a:srgbClr val="E0E0E0"/>
                        </a:solidFill>
                      </wps:spPr>
                      <wps:bodyPr/>
                    </wps:wsp>
                  </a:graphicData>
                </a:graphic>
              </wp:anchor>
            </w:drawing>
          </mc:Choice>
          <mc:Fallback>
            <w:pict>
              <v:rect id="Shape 54" o:spid="_x0000_s1079" style="position:absolute;margin-left:0pt;margin-top:1.45pt;width:268.1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3567430</wp:posOffset>
                </wp:positionH>
                <wp:positionV relativeFrom="paragraph">
                  <wp:posOffset>18415</wp:posOffset>
                </wp:positionV>
                <wp:extent cx="624840" cy="14605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4840" cy="146050"/>
                        </a:xfrm>
                        <a:prstGeom prst="rect">
                          <a:avLst/>
                        </a:prstGeom>
                        <a:solidFill>
                          <a:srgbClr val="E0E0E0"/>
                        </a:solidFill>
                      </wps:spPr>
                      <wps:bodyPr/>
                    </wps:wsp>
                  </a:graphicData>
                </a:graphic>
              </wp:anchor>
            </w:drawing>
          </mc:Choice>
          <mc:Fallback>
            <w:pict>
              <v:rect id="Shape 55" o:spid="_x0000_s1080" style="position:absolute;margin-left:280.9pt;margin-top:1.45pt;width:49.2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4410075</wp:posOffset>
                </wp:positionH>
                <wp:positionV relativeFrom="paragraph">
                  <wp:posOffset>18415</wp:posOffset>
                </wp:positionV>
                <wp:extent cx="624840" cy="14605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4840" cy="146050"/>
                        </a:xfrm>
                        <a:prstGeom prst="rect">
                          <a:avLst/>
                        </a:prstGeom>
                        <a:solidFill>
                          <a:srgbClr val="E0E0E0"/>
                        </a:solidFill>
                      </wps:spPr>
                      <wps:bodyPr/>
                    </wps:wsp>
                  </a:graphicData>
                </a:graphic>
              </wp:anchor>
            </w:drawing>
          </mc:Choice>
          <mc:Fallback>
            <w:pict>
              <v:rect id="Shape 56" o:spid="_x0000_s1081" style="position:absolute;margin-left:347.25pt;margin-top:1.45pt;width:49.2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5254625</wp:posOffset>
                </wp:positionH>
                <wp:positionV relativeFrom="paragraph">
                  <wp:posOffset>18415</wp:posOffset>
                </wp:positionV>
                <wp:extent cx="625475" cy="14605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5475" cy="146050"/>
                        </a:xfrm>
                        <a:prstGeom prst="rect">
                          <a:avLst/>
                        </a:prstGeom>
                        <a:solidFill>
                          <a:srgbClr val="E0E0E0"/>
                        </a:solidFill>
                      </wps:spPr>
                      <wps:bodyPr/>
                    </wps:wsp>
                  </a:graphicData>
                </a:graphic>
              </wp:anchor>
            </w:drawing>
          </mc:Choice>
          <mc:Fallback>
            <w:pict>
              <v:rect id="Shape 57" o:spid="_x0000_s1082" style="position:absolute;margin-left:413.75pt;margin-top:1.45pt;width:49.2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14605</wp:posOffset>
                </wp:positionV>
                <wp:extent cx="594360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E0E0E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5pt" to="468pt,1.15pt" o:allowincell="f" strokecolor="#E0E0E0" strokeweight="0.72pt"/>
            </w:pict>
          </mc:Fallback>
        </mc:AlternateContent>
      </w:r>
    </w:p>
    <w:p>
      <w:pPr>
        <w:spacing w:after="0"/>
        <w:tabs>
          <w:tab w:leader="none" w:pos="6380" w:val="left"/>
          <w:tab w:leader="none" w:pos="7820" w:val="left"/>
          <w:tab w:leader="none" w:pos="8940" w:val="left"/>
        </w:tabs>
        <w:rPr>
          <w:sz w:val="20"/>
          <w:szCs w:val="20"/>
          <w:color w:val="auto"/>
        </w:rPr>
      </w:pPr>
      <w:r>
        <w:rPr>
          <w:rFonts w:ascii="Times New Roman" w:cs="Times New Roman" w:eastAsia="Times New Roman" w:hAnsi="Times New Roman"/>
          <w:sz w:val="20"/>
          <w:szCs w:val="20"/>
          <w:color w:val="auto"/>
        </w:rPr>
        <w:t xml:space="preserve">Accrued purchases of property and equipment                </w:t>
      </w:r>
      <w:r>
        <w:rPr>
          <w:sz w:val="1"/>
          <w:szCs w:val="1"/>
          <w:color w:val="auto"/>
        </w:rPr>
        <w:drawing>
          <wp:inline distT="0" distB="0" distL="0" distR="0">
            <wp:extent cx="71120" cy="14605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
                      <a:extLst>
                        <a:ext uri="{28A0092B-C50C-407E-A947-70E740481C1C}"/>
                      </a:extLst>
                    </a:blip>
                    <a:srcRect/>
                    <a:stretch>
                      <a:fillRect/>
                    </a:stretch>
                  </pic:blipFill>
                  <pic:spPr bwMode="auto">
                    <a:xfrm>
                      <a:off x="0" y="0"/>
                      <a:ext cx="71120" cy="146050"/>
                    </a:xfrm>
                    <a:prstGeom prst="rect">
                      <a:avLst/>
                    </a:prstGeom>
                    <a:noFill/>
                    <a:ln>
                      <a:noFill/>
                    </a:ln>
                  </pic:spPr>
                </pic:pic>
              </a:graphicData>
            </a:graphic>
          </wp:inline>
        </w:drawing>
      </w:r>
      <w:r>
        <w:rPr>
          <w:rFonts w:ascii="Times New Roman" w:cs="Times New Roman" w:eastAsia="Times New Roman" w:hAnsi="Times New Roman"/>
          <w:sz w:val="20"/>
          <w:szCs w:val="20"/>
          <w:color w:val="auto"/>
          <w:shd w:val="clear" w:color="auto" w:fill="E0E0E0"/>
        </w:rPr>
        <w:t>$</w:t>
      </w:r>
      <w:r>
        <w:rPr>
          <w:sz w:val="20"/>
          <w:szCs w:val="20"/>
          <w:color w:val="auto"/>
        </w:rPr>
        <w:tab/>
      </w:r>
      <w:r>
        <w:rPr>
          <w:rFonts w:ascii="Times New Roman" w:cs="Times New Roman" w:eastAsia="Times New Roman" w:hAnsi="Times New Roman"/>
          <w:sz w:val="20"/>
          <w:szCs w:val="20"/>
          <w:color w:val="auto"/>
        </w:rPr>
        <w:t>—</w:t>
      </w:r>
      <w:r>
        <w:rPr>
          <w:sz w:val="1"/>
          <w:szCs w:val="1"/>
          <w:color w:val="auto"/>
        </w:rPr>
        <w:drawing>
          <wp:inline distT="0" distB="0" distL="0" distR="0">
            <wp:extent cx="48260" cy="14605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
                      <a:extLst>
                        <a:ext uri="{28A0092B-C50C-407E-A947-70E740481C1C}"/>
                      </a:extLst>
                    </a:blip>
                    <a:srcRect/>
                    <a:stretch>
                      <a:fillRect/>
                    </a:stretch>
                  </pic:blipFill>
                  <pic:spPr bwMode="auto">
                    <a:xfrm>
                      <a:off x="0" y="0"/>
                      <a:ext cx="48260" cy="146050"/>
                    </a:xfrm>
                    <a:prstGeom prst="rect">
                      <a:avLst/>
                    </a:prstGeom>
                    <a:noFill/>
                    <a:ln>
                      <a:noFill/>
                    </a:ln>
                  </pic:spPr>
                </pic:pic>
              </a:graphicData>
            </a:graphic>
          </wp:inline>
        </w:drawing>
        <w:drawing>
          <wp:inline distT="0" distB="0" distL="0" distR="0">
            <wp:extent cx="71120" cy="14605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
                      <a:extLst>
                        <a:ext uri="{28A0092B-C50C-407E-A947-70E740481C1C}"/>
                      </a:extLst>
                    </a:blip>
                    <a:srcRect/>
                    <a:stretch>
                      <a:fillRect/>
                    </a:stretch>
                  </pic:blipFill>
                  <pic:spPr bwMode="auto">
                    <a:xfrm>
                      <a:off x="0" y="0"/>
                      <a:ext cx="71120" cy="146050"/>
                    </a:xfrm>
                    <a:prstGeom prst="rect">
                      <a:avLst/>
                    </a:prstGeom>
                    <a:noFill/>
                    <a:ln>
                      <a:noFill/>
                    </a:ln>
                  </pic:spPr>
                </pic:pic>
              </a:graphicData>
            </a:graphic>
          </wp:inline>
        </w:drawing>
      </w:r>
      <w:r>
        <w:rPr>
          <w:rFonts w:ascii="Times New Roman" w:cs="Times New Roman" w:eastAsia="Times New Roman" w:hAnsi="Times New Roman"/>
          <w:sz w:val="20"/>
          <w:szCs w:val="20"/>
          <w:color w:val="auto"/>
          <w:shd w:val="clear" w:color="auto" w:fill="E0E0E0"/>
        </w:rPr>
        <w:t>$</w:t>
      </w:r>
      <w:r>
        <w:rPr>
          <w:sz w:val="20"/>
          <w:szCs w:val="20"/>
          <w:color w:val="auto"/>
        </w:rPr>
        <w:tab/>
      </w:r>
      <w:r>
        <w:rPr>
          <w:rFonts w:ascii="Times New Roman" w:cs="Times New Roman" w:eastAsia="Times New Roman" w:hAnsi="Times New Roman"/>
          <w:sz w:val="20"/>
          <w:szCs w:val="20"/>
          <w:color w:val="auto"/>
        </w:rPr>
        <w:t>6</w:t>
      </w:r>
      <w:r>
        <w:rPr>
          <w:sz w:val="1"/>
          <w:szCs w:val="1"/>
          <w:color w:val="auto"/>
        </w:rPr>
        <w:drawing>
          <wp:inline distT="0" distB="0" distL="0" distR="0">
            <wp:extent cx="46990" cy="14605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4">
                      <a:extLst>
                        <a:ext uri="{28A0092B-C50C-407E-A947-70E740481C1C}"/>
                      </a:extLst>
                    </a:blip>
                    <a:srcRect/>
                    <a:stretch>
                      <a:fillRect/>
                    </a:stretch>
                  </pic:blipFill>
                  <pic:spPr bwMode="auto">
                    <a:xfrm>
                      <a:off x="0" y="0"/>
                      <a:ext cx="46990" cy="146050"/>
                    </a:xfrm>
                    <a:prstGeom prst="rect">
                      <a:avLst/>
                    </a:prstGeom>
                    <a:noFill/>
                    <a:ln>
                      <a:noFill/>
                    </a:ln>
                  </pic:spPr>
                </pic:pic>
              </a:graphicData>
            </a:graphic>
          </wp:inline>
        </w:drawing>
        <w:drawing>
          <wp:inline distT="0" distB="0" distL="0" distR="0">
            <wp:extent cx="71755" cy="14605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5">
                      <a:extLst>
                        <a:ext uri="{28A0092B-C50C-407E-A947-70E740481C1C}"/>
                      </a:extLst>
                    </a:blip>
                    <a:srcRect/>
                    <a:stretch>
                      <a:fillRect/>
                    </a:stretch>
                  </pic:blipFill>
                  <pic:spPr bwMode="auto">
                    <a:xfrm>
                      <a:off x="0" y="0"/>
                      <a:ext cx="71755" cy="146050"/>
                    </a:xfrm>
                    <a:prstGeom prst="rect">
                      <a:avLst/>
                    </a:prstGeom>
                    <a:noFill/>
                    <a:ln>
                      <a:noFill/>
                    </a:ln>
                  </pic:spPr>
                </pic:pic>
              </a:graphicData>
            </a:graphic>
          </wp:inline>
        </w:drawing>
      </w:r>
      <w:r>
        <w:rPr>
          <w:rFonts w:ascii="Times New Roman" w:cs="Times New Roman" w:eastAsia="Times New Roman" w:hAnsi="Times New Roman"/>
          <w:sz w:val="20"/>
          <w:szCs w:val="20"/>
          <w:color w:val="auto"/>
          <w:shd w:val="clear" w:color="auto" w:fill="E0E0E0"/>
        </w:rPr>
        <w:t>$</w:t>
      </w:r>
      <w:r>
        <w:rPr>
          <w:sz w:val="20"/>
          <w:szCs w:val="20"/>
          <w:color w:val="auto"/>
        </w:rPr>
        <w:tab/>
      </w:r>
      <w:r>
        <w:rPr>
          <w:rFonts w:ascii="Times New Roman" w:cs="Times New Roman" w:eastAsia="Times New Roman" w:hAnsi="Times New Roman"/>
          <w:sz w:val="17"/>
          <w:szCs w:val="17"/>
          <w:color w:val="auto"/>
        </w:rPr>
        <w:t>196</w:t>
      </w:r>
      <w:r>
        <w:rPr>
          <w:sz w:val="1"/>
          <w:szCs w:val="1"/>
          <w:color w:val="auto"/>
        </w:rPr>
        <w:drawing>
          <wp:inline distT="0" distB="0" distL="0" distR="0">
            <wp:extent cx="45720" cy="14605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6">
                      <a:extLst>
                        <a:ext uri="{28A0092B-C50C-407E-A947-70E740481C1C}"/>
                      </a:extLst>
                    </a:blip>
                    <a:srcRect/>
                    <a:stretch>
                      <a:fillRect/>
                    </a:stretch>
                  </pic:blipFill>
                  <pic:spPr bwMode="auto">
                    <a:xfrm>
                      <a:off x="0" y="0"/>
                      <a:ext cx="45720" cy="146050"/>
                    </a:xfrm>
                    <a:prstGeom prst="rect">
                      <a:avLst/>
                    </a:prstGeom>
                    <a:noFill/>
                    <a:ln>
                      <a:noFill/>
                    </a:ln>
                  </pic:spPr>
                </pic:pic>
              </a:graphicData>
            </a:graphic>
          </wp:inline>
        </w:drawing>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9360"/>
          </w:cols>
          <w:pgMar w:left="1440" w:top="1416" w:right="1440" w:bottom="175"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0"/>
          <w:szCs w:val="20"/>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1. Formation and Business of the Company</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Organization</w:t>
      </w:r>
    </w:p>
    <w:p>
      <w:pPr>
        <w:spacing w:after="0" w:line="119" w:lineRule="exact"/>
        <w:rPr>
          <w:sz w:val="20"/>
          <w:szCs w:val="20"/>
          <w:color w:val="auto"/>
        </w:rPr>
      </w:pPr>
    </w:p>
    <w:p>
      <w:pPr>
        <w:ind w:right="80" w:firstLine="619"/>
        <w:spacing w:after="0" w:line="249" w:lineRule="auto"/>
        <w:rPr>
          <w:sz w:val="20"/>
          <w:szCs w:val="20"/>
          <w:color w:val="auto"/>
        </w:rPr>
      </w:pPr>
      <w:r>
        <w:rPr>
          <w:rFonts w:ascii="Times New Roman" w:cs="Times New Roman" w:eastAsia="Times New Roman" w:hAnsi="Times New Roman"/>
          <w:sz w:val="20"/>
          <w:szCs w:val="20"/>
          <w:color w:val="auto"/>
        </w:rPr>
        <w:t>PMV Pharmaceuticals, Inc. (the “Company”) was incorporated in the state of Delaware in March 2013. Since inception, the Company has devoted substantially all of its time and efforts to performing research and development activities and raising capital. The Company is a precision oncology company pioneering the discovery and development of small molecule, tumor-agnostic therapies targeting p53. The Company’s headquarters are located at 400 Alexander Park Drive, Suite 301, in Princeton, New Jersey.</w:t>
      </w:r>
    </w:p>
    <w:p>
      <w:pPr>
        <w:spacing w:after="0" w:line="198" w:lineRule="exact"/>
        <w:rPr>
          <w:sz w:val="20"/>
          <w:szCs w:val="20"/>
          <w:color w:val="auto"/>
        </w:rPr>
      </w:pPr>
    </w:p>
    <w:p>
      <w:pPr>
        <w:ind w:right="40" w:firstLine="619"/>
        <w:spacing w:after="0" w:line="244" w:lineRule="auto"/>
        <w:rPr>
          <w:sz w:val="20"/>
          <w:szCs w:val="20"/>
          <w:color w:val="auto"/>
        </w:rPr>
      </w:pPr>
      <w:r>
        <w:rPr>
          <w:rFonts w:ascii="Times New Roman" w:cs="Times New Roman" w:eastAsia="Times New Roman" w:hAnsi="Times New Roman"/>
          <w:sz w:val="20"/>
          <w:szCs w:val="20"/>
          <w:color w:val="auto"/>
        </w:rPr>
        <w:t>The Company is subject to risks and uncertainties common to clinical 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205"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0"/>
          <w:szCs w:val="20"/>
          <w:color w:val="auto"/>
        </w:rPr>
        <w:t>The Company has incurred net losses and negative cash flows from operations since its inception. During the year ended December 31, 2024, the Company incurred a net loss of $58,709 and used $51,282 of cash for operations. As of December 31, 2024, the Company had an accumulated deficit of $368,712. Cash, cash equivalents, and marketable securities were $ 183,297 as of December 31, 2024. Management expects to incur substantial additional operating losses for the next several years and may need to obtain additional debt or equity financings in order to complete development of its products, obtain regulatory approvals, launch and commercialize its products and continue research and development programs. The Company believes it has adequate cash, cash equivalents, and marketable securities to operate for at least the next 12 months from the date of issuance of these consolidated financial statements.</w:t>
      </w:r>
    </w:p>
    <w:p>
      <w:pPr>
        <w:spacing w:after="0" w:line="326" w:lineRule="exact"/>
        <w:rPr>
          <w:sz w:val="20"/>
          <w:szCs w:val="20"/>
          <w:color w:val="auto"/>
        </w:rPr>
      </w:pPr>
    </w:p>
    <w:p>
      <w:pPr>
        <w:ind w:left="620" w:right="5440" w:hanging="620"/>
        <w:spacing w:after="0" w:line="365" w:lineRule="auto"/>
        <w:tabs>
          <w:tab w:leader="none" w:pos="251" w:val="left"/>
        </w:tabs>
        <w:numPr>
          <w:ilvl w:val="0"/>
          <w:numId w:val="58"/>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Summary of Significant Accounting Policies Basis of Presentation</w:t>
      </w:r>
    </w:p>
    <w:p>
      <w:pPr>
        <w:spacing w:after="0" w:line="1" w:lineRule="exact"/>
        <w:rPr>
          <w:sz w:val="20"/>
          <w:szCs w:val="20"/>
          <w:color w:val="auto"/>
        </w:rPr>
      </w:pPr>
    </w:p>
    <w:p>
      <w:pPr>
        <w:ind w:right="140" w:firstLine="619"/>
        <w:spacing w:after="0" w:line="252" w:lineRule="auto"/>
        <w:rPr>
          <w:sz w:val="20"/>
          <w:szCs w:val="20"/>
          <w:color w:val="auto"/>
        </w:rPr>
      </w:pPr>
      <w:r>
        <w:rPr>
          <w:rFonts w:ascii="Times New Roman" w:cs="Times New Roman" w:eastAsia="Times New Roman" w:hAnsi="Times New Roman"/>
          <w:sz w:val="20"/>
          <w:szCs w:val="20"/>
          <w:color w:val="auto"/>
        </w:rPr>
        <w:t>The audited consolidated financial statements are prepared in accordance with United States generally accepted accounting principles (“GAAP”). Any reference in these notes to applicable guidance is meant to refer to the authoritative GAAP as found in the Accounting Standards Codification (“ASC”) and Accounting Standards Update (“ASU”) of the Financial Accounting Standards Board (“FASB”).</w:t>
      </w:r>
    </w:p>
    <w:p>
      <w:pPr>
        <w:spacing w:after="0" w:line="193" w:lineRule="exact"/>
        <w:rPr>
          <w:sz w:val="20"/>
          <w:szCs w:val="20"/>
          <w:color w:val="auto"/>
        </w:rPr>
      </w:pPr>
    </w:p>
    <w:p>
      <w:pPr>
        <w:ind w:right="20" w:firstLine="619"/>
        <w:spacing w:after="0" w:line="252" w:lineRule="auto"/>
        <w:rPr>
          <w:sz w:val="20"/>
          <w:szCs w:val="20"/>
          <w:color w:val="auto"/>
        </w:rPr>
      </w:pPr>
      <w:r>
        <w:rPr>
          <w:rFonts w:ascii="Times New Roman" w:cs="Times New Roman" w:eastAsia="Times New Roman" w:hAnsi="Times New Roman"/>
          <w:sz w:val="20"/>
          <w:szCs w:val="20"/>
          <w:color w:val="auto"/>
        </w:rPr>
        <w:t>The accompanying consolidated financial statements include the Company’s accounts and the accounts of its wholly owned subsidiary, PMV Pharma Australia Pvt Ltd. All significant intercompany transactions and balances have been eliminated upon consolidation. These consolidated financial statements are presented in United States (“U.S.”) Dollars, which is also the functional currency of the Company.</w:t>
      </w:r>
    </w:p>
    <w:p>
      <w:pPr>
        <w:spacing w:after="0" w:line="195" w:lineRule="exact"/>
        <w:rPr>
          <w:sz w:val="20"/>
          <w:szCs w:val="20"/>
          <w:color w:val="auto"/>
        </w:rPr>
      </w:pPr>
    </w:p>
    <w:p>
      <w:pPr>
        <w:jc w:val="both"/>
        <w:ind w:right="200" w:firstLine="619"/>
        <w:spacing w:after="0" w:line="252" w:lineRule="auto"/>
        <w:rPr>
          <w:sz w:val="20"/>
          <w:szCs w:val="20"/>
          <w:color w:val="auto"/>
        </w:rPr>
      </w:pPr>
      <w:r>
        <w:rPr>
          <w:rFonts w:ascii="Times New Roman" w:cs="Times New Roman" w:eastAsia="Times New Roman" w:hAnsi="Times New Roman"/>
          <w:sz w:val="20"/>
          <w:szCs w:val="20"/>
          <w:color w:val="auto"/>
        </w:rPr>
        <w:t>These consolidated financial statements have been prepared on a going concern basis, which contemplates the realization of assets and the satisfaction of liabilities and commitments in the ordinary course of business. The Company has limited operating history and its prospects are subject to risks, expenses and uncertainties frequently encountered by companies in the biotechnology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9360"/>
          </w:cols>
          <w:pgMar w:left="1440" w:top="1416" w:right="1440" w:bottom="175" w:gutter="0" w:footer="0" w:header="0"/>
        </w:sectPr>
      </w:pPr>
    </w:p>
    <w:bookmarkStart w:id="114" w:name="page115"/>
    <w:bookmarkEnd w:id="114"/>
    <w:p>
      <w:pPr>
        <w:spacing w:after="0" w:line="200" w:lineRule="exact"/>
        <w:rPr>
          <w:sz w:val="20"/>
          <w:szCs w:val="20"/>
          <w:color w:val="auto"/>
        </w:rPr>
      </w:pPr>
    </w:p>
    <w:p>
      <w:pPr>
        <w:spacing w:after="0" w:line="3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20" w:lineRule="exact"/>
        <w:rPr>
          <w:sz w:val="20"/>
          <w:szCs w:val="20"/>
          <w:color w:val="auto"/>
        </w:rPr>
      </w:pPr>
    </w:p>
    <w:p>
      <w:pPr>
        <w:ind w:right="80" w:firstLine="619"/>
        <w:spacing w:after="0" w:line="245"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Company bases its estimates and assumptions on historical experience when available and on various factors that it believes to be reasonable under the circumstances. Significant estimates and assumptions reflected in these consolidated financial statements include, but are not limited to, research and development costs, accrued research and development costs and related prepaid expenses, and stock-based compensation. Actual results could differ materially from those estimates.</w:t>
      </w:r>
    </w:p>
    <w:p>
      <w:pPr>
        <w:spacing w:after="0" w:line="3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Fair Value of Financial Instruments</w:t>
      </w:r>
    </w:p>
    <w:p>
      <w:pPr>
        <w:spacing w:after="0" w:line="120" w:lineRule="exact"/>
        <w:rPr>
          <w:sz w:val="20"/>
          <w:szCs w:val="20"/>
          <w:color w:val="auto"/>
        </w:rPr>
      </w:pPr>
    </w:p>
    <w:p>
      <w:pPr>
        <w:ind w:right="60" w:firstLine="619"/>
        <w:spacing w:after="0" w:line="246" w:lineRule="auto"/>
        <w:rPr>
          <w:sz w:val="20"/>
          <w:szCs w:val="20"/>
          <w:color w:val="auto"/>
        </w:rPr>
      </w:pPr>
      <w:r>
        <w:rPr>
          <w:rFonts w:ascii="Times New Roman" w:cs="Times New Roman" w:eastAsia="Times New Roman" w:hAnsi="Times New Roman"/>
          <w:sz w:val="20"/>
          <w:szCs w:val="20"/>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94" w:lineRule="exact"/>
        <w:rPr>
          <w:sz w:val="20"/>
          <w:szCs w:val="20"/>
          <w:color w:val="auto"/>
        </w:rPr>
      </w:pPr>
    </w:p>
    <w:p>
      <w:pPr>
        <w:ind w:left="900" w:right="280" w:hanging="281"/>
        <w:spacing w:after="0" w:line="277" w:lineRule="auto"/>
        <w:tabs>
          <w:tab w:leader="none" w:pos="90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Level 1 - Inputs that reflect unadjusted quoted prices in active markets for identical assets or liabilities that the Company has the ability to access at the measurement date.</w:t>
      </w:r>
    </w:p>
    <w:p>
      <w:pPr>
        <w:spacing w:after="0" w:line="63" w:lineRule="exact"/>
        <w:rPr>
          <w:rFonts w:ascii="Arial" w:cs="Arial" w:eastAsia="Arial" w:hAnsi="Arial"/>
          <w:sz w:val="20"/>
          <w:szCs w:val="20"/>
          <w:color w:val="auto"/>
        </w:rPr>
      </w:pPr>
    </w:p>
    <w:p>
      <w:pPr>
        <w:ind w:left="900" w:right="380" w:hanging="281"/>
        <w:spacing w:after="0" w:line="276" w:lineRule="auto"/>
        <w:tabs>
          <w:tab w:leader="none" w:pos="90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Level 2 - Inputs other than quoted prices that are observable for the asset or liability either directly or indirectly, including inputs in markets that are not considered to be active.</w:t>
      </w:r>
    </w:p>
    <w:p>
      <w:pPr>
        <w:spacing w:after="0" w:line="64" w:lineRule="exact"/>
        <w:rPr>
          <w:rFonts w:ascii="Arial" w:cs="Arial" w:eastAsia="Arial" w:hAnsi="Arial"/>
          <w:sz w:val="20"/>
          <w:szCs w:val="20"/>
          <w:color w:val="auto"/>
        </w:rPr>
      </w:pPr>
    </w:p>
    <w:p>
      <w:pPr>
        <w:ind w:left="900" w:right="260" w:hanging="281"/>
        <w:spacing w:after="0" w:line="276" w:lineRule="auto"/>
        <w:tabs>
          <w:tab w:leader="none" w:pos="90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Level 3 - Inputs are unobservable in which there is little or no market data available, which require the reporting entity to develop its own assumptions that are unobservable.</w:t>
      </w:r>
    </w:p>
    <w:p>
      <w:pPr>
        <w:spacing w:after="0" w:line="170"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0"/>
          <w:szCs w:val="20"/>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3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Cash, Cash Equivalents, and Marketable Securities</w:t>
      </w:r>
    </w:p>
    <w:p>
      <w:pPr>
        <w:spacing w:after="0" w:line="119" w:lineRule="exact"/>
        <w:rPr>
          <w:sz w:val="20"/>
          <w:szCs w:val="20"/>
          <w:color w:val="auto"/>
        </w:rPr>
      </w:pPr>
    </w:p>
    <w:p>
      <w:pPr>
        <w:ind w:right="320" w:firstLine="619"/>
        <w:spacing w:after="0" w:line="278" w:lineRule="auto"/>
        <w:rPr>
          <w:sz w:val="20"/>
          <w:szCs w:val="20"/>
          <w:color w:val="auto"/>
        </w:rPr>
      </w:pPr>
      <w:r>
        <w:rPr>
          <w:rFonts w:ascii="Times New Roman" w:cs="Times New Roman" w:eastAsia="Times New Roman" w:hAnsi="Times New Roman"/>
          <w:sz w:val="20"/>
          <w:szCs w:val="20"/>
          <w:color w:val="auto"/>
        </w:rPr>
        <w:t>Management considers all highly liquid investments with original maturities of three months or less to be cash equivalents.</w:t>
      </w:r>
    </w:p>
    <w:p>
      <w:pPr>
        <w:spacing w:after="0" w:line="168" w:lineRule="exact"/>
        <w:rPr>
          <w:sz w:val="20"/>
          <w:szCs w:val="20"/>
          <w:color w:val="auto"/>
        </w:rPr>
      </w:pPr>
    </w:p>
    <w:p>
      <w:pPr>
        <w:ind w:right="100" w:firstLine="619"/>
        <w:spacing w:after="0" w:line="244" w:lineRule="auto"/>
        <w:rPr>
          <w:sz w:val="20"/>
          <w:szCs w:val="20"/>
          <w:color w:val="auto"/>
        </w:rPr>
      </w:pPr>
      <w:r>
        <w:rPr>
          <w:rFonts w:ascii="Times New Roman" w:cs="Times New Roman" w:eastAsia="Times New Roman" w:hAnsi="Times New Roman"/>
          <w:sz w:val="20"/>
          <w:szCs w:val="20"/>
          <w:color w:val="auto"/>
        </w:rPr>
        <w:t>The Company’s marketable debt securities have been classified and accounted for as available-for-sale. The Company classifies its marketable debt securities as either short-term or long-term based on each instrument’s underlying contractual maturity date. Marketable debt securities with maturities of 12 months or less are classified as short-term and marketable debt securities with maturities greater than 12 months are classified as long-term. The Company’s marketable debt securities are carried at fair value, with unrealized gains and losses, net of taxes, reported as a component of accumulated other comprehensive loss in stockholders’ equity. Premiums and discounts on marketable debt securities are amortized into earnings over the life of the security and recorded on the interest income, net line of the income statement. For the years ended December 31, 2024, 2023, and 2022, the Company recorded $5,371 of accretion, $5,386 of accretion, and $628 of accretion, respectively.</w:t>
      </w:r>
    </w:p>
    <w:p>
      <w:pPr>
        <w:spacing w:after="0" w:line="3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0F0F0F"/>
        </w:rPr>
        <w:t>Comprehensive Loss and Accumulated Other Comprehensive Income (Loss)</w:t>
      </w:r>
    </w:p>
    <w:p>
      <w:pPr>
        <w:spacing w:after="0" w:line="119" w:lineRule="exact"/>
        <w:rPr>
          <w:sz w:val="20"/>
          <w:szCs w:val="20"/>
          <w:color w:val="auto"/>
        </w:rPr>
      </w:pPr>
    </w:p>
    <w:p>
      <w:pPr>
        <w:jc w:val="both"/>
        <w:ind w:right="120" w:firstLine="619"/>
        <w:spacing w:after="0" w:line="259" w:lineRule="auto"/>
        <w:rPr>
          <w:sz w:val="20"/>
          <w:szCs w:val="20"/>
          <w:color w:val="auto"/>
        </w:rPr>
      </w:pPr>
      <w:r>
        <w:rPr>
          <w:rFonts w:ascii="Times New Roman" w:cs="Times New Roman" w:eastAsia="Times New Roman" w:hAnsi="Times New Roman"/>
          <w:sz w:val="20"/>
          <w:szCs w:val="20"/>
          <w:color w:val="auto"/>
        </w:rPr>
        <w:t>Other comprehensive income (loss) is defined as the change in equity during a period from transactions and other events and circumstances from non-owner sources, including unrealized gains and losses on investments and foreign currency translation gains and losses.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9360"/>
          </w:cols>
          <w:pgMar w:left="1440" w:top="1440" w:right="1440" w:bottom="175" w:gutter="0" w:footer="0" w:header="0"/>
        </w:sectPr>
      </w:pPr>
    </w:p>
    <w:bookmarkStart w:id="115" w:name="page116"/>
    <w:bookmarkEnd w:id="115"/>
    <w:p>
      <w:pPr>
        <w:ind w:left="620"/>
        <w:spacing w:after="0"/>
        <w:rPr>
          <w:sz w:val="20"/>
          <w:szCs w:val="20"/>
          <w:color w:val="auto"/>
        </w:rPr>
      </w:pPr>
      <w:r>
        <w:rPr>
          <w:rFonts w:ascii="Times New Roman" w:cs="Times New Roman" w:eastAsia="Times New Roman" w:hAnsi="Times New Roman"/>
          <w:sz w:val="20"/>
          <w:szCs w:val="20"/>
          <w:b w:val="1"/>
          <w:bCs w:val="1"/>
          <w:i w:val="1"/>
          <w:iCs w:val="1"/>
          <w:color w:val="0F0F0F"/>
        </w:rPr>
        <w:t>Leases</w:t>
      </w:r>
    </w:p>
    <w:p>
      <w:pPr>
        <w:spacing w:after="0" w:line="119" w:lineRule="exact"/>
        <w:rPr>
          <w:sz w:val="20"/>
          <w:szCs w:val="20"/>
          <w:color w:val="auto"/>
        </w:rPr>
      </w:pPr>
    </w:p>
    <w:p>
      <w:pPr>
        <w:ind w:right="100" w:firstLine="619"/>
        <w:spacing w:after="0" w:line="244" w:lineRule="auto"/>
        <w:rPr>
          <w:sz w:val="20"/>
          <w:szCs w:val="20"/>
          <w:color w:val="auto"/>
        </w:rPr>
      </w:pPr>
      <w:r>
        <w:rPr>
          <w:rFonts w:ascii="Times New Roman" w:cs="Times New Roman" w:eastAsia="Times New Roman" w:hAnsi="Times New Roman"/>
          <w:sz w:val="20"/>
          <w:szCs w:val="20"/>
          <w:color w:val="auto"/>
        </w:rPr>
        <w:t>At the inception of an arrangement, the Company determines whether the arrangement is or contains a lease based on the circumstances present. The Company accounts for a contract as a lease when it has the right to control the asset for a period of time while obtaining substantially all of the asset’s economic benefits. The Company determines the initial classification and measurement of its operating right-of-use (“ROU”) assets and operating lease liabilities at the lease commencement date, and thereafter if modified. The lease term includes any renewal options that the Company is reasonably assured to exercise. The Company’s policy is to not record leases with a lease term of 12 months or less on its balance sheets. Furthermore, the Company has elected the practical expedient to not separate lease and non-lease components by class of underlying asset for its existing leases. The Company’s only existing leases are for office and laboratory space.</w:t>
      </w:r>
    </w:p>
    <w:p>
      <w:pPr>
        <w:spacing w:after="0" w:line="206" w:lineRule="exact"/>
        <w:rPr>
          <w:sz w:val="20"/>
          <w:szCs w:val="20"/>
          <w:color w:val="auto"/>
        </w:rPr>
      </w:pPr>
    </w:p>
    <w:p>
      <w:pPr>
        <w:ind w:right="100" w:firstLine="619"/>
        <w:spacing w:after="0" w:line="252" w:lineRule="auto"/>
        <w:rPr>
          <w:sz w:val="20"/>
          <w:szCs w:val="20"/>
          <w:color w:val="auto"/>
        </w:rPr>
      </w:pPr>
      <w:r>
        <w:rPr>
          <w:rFonts w:ascii="Times New Roman" w:cs="Times New Roman" w:eastAsia="Times New Roman" w:hAnsi="Times New Roman"/>
          <w:sz w:val="20"/>
          <w:szCs w:val="20"/>
          <w:color w:val="auto"/>
        </w:rPr>
        <w:t>The ROU asset represents the right to use the leased asset for the lease term. The lease liability represents the present value of the lease payments under the lease. The present value of lease payments is determined by using the interest rate implicit in the lease, if that rate is readily determinable; otherwise, the Company uses its estimated secured incremental borrowing rate for that lease term.</w:t>
      </w:r>
    </w:p>
    <w:p>
      <w:pPr>
        <w:spacing w:after="0" w:line="195" w:lineRule="exact"/>
        <w:rPr>
          <w:sz w:val="20"/>
          <w:szCs w:val="20"/>
          <w:color w:val="auto"/>
        </w:rPr>
      </w:pPr>
    </w:p>
    <w:p>
      <w:pPr>
        <w:ind w:right="280" w:firstLine="619"/>
        <w:spacing w:after="0" w:line="258" w:lineRule="auto"/>
        <w:rPr>
          <w:sz w:val="20"/>
          <w:szCs w:val="20"/>
          <w:color w:val="auto"/>
        </w:rPr>
      </w:pPr>
      <w:r>
        <w:rPr>
          <w:rFonts w:ascii="Times New Roman" w:cs="Times New Roman" w:eastAsia="Times New Roman" w:hAnsi="Times New Roman"/>
          <w:sz w:val="20"/>
          <w:szCs w:val="20"/>
          <w:color w:val="auto"/>
        </w:rPr>
        <w:t>Lease expense for operating leases is recognized on a straight-line basis over the reasonably assured lease term based on the total lease payments and is included in operating expense in the consolidated statements of operations.</w:t>
      </w:r>
    </w:p>
    <w:p>
      <w:pPr>
        <w:spacing w:after="0" w:line="188" w:lineRule="exact"/>
        <w:rPr>
          <w:sz w:val="20"/>
          <w:szCs w:val="20"/>
          <w:color w:val="auto"/>
        </w:rPr>
      </w:pPr>
    </w:p>
    <w:p>
      <w:pPr>
        <w:ind w:right="120" w:firstLine="619"/>
        <w:spacing w:after="0" w:line="252" w:lineRule="auto"/>
        <w:rPr>
          <w:sz w:val="20"/>
          <w:szCs w:val="20"/>
          <w:color w:val="auto"/>
        </w:rPr>
      </w:pPr>
      <w:r>
        <w:rPr>
          <w:rFonts w:ascii="Times New Roman" w:cs="Times New Roman" w:eastAsia="Times New Roman" w:hAnsi="Times New Roman"/>
          <w:sz w:val="20"/>
          <w:szCs w:val="20"/>
          <w:color w:val="auto"/>
        </w:rPr>
        <w:t>Payments due under each lease agreement include fixed and variable payments. Variable payments relate to the Company’s share of the lessor’s operating costs associated with the underlying asset and are recognized when the event on which those payments are assessed occurs. Variable payments have been excluded from the lease liability and associated right-of-use asset. Neither of the Company’s leases contain residual value guarantees.</w:t>
      </w:r>
    </w:p>
    <w:p>
      <w:pPr>
        <w:spacing w:after="0" w:line="193" w:lineRule="exact"/>
        <w:rPr>
          <w:sz w:val="20"/>
          <w:szCs w:val="20"/>
          <w:color w:val="auto"/>
        </w:rPr>
      </w:pPr>
    </w:p>
    <w:p>
      <w:pPr>
        <w:ind w:right="20" w:firstLine="619"/>
        <w:spacing w:after="0" w:line="279" w:lineRule="auto"/>
        <w:rPr>
          <w:sz w:val="20"/>
          <w:szCs w:val="20"/>
          <w:color w:val="auto"/>
        </w:rPr>
      </w:pPr>
      <w:r>
        <w:rPr>
          <w:rFonts w:ascii="Times New Roman" w:cs="Times New Roman" w:eastAsia="Times New Roman" w:hAnsi="Times New Roman"/>
          <w:sz w:val="19"/>
          <w:szCs w:val="19"/>
          <w:color w:val="auto"/>
        </w:rPr>
        <w:t>The interest rate implicit in lease agreements is typically not readily determinable, and as such, the Company utilizes the incremental borrowing rate to calculate lease liabilities, which is the rate incurred to borrow on a collateralized basis over a similar term an amount equal to the lease payments in a similar economic environment.</w:t>
      </w:r>
    </w:p>
    <w:p>
      <w:pPr>
        <w:spacing w:after="0" w:line="2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p>
      <w:pPr>
        <w:spacing w:after="0" w:line="120" w:lineRule="exact"/>
        <w:rPr>
          <w:sz w:val="20"/>
          <w:szCs w:val="20"/>
          <w:color w:val="auto"/>
        </w:rPr>
      </w:pPr>
    </w:p>
    <w:p>
      <w:pPr>
        <w:ind w:right="180" w:firstLine="619"/>
        <w:spacing w:after="0" w:line="252" w:lineRule="auto"/>
        <w:rPr>
          <w:sz w:val="20"/>
          <w:szCs w:val="20"/>
          <w:color w:val="auto"/>
        </w:rPr>
      </w:pPr>
      <w:r>
        <w:rPr>
          <w:rFonts w:ascii="Times New Roman" w:cs="Times New Roman" w:eastAsia="Times New Roman" w:hAnsi="Times New Roman"/>
          <w:sz w:val="20"/>
          <w:szCs w:val="20"/>
          <w:color w:val="auto"/>
        </w:rPr>
        <w:t>Property and equipment are recorded at cost net of accumulated depreciation. Property and equipment are depreciated using the straight-line method over the estimated useful lives of the assets, generally five years, except for leasehold improvements, which are amortized over the shorter of the useful life of the asset or the remaining term of the lease.</w:t>
      </w:r>
    </w:p>
    <w:p>
      <w:pPr>
        <w:spacing w:after="0" w:line="195" w:lineRule="exact"/>
        <w:rPr>
          <w:sz w:val="20"/>
          <w:szCs w:val="20"/>
          <w:color w:val="auto"/>
        </w:rPr>
      </w:pPr>
    </w:p>
    <w:p>
      <w:pPr>
        <w:ind w:right="160" w:firstLine="619"/>
        <w:spacing w:after="0" w:line="258" w:lineRule="auto"/>
        <w:rPr>
          <w:sz w:val="20"/>
          <w:szCs w:val="20"/>
          <w:color w:val="auto"/>
        </w:rPr>
      </w:pPr>
      <w:r>
        <w:rPr>
          <w:rFonts w:ascii="Times New Roman" w:cs="Times New Roman" w:eastAsia="Times New Roman" w:hAnsi="Times New Roman"/>
          <w:sz w:val="20"/>
          <w:szCs w:val="20"/>
          <w:color w:val="auto"/>
        </w:rPr>
        <w:t>Upon retirement or sale of assets, the cost and related accumulated depreciation are removed from the balance sheet and the resulting gain or loss is reflected in operations. Repairs and maintenance costs are charged to operations as incurred.</w:t>
      </w:r>
    </w:p>
    <w:p>
      <w:pPr>
        <w:spacing w:after="0" w:line="3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120" w:lineRule="exact"/>
        <w:rPr>
          <w:sz w:val="20"/>
          <w:szCs w:val="20"/>
          <w:color w:val="auto"/>
        </w:rPr>
      </w:pPr>
    </w:p>
    <w:p>
      <w:pPr>
        <w:ind w:right="60" w:firstLine="619"/>
        <w:spacing w:after="0" w:line="244" w:lineRule="auto"/>
        <w:rPr>
          <w:sz w:val="20"/>
          <w:szCs w:val="20"/>
          <w:color w:val="auto"/>
        </w:rPr>
      </w:pPr>
      <w:r>
        <w:rPr>
          <w:rFonts w:ascii="Times New Roman" w:cs="Times New Roman" w:eastAsia="Times New Roman" w:hAnsi="Times New Roman"/>
          <w:sz w:val="20"/>
          <w:szCs w:val="20"/>
          <w:color w:val="auto"/>
        </w:rPr>
        <w:t>Long-lived assets, are tested for recoverability whenever events or changes in the business environment indicate that the carrying amount of the assets may not be fully recoverable. Factors considered by the Company when deciding when to perform an impairment review include significant underperformance of the business against expectations, significant negative industry or economic trends and significant changes or planned changes in the use of the assets. If an impairment review is performed to evaluate a long-lived asset for recoverability, the Company compares forecasts of undiscounted cash flows resulting from the use and eventual disposition of the long-lived asset to its carrying value. An impairment loss would be recognized when estimated undiscounted future cash flows resulting from the use of an asset are less than its carrying amount. The impairment loss would be based on the excess of the carrying value of the impaired asset over its current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9360"/>
          </w:cols>
          <w:pgMar w:left="1440" w:top="1420" w:right="1440" w:bottom="175" w:gutter="0" w:footer="0" w:header="0"/>
        </w:sectPr>
      </w:pPr>
    </w:p>
    <w:bookmarkStart w:id="116" w:name="page117"/>
    <w:bookmarkEnd w:id="116"/>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19" w:lineRule="exact"/>
        <w:rPr>
          <w:sz w:val="20"/>
          <w:szCs w:val="20"/>
          <w:color w:val="auto"/>
        </w:rPr>
      </w:pPr>
    </w:p>
    <w:p>
      <w:pPr>
        <w:ind w:right="20" w:firstLine="619"/>
        <w:spacing w:after="0" w:line="243" w:lineRule="auto"/>
        <w:rPr>
          <w:sz w:val="20"/>
          <w:szCs w:val="20"/>
          <w:color w:val="auto"/>
        </w:rPr>
      </w:pPr>
      <w:r>
        <w:rPr>
          <w:rFonts w:ascii="Times New Roman" w:cs="Times New Roman" w:eastAsia="Times New Roman" w:hAnsi="Times New Roman"/>
          <w:sz w:val="20"/>
          <w:szCs w:val="20"/>
          <w:color w:val="auto"/>
        </w:rPr>
        <w:t>All costs associated with research and development are expensed as incurred. Research and development expenses include costs directly attributable to the conduct of research and development programs, including compensation costs, which includes allocated stock-based compensation, salary payroll taxes, employee benefits; materials; supplies; depreciation on and maintenance of research equipment; the cost of services provided by outside contractors; and the allocable portions of facility costs, such as rent, utilities, insurance, repairs and maintenance, depreciation, and general support services. The Company records accruals for estimated research and development expenses, comprising payments for work performed by third party vendors, clinical research organizations, clinical manufacturing organizations and others. Some of these vendors bill monthly based on actual services performed, while others bill periodically based upon achieving certain contractual milestones. For the latter, the Company accrues the expenses as goods or services are used or rendered. Research and development activities related to patient enrollment are accrued as patients enter and progress through the trial. In the event that the Company prepays fees, the Company records the prepayment as a prepaid asset and periodically evaluate the prepaid asset in conjunction with the related accrued research and development expenses.</w:t>
      </w:r>
    </w:p>
    <w:p>
      <w:pPr>
        <w:spacing w:after="0" w:line="3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19" w:lineRule="exact"/>
        <w:rPr>
          <w:sz w:val="20"/>
          <w:szCs w:val="20"/>
          <w:color w:val="auto"/>
        </w:rPr>
      </w:pPr>
    </w:p>
    <w:p>
      <w:pPr>
        <w:ind w:right="240" w:firstLine="619"/>
        <w:spacing w:after="0" w:line="278" w:lineRule="auto"/>
        <w:rPr>
          <w:sz w:val="20"/>
          <w:szCs w:val="20"/>
          <w:color w:val="auto"/>
        </w:rPr>
      </w:pPr>
      <w:r>
        <w:rPr>
          <w:rFonts w:ascii="Times New Roman" w:cs="Times New Roman" w:eastAsia="Times New Roman" w:hAnsi="Times New Roman"/>
          <w:sz w:val="20"/>
          <w:szCs w:val="20"/>
          <w:color w:val="auto"/>
        </w:rPr>
        <w:t>The Company’s share-based compensation program allows for grants of stock options and restricted stock units. Grants are awarded to employees and non-employees, and directors.</w:t>
      </w:r>
    </w:p>
    <w:p>
      <w:pPr>
        <w:spacing w:after="0" w:line="168"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20"/>
          <w:szCs w:val="20"/>
          <w:color w:val="auto"/>
        </w:rPr>
        <w:t xml:space="preserve">The Company accounts for stock-based employee compensation arrangements in accordance with provisions of ASC 718, </w:t>
      </w:r>
      <w:r>
        <w:rPr>
          <w:rFonts w:ascii="Times New Roman" w:cs="Times New Roman" w:eastAsia="Times New Roman" w:hAnsi="Times New Roman"/>
          <w:sz w:val="20"/>
          <w:szCs w:val="20"/>
          <w:i w:val="1"/>
          <w:iCs w:val="1"/>
          <w:color w:val="auto"/>
        </w:rPr>
        <w:t>Compensation – Stock Compensation</w:t>
      </w:r>
      <w:r>
        <w:rPr>
          <w:rFonts w:ascii="Times New Roman" w:cs="Times New Roman" w:eastAsia="Times New Roman" w:hAnsi="Times New Roman"/>
          <w:sz w:val="20"/>
          <w:szCs w:val="20"/>
          <w:color w:val="auto"/>
        </w:rPr>
        <w:t xml:space="preserve"> (“ASC 718”)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ASC 718 requires the recognition of compensation expense, using a fair-value based method, for costs related to all share-based payments including stock options. ASC 718 requires companies to estimate the fair value of share-based payment awards on the date of grant using an option pricing or equity valuation model that is applied in a manner consistent with the fair value measurement objectives of ASC 718, is based on established principles of financial theory and reflects all of the substantive terms and conditions of the award. The Company uses the Black-Scholes option-pricing model (“Black-Scholes”) to value stock option grants to employees, non-employees and directors. The fair value of the Company’s common stock at the grant date is used to determine the fair value of restricted stock units and stock options.</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Black-Scholes option pricing model requires inputs based on certain subjective assumptions, including</w:t>
      </w:r>
    </w:p>
    <w:p>
      <w:pPr>
        <w:spacing w:after="0" w:line="27" w:lineRule="exact"/>
        <w:rPr>
          <w:sz w:val="20"/>
          <w:szCs w:val="20"/>
          <w:color w:val="auto"/>
        </w:rPr>
      </w:pPr>
    </w:p>
    <w:p>
      <w:pPr>
        <w:spacing w:after="0" w:line="241" w:lineRule="auto"/>
        <w:tabs>
          <w:tab w:leader="none" w:pos="239"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expected stock price volatility, (ii) the expected term of the award, (iii) the risk-free interest rate and (iv) expected dividends. The historical volatility is calculated based on a period of time commensurate with expected term assumption. The Company uses the simplified method to calculate the expected term for options granted to employees whereby the expected term equals the arithmetic average of the vesting term and the original contractual term of the options due to its lack of sufficient historical data, except for when awards are determined to be out-of-the-money, as was the case for when applying modification accounting related to the stock option exchange in August 2024. Refer to Note 8 for details on the stock option exchange.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The Company recognizes forfeitures as they occur.</w:t>
      </w:r>
    </w:p>
    <w:p>
      <w:pPr>
        <w:spacing w:after="0" w:line="195" w:lineRule="exact"/>
        <w:rPr>
          <w:sz w:val="20"/>
          <w:szCs w:val="20"/>
          <w:color w:val="auto"/>
        </w:rPr>
      </w:pPr>
    </w:p>
    <w:p>
      <w:pPr>
        <w:ind w:right="80" w:firstLine="619"/>
        <w:spacing w:after="0" w:line="242" w:lineRule="auto"/>
        <w:rPr>
          <w:sz w:val="20"/>
          <w:szCs w:val="20"/>
          <w:color w:val="auto"/>
        </w:rPr>
      </w:pPr>
      <w:r>
        <w:rPr>
          <w:rFonts w:ascii="Times New Roman" w:cs="Times New Roman" w:eastAsia="Times New Roman" w:hAnsi="Times New Roman"/>
          <w:sz w:val="20"/>
          <w:szCs w:val="20"/>
          <w:color w:val="auto"/>
        </w:rPr>
        <w:t>The Company’s stock-based compensation awards are subject to service-based vesting conditions. Compensation expense related to awards to employees and directors with service-based vesting conditions is recognized on a straight-line basis based on the grant date fair value over the associated service period of the award, which is typically the vesting term.</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Net Loss per Share</w:t>
      </w:r>
    </w:p>
    <w:p>
      <w:pPr>
        <w:spacing w:after="0" w:line="111" w:lineRule="exact"/>
        <w:rPr>
          <w:sz w:val="20"/>
          <w:szCs w:val="20"/>
          <w:color w:val="auto"/>
        </w:rPr>
      </w:pPr>
    </w:p>
    <w:p>
      <w:pPr>
        <w:ind w:right="160" w:firstLine="619"/>
        <w:spacing w:after="0" w:line="236" w:lineRule="auto"/>
        <w:rPr>
          <w:sz w:val="20"/>
          <w:szCs w:val="20"/>
          <w:color w:val="auto"/>
        </w:rPr>
      </w:pPr>
      <w:r>
        <w:rPr>
          <w:rFonts w:ascii="Times New Roman" w:cs="Times New Roman" w:eastAsia="Times New Roman" w:hAnsi="Times New Roman"/>
          <w:sz w:val="20"/>
          <w:szCs w:val="20"/>
          <w:color w:val="auto"/>
        </w:rPr>
        <w:t>Basic net income (loss) per share is computed by dividing the net income (loss) by the weighted average number of shares of common stock outstanding for the years ended December 31, 2024 and 2023. Diluted net income (loss) per share is computed by dividing the diluted net income (loss) by the weighted average number of shares of common stock, including potential dilutive common shares assuming the dilutive effect of outstanding stock options and unvested restricted common stock, as determined using the treasury stock method. For periods in which the Company has reported net losses, diluted net loss per share is the same as basic net loss per share, since dilutive shares of common stock are not assumed to have been issued if their effect is antidilutive.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9360"/>
          </w:cols>
          <w:pgMar w:left="1440" w:top="1420" w:right="1440" w:bottom="175" w:gutter="0" w:footer="0" w:header="0"/>
        </w:sectPr>
      </w:pPr>
    </w:p>
    <w:bookmarkStart w:id="117" w:name="page118"/>
    <w:bookmarkEnd w:id="117"/>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10" w:lineRule="exact"/>
        <w:rPr>
          <w:sz w:val="20"/>
          <w:szCs w:val="20"/>
          <w:color w:val="auto"/>
        </w:rPr>
      </w:pPr>
    </w:p>
    <w:p>
      <w:pPr>
        <w:ind w:right="40" w:firstLine="619"/>
        <w:spacing w:after="0" w:line="233" w:lineRule="auto"/>
        <w:rPr>
          <w:sz w:val="20"/>
          <w:szCs w:val="20"/>
          <w:color w:val="auto"/>
        </w:rPr>
      </w:pPr>
      <w:r>
        <w:rPr>
          <w:rFonts w:ascii="Times New Roman" w:cs="Times New Roman" w:eastAsia="Times New Roman" w:hAnsi="Times New Roman"/>
          <w:sz w:val="20"/>
          <w:szCs w:val="20"/>
          <w:color w:val="auto"/>
        </w:rPr>
        <w:t xml:space="preserve">The Company accounts for income taxes in accordance with ASC 740,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xml:space="preserve"> (“ASC 740”), which requires that deferred tax assets and liabilities be recognized using enacted tax rates for the effect of temporary differences between the book and tax bases of recorded assets and liabilities. Under ASC 740, the liability method is used in accounting for income taxes. Deferred tax assets and liabilities are determined based on the differences between financial reporting and the tax basis of assets and liabilities and are measured using the enacted tax rates and law that will be in effect when the differences are expected to reverse. ASC 740 also requires that deferred tax assets be reduced by a valuation allowance if it is more likely than not that some or all of the deferred tax assets will not be realized. The Company evaluates annually the realizability of the deferred tax assets by assessing the valuation allowance and by adjusting the amount of such allowance, if necessary. The factors used to assess the likelihood of realization include forecast of future taxable income and available tax planning strategies that could be implemented to realize the net deferred tax assets. In 2024 and 2023, the Company recorded a full valuation allowance for the deferred tax assets based on the historical loss and the uncertainty regarding the ability to project future taxable income. In future periods if the Company is able to generate income, the Company may reduce or eliminate the valuation allowance.</w:t>
      </w:r>
    </w:p>
    <w:p>
      <w:pPr>
        <w:spacing w:after="0" w:line="201" w:lineRule="exact"/>
        <w:rPr>
          <w:sz w:val="20"/>
          <w:szCs w:val="20"/>
          <w:color w:val="auto"/>
        </w:rPr>
      </w:pPr>
    </w:p>
    <w:p>
      <w:pPr>
        <w:ind w:right="80" w:firstLine="619"/>
        <w:spacing w:after="0" w:line="236" w:lineRule="auto"/>
        <w:rPr>
          <w:sz w:val="20"/>
          <w:szCs w:val="20"/>
          <w:color w:val="auto"/>
        </w:rPr>
      </w:pPr>
      <w:r>
        <w:rPr>
          <w:rFonts w:ascii="Times New Roman" w:cs="Times New Roman" w:eastAsia="Times New Roman" w:hAnsi="Times New Roman"/>
          <w:sz w:val="20"/>
          <w:szCs w:val="20"/>
          <w:color w:val="auto"/>
        </w:rPr>
        <w:t>The Company accounts for uncertain tax positions in accordance with ASC 740.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 likely than not” threshold. In accordance with this accounting policy, the Company recognizes accrued interest and penalties related to unrecognized tax benefits as a component of income tax.</w:t>
      </w:r>
    </w:p>
    <w:p>
      <w:pPr>
        <w:spacing w:after="0" w:line="3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Adoption of New Accounting Standard</w:t>
      </w:r>
    </w:p>
    <w:p>
      <w:pPr>
        <w:spacing w:after="0" w:line="119" w:lineRule="exact"/>
        <w:rPr>
          <w:sz w:val="20"/>
          <w:szCs w:val="20"/>
          <w:color w:val="auto"/>
        </w:rPr>
      </w:pPr>
    </w:p>
    <w:p>
      <w:pPr>
        <w:ind w:right="20" w:firstLine="620"/>
        <w:spacing w:after="0" w:line="244" w:lineRule="auto"/>
        <w:rPr>
          <w:sz w:val="20"/>
          <w:szCs w:val="20"/>
          <w:color w:val="auto"/>
        </w:rPr>
      </w:pPr>
      <w:r>
        <w:rPr>
          <w:rFonts w:ascii="Times New Roman" w:cs="Times New Roman" w:eastAsia="Times New Roman" w:hAnsi="Times New Roman"/>
          <w:sz w:val="20"/>
          <w:szCs w:val="20"/>
          <w:color w:val="auto"/>
        </w:rPr>
        <w:t>The Company adopted FASB ASU 2023-07, Segment Reporting (Topic 280)—Improvements to Reportable Segment Disclosures on December 31, 2024. This ASU requires interim and annual disclosure of significant segment expenses that are regularly provided to the chief operating decision-maker (“CODM”) and included within the reported measure of a segment’s profit or loss, requires interim disclosures about a reportable segment’s profit or loss and assets that are currently required annually, requires disclosure of the position and title of the CODM, clarifies circumstances in which an entity can disclose multiple segment measures of profit or loss, and contains other disclosure requirements. This authoritative guidance is effective for annual periods beginning after December 15, 2023, and interim periods within fiscal years beginning after December 15, 2024. The requirements of this ASU are disclosure-related and did not have an impact on the Company’s consolidated financial position and results of operations. See Note 13, Segment Information, for the updated segment disclosures as a result of adopting this ASU.</w:t>
      </w:r>
    </w:p>
    <w:p>
      <w:pPr>
        <w:spacing w:after="0" w:line="3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118" w:lineRule="exact"/>
        <w:rPr>
          <w:sz w:val="20"/>
          <w:szCs w:val="20"/>
          <w:color w:val="auto"/>
        </w:rPr>
      </w:pPr>
    </w:p>
    <w:p>
      <w:pPr>
        <w:ind w:right="80" w:firstLine="619"/>
        <w:spacing w:after="0" w:line="247" w:lineRule="auto"/>
        <w:rPr>
          <w:sz w:val="20"/>
          <w:szCs w:val="20"/>
          <w:color w:val="auto"/>
        </w:rPr>
      </w:pPr>
      <w:r>
        <w:rPr>
          <w:rFonts w:ascii="Times New Roman" w:cs="Times New Roman" w:eastAsia="Times New Roman" w:hAnsi="Times New Roman"/>
          <w:sz w:val="20"/>
          <w:szCs w:val="20"/>
          <w:color w:val="auto"/>
        </w:rPr>
        <w:t>In December 2023, the FASB issued ASU No. 2023- 09, “Income Taxes (Topic 740): Improvements to Income Tax Disclosures.” This amended guidance applies to all entities and broadly aims to enhance the transparency and decision usefulness of income tax disclosures. For public business entities, the amendments in this ASU are effective for fiscal years beginning after December 15, 2024. Early adoption is permitted for any annual periods for which financial statements have not been issued or made available for issuance. The Company is currently analyzing the impact that this ASU will have on its consolidated financial statements.</w:t>
      </w:r>
    </w:p>
    <w:p>
      <w:pPr>
        <w:spacing w:after="0" w:line="3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 and Other Risks and Uncertainties</w:t>
      </w:r>
    </w:p>
    <w:p>
      <w:pPr>
        <w:spacing w:after="0" w:line="120"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significant concentrations of credit risk consist of cash, cash equivalents, and marketable securities. Cash and cash equivalents were held at primarily two financial institutions. At times, such deposits may be in excess of insured limits. The Company has not experienced any losses on its deposits of cash and cash equivalents. The Company’s marketable securities are carried at fair value and include any unrealized gains and losses. Any investments with unrealized losses are considered to be temporarily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9360"/>
          </w:cols>
          <w:pgMar w:left="1440" w:top="1412" w:right="1440" w:bottom="175" w:gutter="0" w:footer="0" w:header="0"/>
        </w:sectPr>
      </w:pPr>
    </w:p>
    <w:bookmarkStart w:id="118" w:name="page119"/>
    <w:bookmarkEnd w:id="118"/>
    <w:p>
      <w:pPr>
        <w:ind w:right="20" w:firstLine="619"/>
        <w:spacing w:after="0" w:line="249" w:lineRule="auto"/>
        <w:rPr>
          <w:sz w:val="20"/>
          <w:szCs w:val="20"/>
          <w:color w:val="auto"/>
        </w:rPr>
      </w:pPr>
      <w:r>
        <w:rPr>
          <w:rFonts w:ascii="Times New Roman" w:cs="Times New Roman" w:eastAsia="Times New Roman" w:hAnsi="Times New Roman"/>
          <w:sz w:val="20"/>
          <w:szCs w:val="20"/>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the product, competition from substitute products and larger companies, protection of proprietary technology, any future strategic relationships and dependence on key individuals.</w:t>
      </w:r>
    </w:p>
    <w:p>
      <w:pPr>
        <w:spacing w:after="0" w:line="197" w:lineRule="exact"/>
        <w:rPr>
          <w:sz w:val="20"/>
          <w:szCs w:val="20"/>
          <w:color w:val="auto"/>
        </w:rPr>
      </w:pPr>
    </w:p>
    <w:p>
      <w:pPr>
        <w:ind w:right="60" w:firstLine="619"/>
        <w:spacing w:after="0" w:line="252" w:lineRule="auto"/>
        <w:rPr>
          <w:sz w:val="20"/>
          <w:szCs w:val="20"/>
          <w:color w:val="auto"/>
        </w:rPr>
      </w:pPr>
      <w:r>
        <w:rPr>
          <w:rFonts w:ascii="Times New Roman" w:cs="Times New Roman" w:eastAsia="Times New Roman" w:hAnsi="Times New Roman"/>
          <w:sz w:val="20"/>
          <w:szCs w:val="20"/>
          <w:color w:val="auto"/>
        </w:rPr>
        <w:t>Products developed by the Company require clearances from the U.S. Food and Drug Administration or other international regulatory agencies prior to commercial sales. There can be no assurance the Company’s product candidates will receive the necessary clearances. If the Company is denied clearance, clearance is delayed or it is unable to maintain clearance, it could have a materially adverse impact on the Company.</w:t>
      </w:r>
    </w:p>
    <w:p>
      <w:pPr>
        <w:spacing w:after="0" w:line="3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Subsequent Events</w:t>
      </w:r>
    </w:p>
    <w:p>
      <w:pPr>
        <w:spacing w:after="0" w:line="119" w:lineRule="exact"/>
        <w:rPr>
          <w:sz w:val="20"/>
          <w:szCs w:val="20"/>
          <w:color w:val="auto"/>
        </w:rPr>
      </w:pPr>
    </w:p>
    <w:p>
      <w:pPr>
        <w:ind w:right="80" w:firstLine="619"/>
        <w:spacing w:after="0" w:line="258" w:lineRule="auto"/>
        <w:rPr>
          <w:sz w:val="20"/>
          <w:szCs w:val="20"/>
          <w:color w:val="auto"/>
        </w:rPr>
      </w:pPr>
      <w:r>
        <w:rPr>
          <w:rFonts w:ascii="Times New Roman" w:cs="Times New Roman" w:eastAsia="Times New Roman" w:hAnsi="Times New Roman"/>
          <w:sz w:val="20"/>
          <w:szCs w:val="20"/>
          <w:color w:val="auto"/>
        </w:rPr>
        <w:t>The Company considered events or transactions occurring after the balance sheet date, but prior to the issuance of the consolidated financial statements, for potential recognition or disclosure in its consolidated financial statements. All significant subsequent events have been properly disclosed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3. Financial Instruments and Fair Value Measurements</w:t>
      </w:r>
    </w:p>
    <w:p>
      <w:pPr>
        <w:spacing w:after="0" w:line="119" w:lineRule="exact"/>
        <w:rPr>
          <w:sz w:val="20"/>
          <w:szCs w:val="20"/>
          <w:color w:val="auto"/>
        </w:rPr>
      </w:pPr>
    </w:p>
    <w:p>
      <w:pPr>
        <w:ind w:right="80" w:firstLine="619"/>
        <w:spacing w:after="0" w:line="247" w:lineRule="auto"/>
        <w:rPr>
          <w:sz w:val="20"/>
          <w:szCs w:val="20"/>
          <w:color w:val="auto"/>
        </w:rPr>
      </w:pPr>
      <w:r>
        <w:rPr>
          <w:rFonts w:ascii="Times New Roman" w:cs="Times New Roman" w:eastAsia="Times New Roman" w:hAnsi="Times New Roman"/>
          <w:sz w:val="20"/>
          <w:szCs w:val="20"/>
          <w:color w:val="auto"/>
        </w:rPr>
        <w:t>The Company’s financial instruments consist of money market funds, U.S. government debt securities and corporate debt securities. Cash and cash equivalents includes money market funds, which are measured at fair value on a recurring basis using quoted prices and are classified as Level 1. Marketable securities are measured at fair value based on inputs other than quoted prices that are derived from observable market data and are classified as Level 2 inputs, except for investments in U.S. treasury securities and certificates of deposit which are classified as Level 1. There were no Level 3 assets or liabilities at December 31, 2024 or 2023.</w:t>
      </w:r>
    </w:p>
    <w:p>
      <w:pPr>
        <w:spacing w:after="0" w:line="200" w:lineRule="exact"/>
        <w:rPr>
          <w:sz w:val="20"/>
          <w:szCs w:val="20"/>
          <w:color w:val="auto"/>
        </w:rPr>
      </w:pPr>
    </w:p>
    <w:p>
      <w:pPr>
        <w:ind w:right="600" w:firstLine="619"/>
        <w:spacing w:after="0" w:line="278" w:lineRule="auto"/>
        <w:rPr>
          <w:sz w:val="20"/>
          <w:szCs w:val="20"/>
          <w:color w:val="auto"/>
        </w:rPr>
      </w:pPr>
      <w:r>
        <w:rPr>
          <w:rFonts w:ascii="Times New Roman" w:cs="Times New Roman" w:eastAsia="Times New Roman" w:hAnsi="Times New Roman"/>
          <w:sz w:val="20"/>
          <w:szCs w:val="20"/>
          <w:color w:val="auto"/>
        </w:rPr>
        <w:t>The following tables show the Company’s cash equivalents and available-for-sale securities’ carrying amounts and fair values as of December 31, 2024 and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As of December 31, 2024</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100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priced in</w:t>
            </w:r>
          </w:p>
        </w:tc>
        <w:tc>
          <w:tcPr>
            <w:tcW w:w="12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observable</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3"/>
                <w:szCs w:val="13"/>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markets</w:t>
            </w:r>
          </w:p>
        </w:tc>
        <w:tc>
          <w:tcPr>
            <w:tcW w:w="12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inputs</w:t>
            </w:r>
          </w:p>
        </w:tc>
        <w:tc>
          <w:tcPr>
            <w:tcW w:w="8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inputs</w:t>
            </w: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5"/>
                <w:szCs w:val="15"/>
                <w:color w:val="auto"/>
              </w:rPr>
            </w:pPr>
          </w:p>
        </w:tc>
        <w:tc>
          <w:tcPr>
            <w:tcW w:w="6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40" w:type="dxa"/>
            <w:vAlign w:val="bottom"/>
          </w:tcPr>
          <w:p>
            <w:pPr>
              <w:spacing w:after="0"/>
              <w:rPr>
                <w:sz w:val="15"/>
                <w:szCs w:val="15"/>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2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8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78"/>
        </w:trPr>
        <w:tc>
          <w:tcPr>
            <w:tcW w:w="1140" w:type="dxa"/>
            <w:vAlign w:val="bottom"/>
            <w:tcBorders>
              <w:top w:val="single" w:sz="8" w:color="E0E0E0"/>
              <w:bottom w:val="single" w:sz="8" w:color="auto"/>
            </w:tcBorders>
            <w:shd w:val="clear" w:color="auto" w:fill="E0E0E0"/>
          </w:tcPr>
          <w:p>
            <w:pPr>
              <w:spacing w:after="0" w:line="178" w:lineRule="exact"/>
              <w:rPr>
                <w:sz w:val="20"/>
                <w:szCs w:val="20"/>
                <w:color w:val="auto"/>
              </w:rPr>
            </w:pPr>
            <w:r>
              <w:rPr>
                <w:rFonts w:ascii="Times New Roman" w:cs="Times New Roman" w:eastAsia="Times New Roman" w:hAnsi="Times New Roman"/>
                <w:sz w:val="18"/>
                <w:szCs w:val="18"/>
                <w:color w:val="auto"/>
                <w:w w:val="98"/>
              </w:rPr>
              <w:t>Financial assets</w:t>
            </w:r>
          </w:p>
        </w:tc>
        <w:tc>
          <w:tcPr>
            <w:tcW w:w="1420" w:type="dxa"/>
            <w:vAlign w:val="bottom"/>
            <w:tcBorders>
              <w:top w:val="single" w:sz="8" w:color="E0E0E0"/>
              <w:bottom w:val="single" w:sz="8" w:color="E0E0E0"/>
            </w:tcBorders>
            <w:gridSpan w:val="2"/>
            <w:shd w:val="clear" w:color="auto" w:fill="E0E0E0"/>
          </w:tcPr>
          <w:p>
            <w:pPr>
              <w:spacing w:after="0"/>
              <w:rPr>
                <w:sz w:val="15"/>
                <w:szCs w:val="15"/>
                <w:color w:val="auto"/>
              </w:rPr>
            </w:pPr>
          </w:p>
        </w:tc>
        <w:tc>
          <w:tcPr>
            <w:tcW w:w="100" w:type="dxa"/>
            <w:vAlign w:val="bottom"/>
            <w:tcBorders>
              <w:top w:val="single" w:sz="8" w:color="auto"/>
              <w:bottom w:val="single" w:sz="8" w:color="E0E0E0"/>
            </w:tcBorders>
            <w:shd w:val="clear" w:color="auto" w:fill="E0E0E0"/>
          </w:tcPr>
          <w:p>
            <w:pPr>
              <w:spacing w:after="0"/>
              <w:rPr>
                <w:sz w:val="15"/>
                <w:szCs w:val="15"/>
                <w:color w:val="auto"/>
              </w:rPr>
            </w:pPr>
          </w:p>
        </w:tc>
        <w:tc>
          <w:tcPr>
            <w:tcW w:w="700" w:type="dxa"/>
            <w:vAlign w:val="bottom"/>
            <w:tcBorders>
              <w:top w:val="single" w:sz="8" w:color="auto"/>
              <w:bottom w:val="single" w:sz="8" w:color="E0E0E0"/>
              <w:right w:val="single" w:sz="8" w:color="E0E0E0"/>
            </w:tcBorders>
            <w:shd w:val="clear" w:color="auto" w:fill="E0E0E0"/>
          </w:tcPr>
          <w:p>
            <w:pPr>
              <w:spacing w:after="0"/>
              <w:rPr>
                <w:sz w:val="15"/>
                <w:szCs w:val="15"/>
                <w:color w:val="auto"/>
              </w:rPr>
            </w:pPr>
          </w:p>
        </w:tc>
        <w:tc>
          <w:tcPr>
            <w:tcW w:w="180" w:type="dxa"/>
            <w:vAlign w:val="bottom"/>
            <w:tcBorders>
              <w:top w:val="single" w:sz="8" w:color="E0E0E0"/>
              <w:bottom w:val="single" w:sz="8" w:color="E0E0E0"/>
              <w:right w:val="single" w:sz="8" w:color="E0E0E0"/>
            </w:tcBorders>
            <w:shd w:val="clear" w:color="auto" w:fill="E0E0E0"/>
          </w:tcPr>
          <w:p>
            <w:pPr>
              <w:spacing w:after="0"/>
              <w:rPr>
                <w:sz w:val="15"/>
                <w:szCs w:val="15"/>
                <w:color w:val="auto"/>
              </w:rPr>
            </w:pPr>
          </w:p>
        </w:tc>
        <w:tc>
          <w:tcPr>
            <w:tcW w:w="140" w:type="dxa"/>
            <w:vAlign w:val="bottom"/>
            <w:tcBorders>
              <w:top w:val="single" w:sz="8" w:color="auto"/>
              <w:bottom w:val="single" w:sz="8" w:color="E0E0E0"/>
            </w:tcBorders>
            <w:shd w:val="clear" w:color="auto" w:fill="E0E0E0"/>
          </w:tcPr>
          <w:p>
            <w:pPr>
              <w:spacing w:after="0"/>
              <w:rPr>
                <w:sz w:val="15"/>
                <w:szCs w:val="15"/>
                <w:color w:val="auto"/>
              </w:rPr>
            </w:pPr>
          </w:p>
        </w:tc>
        <w:tc>
          <w:tcPr>
            <w:tcW w:w="640" w:type="dxa"/>
            <w:vAlign w:val="bottom"/>
            <w:tcBorders>
              <w:top w:val="single" w:sz="8" w:color="auto"/>
              <w:bottom w:val="single" w:sz="8" w:color="E0E0E0"/>
            </w:tcBorders>
            <w:shd w:val="clear" w:color="auto" w:fill="E0E0E0"/>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E0E0E0"/>
              <w:bottom w:val="single" w:sz="8" w:color="E0E0E0"/>
              <w:right w:val="single" w:sz="8" w:color="E0E0E0"/>
            </w:tcBorders>
            <w:shd w:val="clear" w:color="auto" w:fill="E0E0E0"/>
          </w:tcPr>
          <w:p>
            <w:pPr>
              <w:spacing w:after="0"/>
              <w:rPr>
                <w:sz w:val="15"/>
                <w:szCs w:val="15"/>
                <w:color w:val="auto"/>
              </w:rPr>
            </w:pPr>
          </w:p>
        </w:tc>
        <w:tc>
          <w:tcPr>
            <w:tcW w:w="140" w:type="dxa"/>
            <w:vAlign w:val="bottom"/>
            <w:tcBorders>
              <w:top w:val="single" w:sz="8" w:color="auto"/>
              <w:bottom w:val="single" w:sz="8" w:color="E0E0E0"/>
            </w:tcBorders>
            <w:shd w:val="clear" w:color="auto" w:fill="E0E0E0"/>
          </w:tcPr>
          <w:p>
            <w:pPr>
              <w:spacing w:after="0"/>
              <w:rPr>
                <w:sz w:val="15"/>
                <w:szCs w:val="15"/>
                <w:color w:val="auto"/>
              </w:rPr>
            </w:pPr>
          </w:p>
        </w:tc>
        <w:tc>
          <w:tcPr>
            <w:tcW w:w="640" w:type="dxa"/>
            <w:vAlign w:val="bottom"/>
            <w:tcBorders>
              <w:top w:val="single" w:sz="8" w:color="auto"/>
              <w:bottom w:val="single" w:sz="8" w:color="E0E0E0"/>
            </w:tcBorders>
            <w:shd w:val="clear" w:color="auto" w:fill="E0E0E0"/>
          </w:tcPr>
          <w:p>
            <w:pPr>
              <w:spacing w:after="0"/>
              <w:rPr>
                <w:sz w:val="15"/>
                <w:szCs w:val="15"/>
                <w:color w:val="auto"/>
              </w:rPr>
            </w:pPr>
          </w:p>
        </w:tc>
        <w:tc>
          <w:tcPr>
            <w:tcW w:w="200" w:type="dxa"/>
            <w:vAlign w:val="bottom"/>
            <w:tcBorders>
              <w:top w:val="single" w:sz="8" w:color="E0E0E0"/>
              <w:bottom w:val="single" w:sz="8" w:color="E0E0E0"/>
              <w:right w:val="single" w:sz="8" w:color="E0E0E0"/>
            </w:tcBorders>
            <w:shd w:val="clear" w:color="auto" w:fill="E0E0E0"/>
          </w:tcPr>
          <w:p>
            <w:pPr>
              <w:spacing w:after="0"/>
              <w:rPr>
                <w:sz w:val="15"/>
                <w:szCs w:val="15"/>
                <w:color w:val="auto"/>
              </w:rPr>
            </w:pPr>
          </w:p>
        </w:tc>
        <w:tc>
          <w:tcPr>
            <w:tcW w:w="140" w:type="dxa"/>
            <w:vAlign w:val="bottom"/>
            <w:tcBorders>
              <w:top w:val="single" w:sz="8" w:color="auto"/>
              <w:bottom w:val="single" w:sz="8" w:color="E0E0E0"/>
            </w:tcBorders>
            <w:shd w:val="clear" w:color="auto" w:fill="E0E0E0"/>
          </w:tcPr>
          <w:p>
            <w:pPr>
              <w:spacing w:after="0"/>
              <w:rPr>
                <w:sz w:val="15"/>
                <w:szCs w:val="15"/>
                <w:color w:val="auto"/>
              </w:rPr>
            </w:pPr>
          </w:p>
        </w:tc>
        <w:tc>
          <w:tcPr>
            <w:tcW w:w="660" w:type="dxa"/>
            <w:vAlign w:val="bottom"/>
            <w:tcBorders>
              <w:top w:val="single" w:sz="8" w:color="auto"/>
              <w:bottom w:val="single" w:sz="8" w:color="E0E0E0"/>
            </w:tcBorders>
            <w:shd w:val="clear" w:color="auto" w:fill="E0E0E0"/>
          </w:tcPr>
          <w:p>
            <w:pPr>
              <w:spacing w:after="0"/>
              <w:rPr>
                <w:sz w:val="15"/>
                <w:szCs w:val="15"/>
                <w:color w:val="auto"/>
              </w:rPr>
            </w:pPr>
          </w:p>
        </w:tc>
        <w:tc>
          <w:tcPr>
            <w:tcW w:w="180" w:type="dxa"/>
            <w:vAlign w:val="bottom"/>
            <w:tcBorders>
              <w:top w:val="single" w:sz="8" w:color="E0E0E0"/>
              <w:bottom w:val="single" w:sz="8" w:color="E0E0E0"/>
              <w:right w:val="single" w:sz="8" w:color="E0E0E0"/>
            </w:tcBorders>
            <w:shd w:val="clear" w:color="auto" w:fill="E0E0E0"/>
          </w:tcPr>
          <w:p>
            <w:pPr>
              <w:spacing w:after="0"/>
              <w:rPr>
                <w:sz w:val="15"/>
                <w:szCs w:val="15"/>
                <w:color w:val="auto"/>
              </w:rPr>
            </w:pPr>
          </w:p>
        </w:tc>
        <w:tc>
          <w:tcPr>
            <w:tcW w:w="100" w:type="dxa"/>
            <w:vAlign w:val="bottom"/>
            <w:tcBorders>
              <w:top w:val="single" w:sz="8" w:color="auto"/>
              <w:bottom w:val="single" w:sz="8" w:color="E0E0E0"/>
            </w:tcBorders>
            <w:shd w:val="clear" w:color="auto" w:fill="E0E0E0"/>
          </w:tcPr>
          <w:p>
            <w:pPr>
              <w:spacing w:after="0"/>
              <w:rPr>
                <w:sz w:val="15"/>
                <w:szCs w:val="15"/>
                <w:color w:val="auto"/>
              </w:rPr>
            </w:pPr>
          </w:p>
        </w:tc>
        <w:tc>
          <w:tcPr>
            <w:tcW w:w="700" w:type="dxa"/>
            <w:vAlign w:val="bottom"/>
            <w:tcBorders>
              <w:top w:val="single" w:sz="8" w:color="auto"/>
              <w:bottom w:val="single" w:sz="8" w:color="E0E0E0"/>
            </w:tcBorders>
            <w:shd w:val="clear" w:color="auto" w:fill="E0E0E0"/>
          </w:tcPr>
          <w:p>
            <w:pPr>
              <w:spacing w:after="0"/>
              <w:rPr>
                <w:sz w:val="15"/>
                <w:szCs w:val="15"/>
                <w:color w:val="auto"/>
              </w:rPr>
            </w:pPr>
          </w:p>
        </w:tc>
        <w:tc>
          <w:tcPr>
            <w:tcW w:w="180" w:type="dxa"/>
            <w:vAlign w:val="bottom"/>
            <w:tcBorders>
              <w:top w:val="single" w:sz="8" w:color="E0E0E0"/>
              <w:bottom w:val="single" w:sz="8" w:color="E0E0E0"/>
              <w:right w:val="single" w:sz="8" w:color="E0E0E0"/>
            </w:tcBorders>
            <w:shd w:val="clear" w:color="auto" w:fill="E0E0E0"/>
          </w:tcPr>
          <w:p>
            <w:pPr>
              <w:spacing w:after="0"/>
              <w:rPr>
                <w:sz w:val="15"/>
                <w:szCs w:val="15"/>
                <w:color w:val="auto"/>
              </w:rPr>
            </w:pPr>
          </w:p>
        </w:tc>
        <w:tc>
          <w:tcPr>
            <w:tcW w:w="120" w:type="dxa"/>
            <w:vAlign w:val="bottom"/>
            <w:tcBorders>
              <w:top w:val="single" w:sz="8" w:color="auto"/>
              <w:bottom w:val="single" w:sz="8" w:color="E0E0E0"/>
            </w:tcBorders>
            <w:shd w:val="clear" w:color="auto" w:fill="E0E0E0"/>
          </w:tcPr>
          <w:p>
            <w:pPr>
              <w:spacing w:after="0"/>
              <w:rPr>
                <w:sz w:val="15"/>
                <w:szCs w:val="15"/>
                <w:color w:val="auto"/>
              </w:rPr>
            </w:pPr>
          </w:p>
        </w:tc>
        <w:tc>
          <w:tcPr>
            <w:tcW w:w="680" w:type="dxa"/>
            <w:vAlign w:val="bottom"/>
            <w:tcBorders>
              <w:top w:val="single" w:sz="8" w:color="auto"/>
              <w:bottom w:val="single" w:sz="8" w:color="E0E0E0"/>
            </w:tcBorders>
            <w:shd w:val="clear" w:color="auto" w:fill="E0E0E0"/>
          </w:tcPr>
          <w:p>
            <w:pPr>
              <w:spacing w:after="0"/>
              <w:rPr>
                <w:sz w:val="15"/>
                <w:szCs w:val="15"/>
                <w:color w:val="auto"/>
              </w:rPr>
            </w:pPr>
          </w:p>
        </w:tc>
        <w:tc>
          <w:tcPr>
            <w:tcW w:w="200" w:type="dxa"/>
            <w:vAlign w:val="bottom"/>
            <w:tcBorders>
              <w:top w:val="single" w:sz="8" w:color="E0E0E0"/>
              <w:bottom w:val="single" w:sz="8" w:color="E0E0E0"/>
              <w:right w:val="single" w:sz="8" w:color="E0E0E0"/>
            </w:tcBorders>
            <w:shd w:val="clear" w:color="auto" w:fill="E0E0E0"/>
          </w:tcPr>
          <w:p>
            <w:pPr>
              <w:spacing w:after="0"/>
              <w:rPr>
                <w:sz w:val="15"/>
                <w:szCs w:val="15"/>
                <w:color w:val="auto"/>
              </w:rPr>
            </w:pPr>
          </w:p>
        </w:tc>
        <w:tc>
          <w:tcPr>
            <w:tcW w:w="80" w:type="dxa"/>
            <w:vAlign w:val="bottom"/>
            <w:tcBorders>
              <w:top w:val="single" w:sz="8" w:color="auto"/>
              <w:bottom w:val="single" w:sz="8" w:color="E0E0E0"/>
            </w:tcBorders>
            <w:shd w:val="clear" w:color="auto" w:fill="E0E0E0"/>
          </w:tcPr>
          <w:p>
            <w:pPr>
              <w:spacing w:after="0"/>
              <w:rPr>
                <w:sz w:val="15"/>
                <w:szCs w:val="15"/>
                <w:color w:val="auto"/>
              </w:rPr>
            </w:pPr>
          </w:p>
        </w:tc>
        <w:tc>
          <w:tcPr>
            <w:tcW w:w="720" w:type="dxa"/>
            <w:vAlign w:val="bottom"/>
            <w:tcBorders>
              <w:top w:val="single" w:sz="8" w:color="auto"/>
              <w:bottom w:val="single" w:sz="8" w:color="E0E0E0"/>
            </w:tcBorders>
            <w:shd w:val="clear" w:color="auto" w:fill="E0E0E0"/>
          </w:tcPr>
          <w:p>
            <w:pPr>
              <w:spacing w:after="0"/>
              <w:rPr>
                <w:sz w:val="15"/>
                <w:szCs w:val="15"/>
                <w:color w:val="auto"/>
              </w:rPr>
            </w:pPr>
          </w:p>
        </w:tc>
        <w:tc>
          <w:tcPr>
            <w:tcW w:w="100" w:type="dxa"/>
            <w:vAlign w:val="bottom"/>
            <w:tcBorders>
              <w:top w:val="single" w:sz="8" w:color="E0E0E0"/>
              <w:bottom w:val="single" w:sz="8" w:color="E0E0E0"/>
            </w:tcBorders>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40,790</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40,790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40,790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6"/>
        </w:trPr>
        <w:tc>
          <w:tcPr>
            <w:tcW w:w="2560" w:type="dxa"/>
            <w:vAlign w:val="bottom"/>
            <w:gridSpan w:val="3"/>
            <w:shd w:val="clear" w:color="auto" w:fill="E0E0E0"/>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00" w:type="dxa"/>
            <w:vAlign w:val="bottom"/>
            <w:shd w:val="clear" w:color="auto" w:fill="E0E0E0"/>
          </w:tcPr>
          <w:p>
            <w:pPr>
              <w:spacing w:after="0"/>
              <w:rPr>
                <w:sz w:val="17"/>
                <w:szCs w:val="17"/>
                <w:color w:val="auto"/>
              </w:rPr>
            </w:pPr>
          </w:p>
        </w:tc>
        <w:tc>
          <w:tcPr>
            <w:tcW w:w="700" w:type="dxa"/>
            <w:vAlign w:val="bottom"/>
            <w:tcBorders>
              <w:right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32,941</w:t>
            </w:r>
          </w:p>
        </w:tc>
        <w:tc>
          <w:tcPr>
            <w:tcW w:w="180" w:type="dxa"/>
            <w:vAlign w:val="bottom"/>
            <w:tcBorders>
              <w:right w:val="single" w:sz="8" w:color="E0E0E0"/>
            </w:tcBorders>
            <w:shd w:val="clear" w:color="auto" w:fill="E0E0E0"/>
          </w:tcPr>
          <w:p>
            <w:pPr>
              <w:spacing w:after="0"/>
              <w:rPr>
                <w:sz w:val="17"/>
                <w:szCs w:val="17"/>
                <w:color w:val="auto"/>
              </w:rPr>
            </w:pPr>
          </w:p>
        </w:tc>
        <w:tc>
          <w:tcPr>
            <w:tcW w:w="140" w:type="dxa"/>
            <w:vAlign w:val="bottom"/>
            <w:shd w:val="clear" w:color="auto" w:fill="E0E0E0"/>
          </w:tcPr>
          <w:p>
            <w:pPr>
              <w:spacing w:after="0"/>
              <w:rPr>
                <w:sz w:val="17"/>
                <w:szCs w:val="17"/>
                <w:color w:val="auto"/>
              </w:rPr>
            </w:pP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7"/>
                <w:szCs w:val="17"/>
                <w:color w:val="auto"/>
              </w:rPr>
            </w:pPr>
          </w:p>
        </w:tc>
        <w:tc>
          <w:tcPr>
            <w:tcW w:w="180" w:type="dxa"/>
            <w:vAlign w:val="bottom"/>
            <w:tcBorders>
              <w:right w:val="single" w:sz="8" w:color="E0E0E0"/>
            </w:tcBorders>
            <w:shd w:val="clear" w:color="auto" w:fill="E0E0E0"/>
          </w:tcPr>
          <w:p>
            <w:pPr>
              <w:spacing w:after="0"/>
              <w:rPr>
                <w:sz w:val="17"/>
                <w:szCs w:val="17"/>
                <w:color w:val="auto"/>
              </w:rPr>
            </w:pPr>
          </w:p>
        </w:tc>
        <w:tc>
          <w:tcPr>
            <w:tcW w:w="140" w:type="dxa"/>
            <w:vAlign w:val="bottom"/>
            <w:shd w:val="clear" w:color="auto" w:fill="E0E0E0"/>
          </w:tcPr>
          <w:p>
            <w:pPr>
              <w:spacing w:after="0"/>
              <w:rPr>
                <w:sz w:val="17"/>
                <w:szCs w:val="17"/>
                <w:color w:val="auto"/>
              </w:rPr>
            </w:pPr>
          </w:p>
        </w:tc>
        <w:tc>
          <w:tcPr>
            <w:tcW w:w="840" w:type="dxa"/>
            <w:vAlign w:val="bottom"/>
            <w:tcBorders>
              <w:right w:val="single" w:sz="8" w:color="E0E0E0"/>
            </w:tcBorders>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E0E0E0"/>
          </w:tcPr>
          <w:p>
            <w:pPr>
              <w:spacing w:after="0"/>
              <w:rPr>
                <w:sz w:val="17"/>
                <w:szCs w:val="17"/>
                <w:color w:val="auto"/>
              </w:rPr>
            </w:pPr>
          </w:p>
        </w:tc>
        <w:tc>
          <w:tcPr>
            <w:tcW w:w="840" w:type="dxa"/>
            <w:vAlign w:val="bottom"/>
            <w:tcBorders>
              <w:right w:val="single" w:sz="8" w:color="E0E0E0"/>
            </w:tcBorders>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18"/>
                <w:szCs w:val="18"/>
                <w:color w:val="auto"/>
              </w:rPr>
              <w:t>32,949</w:t>
            </w:r>
          </w:p>
        </w:tc>
        <w:tc>
          <w:tcPr>
            <w:tcW w:w="100" w:type="dxa"/>
            <w:vAlign w:val="bottom"/>
            <w:shd w:val="clear" w:color="auto" w:fill="E0E0E0"/>
          </w:tcPr>
          <w:p>
            <w:pPr>
              <w:spacing w:after="0"/>
              <w:rPr>
                <w:sz w:val="17"/>
                <w:szCs w:val="17"/>
                <w:color w:val="auto"/>
              </w:rPr>
            </w:pPr>
          </w:p>
        </w:tc>
        <w:tc>
          <w:tcPr>
            <w:tcW w:w="880" w:type="dxa"/>
            <w:vAlign w:val="bottom"/>
            <w:tcBorders>
              <w:right w:val="single" w:sz="8" w:color="E0E0E0"/>
            </w:tcBorders>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18"/>
                <w:szCs w:val="18"/>
                <w:color w:val="auto"/>
              </w:rPr>
              <w:t>2,148</w:t>
            </w:r>
          </w:p>
        </w:tc>
        <w:tc>
          <w:tcPr>
            <w:tcW w:w="120" w:type="dxa"/>
            <w:vAlign w:val="bottom"/>
            <w:shd w:val="clear" w:color="auto" w:fill="E0E0E0"/>
          </w:tcPr>
          <w:p>
            <w:pPr>
              <w:spacing w:after="0"/>
              <w:rPr>
                <w:sz w:val="17"/>
                <w:szCs w:val="17"/>
                <w:color w:val="auto"/>
              </w:rPr>
            </w:pPr>
          </w:p>
        </w:tc>
        <w:tc>
          <w:tcPr>
            <w:tcW w:w="880" w:type="dxa"/>
            <w:vAlign w:val="bottom"/>
            <w:tcBorders>
              <w:right w:val="single" w:sz="8" w:color="E0E0E0"/>
            </w:tcBorders>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18"/>
                <w:szCs w:val="18"/>
                <w:color w:val="auto"/>
              </w:rPr>
              <w:t>30,801</w:t>
            </w:r>
          </w:p>
        </w:tc>
        <w:tc>
          <w:tcPr>
            <w:tcW w:w="80" w:type="dxa"/>
            <w:vAlign w:val="bottom"/>
            <w:shd w:val="clear" w:color="auto" w:fill="E0E0E0"/>
          </w:tcPr>
          <w:p>
            <w:pPr>
              <w:spacing w:after="0"/>
              <w:rPr>
                <w:sz w:val="17"/>
                <w:szCs w:val="17"/>
                <w:color w:val="auto"/>
              </w:rPr>
            </w:pPr>
          </w:p>
        </w:tc>
        <w:tc>
          <w:tcPr>
            <w:tcW w:w="820" w:type="dxa"/>
            <w:vAlign w:val="bottom"/>
            <w:gridSpan w:val="2"/>
            <w:shd w:val="clear" w:color="auto" w:fill="E0E0E0"/>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2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109,472</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73,339</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36,133</w:t>
            </w:r>
          </w:p>
        </w:tc>
        <w:tc>
          <w:tcPr>
            <w:tcW w:w="80" w:type="dxa"/>
            <w:vAlign w:val="bottom"/>
          </w:tcPr>
          <w:p>
            <w:pPr>
              <w:spacing w:after="0"/>
              <w:rPr>
                <w:sz w:val="18"/>
                <w:szCs w:val="18"/>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560" w:type="dxa"/>
            <w:vAlign w:val="bottom"/>
            <w:gridSpan w:val="3"/>
            <w:vMerge w:val="restart"/>
            <w:shd w:val="clear" w:color="auto" w:fill="E0E0E0"/>
          </w:tcPr>
          <w:p>
            <w:pPr>
              <w:ind w:left="400"/>
              <w:spacing w:after="0"/>
              <w:rPr>
                <w:sz w:val="20"/>
                <w:szCs w:val="20"/>
                <w:color w:val="auto"/>
              </w:rPr>
            </w:pPr>
            <w:r>
              <w:rPr>
                <w:rFonts w:ascii="Times New Roman" w:cs="Times New Roman" w:eastAsia="Times New Roman" w:hAnsi="Times New Roman"/>
                <w:sz w:val="18"/>
                <w:szCs w:val="18"/>
                <w:color w:val="auto"/>
              </w:rPr>
              <w:t>Total financial assets</w:t>
            </w: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E0E0E0"/>
            </w:tcBorders>
            <w:shd w:val="clear" w:color="auto" w:fill="000000"/>
          </w:tcPr>
          <w:p>
            <w:pPr>
              <w:spacing w:after="0" w:line="20" w:lineRule="exact"/>
              <w:rPr>
                <w:sz w:val="1"/>
                <w:szCs w:val="1"/>
                <w:color w:val="auto"/>
              </w:rPr>
            </w:pPr>
          </w:p>
        </w:tc>
        <w:tc>
          <w:tcPr>
            <w:tcW w:w="180" w:type="dxa"/>
            <w:vAlign w:val="bottom"/>
            <w:tcBorders>
              <w:right w:val="single" w:sz="8" w:color="E0E0E0"/>
            </w:tcBorders>
            <w:shd w:val="clear" w:color="auto" w:fill="E0E0E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right w:val="single" w:sz="8" w:color="E0E0E0"/>
            </w:tcBorders>
            <w:shd w:val="clear" w:color="auto" w:fill="E0E0E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E0E0E0"/>
            </w:tcBorders>
            <w:shd w:val="clear" w:color="auto" w:fill="E0E0E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E0E0E0"/>
            </w:tcBorders>
            <w:shd w:val="clear" w:color="auto" w:fill="E0E0E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E0E0E0"/>
            </w:tcBorders>
            <w:shd w:val="clear" w:color="auto" w:fill="E0E0E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E0E0E0"/>
            </w:tcBorders>
            <w:shd w:val="clear" w:color="auto" w:fill="E0E0E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gridSpan w:val="3"/>
            <w:vMerge w:val="continue"/>
            <w:shd w:val="clear" w:color="auto" w:fill="E0E0E0"/>
          </w:tcPr>
          <w:p>
            <w:pPr>
              <w:spacing w:after="0"/>
              <w:rPr>
                <w:sz w:val="17"/>
                <w:szCs w:val="17"/>
                <w:color w:val="auto"/>
              </w:rPr>
            </w:pPr>
          </w:p>
        </w:tc>
        <w:tc>
          <w:tcPr>
            <w:tcW w:w="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right w:val="single" w:sz="8" w:color="E0E0E0"/>
            </w:tcBorders>
            <w:shd w:val="clear" w:color="auto" w:fill="E0E0E0"/>
          </w:tcPr>
          <w:p>
            <w:pPr>
              <w:jc w:val="right"/>
              <w:spacing w:after="0" w:line="196" w:lineRule="exact"/>
              <w:rPr>
                <w:sz w:val="20"/>
                <w:szCs w:val="20"/>
                <w:color w:val="auto"/>
              </w:rPr>
            </w:pPr>
            <w:r>
              <w:rPr>
                <w:rFonts w:ascii="Times New Roman" w:cs="Times New Roman" w:eastAsia="Times New Roman" w:hAnsi="Times New Roman"/>
                <w:sz w:val="18"/>
                <w:szCs w:val="18"/>
                <w:color w:val="auto"/>
              </w:rPr>
              <w:t>183,072</w:t>
            </w:r>
          </w:p>
        </w:tc>
        <w:tc>
          <w:tcPr>
            <w:tcW w:w="180" w:type="dxa"/>
            <w:vAlign w:val="bottom"/>
            <w:tcBorders>
              <w:right w:val="single" w:sz="8" w:color="E0E0E0"/>
            </w:tcBorders>
            <w:shd w:val="clear" w:color="auto" w:fill="E0E0E0"/>
          </w:tcPr>
          <w:p>
            <w:pPr>
              <w:spacing w:after="0"/>
              <w:rPr>
                <w:sz w:val="17"/>
                <w:szCs w:val="17"/>
                <w:color w:val="auto"/>
              </w:rPr>
            </w:pPr>
          </w:p>
        </w:tc>
        <w:tc>
          <w:tcPr>
            <w:tcW w:w="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E0E0E0"/>
          </w:tcPr>
          <w:p>
            <w:pPr>
              <w:jc w:val="right"/>
              <w:spacing w:after="0" w:line="196" w:lineRule="exact"/>
              <w:rPr>
                <w:sz w:val="20"/>
                <w:szCs w:val="20"/>
                <w:color w:val="auto"/>
              </w:rPr>
            </w:pPr>
            <w:r>
              <w:rPr>
                <w:rFonts w:ascii="Times New Roman" w:cs="Times New Roman" w:eastAsia="Times New Roman" w:hAnsi="Times New Roman"/>
                <w:sz w:val="18"/>
                <w:szCs w:val="18"/>
                <w:color w:val="auto"/>
              </w:rPr>
              <w:t>187</w:t>
            </w:r>
          </w:p>
        </w:tc>
        <w:tc>
          <w:tcPr>
            <w:tcW w:w="20" w:type="dxa"/>
            <w:vAlign w:val="bottom"/>
            <w:vMerge w:val="continue"/>
          </w:tcPr>
          <w:p>
            <w:pPr>
              <w:spacing w:after="0"/>
              <w:rPr>
                <w:sz w:val="17"/>
                <w:szCs w:val="17"/>
                <w:color w:val="auto"/>
              </w:rPr>
            </w:pPr>
          </w:p>
        </w:tc>
        <w:tc>
          <w:tcPr>
            <w:tcW w:w="180" w:type="dxa"/>
            <w:vAlign w:val="bottom"/>
            <w:tcBorders>
              <w:right w:val="single" w:sz="8" w:color="E0E0E0"/>
            </w:tcBorders>
            <w:shd w:val="clear" w:color="auto" w:fill="E0E0E0"/>
          </w:tcPr>
          <w:p>
            <w:pPr>
              <w:spacing w:after="0"/>
              <w:rPr>
                <w:sz w:val="17"/>
                <w:szCs w:val="17"/>
                <w:color w:val="auto"/>
              </w:rPr>
            </w:pPr>
          </w:p>
        </w:tc>
        <w:tc>
          <w:tcPr>
            <w:tcW w:w="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right w:val="single" w:sz="8" w:color="E0E0E0"/>
            </w:tcBorders>
            <w:gridSpan w:val="2"/>
            <w:shd w:val="clear" w:color="auto" w:fill="E0E0E0"/>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right w:val="single" w:sz="8" w:color="E0E0E0"/>
            </w:tcBorders>
            <w:gridSpan w:val="2"/>
            <w:shd w:val="clear" w:color="auto" w:fill="E0E0E0"/>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183,211</w:t>
            </w:r>
          </w:p>
        </w:tc>
        <w:tc>
          <w:tcPr>
            <w:tcW w:w="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right w:val="single" w:sz="8" w:color="E0E0E0"/>
            </w:tcBorders>
            <w:gridSpan w:val="2"/>
            <w:shd w:val="clear" w:color="auto" w:fill="E0E0E0"/>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116,277</w:t>
            </w:r>
          </w:p>
        </w:tc>
        <w:tc>
          <w:tcPr>
            <w:tcW w:w="120" w:type="dxa"/>
            <w:vAlign w:val="bottom"/>
            <w:shd w:val="clear" w:color="auto" w:fill="E0E0E0"/>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E0E0E0"/>
            </w:tcBorders>
            <w:gridSpan w:val="2"/>
            <w:shd w:val="clear" w:color="auto" w:fill="E0E0E0"/>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66,934</w:t>
            </w:r>
          </w:p>
        </w:tc>
        <w:tc>
          <w:tcPr>
            <w:tcW w:w="80" w:type="dxa"/>
            <w:vAlign w:val="bottom"/>
            <w:shd w:val="clear" w:color="auto" w:fill="E0E0E0"/>
          </w:tcPr>
          <w:p>
            <w:pPr>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E0E0E0"/>
          </w:tcPr>
          <w:p>
            <w:pPr>
              <w:ind w:left="560"/>
              <w:spacing w:after="0" w:line="196" w:lineRule="exact"/>
              <w:rPr>
                <w:sz w:val="20"/>
                <w:szCs w:val="20"/>
                <w:color w:val="auto"/>
              </w:rPr>
            </w:pPr>
            <w:r>
              <w:rPr>
                <w:rFonts w:ascii="Times New Roman" w:cs="Times New Roman" w:eastAsia="Times New Roman" w:hAnsi="Times New Roman"/>
                <w:sz w:val="18"/>
                <w:szCs w:val="18"/>
                <w:color w:val="auto"/>
                <w:w w:val="77"/>
              </w:rPr>
              <w:t>—</w:t>
            </w:r>
          </w:p>
        </w:tc>
        <w:tc>
          <w:tcPr>
            <w:tcW w:w="10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As of December 31, 2023</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100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Priced in</w:t>
            </w:r>
          </w:p>
        </w:tc>
        <w:tc>
          <w:tcPr>
            <w:tcW w:w="12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Active</w:t>
            </w: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Observable</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3"/>
                <w:szCs w:val="13"/>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3"/>
                <w:szCs w:val="13"/>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Markets</w:t>
            </w:r>
          </w:p>
        </w:tc>
        <w:tc>
          <w:tcPr>
            <w:tcW w:w="12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7"/>
        </w:trPr>
        <w:tc>
          <w:tcPr>
            <w:tcW w:w="25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0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5"/>
                <w:szCs w:val="15"/>
                <w:color w:val="auto"/>
              </w:rPr>
            </w:pPr>
          </w:p>
        </w:tc>
        <w:tc>
          <w:tcPr>
            <w:tcW w:w="6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40" w:type="dxa"/>
            <w:vAlign w:val="bottom"/>
          </w:tcPr>
          <w:p>
            <w:pPr>
              <w:spacing w:after="0"/>
              <w:rPr>
                <w:sz w:val="15"/>
                <w:szCs w:val="15"/>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2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8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78"/>
        </w:trPr>
        <w:tc>
          <w:tcPr>
            <w:tcW w:w="2560" w:type="dxa"/>
            <w:vAlign w:val="bottom"/>
            <w:gridSpan w:val="3"/>
            <w:vMerge w:val="continue"/>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140" w:type="dxa"/>
            <w:vAlign w:val="bottom"/>
            <w:tcBorders>
              <w:top w:val="single" w:sz="8" w:color="auto"/>
            </w:tcBorders>
            <w:shd w:val="clear" w:color="auto" w:fill="E0E0E0"/>
          </w:tcPr>
          <w:p>
            <w:pPr>
              <w:spacing w:after="0" w:line="206" w:lineRule="exact"/>
              <w:rPr>
                <w:sz w:val="20"/>
                <w:szCs w:val="20"/>
                <w:color w:val="auto"/>
              </w:rPr>
            </w:pPr>
            <w:r>
              <w:rPr>
                <w:rFonts w:ascii="Times New Roman" w:cs="Times New Roman" w:eastAsia="Times New Roman" w:hAnsi="Times New Roman"/>
                <w:sz w:val="18"/>
                <w:szCs w:val="18"/>
                <w:color w:val="auto"/>
              </w:rPr>
              <w:t>Money market</w:t>
            </w:r>
          </w:p>
        </w:tc>
        <w:tc>
          <w:tcPr>
            <w:tcW w:w="1420" w:type="dxa"/>
            <w:vAlign w:val="bottom"/>
            <w:gridSpan w:val="2"/>
            <w:shd w:val="clear" w:color="auto" w:fill="E0E0E0"/>
          </w:tcPr>
          <w:p>
            <w:pPr>
              <w:spacing w:after="0" w:line="206" w:lineRule="exact"/>
              <w:rPr>
                <w:sz w:val="20"/>
                <w:szCs w:val="20"/>
                <w:color w:val="auto"/>
              </w:rPr>
            </w:pPr>
            <w:r>
              <w:rPr>
                <w:rFonts w:ascii="Times New Roman" w:cs="Times New Roman" w:eastAsia="Times New Roman" w:hAnsi="Times New Roman"/>
                <w:sz w:val="18"/>
                <w:szCs w:val="18"/>
                <w:color w:val="auto"/>
              </w:rPr>
              <w:t>funds</w:t>
            </w:r>
          </w:p>
        </w:tc>
        <w:tc>
          <w:tcPr>
            <w:tcW w:w="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right w:val="single" w:sz="8" w:color="E0E0E0"/>
            </w:tcBorders>
            <w:shd w:val="clear" w:color="auto" w:fill="E0E0E0"/>
          </w:tcPr>
          <w:p>
            <w:pPr>
              <w:jc w:val="right"/>
              <w:spacing w:after="0" w:line="206" w:lineRule="exact"/>
              <w:rPr>
                <w:sz w:val="20"/>
                <w:szCs w:val="20"/>
                <w:color w:val="auto"/>
              </w:rPr>
            </w:pPr>
            <w:r>
              <w:rPr>
                <w:rFonts w:ascii="Times New Roman" w:cs="Times New Roman" w:eastAsia="Times New Roman" w:hAnsi="Times New Roman"/>
                <w:sz w:val="18"/>
                <w:szCs w:val="18"/>
                <w:color w:val="auto"/>
              </w:rPr>
              <w:t>37,694</w:t>
            </w:r>
          </w:p>
        </w:tc>
        <w:tc>
          <w:tcPr>
            <w:tcW w:w="180" w:type="dxa"/>
            <w:vAlign w:val="bottom"/>
            <w:tcBorders>
              <w:right w:val="single" w:sz="8" w:color="E0E0E0"/>
            </w:tcBorders>
            <w:shd w:val="clear" w:color="auto" w:fill="E0E0E0"/>
          </w:tcPr>
          <w:p>
            <w:pPr>
              <w:spacing w:after="0"/>
              <w:rPr>
                <w:sz w:val="17"/>
                <w:szCs w:val="17"/>
                <w:color w:val="auto"/>
              </w:rPr>
            </w:pPr>
          </w:p>
        </w:tc>
        <w:tc>
          <w:tcPr>
            <w:tcW w:w="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E0E0E0"/>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320" w:type="dxa"/>
            <w:vAlign w:val="bottom"/>
            <w:gridSpan w:val="2"/>
            <w:shd w:val="clear" w:color="auto" w:fill="E0E0E0"/>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E0E0E0"/>
            </w:tcBorders>
            <w:gridSpan w:val="2"/>
            <w:shd w:val="clear" w:color="auto" w:fill="E0E0E0"/>
          </w:tcPr>
          <w:p>
            <w:pPr>
              <w:jc w:val="right"/>
              <w:ind w:right="20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right w:val="single" w:sz="8" w:color="E0E0E0"/>
            </w:tcBorders>
            <w:gridSpan w:val="2"/>
            <w:shd w:val="clear" w:color="auto" w:fill="E0E0E0"/>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37,694</w:t>
            </w:r>
          </w:p>
        </w:tc>
        <w:tc>
          <w:tcPr>
            <w:tcW w:w="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right w:val="single" w:sz="8" w:color="E0E0E0"/>
            </w:tcBorders>
            <w:gridSpan w:val="2"/>
            <w:shd w:val="clear" w:color="auto" w:fill="E0E0E0"/>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37,694</w:t>
            </w:r>
          </w:p>
        </w:tc>
        <w:tc>
          <w:tcPr>
            <w:tcW w:w="120" w:type="dxa"/>
            <w:vAlign w:val="bottom"/>
            <w:shd w:val="clear" w:color="auto" w:fill="E0E0E0"/>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E0E0E0"/>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E0E0E0"/>
            </w:tcBorders>
            <w:shd w:val="clear" w:color="auto" w:fill="E0E0E0"/>
          </w:tcPr>
          <w:p>
            <w:pPr>
              <w:spacing w:after="0"/>
              <w:rPr>
                <w:sz w:val="17"/>
                <w:szCs w:val="17"/>
                <w:color w:val="auto"/>
              </w:rPr>
            </w:pPr>
          </w:p>
        </w:tc>
        <w:tc>
          <w:tcPr>
            <w:tcW w:w="80" w:type="dxa"/>
            <w:vAlign w:val="bottom"/>
            <w:shd w:val="clear" w:color="auto" w:fill="E0E0E0"/>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E0E0E0"/>
          </w:tcPr>
          <w:p>
            <w:pPr>
              <w:ind w:left="5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2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70,043</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5,577</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2560" w:type="dxa"/>
            <w:vAlign w:val="bottom"/>
            <w:gridSpan w:val="3"/>
            <w:shd w:val="clear" w:color="auto" w:fill="E0E0E0"/>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100" w:type="dxa"/>
            <w:vAlign w:val="bottom"/>
            <w:shd w:val="clear" w:color="auto" w:fill="E0E0E0"/>
          </w:tcPr>
          <w:p>
            <w:pPr>
              <w:spacing w:after="0"/>
              <w:rPr>
                <w:sz w:val="19"/>
                <w:szCs w:val="19"/>
                <w:color w:val="auto"/>
              </w:rPr>
            </w:pPr>
          </w:p>
        </w:tc>
        <w:tc>
          <w:tcPr>
            <w:tcW w:w="700" w:type="dxa"/>
            <w:vAlign w:val="bottom"/>
            <w:tcBorders>
              <w:right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120,670</w:t>
            </w:r>
          </w:p>
        </w:tc>
        <w:tc>
          <w:tcPr>
            <w:tcW w:w="180" w:type="dxa"/>
            <w:vAlign w:val="bottom"/>
            <w:tcBorders>
              <w:right w:val="single" w:sz="8" w:color="E0E0E0"/>
            </w:tcBorders>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tcPr>
          <w:p>
            <w:pPr>
              <w:spacing w:after="0"/>
              <w:rPr>
                <w:sz w:val="19"/>
                <w:szCs w:val="19"/>
                <w:color w:val="auto"/>
              </w:rPr>
            </w:pPr>
          </w:p>
        </w:tc>
        <w:tc>
          <w:tcPr>
            <w:tcW w:w="180" w:type="dxa"/>
            <w:vAlign w:val="bottom"/>
            <w:tcBorders>
              <w:right w:val="single" w:sz="8" w:color="E0E0E0"/>
            </w:tcBorders>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840" w:type="dxa"/>
            <w:vAlign w:val="bottom"/>
            <w:tcBorders>
              <w:right w:val="single" w:sz="8" w:color="E0E0E0"/>
            </w:tcBorders>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0E0E0"/>
          </w:tcPr>
          <w:p>
            <w:pPr>
              <w:spacing w:after="0"/>
              <w:rPr>
                <w:sz w:val="19"/>
                <w:szCs w:val="19"/>
                <w:color w:val="auto"/>
              </w:rPr>
            </w:pPr>
          </w:p>
        </w:tc>
        <w:tc>
          <w:tcPr>
            <w:tcW w:w="840" w:type="dxa"/>
            <w:vAlign w:val="bottom"/>
            <w:tcBorders>
              <w:right w:val="single" w:sz="8" w:color="E0E0E0"/>
            </w:tcBorders>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18"/>
                <w:szCs w:val="18"/>
                <w:color w:val="auto"/>
              </w:rPr>
              <w:t>120,813</w:t>
            </w:r>
          </w:p>
        </w:tc>
        <w:tc>
          <w:tcPr>
            <w:tcW w:w="100" w:type="dxa"/>
            <w:vAlign w:val="bottom"/>
            <w:shd w:val="clear" w:color="auto" w:fill="E0E0E0"/>
          </w:tcPr>
          <w:p>
            <w:pPr>
              <w:spacing w:after="0"/>
              <w:rPr>
                <w:sz w:val="19"/>
                <w:szCs w:val="19"/>
                <w:color w:val="auto"/>
              </w:rPr>
            </w:pPr>
          </w:p>
        </w:tc>
        <w:tc>
          <w:tcPr>
            <w:tcW w:w="880" w:type="dxa"/>
            <w:vAlign w:val="bottom"/>
            <w:tcBorders>
              <w:right w:val="single" w:sz="8" w:color="E0E0E0"/>
            </w:tcBorders>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18"/>
                <w:szCs w:val="18"/>
                <w:color w:val="auto"/>
              </w:rPr>
              <w:t>92,297</w:t>
            </w:r>
          </w:p>
        </w:tc>
        <w:tc>
          <w:tcPr>
            <w:tcW w:w="120" w:type="dxa"/>
            <w:vAlign w:val="bottom"/>
            <w:shd w:val="clear" w:color="auto" w:fill="E0E0E0"/>
          </w:tcPr>
          <w:p>
            <w:pPr>
              <w:spacing w:after="0"/>
              <w:rPr>
                <w:sz w:val="19"/>
                <w:szCs w:val="19"/>
                <w:color w:val="auto"/>
              </w:rPr>
            </w:pPr>
          </w:p>
        </w:tc>
        <w:tc>
          <w:tcPr>
            <w:tcW w:w="880" w:type="dxa"/>
            <w:vAlign w:val="bottom"/>
            <w:tcBorders>
              <w:right w:val="single" w:sz="8" w:color="E0E0E0"/>
            </w:tcBorders>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18"/>
                <w:szCs w:val="18"/>
                <w:color w:val="auto"/>
              </w:rPr>
              <w:t>28,516</w:t>
            </w:r>
          </w:p>
        </w:tc>
        <w:tc>
          <w:tcPr>
            <w:tcW w:w="80" w:type="dxa"/>
            <w:vAlign w:val="bottom"/>
            <w:shd w:val="clear" w:color="auto" w:fill="E0E0E0"/>
          </w:tcPr>
          <w:p>
            <w:pPr>
              <w:spacing w:after="0"/>
              <w:rPr>
                <w:sz w:val="19"/>
                <w:szCs w:val="19"/>
                <w:color w:val="auto"/>
              </w:rPr>
            </w:pPr>
          </w:p>
        </w:tc>
        <w:tc>
          <w:tcPr>
            <w:tcW w:w="820" w:type="dxa"/>
            <w:vAlign w:val="bottom"/>
            <w:gridSpan w:val="2"/>
            <w:shd w:val="clear" w:color="auto" w:fill="E0E0E0"/>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2560" w:type="dxa"/>
            <w:vAlign w:val="bottom"/>
            <w:tcBorders>
              <w:top w:val="single" w:sz="8" w:color="E0E0E0"/>
            </w:tcBorders>
            <w:gridSpan w:val="3"/>
          </w:tcPr>
          <w:p>
            <w:pPr>
              <w:ind w:left="400"/>
              <w:spacing w:after="0" w:line="180" w:lineRule="exact"/>
              <w:rPr>
                <w:sz w:val="20"/>
                <w:szCs w:val="20"/>
                <w:color w:val="auto"/>
              </w:rPr>
            </w:pPr>
            <w:r>
              <w:rPr>
                <w:rFonts w:ascii="Times New Roman" w:cs="Times New Roman" w:eastAsia="Times New Roman" w:hAnsi="Times New Roman"/>
                <w:sz w:val="18"/>
                <w:szCs w:val="18"/>
                <w:color w:val="auto"/>
              </w:rPr>
              <w:t>Total financial assets</w:t>
            </w:r>
          </w:p>
        </w:tc>
        <w:tc>
          <w:tcPr>
            <w:tcW w:w="10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8"/>
                <w:szCs w:val="18"/>
                <w:color w:val="auto"/>
              </w:rPr>
              <w:t>228,359</w:t>
            </w:r>
          </w:p>
        </w:tc>
        <w:tc>
          <w:tcPr>
            <w:tcW w:w="180" w:type="dxa"/>
            <w:vAlign w:val="bottom"/>
            <w:tcBorders>
              <w:top w:val="single" w:sz="8" w:color="E0E0E0"/>
            </w:tcBorders>
          </w:tcPr>
          <w:p>
            <w:pPr>
              <w:spacing w:after="0"/>
              <w:rPr>
                <w:sz w:val="15"/>
                <w:szCs w:val="15"/>
                <w:color w:val="auto"/>
              </w:rPr>
            </w:pPr>
          </w:p>
        </w:tc>
        <w:tc>
          <w:tcPr>
            <w:tcW w:w="14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8"/>
                <w:szCs w:val="18"/>
                <w:color w:val="auto"/>
              </w:rPr>
              <w:t>191</w:t>
            </w:r>
          </w:p>
        </w:tc>
        <w:tc>
          <w:tcPr>
            <w:tcW w:w="20" w:type="dxa"/>
            <w:vAlign w:val="bottom"/>
          </w:tcPr>
          <w:p>
            <w:pPr>
              <w:spacing w:after="0"/>
              <w:rPr>
                <w:sz w:val="15"/>
                <w:szCs w:val="15"/>
                <w:color w:val="auto"/>
              </w:rPr>
            </w:pPr>
          </w:p>
        </w:tc>
        <w:tc>
          <w:tcPr>
            <w:tcW w:w="180" w:type="dxa"/>
            <w:vAlign w:val="bottom"/>
            <w:tcBorders>
              <w:top w:val="single" w:sz="8" w:color="E0E0E0"/>
            </w:tcBorders>
          </w:tcPr>
          <w:p>
            <w:pPr>
              <w:spacing w:after="0"/>
              <w:rPr>
                <w:sz w:val="15"/>
                <w:szCs w:val="15"/>
                <w:color w:val="auto"/>
              </w:rPr>
            </w:pPr>
          </w:p>
        </w:tc>
        <w:tc>
          <w:tcPr>
            <w:tcW w:w="14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E0E0E0"/>
            </w:tcBorders>
          </w:tcPr>
          <w:p>
            <w:pPr>
              <w:spacing w:after="0"/>
              <w:rPr>
                <w:sz w:val="15"/>
                <w:szCs w:val="15"/>
                <w:color w:val="auto"/>
              </w:rPr>
            </w:pPr>
          </w:p>
        </w:tc>
        <w:tc>
          <w:tcPr>
            <w:tcW w:w="14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8"/>
                <w:szCs w:val="18"/>
                <w:color w:val="auto"/>
              </w:rPr>
              <w:t>228,550</w:t>
            </w:r>
          </w:p>
        </w:tc>
        <w:tc>
          <w:tcPr>
            <w:tcW w:w="180" w:type="dxa"/>
            <w:vAlign w:val="bottom"/>
            <w:tcBorders>
              <w:top w:val="single" w:sz="8" w:color="E0E0E0"/>
            </w:tcBorders>
          </w:tcPr>
          <w:p>
            <w:pPr>
              <w:spacing w:after="0"/>
              <w:rPr>
                <w:sz w:val="15"/>
                <w:szCs w:val="15"/>
                <w:color w:val="auto"/>
              </w:rPr>
            </w:pPr>
          </w:p>
        </w:tc>
        <w:tc>
          <w:tcPr>
            <w:tcW w:w="10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8"/>
                <w:szCs w:val="18"/>
                <w:color w:val="auto"/>
              </w:rPr>
              <w:t>135,568</w:t>
            </w:r>
          </w:p>
        </w:tc>
        <w:tc>
          <w:tcPr>
            <w:tcW w:w="180" w:type="dxa"/>
            <w:vAlign w:val="bottom"/>
            <w:tcBorders>
              <w:top w:val="single" w:sz="8" w:color="E0E0E0"/>
            </w:tcBorders>
          </w:tcPr>
          <w:p>
            <w:pPr>
              <w:spacing w:after="0"/>
              <w:rPr>
                <w:sz w:val="15"/>
                <w:szCs w:val="15"/>
                <w:color w:val="auto"/>
              </w:rPr>
            </w:pPr>
          </w:p>
        </w:tc>
        <w:tc>
          <w:tcPr>
            <w:tcW w:w="12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8"/>
                <w:szCs w:val="18"/>
                <w:color w:val="auto"/>
              </w:rPr>
              <w:t>92,982</w:t>
            </w:r>
          </w:p>
        </w:tc>
        <w:tc>
          <w:tcPr>
            <w:tcW w:w="200" w:type="dxa"/>
            <w:vAlign w:val="bottom"/>
            <w:tcBorders>
              <w:top w:val="single" w:sz="8" w:color="E0E0E0"/>
            </w:tcBorders>
          </w:tcPr>
          <w:p>
            <w:pPr>
              <w:spacing w:after="0"/>
              <w:rPr>
                <w:sz w:val="15"/>
                <w:szCs w:val="15"/>
                <w:color w:val="auto"/>
              </w:rPr>
            </w:pPr>
          </w:p>
        </w:tc>
        <w:tc>
          <w:tcPr>
            <w:tcW w:w="80" w:type="dxa"/>
            <w:vAlign w:val="bottom"/>
            <w:tcBorders>
              <w:top w:val="single" w:sz="8" w:color="auto"/>
            </w:tcBorders>
          </w:tcPr>
          <w:p>
            <w:pPr>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ind w:left="560"/>
              <w:spacing w:after="0" w:line="180" w:lineRule="exact"/>
              <w:rPr>
                <w:sz w:val="20"/>
                <w:szCs w:val="20"/>
                <w:color w:val="auto"/>
              </w:rPr>
            </w:pPr>
            <w:r>
              <w:rPr>
                <w:rFonts w:ascii="Times New Roman" w:cs="Times New Roman" w:eastAsia="Times New Roman" w:hAnsi="Times New Roman"/>
                <w:sz w:val="18"/>
                <w:szCs w:val="18"/>
                <w:color w:val="auto"/>
                <w:w w:val="77"/>
              </w:rPr>
              <w:t>—</w:t>
            </w:r>
          </w:p>
        </w:tc>
        <w:tc>
          <w:tcPr>
            <w:tcW w:w="100" w:type="dxa"/>
            <w:vAlign w:val="bottom"/>
            <w:tcBorders>
              <w:top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1616710</wp:posOffset>
                </wp:positionH>
                <wp:positionV relativeFrom="paragraph">
                  <wp:posOffset>-1591310</wp:posOffset>
                </wp:positionV>
                <wp:extent cx="50546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46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3pt,-125.2999pt" to="167.1pt,-125.2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2238375</wp:posOffset>
                </wp:positionH>
                <wp:positionV relativeFrom="paragraph">
                  <wp:posOffset>-1591310</wp:posOffset>
                </wp:positionV>
                <wp:extent cx="50609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609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6.25pt,-125.2999pt" to="216.1pt,-125.2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2862580</wp:posOffset>
                </wp:positionH>
                <wp:positionV relativeFrom="paragraph">
                  <wp:posOffset>-1591310</wp:posOffset>
                </wp:positionV>
                <wp:extent cx="50673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673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5.4pt,-125.2999pt" to="265.3pt,-125.2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3487420</wp:posOffset>
                </wp:positionH>
                <wp:positionV relativeFrom="paragraph">
                  <wp:posOffset>-1591310</wp:posOffset>
                </wp:positionV>
                <wp:extent cx="50673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673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6pt,-125.2999pt" to="314.5pt,-125.2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4112260</wp:posOffset>
                </wp:positionH>
                <wp:positionV relativeFrom="paragraph">
                  <wp:posOffset>-1591310</wp:posOffset>
                </wp:positionV>
                <wp:extent cx="50673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673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3.8pt,-125.2999pt" to="363.7pt,-125.2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4737100</wp:posOffset>
                </wp:positionH>
                <wp:positionV relativeFrom="paragraph">
                  <wp:posOffset>-1591310</wp:posOffset>
                </wp:positionV>
                <wp:extent cx="50673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673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3pt,-125.2999pt" to="412.9pt,-125.2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5361940</wp:posOffset>
                </wp:positionH>
                <wp:positionV relativeFrom="paragraph">
                  <wp:posOffset>-1591310</wp:posOffset>
                </wp:positionV>
                <wp:extent cx="52324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324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2.2pt,-125.2999pt" to="463.4pt,-125.2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-163830</wp:posOffset>
                </wp:positionV>
                <wp:extent cx="161671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671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8999pt" to="127.3pt,-12.89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2122170</wp:posOffset>
                </wp:positionH>
                <wp:positionV relativeFrom="paragraph">
                  <wp:posOffset>-163830</wp:posOffset>
                </wp:positionV>
                <wp:extent cx="11620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6205"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7.1pt,-12.8999pt" to="176.25pt,-12.89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2744470</wp:posOffset>
                </wp:positionH>
                <wp:positionV relativeFrom="paragraph">
                  <wp:posOffset>-163830</wp:posOffset>
                </wp:positionV>
                <wp:extent cx="11811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11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1pt,-12.8999pt" to="225.4pt,-12.89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3369310</wp:posOffset>
                </wp:positionH>
                <wp:positionV relativeFrom="paragraph">
                  <wp:posOffset>-163830</wp:posOffset>
                </wp:positionV>
                <wp:extent cx="11811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11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5.3pt,-12.8999pt" to="274.6pt,-12.89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3994150</wp:posOffset>
                </wp:positionH>
                <wp:positionV relativeFrom="paragraph">
                  <wp:posOffset>-163830</wp:posOffset>
                </wp:positionV>
                <wp:extent cx="11811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11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4.5pt,-12.8999pt" to="323.8pt,-12.89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4618990</wp:posOffset>
                </wp:positionH>
                <wp:positionV relativeFrom="paragraph">
                  <wp:posOffset>-163830</wp:posOffset>
                </wp:positionV>
                <wp:extent cx="11811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11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7pt,-12.8999pt" to="373pt,-12.89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5243830</wp:posOffset>
                </wp:positionH>
                <wp:positionV relativeFrom="paragraph">
                  <wp:posOffset>-163830</wp:posOffset>
                </wp:positionV>
                <wp:extent cx="11811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11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2.9pt,-12.8999pt" to="422.2pt,-12.89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5885180</wp:posOffset>
                </wp:positionH>
                <wp:positionV relativeFrom="paragraph">
                  <wp:posOffset>-163830</wp:posOffset>
                </wp:positionV>
                <wp:extent cx="5842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42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4pt,-12.8999pt" to="468pt,-12.8999pt" o:allowincell="f" strokecolor="#FFFFFF" strokeweight="0.4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2240" w:h="15840" w:orient="portrait"/>
          <w:cols w:equalWidth="0" w:num="1">
            <w:col w:w="9360"/>
          </w:cols>
          <w:pgMar w:left="1440" w:top="1420" w:right="1440" w:bottom="175" w:gutter="0" w:footer="0" w:header="0"/>
        </w:sectPr>
      </w:pPr>
    </w:p>
    <w:bookmarkStart w:id="119" w:name="page120"/>
    <w:bookmarkEnd w:id="119"/>
    <w:p>
      <w:pPr>
        <w:ind w:right="100" w:firstLine="619"/>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Cash and Cash Equivalents </w:t>
      </w:r>
      <w:r>
        <w:rPr>
          <w:rFonts w:ascii="Times New Roman" w:cs="Times New Roman" w:eastAsia="Times New Roman" w:hAnsi="Times New Roman"/>
          <w:sz w:val="20"/>
          <w:szCs w:val="20"/>
          <w:color w:val="auto"/>
        </w:rPr>
        <w:t>– As of December 31, 2024, the Company had aggregate cash and cash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equivalents of $40,876, including cash equivalents of $40,790, consisting of money market funds. As of December 31, 2023, the Company had aggregate cash and cash equivalents of $37,706, including cash equivalents of $37,694, consisting of money market funds.</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Marketable Securities </w:t>
      </w:r>
      <w:r>
        <w:rPr>
          <w:rFonts w:ascii="Times New Roman" w:cs="Times New Roman" w:eastAsia="Times New Roman" w:hAnsi="Times New Roman"/>
          <w:sz w:val="20"/>
          <w:szCs w:val="20"/>
          <w:color w:val="auto"/>
        </w:rPr>
        <w:t>– Marketable securities of $142,421 as of December 31, 2024, consisted of corporate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debt securities of $32,949 and government debt securities of $109,472. There were $128,578 current marketable</w:t>
      </w:r>
    </w:p>
    <w:p>
      <w:pPr>
        <w:spacing w:after="0"/>
        <w:rPr>
          <w:sz w:val="20"/>
          <w:szCs w:val="20"/>
          <w:color w:val="auto"/>
        </w:rPr>
      </w:pPr>
      <w:r>
        <w:rPr>
          <w:rFonts w:ascii="Times New Roman" w:cs="Times New Roman" w:eastAsia="Times New Roman" w:hAnsi="Times New Roman"/>
          <w:sz w:val="20"/>
          <w:szCs w:val="20"/>
          <w:color w:val="auto"/>
        </w:rPr>
        <w:t>securities and $13,843 noncurrent marketable securities as of December 31, 2024. Marketable securities of $190,856</w:t>
      </w:r>
    </w:p>
    <w:p>
      <w:pPr>
        <w:spacing w:after="0"/>
        <w:rPr>
          <w:sz w:val="20"/>
          <w:szCs w:val="20"/>
          <w:color w:val="auto"/>
        </w:rPr>
      </w:pPr>
      <w:r>
        <w:rPr>
          <w:rFonts w:ascii="Times New Roman" w:cs="Times New Roman" w:eastAsia="Times New Roman" w:hAnsi="Times New Roman"/>
          <w:sz w:val="20"/>
          <w:szCs w:val="20"/>
          <w:color w:val="auto"/>
        </w:rPr>
        <w:t>as of December 31, 2023, consisted of corporate debt securities of $70,043 and government debt securities of</w:t>
      </w:r>
    </w:p>
    <w:p>
      <w:pPr>
        <w:spacing w:after="0"/>
        <w:rPr>
          <w:sz w:val="20"/>
          <w:szCs w:val="20"/>
          <w:color w:val="auto"/>
        </w:rPr>
      </w:pPr>
      <w:r>
        <w:rPr>
          <w:rFonts w:ascii="Times New Roman" w:cs="Times New Roman" w:eastAsia="Times New Roman" w:hAnsi="Times New Roman"/>
          <w:sz w:val="20"/>
          <w:szCs w:val="20"/>
          <w:color w:val="auto"/>
        </w:rPr>
        <w:t>$120,813. There were $165,351 current marketable securities and $25,505 noncurrent marketable securities as of</w:t>
      </w:r>
    </w:p>
    <w:p>
      <w:pPr>
        <w:spacing w:after="0"/>
        <w:rPr>
          <w:sz w:val="20"/>
          <w:szCs w:val="20"/>
          <w:color w:val="auto"/>
        </w:rPr>
      </w:pPr>
      <w:r>
        <w:rPr>
          <w:rFonts w:ascii="Times New Roman" w:cs="Times New Roman" w:eastAsia="Times New Roman" w:hAnsi="Times New Roman"/>
          <w:sz w:val="20"/>
          <w:szCs w:val="20"/>
          <w:color w:val="auto"/>
        </w:rPr>
        <w:t>December 31, 2023.</w:t>
      </w:r>
    </w:p>
    <w:p>
      <w:pPr>
        <w:spacing w:after="0" w:line="211" w:lineRule="exact"/>
        <w:rPr>
          <w:sz w:val="20"/>
          <w:szCs w:val="20"/>
          <w:color w:val="auto"/>
        </w:rPr>
      </w:pPr>
    </w:p>
    <w:p>
      <w:pPr>
        <w:ind w:right="360" w:firstLine="619"/>
        <w:spacing w:after="0" w:line="278" w:lineRule="auto"/>
        <w:rPr>
          <w:sz w:val="20"/>
          <w:szCs w:val="20"/>
          <w:color w:val="auto"/>
        </w:rPr>
      </w:pPr>
      <w:r>
        <w:rPr>
          <w:rFonts w:ascii="Times New Roman" w:cs="Times New Roman" w:eastAsia="Times New Roman" w:hAnsi="Times New Roman"/>
          <w:sz w:val="20"/>
          <w:szCs w:val="20"/>
          <w:color w:val="auto"/>
        </w:rPr>
        <w:t>As of December 31, 2024 and 2023, aggregated gross unrealized losses of available-for-sale investments were not material, and accordingly, no allowance for credit losses was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4. Property and Equipment, Net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5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7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350" w:type="dxa"/>
            <w:vAlign w:val="bottom"/>
            <w:tcBorders>
              <w:bottom w:val="single" w:sz="8" w:color="DEDEDE"/>
            </w:tcBorders>
            <w:vMerge w:val="continue"/>
          </w:tcPr>
          <w:p>
            <w:pPr>
              <w:spacing w:after="0"/>
              <w:rPr>
                <w:sz w:val="16"/>
                <w:szCs w:val="16"/>
                <w:color w:val="auto"/>
              </w:rPr>
            </w:pPr>
          </w:p>
        </w:tc>
        <w:tc>
          <w:tcPr>
            <w:tcW w:w="170" w:type="dxa"/>
            <w:vAlign w:val="bottom"/>
            <w:tcBorders>
              <w:bottom w:val="single" w:sz="8" w:color="DEDEDE"/>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DEDEDE"/>
            </w:tcBorders>
          </w:tcPr>
          <w:p>
            <w:pPr>
              <w:spacing w:after="0"/>
              <w:rPr>
                <w:sz w:val="16"/>
                <w:szCs w:val="16"/>
                <w:color w:val="auto"/>
              </w:rPr>
            </w:pPr>
          </w:p>
        </w:tc>
        <w:tc>
          <w:tcPr>
            <w:tcW w:w="20" w:type="dxa"/>
            <w:vAlign w:val="bottom"/>
            <w:tcBorders>
              <w:bottom w:val="single" w:sz="8" w:color="DEDEDE"/>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DEDEDE"/>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35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Machinery &amp; equipment</w:t>
            </w:r>
          </w:p>
        </w:tc>
        <w:tc>
          <w:tcPr>
            <w:tcW w:w="170" w:type="dxa"/>
            <w:vAlign w:val="bottom"/>
            <w:shd w:val="clear" w:color="auto" w:fill="DEDEDE"/>
          </w:tcPr>
          <w:p>
            <w:pPr>
              <w:spacing w:after="0"/>
              <w:rPr>
                <w:sz w:val="20"/>
                <w:szCs w:val="20"/>
                <w:color w:val="auto"/>
              </w:rPr>
            </w:pPr>
          </w:p>
        </w:tc>
        <w:tc>
          <w:tcPr>
            <w:tcW w:w="1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1,782</w:t>
            </w:r>
          </w:p>
        </w:tc>
        <w:tc>
          <w:tcPr>
            <w:tcW w:w="22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440" w:type="dxa"/>
            <w:vAlign w:val="bottom"/>
            <w:shd w:val="clear" w:color="auto" w:fill="DEDEDE"/>
          </w:tcPr>
          <w:p>
            <w:pPr>
              <w:jc w:val="right"/>
              <w:ind w:right="240"/>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8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3,089</w:t>
            </w:r>
          </w:p>
        </w:tc>
        <w:tc>
          <w:tcPr>
            <w:tcW w:w="10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350" w:type="dxa"/>
            <w:vAlign w:val="bottom"/>
          </w:tcPr>
          <w:p>
            <w:pPr>
              <w:spacing w:after="0"/>
              <w:rPr>
                <w:sz w:val="20"/>
                <w:szCs w:val="20"/>
                <w:color w:val="auto"/>
              </w:rPr>
            </w:pPr>
            <w:r>
              <w:rPr>
                <w:rFonts w:ascii="Times New Roman" w:cs="Times New Roman" w:eastAsia="Times New Roman" w:hAnsi="Times New Roman"/>
                <w:sz w:val="20"/>
                <w:szCs w:val="20"/>
                <w:color w:val="auto"/>
              </w:rPr>
              <w:t>Computers</w:t>
            </w:r>
          </w:p>
        </w:tc>
        <w:tc>
          <w:tcPr>
            <w:tcW w:w="17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5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Furniture &amp; fixtures</w:t>
            </w:r>
          </w:p>
        </w:tc>
        <w:tc>
          <w:tcPr>
            <w:tcW w:w="170" w:type="dxa"/>
            <w:vAlign w:val="bottom"/>
            <w:shd w:val="clear" w:color="auto" w:fill="DEDEDE"/>
          </w:tcPr>
          <w:p>
            <w:pPr>
              <w:spacing w:after="0"/>
              <w:rPr>
                <w:sz w:val="21"/>
                <w:szCs w:val="21"/>
                <w:color w:val="auto"/>
              </w:rPr>
            </w:pPr>
          </w:p>
        </w:tc>
        <w:tc>
          <w:tcPr>
            <w:tcW w:w="140" w:type="dxa"/>
            <w:vAlign w:val="bottom"/>
            <w:shd w:val="clear" w:color="auto" w:fill="DEDEDE"/>
          </w:tcPr>
          <w:p>
            <w:pPr>
              <w:spacing w:after="0"/>
              <w:rPr>
                <w:sz w:val="21"/>
                <w:szCs w:val="21"/>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220" w:type="dxa"/>
            <w:vAlign w:val="bottom"/>
            <w:shd w:val="clear" w:color="auto" w:fill="DEDEDE"/>
          </w:tcPr>
          <w:p>
            <w:pPr>
              <w:spacing w:after="0"/>
              <w:rPr>
                <w:sz w:val="21"/>
                <w:szCs w:val="21"/>
                <w:color w:val="auto"/>
              </w:rPr>
            </w:pPr>
          </w:p>
        </w:tc>
        <w:tc>
          <w:tcPr>
            <w:tcW w:w="20" w:type="dxa"/>
            <w:vAlign w:val="bottom"/>
            <w:shd w:val="clear" w:color="auto" w:fill="DEDEDE"/>
          </w:tcPr>
          <w:p>
            <w:pPr>
              <w:spacing w:after="0"/>
              <w:rPr>
                <w:sz w:val="21"/>
                <w:szCs w:val="21"/>
                <w:color w:val="auto"/>
              </w:rPr>
            </w:pPr>
          </w:p>
        </w:tc>
        <w:tc>
          <w:tcPr>
            <w:tcW w:w="440" w:type="dxa"/>
            <w:vAlign w:val="bottom"/>
            <w:shd w:val="clear" w:color="auto" w:fill="DEDEDE"/>
          </w:tcPr>
          <w:p>
            <w:pPr>
              <w:spacing w:after="0"/>
              <w:rPr>
                <w:sz w:val="21"/>
                <w:szCs w:val="21"/>
                <w:color w:val="auto"/>
              </w:rPr>
            </w:pPr>
          </w:p>
        </w:tc>
        <w:tc>
          <w:tcPr>
            <w:tcW w:w="8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10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5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170" w:type="dxa"/>
            <w:vAlign w:val="bottom"/>
            <w:tcBorders>
              <w:bottom w:val="single" w:sz="8" w:color="DEDEDE"/>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220" w:type="dxa"/>
            <w:vAlign w:val="bottom"/>
            <w:tcBorders>
              <w:bottom w:val="single" w:sz="8" w:color="DEDEDE"/>
            </w:tcBorders>
          </w:tcPr>
          <w:p>
            <w:pPr>
              <w:spacing w:after="0"/>
              <w:rPr>
                <w:sz w:val="21"/>
                <w:szCs w:val="21"/>
                <w:color w:val="auto"/>
              </w:rPr>
            </w:pPr>
          </w:p>
        </w:tc>
        <w:tc>
          <w:tcPr>
            <w:tcW w:w="20" w:type="dxa"/>
            <w:vAlign w:val="bottom"/>
            <w:tcBorders>
              <w:bottom w:val="single" w:sz="8" w:color="DEDEDE"/>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10,765</w:t>
            </w:r>
          </w:p>
        </w:tc>
        <w:tc>
          <w:tcPr>
            <w:tcW w:w="100" w:type="dxa"/>
            <w:vAlign w:val="bottom"/>
            <w:tcBorders>
              <w:bottom w:val="single" w:sz="8" w:color="DEDEDE"/>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350" w:type="dxa"/>
            <w:vAlign w:val="bottom"/>
            <w:shd w:val="clear" w:color="auto" w:fill="DEDEDE"/>
          </w:tcPr>
          <w:p>
            <w:pPr>
              <w:spacing w:after="0" w:line="225" w:lineRule="exact"/>
              <w:rPr>
                <w:sz w:val="20"/>
                <w:szCs w:val="20"/>
                <w:color w:val="auto"/>
              </w:rPr>
            </w:pPr>
            <w:r>
              <w:rPr>
                <w:rFonts w:ascii="Times New Roman" w:cs="Times New Roman" w:eastAsia="Times New Roman" w:hAnsi="Times New Roman"/>
                <w:sz w:val="20"/>
                <w:szCs w:val="20"/>
                <w:color w:val="auto"/>
              </w:rPr>
              <w:t>Total property and equipment</w:t>
            </w:r>
          </w:p>
        </w:tc>
        <w:tc>
          <w:tcPr>
            <w:tcW w:w="17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060" w:type="dxa"/>
            <w:vAlign w:val="bottom"/>
            <w:shd w:val="clear" w:color="auto" w:fill="DEDEDE"/>
          </w:tcPr>
          <w:p>
            <w:pPr>
              <w:jc w:val="right"/>
              <w:spacing w:after="0" w:line="225" w:lineRule="exact"/>
              <w:rPr>
                <w:sz w:val="20"/>
                <w:szCs w:val="20"/>
                <w:color w:val="auto"/>
              </w:rPr>
            </w:pPr>
            <w:r>
              <w:rPr>
                <w:rFonts w:ascii="Times New Roman" w:cs="Times New Roman" w:eastAsia="Times New Roman" w:hAnsi="Times New Roman"/>
                <w:sz w:val="20"/>
                <w:szCs w:val="20"/>
                <w:color w:val="auto"/>
              </w:rPr>
              <w:t>1,869</w:t>
            </w:r>
          </w:p>
        </w:tc>
        <w:tc>
          <w:tcPr>
            <w:tcW w:w="22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440" w:type="dxa"/>
            <w:vAlign w:val="bottom"/>
            <w:shd w:val="clear" w:color="auto" w:fill="DEDEDE"/>
          </w:tcPr>
          <w:p>
            <w:pPr>
              <w:spacing w:after="0"/>
              <w:rPr>
                <w:sz w:val="19"/>
                <w:szCs w:val="19"/>
                <w:color w:val="auto"/>
              </w:rPr>
            </w:pPr>
          </w:p>
        </w:tc>
        <w:tc>
          <w:tcPr>
            <w:tcW w:w="860" w:type="dxa"/>
            <w:vAlign w:val="bottom"/>
            <w:shd w:val="clear" w:color="auto" w:fill="DEDEDE"/>
          </w:tcPr>
          <w:p>
            <w:pPr>
              <w:jc w:val="right"/>
              <w:spacing w:after="0" w:line="225" w:lineRule="exact"/>
              <w:rPr>
                <w:sz w:val="20"/>
                <w:szCs w:val="20"/>
                <w:color w:val="auto"/>
              </w:rPr>
            </w:pPr>
            <w:r>
              <w:rPr>
                <w:rFonts w:ascii="Times New Roman" w:cs="Times New Roman" w:eastAsia="Times New Roman" w:hAnsi="Times New Roman"/>
                <w:sz w:val="20"/>
                <w:szCs w:val="20"/>
                <w:color w:val="auto"/>
              </w:rPr>
              <w:t>13,936</w:t>
            </w:r>
          </w:p>
        </w:tc>
        <w:tc>
          <w:tcPr>
            <w:tcW w:w="10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350" w:type="dxa"/>
            <w:vAlign w:val="bottom"/>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17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(1,460 )</w:t>
            </w: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(3,270 )</w:t>
            </w:r>
          </w:p>
        </w:tc>
        <w:tc>
          <w:tcPr>
            <w:tcW w:w="0" w:type="dxa"/>
            <w:vAlign w:val="bottom"/>
          </w:tcPr>
          <w:p>
            <w:pPr>
              <w:spacing w:after="0"/>
              <w:rPr>
                <w:sz w:val="1"/>
                <w:szCs w:val="1"/>
                <w:color w:val="auto"/>
              </w:rPr>
            </w:pPr>
          </w:p>
        </w:tc>
      </w:tr>
      <w:tr>
        <w:trPr>
          <w:trHeight w:val="235"/>
        </w:trPr>
        <w:tc>
          <w:tcPr>
            <w:tcW w:w="635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170" w:type="dxa"/>
            <w:vAlign w:val="bottom"/>
            <w:tcBorders>
              <w:top w:val="single" w:sz="8" w:color="DEDEDE"/>
            </w:tcBorders>
            <w:shd w:val="clear" w:color="auto" w:fill="DEDEDE"/>
          </w:tcPr>
          <w:p>
            <w:pPr>
              <w:spacing w:after="0"/>
              <w:rPr>
                <w:sz w:val="20"/>
                <w:szCs w:val="20"/>
                <w:color w:val="auto"/>
              </w:rPr>
            </w:pPr>
          </w:p>
        </w:tc>
        <w:tc>
          <w:tcPr>
            <w:tcW w:w="1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10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409</w:t>
            </w:r>
          </w:p>
        </w:tc>
        <w:tc>
          <w:tcPr>
            <w:tcW w:w="220" w:type="dxa"/>
            <w:vAlign w:val="bottom"/>
            <w:tcBorders>
              <w:top w:val="single" w:sz="8" w:color="DEDEDE"/>
            </w:tcBorders>
            <w:shd w:val="clear" w:color="auto" w:fill="DEDEDE"/>
          </w:tcPr>
          <w:p>
            <w:pPr>
              <w:spacing w:after="0"/>
              <w:rPr>
                <w:sz w:val="20"/>
                <w:szCs w:val="20"/>
                <w:color w:val="auto"/>
              </w:rPr>
            </w:pPr>
          </w:p>
        </w:tc>
        <w:tc>
          <w:tcPr>
            <w:tcW w:w="20" w:type="dxa"/>
            <w:vAlign w:val="bottom"/>
            <w:tcBorders>
              <w:top w:val="single" w:sz="8" w:color="DEDEDE"/>
              <w:bottom w:val="single" w:sz="8" w:color="auto"/>
            </w:tcBorders>
            <w:shd w:val="clear" w:color="auto" w:fill="DEDEDE"/>
          </w:tcPr>
          <w:p>
            <w:pPr>
              <w:spacing w:after="0"/>
              <w:rPr>
                <w:sz w:val="20"/>
                <w:szCs w:val="20"/>
                <w:color w:val="auto"/>
              </w:rPr>
            </w:pPr>
          </w:p>
        </w:tc>
        <w:tc>
          <w:tcPr>
            <w:tcW w:w="440" w:type="dxa"/>
            <w:vAlign w:val="bottom"/>
            <w:tcBorders>
              <w:top w:val="single" w:sz="8" w:color="auto"/>
              <w:bottom w:val="single" w:sz="8" w:color="auto"/>
            </w:tcBorders>
            <w:shd w:val="clear" w:color="auto" w:fill="DEDEDE"/>
          </w:tcPr>
          <w:p>
            <w:pPr>
              <w:jc w:val="right"/>
              <w:ind w:right="240"/>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8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10,666</w:t>
            </w:r>
          </w:p>
        </w:tc>
        <w:tc>
          <w:tcPr>
            <w:tcW w:w="100" w:type="dxa"/>
            <w:vAlign w:val="bottom"/>
            <w:tcBorders>
              <w:top w:val="single" w:sz="8" w:color="DEDEDE"/>
            </w:tcBorders>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50" w:type="dxa"/>
            <w:vAlign w:val="bottom"/>
          </w:tcPr>
          <w:p>
            <w:pPr>
              <w:spacing w:after="0" w:line="20" w:lineRule="exact"/>
              <w:rPr>
                <w:sz w:val="1"/>
                <w:szCs w:val="1"/>
                <w:color w:val="auto"/>
              </w:rPr>
            </w:pPr>
          </w:p>
        </w:tc>
        <w:tc>
          <w:tcPr>
            <w:tcW w:w="17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-958850</wp:posOffset>
                </wp:positionV>
                <wp:extent cx="594360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5.4999pt" to="468pt,-75.4999pt" o:allowincell="f" strokecolor="#FFFFFF" strokeweight="0.72pt"/>
            </w:pict>
          </mc:Fallback>
        </mc:AlternateContent>
      </w:r>
    </w:p>
    <w:p>
      <w:pPr>
        <w:spacing w:after="0" w:line="237" w:lineRule="exact"/>
        <w:rPr>
          <w:sz w:val="20"/>
          <w:szCs w:val="20"/>
          <w:color w:val="auto"/>
        </w:rPr>
      </w:pPr>
    </w:p>
    <w:p>
      <w:pPr>
        <w:ind w:right="320" w:firstLine="619"/>
        <w:spacing w:after="0" w:line="258" w:lineRule="auto"/>
        <w:rPr>
          <w:sz w:val="20"/>
          <w:szCs w:val="20"/>
          <w:color w:val="auto"/>
        </w:rPr>
      </w:pPr>
      <w:r>
        <w:rPr>
          <w:rFonts w:ascii="Times New Roman" w:cs="Times New Roman" w:eastAsia="Times New Roman" w:hAnsi="Times New Roman"/>
          <w:sz w:val="20"/>
          <w:szCs w:val="20"/>
          <w:color w:val="auto"/>
        </w:rPr>
        <w:t>The Company terminated a lease in 2024 resulting in an abandonment and write-off of the leasehold improvements of $9,454. Refer to Note 6 for more details on the lease termination. Depreciation expense for the years ended December 31, 2024, 2023, and 2022 was $1,144, $1,257, and $315, respectively.</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5. Accrued Expenses</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Accrued expenses consists of the following:</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380" w:type="dxa"/>
            <w:vAlign w:val="bottom"/>
            <w:tcBorders>
              <w:bottom w:val="single" w:sz="8" w:color="DEDEDE"/>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07"/>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DEDEDE"/>
            </w:tcBorders>
          </w:tcPr>
          <w:p>
            <w:pPr>
              <w:spacing w:after="0"/>
              <w:rPr>
                <w:sz w:val="15"/>
                <w:szCs w:val="15"/>
                <w:color w:val="auto"/>
              </w:rPr>
            </w:pPr>
          </w:p>
        </w:tc>
        <w:tc>
          <w:tcPr>
            <w:tcW w:w="140" w:type="dxa"/>
            <w:vAlign w:val="bottom"/>
            <w:tcBorders>
              <w:bottom w:val="single" w:sz="8" w:color="DEDEDE"/>
            </w:tcBorders>
          </w:tcPr>
          <w:p>
            <w:pPr>
              <w:spacing w:after="0"/>
              <w:rPr>
                <w:sz w:val="15"/>
                <w:szCs w:val="15"/>
                <w:color w:val="auto"/>
              </w:rPr>
            </w:pPr>
          </w:p>
        </w:tc>
        <w:tc>
          <w:tcPr>
            <w:tcW w:w="20" w:type="dxa"/>
            <w:vAlign w:val="bottom"/>
            <w:tcBorders>
              <w:bottom w:val="single" w:sz="8" w:color="DEDEDE"/>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24"/>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DEDEDE"/>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380" w:type="dxa"/>
            <w:vAlign w:val="bottom"/>
            <w:shd w:val="clear" w:color="auto" w:fill="DEDEDE"/>
          </w:tcPr>
          <w:p>
            <w:pPr>
              <w:spacing w:after="0" w:line="220" w:lineRule="exact"/>
              <w:rPr>
                <w:sz w:val="20"/>
                <w:szCs w:val="20"/>
                <w:color w:val="auto"/>
              </w:rPr>
            </w:pPr>
            <w:r>
              <w:rPr>
                <w:rFonts w:ascii="Times New Roman" w:cs="Times New Roman" w:eastAsia="Times New Roman" w:hAnsi="Times New Roman"/>
                <w:sz w:val="20"/>
                <w:szCs w:val="20"/>
                <w:color w:val="auto"/>
              </w:rPr>
              <w:t>Accrued compensation</w:t>
            </w:r>
          </w:p>
        </w:tc>
        <w:tc>
          <w:tcPr>
            <w:tcW w:w="300" w:type="dxa"/>
            <w:vAlign w:val="bottom"/>
            <w:shd w:val="clear" w:color="auto" w:fill="DEDEDE"/>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gridSpan w:val="2"/>
            <w:shd w:val="clear" w:color="auto" w:fill="DEDEDE"/>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5,005</w:t>
            </w:r>
          </w:p>
        </w:tc>
        <w:tc>
          <w:tcPr>
            <w:tcW w:w="620" w:type="dxa"/>
            <w:vAlign w:val="bottom"/>
            <w:gridSpan w:val="3"/>
            <w:shd w:val="clear" w:color="auto" w:fill="DEDEDE"/>
          </w:tcPr>
          <w:p>
            <w:pPr>
              <w:jc w:val="right"/>
              <w:ind w:right="2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shd w:val="clear" w:color="auto" w:fill="DEDEDE"/>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4,498</w:t>
            </w:r>
          </w:p>
        </w:tc>
        <w:tc>
          <w:tcPr>
            <w:tcW w:w="0" w:type="dxa"/>
            <w:vAlign w:val="bottom"/>
          </w:tcPr>
          <w:p>
            <w:pPr>
              <w:spacing w:after="0"/>
              <w:rPr>
                <w:sz w:val="1"/>
                <w:szCs w:val="1"/>
                <w:color w:val="auto"/>
              </w:rPr>
            </w:pPr>
          </w:p>
        </w:tc>
      </w:tr>
      <w:tr>
        <w:trPr>
          <w:trHeight w:val="229"/>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Accrued research and development costs</w:t>
            </w: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2,177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5,270</w:t>
            </w:r>
          </w:p>
        </w:tc>
        <w:tc>
          <w:tcPr>
            <w:tcW w:w="0" w:type="dxa"/>
            <w:vAlign w:val="bottom"/>
          </w:tcPr>
          <w:p>
            <w:pPr>
              <w:spacing w:after="0"/>
              <w:rPr>
                <w:sz w:val="1"/>
                <w:szCs w:val="1"/>
                <w:color w:val="auto"/>
              </w:rPr>
            </w:pPr>
          </w:p>
        </w:tc>
      </w:tr>
      <w:tr>
        <w:trPr>
          <w:trHeight w:val="250"/>
        </w:trPr>
        <w:tc>
          <w:tcPr>
            <w:tcW w:w="638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Accrued legal and professional services</w:t>
            </w:r>
          </w:p>
        </w:tc>
        <w:tc>
          <w:tcPr>
            <w:tcW w:w="300" w:type="dxa"/>
            <w:vAlign w:val="bottom"/>
            <w:shd w:val="clear" w:color="auto" w:fill="DEDEDE"/>
          </w:tcPr>
          <w:p>
            <w:pPr>
              <w:spacing w:after="0"/>
              <w:rPr>
                <w:sz w:val="21"/>
                <w:szCs w:val="21"/>
                <w:color w:val="auto"/>
              </w:rPr>
            </w:pPr>
          </w:p>
        </w:tc>
        <w:tc>
          <w:tcPr>
            <w:tcW w:w="106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20"/>
                <w:szCs w:val="20"/>
                <w:color w:val="auto"/>
              </w:rPr>
              <w:t>257</w:t>
            </w:r>
          </w:p>
        </w:tc>
        <w:tc>
          <w:tcPr>
            <w:tcW w:w="140" w:type="dxa"/>
            <w:vAlign w:val="bottom"/>
            <w:shd w:val="clear" w:color="auto" w:fill="DEDEDE"/>
          </w:tcPr>
          <w:p>
            <w:pPr>
              <w:spacing w:after="0"/>
              <w:rPr>
                <w:sz w:val="21"/>
                <w:szCs w:val="21"/>
                <w:color w:val="auto"/>
              </w:rPr>
            </w:pPr>
          </w:p>
        </w:tc>
        <w:tc>
          <w:tcPr>
            <w:tcW w:w="20" w:type="dxa"/>
            <w:vAlign w:val="bottom"/>
            <w:shd w:val="clear" w:color="auto" w:fill="DEDEDE"/>
          </w:tcPr>
          <w:p>
            <w:pPr>
              <w:spacing w:after="0"/>
              <w:rPr>
                <w:sz w:val="21"/>
                <w:szCs w:val="21"/>
                <w:color w:val="auto"/>
              </w:rPr>
            </w:pPr>
          </w:p>
        </w:tc>
        <w:tc>
          <w:tcPr>
            <w:tcW w:w="460" w:type="dxa"/>
            <w:vAlign w:val="bottom"/>
            <w:shd w:val="clear" w:color="auto" w:fill="DEDEDE"/>
          </w:tcPr>
          <w:p>
            <w:pPr>
              <w:spacing w:after="0"/>
              <w:rPr>
                <w:sz w:val="21"/>
                <w:szCs w:val="21"/>
                <w:color w:val="auto"/>
              </w:rPr>
            </w:pPr>
          </w:p>
        </w:tc>
        <w:tc>
          <w:tcPr>
            <w:tcW w:w="100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20"/>
                <w:szCs w:val="20"/>
                <w:color w:val="auto"/>
              </w:rPr>
              <w:t>172</w:t>
            </w:r>
          </w:p>
        </w:tc>
        <w:tc>
          <w:tcPr>
            <w:tcW w:w="0" w:type="dxa"/>
            <w:vAlign w:val="bottom"/>
          </w:tcPr>
          <w:p>
            <w:pPr>
              <w:spacing w:after="0"/>
              <w:rPr>
                <w:sz w:val="1"/>
                <w:szCs w:val="1"/>
                <w:color w:val="auto"/>
              </w:rPr>
            </w:pPr>
          </w:p>
        </w:tc>
      </w:tr>
      <w:tr>
        <w:trPr>
          <w:trHeight w:val="201"/>
        </w:trPr>
        <w:tc>
          <w:tcPr>
            <w:tcW w:w="6380" w:type="dxa"/>
            <w:vAlign w:val="bottom"/>
            <w:tcBorders>
              <w:top w:val="single" w:sz="8" w:color="DEDEDE"/>
            </w:tcBorders>
          </w:tcPr>
          <w:p>
            <w:pPr>
              <w:spacing w:after="0" w:line="201" w:lineRule="exact"/>
              <w:rPr>
                <w:sz w:val="20"/>
                <w:szCs w:val="20"/>
                <w:color w:val="auto"/>
              </w:rPr>
            </w:pPr>
            <w:r>
              <w:rPr>
                <w:rFonts w:ascii="Times New Roman" w:cs="Times New Roman" w:eastAsia="Times New Roman" w:hAnsi="Times New Roman"/>
                <w:sz w:val="20"/>
                <w:szCs w:val="20"/>
                <w:color w:val="auto"/>
              </w:rPr>
              <w:t>Total</w:t>
            </w:r>
          </w:p>
        </w:tc>
        <w:tc>
          <w:tcPr>
            <w:tcW w:w="300" w:type="dxa"/>
            <w:vAlign w:val="bottom"/>
            <w:tcBorders>
              <w:top w:val="single" w:sz="8" w:color="auto"/>
              <w:bottom w:val="single" w:sz="8" w:color="auto"/>
            </w:tcBorders>
          </w:tcPr>
          <w:p>
            <w:pPr>
              <w:jc w:val="right"/>
              <w:ind w:right="100"/>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7,439</w:t>
            </w:r>
          </w:p>
        </w:tc>
        <w:tc>
          <w:tcPr>
            <w:tcW w:w="20" w:type="dxa"/>
            <w:vAlign w:val="bottom"/>
            <w:tcBorders>
              <w:top w:val="single" w:sz="8" w:color="DEDEDE"/>
            </w:tcBorders>
          </w:tcPr>
          <w:p>
            <w:pPr>
              <w:spacing w:after="0"/>
              <w:rPr>
                <w:sz w:val="17"/>
                <w:szCs w:val="17"/>
                <w:color w:val="auto"/>
              </w:rPr>
            </w:pPr>
          </w:p>
        </w:tc>
        <w:tc>
          <w:tcPr>
            <w:tcW w:w="140" w:type="dxa"/>
            <w:vAlign w:val="bottom"/>
            <w:tcBorders>
              <w:top w:val="single" w:sz="8" w:color="DEDEDE"/>
            </w:tcBorders>
          </w:tcPr>
          <w:p>
            <w:pPr>
              <w:spacing w:after="0"/>
              <w:rPr>
                <w:sz w:val="17"/>
                <w:szCs w:val="17"/>
                <w:color w:val="auto"/>
              </w:rPr>
            </w:pPr>
          </w:p>
        </w:tc>
        <w:tc>
          <w:tcPr>
            <w:tcW w:w="20" w:type="dxa"/>
            <w:vAlign w:val="bottom"/>
            <w:tcBorders>
              <w:top w:val="single" w:sz="8" w:color="DEDEDE"/>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260"/>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9,940</w:t>
            </w:r>
          </w:p>
        </w:tc>
        <w:tc>
          <w:tcPr>
            <w:tcW w:w="100" w:type="dxa"/>
            <w:vAlign w:val="bottom"/>
            <w:tcBorders>
              <w:top w:val="single" w:sz="8" w:color="DEDEDE"/>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-177165</wp:posOffset>
                </wp:positionV>
                <wp:extent cx="4055745"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5745"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9499pt" to="319.35pt,-13.94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4897120</wp:posOffset>
                </wp:positionH>
                <wp:positionV relativeFrom="paragraph">
                  <wp:posOffset>-177165</wp:posOffset>
                </wp:positionV>
                <wp:extent cx="11874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745"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6pt,-13.9499pt" to="394.95pt,-13.94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5883910</wp:posOffset>
                </wp:positionH>
                <wp:positionV relativeFrom="paragraph">
                  <wp:posOffset>-177165</wp:posOffset>
                </wp:positionV>
                <wp:extent cx="5969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9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3pt,-13.9499pt" to="468pt,-13.9499pt" o:allowincell="f" strokecolor="#FFFFFF" strokeweight="0.4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ectPr>
          <w:pgSz w:w="12240" w:h="15840" w:orient="portrait"/>
          <w:cols w:equalWidth="0" w:num="1">
            <w:col w:w="9360"/>
          </w:cols>
          <w:pgMar w:left="1440" w:top="1420" w:right="1440" w:bottom="175" w:gutter="0" w:footer="0" w:header="0"/>
        </w:sectPr>
      </w:pPr>
    </w:p>
    <w:bookmarkStart w:id="120" w:name="page121"/>
    <w:bookmarkEnd w:id="120"/>
    <w:p>
      <w:pPr>
        <w:ind w:left="620" w:right="6380" w:hanging="620"/>
        <w:spacing w:after="0" w:line="384" w:lineRule="auto"/>
        <w:tabs>
          <w:tab w:leader="none" w:pos="250" w:val="left"/>
        </w:tabs>
        <w:numPr>
          <w:ilvl w:val="0"/>
          <w:numId w:val="61"/>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Commitments and Contingencies Operating Leases</w:t>
      </w:r>
    </w:p>
    <w:p>
      <w:pPr>
        <w:ind w:right="40" w:firstLine="619"/>
        <w:spacing w:after="0" w:line="242" w:lineRule="auto"/>
        <w:rPr>
          <w:sz w:val="20"/>
          <w:szCs w:val="20"/>
          <w:color w:val="auto"/>
        </w:rPr>
      </w:pPr>
      <w:r>
        <w:rPr>
          <w:rFonts w:ascii="Times New Roman" w:cs="Times New Roman" w:eastAsia="Times New Roman" w:hAnsi="Times New Roman"/>
          <w:sz w:val="20"/>
          <w:szCs w:val="20"/>
          <w:color w:val="auto"/>
        </w:rPr>
        <w:t>In August 2018, the Company executed two noncancelable operating leases. One lease for approximately 6,000 square feet for vivarium, laboratory and general office space in South Brunswick, New Jersey. The lease was set to expire in July 2022. In January 2022, the Company signed a lease extension for up to one additional year through July 2023, with the option to terminate upon 120 days of written notice, with an increase in base rent as per the lease extension. The lease was terminated as of June 2023. The second lease is for office space in Lexington, Massachusetts, that terminated in August 2023. In January 2021, the Company signed a lease for 50,581 square feet of office and laboratory space (the “Lease”) at One Research Way in Princeton, New Jersey (the “Premises”). The lease term initially extended through 2032, had a five-year extension option, and replaced the Company’s two existing facilities as the Company’s headquarters in March 2023. The Company estimated that payments under the Lease would be $19,889 through May 2032. The Company received a lease incentive of $4,046 from the lessor for a buildout of laboratory, vivarium, and office space. Management estimated the timing and amounts of reimbursements and included them as a reduction of lease payments when initially measuring the lease liability and right-of-use asset upon commencement. Since the inception date of the lease, $4,046 reimbursements were received from the lessor.</w:t>
      </w:r>
    </w:p>
    <w:p>
      <w:pPr>
        <w:spacing w:after="0" w:line="213" w:lineRule="exact"/>
        <w:rPr>
          <w:sz w:val="20"/>
          <w:szCs w:val="20"/>
          <w:color w:val="auto"/>
        </w:rPr>
      </w:pPr>
    </w:p>
    <w:p>
      <w:pPr>
        <w:ind w:right="60" w:firstLine="619"/>
        <w:spacing w:after="0" w:line="247" w:lineRule="auto"/>
        <w:rPr>
          <w:sz w:val="20"/>
          <w:szCs w:val="20"/>
          <w:color w:val="auto"/>
        </w:rPr>
      </w:pPr>
      <w:r>
        <w:rPr>
          <w:rFonts w:ascii="Times New Roman" w:cs="Times New Roman" w:eastAsia="Times New Roman" w:hAnsi="Times New Roman"/>
          <w:sz w:val="20"/>
          <w:szCs w:val="20"/>
          <w:color w:val="auto"/>
        </w:rPr>
        <w:t>In August 2024, the Company entered into a Lease Termination Agreement with BMR-One Research Way LLC, a Delaware limited liability company (the “Landlord”), in connection with the termination of the Lease (the “Termination Agreement”). Pursuant to the Termination Agreement, the Company and the Landlord agreed to terminate the Lease. However, the termination was contingent on the sale of the Premises by the Landlord to a prospective new buyer (the “Contingency”), which was not met until the successful close of the sale of the Premises by the Landlord on October 1, 2024, and as a result there was no modification in August 2024.</w:t>
      </w:r>
    </w:p>
    <w:p>
      <w:pPr>
        <w:spacing w:after="0" w:line="200" w:lineRule="exact"/>
        <w:rPr>
          <w:sz w:val="20"/>
          <w:szCs w:val="20"/>
          <w:color w:val="auto"/>
        </w:rPr>
      </w:pPr>
    </w:p>
    <w:p>
      <w:pPr>
        <w:spacing w:after="0" w:line="231"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Pursuant to the Termination Agreement, and subject to the Contingency, the Company agreed to surrender the Premises and paid a total termination fee of approximately $1,420, consisting of (i) a cash payment in the amount of approximately $798 and (ii) a release of a security deposit from the Company’s existing letter of credit in the amount of approximately $622. The transaction was accounted for as an immediate termination of an operating lease before the expiration of the lease term in accordance with ASC 842. The Company derecognized the lease-related asset and liability resulting in a gain of $4,850. Since the termination fee of $1,420 was not already included in the lease payments, the termination fee was recognized as a loss on termination of the lease. Further, the Company abandoned and wrote-off all the related leasehold improvements totaling $9,454 held at the Premises. This net activity totaling $6,024 was recorded as a loss within General and Administrative expense in the Statement of Operations for the year ended December 31, 2024. As of December 31, 2024, the Company has no commitments or contingencies related to the Lease.</w:t>
      </w:r>
    </w:p>
    <w:p>
      <w:pPr>
        <w:spacing w:after="0" w:line="208" w:lineRule="exact"/>
        <w:rPr>
          <w:sz w:val="20"/>
          <w:szCs w:val="20"/>
          <w:color w:val="auto"/>
        </w:rPr>
      </w:pPr>
    </w:p>
    <w:p>
      <w:pPr>
        <w:ind w:firstLine="619"/>
        <w:spacing w:after="0" w:line="252" w:lineRule="auto"/>
        <w:rPr>
          <w:sz w:val="20"/>
          <w:szCs w:val="20"/>
          <w:color w:val="auto"/>
        </w:rPr>
      </w:pPr>
      <w:r>
        <w:rPr>
          <w:rFonts w:ascii="Times New Roman" w:cs="Times New Roman" w:eastAsia="Times New Roman" w:hAnsi="Times New Roman"/>
          <w:sz w:val="20"/>
          <w:szCs w:val="20"/>
          <w:color w:val="auto"/>
        </w:rPr>
        <w:t>In August 2024, the Company signed a sublease for 14,201 square feet of office space at 400 Alexander Park Drive, Suite 301, in Princeton, New Jersey, to be used as its new headquarters (“400 Alexander Sublease”). The 400 Alexander Sublease commenced on October 1, 2024 and extends until February 28, 2027. Payment under the 400 Alexander Sublease will total $789 through February 2027.</w:t>
      </w:r>
    </w:p>
    <w:p>
      <w:pPr>
        <w:spacing w:after="0" w:line="193" w:lineRule="exact"/>
        <w:rPr>
          <w:sz w:val="20"/>
          <w:szCs w:val="20"/>
          <w:color w:val="auto"/>
        </w:rPr>
      </w:pPr>
    </w:p>
    <w:p>
      <w:pPr>
        <w:ind w:right="80" w:firstLine="619"/>
        <w:spacing w:after="0" w:line="249" w:lineRule="auto"/>
        <w:rPr>
          <w:sz w:val="20"/>
          <w:szCs w:val="20"/>
          <w:color w:val="auto"/>
        </w:rPr>
      </w:pPr>
      <w:r>
        <w:rPr>
          <w:rFonts w:ascii="Times New Roman" w:cs="Times New Roman" w:eastAsia="Times New Roman" w:hAnsi="Times New Roman"/>
          <w:sz w:val="20"/>
          <w:szCs w:val="20"/>
          <w:color w:val="auto"/>
        </w:rPr>
        <w:t>In September 2024, the Company signed a sublease agreement for 3,205 square feet of office and laboratory space at 311 Pennington Rocky Hill Road in Hopewell, New Jersey. The Company utilizes the premises as laboratory space for operational research and development activities. The sublease term extends through 2029 and provides the Company with the option to extend the term for an additional three year period. Payment under this sublease will total $768 through December 2029.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ectPr>
          <w:pgSz w:w="12240" w:h="15840" w:orient="portrait"/>
          <w:cols w:equalWidth="0" w:num="1">
            <w:col w:w="9360"/>
          </w:cols>
          <w:pgMar w:left="1440" w:top="1420" w:right="1440" w:bottom="175"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20"/>
          <w:szCs w:val="20"/>
          <w:color w:val="auto"/>
        </w:rPr>
        <w:t>The components of lease cost for the years ended December 31, 2024, 2023, and 2022 are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560" w:type="dxa"/>
            <w:vAlign w:val="bottom"/>
            <w:tcBorders>
              <w:bottom w:val="single" w:sz="8" w:color="DEDEDE"/>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8"/>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DEDEDE"/>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05"/>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DEDEDE"/>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5"/>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DEDEDE"/>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560" w:type="dxa"/>
            <w:vAlign w:val="bottom"/>
            <w:tcBorders>
              <w:right w:val="single" w:sz="8" w:color="DEDEDE"/>
            </w:tcBorders>
            <w:shd w:val="clear" w:color="auto" w:fill="DEDEDE"/>
          </w:tcPr>
          <w:p>
            <w:pPr>
              <w:spacing w:after="0" w:line="220" w:lineRule="exact"/>
              <w:rPr>
                <w:sz w:val="20"/>
                <w:szCs w:val="20"/>
                <w:color w:val="auto"/>
              </w:rPr>
            </w:pPr>
            <w:r>
              <w:rPr>
                <w:rFonts w:ascii="Times New Roman" w:cs="Times New Roman" w:eastAsia="Times New Roman" w:hAnsi="Times New Roman"/>
                <w:sz w:val="20"/>
                <w:szCs w:val="20"/>
                <w:color w:val="auto"/>
              </w:rPr>
              <w:t>Operating lease cost</w:t>
            </w:r>
          </w:p>
        </w:tc>
        <w:tc>
          <w:tcPr>
            <w:tcW w:w="260" w:type="dxa"/>
            <w:vAlign w:val="bottom"/>
            <w:shd w:val="clear" w:color="auto" w:fill="DEDEDE"/>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right w:val="single" w:sz="8" w:color="DEDEDE"/>
            </w:tcBorders>
            <w:gridSpan w:val="2"/>
            <w:shd w:val="clear" w:color="auto" w:fill="DEDEDE"/>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1,194</w:t>
            </w:r>
          </w:p>
        </w:tc>
        <w:tc>
          <w:tcPr>
            <w:tcW w:w="180" w:type="dxa"/>
            <w:vAlign w:val="bottom"/>
            <w:shd w:val="clear" w:color="auto" w:fill="DEDEDE"/>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right w:val="single" w:sz="8" w:color="DEDEDE"/>
            </w:tcBorders>
            <w:gridSpan w:val="2"/>
            <w:shd w:val="clear" w:color="auto" w:fill="DEDEDE"/>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1,913</w:t>
            </w:r>
          </w:p>
        </w:tc>
        <w:tc>
          <w:tcPr>
            <w:tcW w:w="220" w:type="dxa"/>
            <w:vAlign w:val="bottom"/>
            <w:shd w:val="clear" w:color="auto" w:fill="DEDEDE"/>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gridSpan w:val="2"/>
            <w:shd w:val="clear" w:color="auto" w:fill="DEDEDE"/>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2,215</w:t>
            </w:r>
          </w:p>
        </w:tc>
        <w:tc>
          <w:tcPr>
            <w:tcW w:w="0" w:type="dxa"/>
            <w:vAlign w:val="bottom"/>
          </w:tcPr>
          <w:p>
            <w:pPr>
              <w:spacing w:after="0"/>
              <w:rPr>
                <w:sz w:val="1"/>
                <w:szCs w:val="1"/>
                <w:color w:val="auto"/>
              </w:rPr>
            </w:pPr>
          </w:p>
        </w:tc>
      </w:tr>
      <w:tr>
        <w:trPr>
          <w:trHeight w:val="229"/>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Variable lease cost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914</w:t>
            </w:r>
          </w:p>
        </w:tc>
        <w:tc>
          <w:tcPr>
            <w:tcW w:w="2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991</w:t>
            </w:r>
          </w:p>
        </w:tc>
        <w:tc>
          <w:tcPr>
            <w:tcW w:w="0" w:type="dxa"/>
            <w:vAlign w:val="bottom"/>
          </w:tcPr>
          <w:p>
            <w:pPr>
              <w:spacing w:after="0"/>
              <w:rPr>
                <w:sz w:val="1"/>
                <w:szCs w:val="1"/>
                <w:color w:val="auto"/>
              </w:rPr>
            </w:pPr>
          </w:p>
        </w:tc>
      </w:tr>
      <w:tr>
        <w:trPr>
          <w:trHeight w:val="20"/>
        </w:trPr>
        <w:tc>
          <w:tcPr>
            <w:tcW w:w="5560" w:type="dxa"/>
            <w:vAlign w:val="bottom"/>
            <w:tcBorders>
              <w:right w:val="single" w:sz="8" w:color="DEDEDE"/>
            </w:tcBorders>
            <w:shd w:val="clear" w:color="auto" w:fill="DEDEDE"/>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DEDEDE"/>
            </w:tcBorders>
            <w:shd w:val="clear" w:color="auto" w:fill="DEDED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DEDEDE"/>
            </w:tcBorders>
            <w:shd w:val="clear" w:color="auto" w:fill="DEDEDE"/>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DEDED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60" w:type="dxa"/>
            <w:vAlign w:val="bottom"/>
            <w:tcBorders>
              <w:right w:val="single" w:sz="8" w:color="DEDEDE"/>
            </w:tcBorders>
            <w:shd w:val="clear" w:color="auto" w:fill="DEDEDE"/>
          </w:tcPr>
          <w:p>
            <w:pPr>
              <w:spacing w:after="0" w:line="221" w:lineRule="exact"/>
              <w:rPr>
                <w:sz w:val="20"/>
                <w:szCs w:val="20"/>
                <w:color w:val="auto"/>
              </w:rPr>
            </w:pPr>
            <w:r>
              <w:rPr>
                <w:rFonts w:ascii="Times New Roman" w:cs="Times New Roman" w:eastAsia="Times New Roman" w:hAnsi="Times New Roman"/>
                <w:sz w:val="20"/>
                <w:szCs w:val="20"/>
                <w:color w:val="auto"/>
              </w:rPr>
              <w:t>Total lease cost</w:t>
            </w:r>
          </w:p>
        </w:tc>
        <w:tc>
          <w:tcPr>
            <w:tcW w:w="260" w:type="dxa"/>
            <w:vAlign w:val="bottom"/>
            <w:shd w:val="clear" w:color="auto" w:fill="DEDEDE"/>
          </w:tcPr>
          <w:p>
            <w:pPr>
              <w:jc w:val="right"/>
              <w:ind w:right="6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right w:val="single" w:sz="8" w:color="DEDEDE"/>
            </w:tcBorders>
            <w:gridSpan w:val="2"/>
            <w:shd w:val="clear" w:color="auto" w:fill="DEDEDE"/>
          </w:tcPr>
          <w:p>
            <w:pPr>
              <w:jc w:val="right"/>
              <w:ind w:right="220"/>
              <w:spacing w:after="0" w:line="221" w:lineRule="exact"/>
              <w:rPr>
                <w:sz w:val="20"/>
                <w:szCs w:val="20"/>
                <w:color w:val="auto"/>
              </w:rPr>
            </w:pPr>
            <w:r>
              <w:rPr>
                <w:rFonts w:ascii="Times New Roman" w:cs="Times New Roman" w:eastAsia="Times New Roman" w:hAnsi="Times New Roman"/>
                <w:sz w:val="20"/>
                <w:szCs w:val="20"/>
                <w:color w:val="auto"/>
              </w:rPr>
              <w:t>1,711</w:t>
            </w:r>
          </w:p>
        </w:tc>
        <w:tc>
          <w:tcPr>
            <w:tcW w:w="180" w:type="dxa"/>
            <w:vAlign w:val="bottom"/>
            <w:shd w:val="clear" w:color="auto" w:fill="DEDEDE"/>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right w:val="single" w:sz="8" w:color="DEDEDE"/>
            </w:tcBorders>
            <w:gridSpan w:val="2"/>
            <w:shd w:val="clear" w:color="auto" w:fill="DEDEDE"/>
          </w:tcPr>
          <w:p>
            <w:pPr>
              <w:jc w:val="right"/>
              <w:ind w:right="220"/>
              <w:spacing w:after="0" w:line="221" w:lineRule="exact"/>
              <w:rPr>
                <w:sz w:val="20"/>
                <w:szCs w:val="20"/>
                <w:color w:val="auto"/>
              </w:rPr>
            </w:pPr>
            <w:r>
              <w:rPr>
                <w:rFonts w:ascii="Times New Roman" w:cs="Times New Roman" w:eastAsia="Times New Roman" w:hAnsi="Times New Roman"/>
                <w:sz w:val="20"/>
                <w:szCs w:val="20"/>
                <w:color w:val="auto"/>
              </w:rPr>
              <w:t>2,827</w:t>
            </w:r>
          </w:p>
        </w:tc>
        <w:tc>
          <w:tcPr>
            <w:tcW w:w="220" w:type="dxa"/>
            <w:vAlign w:val="bottom"/>
            <w:shd w:val="clear" w:color="auto" w:fill="DEDEDE"/>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gridSpan w:val="2"/>
            <w:shd w:val="clear" w:color="auto" w:fill="DEDEDE"/>
          </w:tcPr>
          <w:p>
            <w:pPr>
              <w:jc w:val="right"/>
              <w:ind w:right="100"/>
              <w:spacing w:after="0" w:line="221" w:lineRule="exact"/>
              <w:rPr>
                <w:sz w:val="20"/>
                <w:szCs w:val="20"/>
                <w:color w:val="auto"/>
              </w:rPr>
            </w:pPr>
            <w:r>
              <w:rPr>
                <w:rFonts w:ascii="Times New Roman" w:cs="Times New Roman" w:eastAsia="Times New Roman" w:hAnsi="Times New Roman"/>
                <w:sz w:val="20"/>
                <w:szCs w:val="20"/>
                <w:color w:val="auto"/>
              </w:rPr>
              <w:t>3,206</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jc w:val="both"/>
        <w:ind w:right="80" w:firstLine="619"/>
        <w:spacing w:after="0" w:line="278" w:lineRule="auto"/>
        <w:rPr>
          <w:sz w:val="20"/>
          <w:szCs w:val="20"/>
          <w:color w:val="auto"/>
        </w:rPr>
      </w:pPr>
      <w:r>
        <w:rPr>
          <w:rFonts w:ascii="Times New Roman" w:cs="Times New Roman" w:eastAsia="Times New Roman" w:hAnsi="Times New Roman"/>
          <w:sz w:val="20"/>
          <w:szCs w:val="20"/>
          <w:color w:val="auto"/>
        </w:rPr>
        <w:t>Amounts reported in the balance sheet for leases where the Company is the lessee as of December 31, 2024, and 2023,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Operating Leases (in thousands, except lease term and discount rate data):</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0" w:type="dxa"/>
            <w:vAlign w:val="bottom"/>
            <w:gridSpan w:val="6"/>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174"/>
        </w:trPr>
        <w:tc>
          <w:tcPr>
            <w:tcW w:w="5680" w:type="dxa"/>
            <w:vAlign w:val="bottom"/>
            <w:tcBorders>
              <w:bottom w:val="single" w:sz="8" w:color="DEDEDE"/>
            </w:tcBorders>
            <w:vMerge w:val="continue"/>
          </w:tcPr>
          <w:p>
            <w:pPr>
              <w:spacing w:after="0"/>
              <w:rPr>
                <w:sz w:val="15"/>
                <w:szCs w:val="15"/>
                <w:color w:val="auto"/>
              </w:rPr>
            </w:pPr>
          </w:p>
        </w:tc>
        <w:tc>
          <w:tcPr>
            <w:tcW w:w="600" w:type="dxa"/>
            <w:vAlign w:val="bottom"/>
            <w:tcBorders>
              <w:bottom w:val="single" w:sz="8" w:color="DEDEDE"/>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65"/>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bottom w:val="single" w:sz="8" w:color="DEDEDE"/>
            </w:tcBorders>
          </w:tcPr>
          <w:p>
            <w:pPr>
              <w:spacing w:after="0"/>
              <w:rPr>
                <w:sz w:val="15"/>
                <w:szCs w:val="15"/>
                <w:color w:val="auto"/>
              </w:rPr>
            </w:pPr>
          </w:p>
        </w:tc>
        <w:tc>
          <w:tcPr>
            <w:tcW w:w="80" w:type="dxa"/>
            <w:vAlign w:val="bottom"/>
            <w:tcBorders>
              <w:top w:val="single" w:sz="8" w:color="auto"/>
              <w:bottom w:val="single" w:sz="8" w:color="DEDEDE"/>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43"/>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Borders>
              <w:bottom w:val="single" w:sz="8" w:color="DEDEDE"/>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680" w:type="dxa"/>
            <w:vAlign w:val="bottom"/>
            <w:shd w:val="clear" w:color="auto" w:fill="DEDEDE"/>
          </w:tcPr>
          <w:p>
            <w:pPr>
              <w:spacing w:after="0" w:line="220" w:lineRule="exact"/>
              <w:rPr>
                <w:sz w:val="20"/>
                <w:szCs w:val="20"/>
                <w:color w:val="auto"/>
              </w:rPr>
            </w:pPr>
            <w:r>
              <w:rPr>
                <w:rFonts w:ascii="Times New Roman" w:cs="Times New Roman" w:eastAsia="Times New Roman" w:hAnsi="Times New Roman"/>
                <w:sz w:val="20"/>
                <w:szCs w:val="20"/>
                <w:color w:val="auto"/>
              </w:rPr>
              <w:t>Right-of-use assets, operating leases</w:t>
            </w:r>
          </w:p>
        </w:tc>
        <w:tc>
          <w:tcPr>
            <w:tcW w:w="880" w:type="dxa"/>
            <w:vAlign w:val="bottom"/>
            <w:gridSpan w:val="2"/>
            <w:shd w:val="clear" w:color="auto" w:fill="DEDEDE"/>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shd w:val="clear" w:color="auto" w:fill="DEDEDE"/>
          </w:tcPr>
          <w:p>
            <w:pPr>
              <w:jc w:val="right"/>
              <w:ind w:right="240"/>
              <w:spacing w:after="0" w:line="220" w:lineRule="exact"/>
              <w:rPr>
                <w:sz w:val="20"/>
                <w:szCs w:val="20"/>
                <w:color w:val="auto"/>
              </w:rPr>
            </w:pPr>
            <w:r>
              <w:rPr>
                <w:rFonts w:ascii="Times New Roman" w:cs="Times New Roman" w:eastAsia="Times New Roman" w:hAnsi="Times New Roman"/>
                <w:sz w:val="20"/>
                <w:szCs w:val="20"/>
                <w:color w:val="auto"/>
              </w:rPr>
              <w:t>1,143</w:t>
            </w:r>
          </w:p>
        </w:tc>
        <w:tc>
          <w:tcPr>
            <w:tcW w:w="360" w:type="dxa"/>
            <w:vAlign w:val="bottom"/>
            <w:gridSpan w:val="2"/>
            <w:shd w:val="clear" w:color="auto" w:fill="DEDEDE"/>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shd w:val="clear" w:color="auto" w:fill="DEDEDE"/>
          </w:tcPr>
          <w:p>
            <w:pPr>
              <w:jc w:val="right"/>
              <w:ind w:right="300"/>
              <w:spacing w:after="0" w:line="220" w:lineRule="exact"/>
              <w:rPr>
                <w:sz w:val="20"/>
                <w:szCs w:val="20"/>
                <w:color w:val="auto"/>
              </w:rPr>
            </w:pPr>
            <w:r>
              <w:rPr>
                <w:rFonts w:ascii="Times New Roman" w:cs="Times New Roman" w:eastAsia="Times New Roman" w:hAnsi="Times New Roman"/>
                <w:sz w:val="20"/>
                <w:szCs w:val="20"/>
                <w:color w:val="auto"/>
              </w:rPr>
              <w:t>8,382</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p>
        </w:tc>
        <w:tc>
          <w:tcPr>
            <w:tcW w:w="880" w:type="dxa"/>
            <w:vAlign w:val="bottom"/>
            <w:gridSpan w:val="2"/>
          </w:tcPr>
          <w:p>
            <w:pPr>
              <w:spacing w:after="0"/>
              <w:rPr>
                <w:sz w:val="20"/>
                <w:szCs w:val="20"/>
                <w:color w:val="auto"/>
              </w:rPr>
            </w:pPr>
          </w:p>
        </w:tc>
        <w:tc>
          <w:tcPr>
            <w:tcW w:w="1200" w:type="dxa"/>
            <w:vAlign w:val="bottom"/>
            <w:gridSpan w:val="2"/>
          </w:tcPr>
          <w:p>
            <w:pPr>
              <w:spacing w:after="0"/>
              <w:rPr>
                <w:sz w:val="20"/>
                <w:szCs w:val="20"/>
                <w:color w:val="auto"/>
              </w:rPr>
            </w:pPr>
          </w:p>
        </w:tc>
        <w:tc>
          <w:tcPr>
            <w:tcW w:w="360" w:type="dxa"/>
            <w:vAlign w:val="bottom"/>
            <w:gridSpan w:val="2"/>
          </w:tcPr>
          <w:p>
            <w:pPr>
              <w:spacing w:after="0"/>
              <w:rPr>
                <w:sz w:val="20"/>
                <w:szCs w:val="20"/>
                <w:color w:val="auto"/>
              </w:rPr>
            </w:pPr>
          </w:p>
        </w:tc>
        <w:tc>
          <w:tcPr>
            <w:tcW w:w="12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Operating lease liabilities, current</w:t>
            </w:r>
          </w:p>
        </w:tc>
        <w:tc>
          <w:tcPr>
            <w:tcW w:w="88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shd w:val="clear" w:color="auto" w:fill="DEDEDE"/>
          </w:tcPr>
          <w:p>
            <w:pPr>
              <w:jc w:val="right"/>
              <w:ind w:right="240"/>
              <w:spacing w:after="0"/>
              <w:rPr>
                <w:sz w:val="20"/>
                <w:szCs w:val="20"/>
                <w:color w:val="auto"/>
              </w:rPr>
            </w:pPr>
            <w:r>
              <w:rPr>
                <w:rFonts w:ascii="Times New Roman" w:cs="Times New Roman" w:eastAsia="Times New Roman" w:hAnsi="Times New Roman"/>
                <w:sz w:val="20"/>
                <w:szCs w:val="20"/>
                <w:color w:val="auto"/>
              </w:rPr>
              <w:t>352</w:t>
            </w:r>
          </w:p>
        </w:tc>
        <w:tc>
          <w:tcPr>
            <w:tcW w:w="360" w:type="dxa"/>
            <w:vAlign w:val="bottom"/>
            <w:gridSpan w:val="2"/>
            <w:shd w:val="clear" w:color="auto" w:fill="DEDEDE"/>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shd w:val="clear" w:color="auto" w:fill="DEDEDE"/>
          </w:tcPr>
          <w:p>
            <w:pPr>
              <w:jc w:val="right"/>
              <w:ind w:right="300"/>
              <w:spacing w:after="0"/>
              <w:rPr>
                <w:sz w:val="20"/>
                <w:szCs w:val="20"/>
                <w:color w:val="auto"/>
              </w:rPr>
            </w:pPr>
            <w:r>
              <w:rPr>
                <w:rFonts w:ascii="Times New Roman" w:cs="Times New Roman" w:eastAsia="Times New Roman" w:hAnsi="Times New Roman"/>
                <w:sz w:val="20"/>
                <w:szCs w:val="20"/>
                <w:color w:val="auto"/>
              </w:rPr>
              <w:t>852</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liabilities, non-current</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12,434</w:t>
            </w:r>
          </w:p>
        </w:tc>
        <w:tc>
          <w:tcPr>
            <w:tcW w:w="0" w:type="dxa"/>
            <w:vAlign w:val="bottom"/>
          </w:tcPr>
          <w:p>
            <w:pPr>
              <w:spacing w:after="0"/>
              <w:rPr>
                <w:sz w:val="1"/>
                <w:szCs w:val="1"/>
                <w:color w:val="auto"/>
              </w:rPr>
            </w:pPr>
          </w:p>
        </w:tc>
      </w:tr>
      <w:tr>
        <w:trPr>
          <w:trHeight w:val="20"/>
        </w:trPr>
        <w:tc>
          <w:tcPr>
            <w:tcW w:w="5680" w:type="dxa"/>
            <w:vAlign w:val="bottom"/>
            <w:vMerge w:val="restart"/>
            <w:shd w:val="clear" w:color="auto" w:fill="DEDEDE"/>
          </w:tcPr>
          <w:p>
            <w:pPr>
              <w:spacing w:after="0"/>
              <w:rPr>
                <w:sz w:val="20"/>
                <w:szCs w:val="20"/>
                <w:color w:val="auto"/>
              </w:rPr>
            </w:pPr>
            <w:r>
              <w:rPr>
                <w:rFonts w:ascii="Times New Roman" w:cs="Times New Roman" w:eastAsia="Times New Roman" w:hAnsi="Times New Roman"/>
                <w:sz w:val="20"/>
                <w:szCs w:val="20"/>
                <w:color w:val="auto"/>
              </w:rPr>
              <w:t>Total operating lease liabilities</w:t>
            </w:r>
          </w:p>
        </w:tc>
        <w:tc>
          <w:tcPr>
            <w:tcW w:w="600" w:type="dxa"/>
            <w:vAlign w:val="bottom"/>
            <w:shd w:val="clear" w:color="auto" w:fill="DEDEDE"/>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DEDEDE"/>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DEDED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680" w:type="dxa"/>
            <w:vAlign w:val="bottom"/>
            <w:vMerge w:val="continue"/>
            <w:shd w:val="clear" w:color="auto" w:fill="DEDEDE"/>
          </w:tcPr>
          <w:p>
            <w:pPr>
              <w:spacing w:after="0"/>
              <w:rPr>
                <w:sz w:val="19"/>
                <w:szCs w:val="19"/>
                <w:color w:val="auto"/>
              </w:rPr>
            </w:pPr>
          </w:p>
        </w:tc>
        <w:tc>
          <w:tcPr>
            <w:tcW w:w="600" w:type="dxa"/>
            <w:vAlign w:val="bottom"/>
            <w:shd w:val="clear" w:color="auto" w:fill="DEDEDE"/>
          </w:tcPr>
          <w:p>
            <w:pPr>
              <w:spacing w:after="0"/>
              <w:rPr>
                <w:sz w:val="19"/>
                <w:szCs w:val="19"/>
                <w:color w:val="auto"/>
              </w:rPr>
            </w:pPr>
          </w:p>
        </w:tc>
        <w:tc>
          <w:tcPr>
            <w:tcW w:w="280" w:type="dxa"/>
            <w:vAlign w:val="bottom"/>
            <w:shd w:val="clear" w:color="auto" w:fill="DEDEDE"/>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DEDEDE"/>
          </w:tcPr>
          <w:p>
            <w:pPr>
              <w:jc w:val="right"/>
              <w:spacing w:after="0" w:line="220" w:lineRule="exact"/>
              <w:rPr>
                <w:sz w:val="20"/>
                <w:szCs w:val="20"/>
                <w:color w:val="auto"/>
              </w:rPr>
            </w:pPr>
            <w:r>
              <w:rPr>
                <w:rFonts w:ascii="Times New Roman" w:cs="Times New Roman" w:eastAsia="Times New Roman" w:hAnsi="Times New Roman"/>
                <w:sz w:val="20"/>
                <w:szCs w:val="20"/>
                <w:color w:val="auto"/>
              </w:rPr>
              <w:t>1,190</w:t>
            </w:r>
          </w:p>
        </w:tc>
        <w:tc>
          <w:tcPr>
            <w:tcW w:w="240" w:type="dxa"/>
            <w:vAlign w:val="bottom"/>
            <w:shd w:val="clear" w:color="auto" w:fill="DEDEDE"/>
          </w:tcPr>
          <w:p>
            <w:pPr>
              <w:spacing w:after="0"/>
              <w:rPr>
                <w:sz w:val="19"/>
                <w:szCs w:val="19"/>
                <w:color w:val="auto"/>
              </w:rPr>
            </w:pPr>
          </w:p>
        </w:tc>
        <w:tc>
          <w:tcPr>
            <w:tcW w:w="360" w:type="dxa"/>
            <w:vAlign w:val="bottom"/>
            <w:gridSpan w:val="2"/>
            <w:shd w:val="clear" w:color="auto" w:fill="DEDEDE"/>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shd w:val="clear" w:color="auto" w:fill="DEDEDE"/>
          </w:tcPr>
          <w:p>
            <w:pPr>
              <w:jc w:val="right"/>
              <w:ind w:right="300"/>
              <w:spacing w:after="0" w:line="220" w:lineRule="exact"/>
              <w:rPr>
                <w:sz w:val="20"/>
                <w:szCs w:val="20"/>
                <w:color w:val="auto"/>
              </w:rPr>
            </w:pPr>
            <w:r>
              <w:rPr>
                <w:rFonts w:ascii="Times New Roman" w:cs="Times New Roman" w:eastAsia="Times New Roman" w:hAnsi="Times New Roman"/>
                <w:sz w:val="20"/>
                <w:szCs w:val="20"/>
                <w:color w:val="auto"/>
              </w:rPr>
              <w:t>13,286</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Weighted-average remaining lease term (years)</w:t>
            </w:r>
          </w:p>
        </w:tc>
        <w:tc>
          <w:tcPr>
            <w:tcW w:w="600" w:type="dxa"/>
            <w:vAlign w:val="bottom"/>
            <w:shd w:val="clear" w:color="auto" w:fill="DEDEDE"/>
          </w:tcPr>
          <w:p>
            <w:pPr>
              <w:spacing w:after="0"/>
              <w:rPr>
                <w:sz w:val="19"/>
                <w:szCs w:val="19"/>
                <w:color w:val="auto"/>
              </w:rPr>
            </w:pPr>
          </w:p>
        </w:tc>
        <w:tc>
          <w:tcPr>
            <w:tcW w:w="280" w:type="dxa"/>
            <w:vAlign w:val="bottom"/>
            <w:shd w:val="clear" w:color="auto" w:fill="DEDEDE"/>
          </w:tcPr>
          <w:p>
            <w:pPr>
              <w:spacing w:after="0"/>
              <w:rPr>
                <w:sz w:val="19"/>
                <w:szCs w:val="19"/>
                <w:color w:val="auto"/>
              </w:rPr>
            </w:pPr>
          </w:p>
        </w:tc>
        <w:tc>
          <w:tcPr>
            <w:tcW w:w="1200" w:type="dxa"/>
            <w:vAlign w:val="bottom"/>
            <w:gridSpan w:val="2"/>
            <w:shd w:val="clear" w:color="auto" w:fill="DEDEDE"/>
          </w:tcPr>
          <w:p>
            <w:pPr>
              <w:jc w:val="right"/>
              <w:ind w:right="240"/>
              <w:spacing w:after="0"/>
              <w:rPr>
                <w:sz w:val="20"/>
                <w:szCs w:val="20"/>
                <w:color w:val="auto"/>
              </w:rPr>
            </w:pPr>
            <w:r>
              <w:rPr>
                <w:rFonts w:ascii="Times New Roman" w:cs="Times New Roman" w:eastAsia="Times New Roman" w:hAnsi="Times New Roman"/>
                <w:sz w:val="20"/>
                <w:szCs w:val="20"/>
                <w:color w:val="auto"/>
              </w:rPr>
              <w:t>3.47</w:t>
            </w:r>
          </w:p>
        </w:tc>
        <w:tc>
          <w:tcPr>
            <w:tcW w:w="80" w:type="dxa"/>
            <w:vAlign w:val="bottom"/>
            <w:shd w:val="clear" w:color="auto" w:fill="DEDEDE"/>
          </w:tcPr>
          <w:p>
            <w:pPr>
              <w:spacing w:after="0"/>
              <w:rPr>
                <w:sz w:val="19"/>
                <w:szCs w:val="19"/>
                <w:color w:val="auto"/>
              </w:rPr>
            </w:pPr>
          </w:p>
        </w:tc>
        <w:tc>
          <w:tcPr>
            <w:tcW w:w="280" w:type="dxa"/>
            <w:vAlign w:val="bottom"/>
            <w:shd w:val="clear" w:color="auto" w:fill="DEDEDE"/>
          </w:tcPr>
          <w:p>
            <w:pPr>
              <w:spacing w:after="0"/>
              <w:rPr>
                <w:sz w:val="19"/>
                <w:szCs w:val="19"/>
                <w:color w:val="auto"/>
              </w:rPr>
            </w:pPr>
          </w:p>
        </w:tc>
        <w:tc>
          <w:tcPr>
            <w:tcW w:w="1240" w:type="dxa"/>
            <w:vAlign w:val="bottom"/>
            <w:gridSpan w:val="2"/>
            <w:shd w:val="clear" w:color="auto" w:fill="DEDEDE"/>
          </w:tcPr>
          <w:p>
            <w:pPr>
              <w:jc w:val="right"/>
              <w:ind w:right="300"/>
              <w:spacing w:after="0"/>
              <w:rPr>
                <w:sz w:val="20"/>
                <w:szCs w:val="20"/>
                <w:color w:val="auto"/>
              </w:rPr>
            </w:pPr>
            <w:r>
              <w:rPr>
                <w:rFonts w:ascii="Times New Roman" w:cs="Times New Roman" w:eastAsia="Times New Roman" w:hAnsi="Times New Roman"/>
                <w:sz w:val="20"/>
                <w:szCs w:val="20"/>
                <w:color w:val="auto"/>
              </w:rPr>
              <w:t>8.42</w:t>
            </w:r>
          </w:p>
        </w:tc>
        <w:tc>
          <w:tcPr>
            <w:tcW w:w="0" w:type="dxa"/>
            <w:vAlign w:val="bottom"/>
          </w:tcPr>
          <w:p>
            <w:pPr>
              <w:spacing w:after="0"/>
              <w:rPr>
                <w:sz w:val="1"/>
                <w:szCs w:val="1"/>
                <w:color w:val="auto"/>
              </w:rPr>
            </w:pPr>
          </w:p>
        </w:tc>
      </w:tr>
      <w:tr>
        <w:trPr>
          <w:trHeight w:val="267"/>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discount rate</w:t>
            </w: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13.70%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5.75%</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300" w:firstLine="619"/>
        <w:spacing w:after="0" w:line="278" w:lineRule="auto"/>
        <w:rPr>
          <w:sz w:val="20"/>
          <w:szCs w:val="20"/>
          <w:color w:val="auto"/>
        </w:rPr>
      </w:pPr>
      <w:r>
        <w:rPr>
          <w:rFonts w:ascii="Times New Roman" w:cs="Times New Roman" w:eastAsia="Times New Roman" w:hAnsi="Times New Roman"/>
          <w:sz w:val="20"/>
          <w:szCs w:val="20"/>
          <w:color w:val="auto"/>
        </w:rPr>
        <w:t>Other information related to leases for the years ended December 31, 2024, 2023, and 2022, respectively,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8"/>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540" w:type="dxa"/>
            <w:vAlign w:val="bottom"/>
            <w:tcBorders>
              <w:bottom w:val="single" w:sz="8" w:color="DEDEDE"/>
            </w:tcBorders>
            <w:vMerge w:val="continue"/>
          </w:tcPr>
          <w:p>
            <w:pPr>
              <w:spacing w:after="0"/>
              <w:rPr>
                <w:sz w:val="15"/>
                <w:szCs w:val="15"/>
                <w:color w:val="auto"/>
              </w:rPr>
            </w:pPr>
          </w:p>
        </w:tc>
        <w:tc>
          <w:tcPr>
            <w:tcW w:w="20" w:type="dxa"/>
            <w:vAlign w:val="bottom"/>
            <w:tcBorders>
              <w:bottom w:val="single" w:sz="8" w:color="DEDEDE"/>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3"/>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DEDEDE"/>
            </w:tcBorders>
          </w:tcPr>
          <w:p>
            <w:pPr>
              <w:spacing w:after="0"/>
              <w:rPr>
                <w:sz w:val="15"/>
                <w:szCs w:val="15"/>
                <w:color w:val="auto"/>
              </w:rPr>
            </w:pPr>
          </w:p>
        </w:tc>
        <w:tc>
          <w:tcPr>
            <w:tcW w:w="80" w:type="dxa"/>
            <w:vAlign w:val="bottom"/>
            <w:tcBorders>
              <w:bottom w:val="single" w:sz="8" w:color="DEDEDE"/>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0"/>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DEDEDE"/>
            </w:tcBorders>
          </w:tcPr>
          <w:p>
            <w:pPr>
              <w:spacing w:after="0"/>
              <w:rPr>
                <w:sz w:val="15"/>
                <w:szCs w:val="15"/>
                <w:color w:val="auto"/>
              </w:rPr>
            </w:pPr>
          </w:p>
        </w:tc>
        <w:tc>
          <w:tcPr>
            <w:tcW w:w="120" w:type="dxa"/>
            <w:vAlign w:val="bottom"/>
            <w:tcBorders>
              <w:bottom w:val="single" w:sz="8" w:color="DEDEDE"/>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7"/>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DEDEDE"/>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540" w:type="dxa"/>
            <w:vAlign w:val="bottom"/>
            <w:shd w:val="clear" w:color="auto" w:fill="DEDEDE"/>
          </w:tcPr>
          <w:p>
            <w:pPr>
              <w:spacing w:after="0" w:line="220" w:lineRule="exact"/>
              <w:rPr>
                <w:sz w:val="20"/>
                <w:szCs w:val="20"/>
                <w:color w:val="auto"/>
              </w:rPr>
            </w:pPr>
            <w:r>
              <w:rPr>
                <w:rFonts w:ascii="Times New Roman" w:cs="Times New Roman" w:eastAsia="Times New Roman" w:hAnsi="Times New Roman"/>
                <w:sz w:val="20"/>
                <w:szCs w:val="20"/>
                <w:color w:val="auto"/>
                <w:w w:val="99"/>
              </w:rPr>
              <w:t>Net cash paid (received) for amounts included in the measurement of</w:t>
            </w:r>
          </w:p>
        </w:tc>
        <w:tc>
          <w:tcPr>
            <w:tcW w:w="20" w:type="dxa"/>
            <w:vAlign w:val="bottom"/>
            <w:shd w:val="clear" w:color="auto" w:fill="DEDEDE"/>
          </w:tcPr>
          <w:p>
            <w:pPr>
              <w:spacing w:after="0"/>
              <w:rPr>
                <w:sz w:val="19"/>
                <w:szCs w:val="19"/>
                <w:color w:val="auto"/>
              </w:rPr>
            </w:pPr>
          </w:p>
        </w:tc>
        <w:tc>
          <w:tcPr>
            <w:tcW w:w="260" w:type="dxa"/>
            <w:vAlign w:val="bottom"/>
            <w:shd w:val="clear" w:color="auto" w:fill="DEDEDE"/>
          </w:tcPr>
          <w:p>
            <w:pPr>
              <w:spacing w:after="0"/>
              <w:rPr>
                <w:sz w:val="19"/>
                <w:szCs w:val="19"/>
                <w:color w:val="auto"/>
              </w:rPr>
            </w:pPr>
          </w:p>
        </w:tc>
        <w:tc>
          <w:tcPr>
            <w:tcW w:w="88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8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96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220" w:type="dxa"/>
            <w:vAlign w:val="bottom"/>
            <w:shd w:val="clear" w:color="auto" w:fill="DEDEDE"/>
          </w:tcPr>
          <w:p>
            <w:pPr>
              <w:spacing w:after="0"/>
              <w:rPr>
                <w:sz w:val="19"/>
                <w:szCs w:val="19"/>
                <w:color w:val="auto"/>
              </w:rPr>
            </w:pPr>
          </w:p>
        </w:tc>
        <w:tc>
          <w:tcPr>
            <w:tcW w:w="76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lease liabilities</w:t>
            </w:r>
          </w:p>
        </w:tc>
        <w:tc>
          <w:tcPr>
            <w:tcW w:w="280" w:type="dxa"/>
            <w:vAlign w:val="bottom"/>
            <w:gridSpan w:val="2"/>
            <w:shd w:val="clear" w:color="auto" w:fill="DEDEDE"/>
          </w:tcPr>
          <w:p>
            <w:pPr>
              <w:jc w:val="right"/>
              <w:ind w:right="1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20"/>
                <w:szCs w:val="20"/>
                <w:color w:val="auto"/>
              </w:rPr>
              <w:t>1,202</w:t>
            </w:r>
          </w:p>
        </w:tc>
        <w:tc>
          <w:tcPr>
            <w:tcW w:w="26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1,447</w:t>
            </w:r>
          </w:p>
        </w:tc>
        <w:tc>
          <w:tcPr>
            <w:tcW w:w="100" w:type="dxa"/>
            <w:vAlign w:val="bottom"/>
            <w:shd w:val="clear" w:color="auto" w:fill="DEDEDE"/>
          </w:tcPr>
          <w:p>
            <w:pPr>
              <w:spacing w:after="0"/>
              <w:rPr>
                <w:sz w:val="20"/>
                <w:szCs w:val="20"/>
                <w:color w:val="auto"/>
              </w:rPr>
            </w:pPr>
          </w:p>
        </w:tc>
        <w:tc>
          <w:tcPr>
            <w:tcW w:w="340" w:type="dxa"/>
            <w:vAlign w:val="bottom"/>
            <w:gridSpan w:val="2"/>
            <w:shd w:val="clear" w:color="auto" w:fill="DEDEDE"/>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20"/>
                <w:szCs w:val="20"/>
                <w:color w:val="auto"/>
              </w:rPr>
              <w:t>(1,089)</w:t>
            </w:r>
          </w:p>
        </w:tc>
        <w:tc>
          <w:tcPr>
            <w:tcW w:w="0" w:type="dxa"/>
            <w:vAlign w:val="bottom"/>
          </w:tcPr>
          <w:p>
            <w:pPr>
              <w:spacing w:after="0"/>
              <w:rPr>
                <w:sz w:val="1"/>
                <w:szCs w:val="1"/>
                <w:color w:val="auto"/>
              </w:rPr>
            </w:pPr>
          </w:p>
        </w:tc>
      </w:tr>
      <w:tr>
        <w:trPr>
          <w:trHeight w:val="210"/>
        </w:trPr>
        <w:tc>
          <w:tcPr>
            <w:tcW w:w="55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Leased assets (derecognized) obtained in exchange for new or</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modified operating lease liabilities</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(11,524)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987</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right="720" w:firstLine="619"/>
        <w:spacing w:after="0" w:line="277" w:lineRule="auto"/>
        <w:rPr>
          <w:sz w:val="20"/>
          <w:szCs w:val="20"/>
          <w:color w:val="auto"/>
        </w:rPr>
      </w:pPr>
      <w:r>
        <w:rPr>
          <w:rFonts w:ascii="Times New Roman" w:cs="Times New Roman" w:eastAsia="Times New Roman" w:hAnsi="Times New Roman"/>
          <w:sz w:val="20"/>
          <w:szCs w:val="20"/>
          <w:color w:val="auto"/>
        </w:rPr>
        <w:t>Future minimum lease payments, net of reimbursements, remaining as of December 31, 2024, under operating leases by fiscal year were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100" w:type="dxa"/>
            <w:vAlign w:val="bottom"/>
          </w:tcPr>
          <w:p>
            <w:pPr>
              <w:spacing w:after="0"/>
              <w:rPr>
                <w:sz w:val="17"/>
                <w:szCs w:val="17"/>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45"/>
        </w:trPr>
        <w:tc>
          <w:tcPr>
            <w:tcW w:w="782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12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480</w:t>
            </w:r>
          </w:p>
        </w:tc>
        <w:tc>
          <w:tcPr>
            <w:tcW w:w="220" w:type="dxa"/>
            <w:vAlign w:val="bottom"/>
            <w:shd w:val="clear" w:color="auto" w:fill="DEDEDE"/>
          </w:tcPr>
          <w:p>
            <w:pPr>
              <w:spacing w:after="0"/>
              <w:rPr>
                <w:sz w:val="21"/>
                <w:szCs w:val="21"/>
                <w:color w:val="auto"/>
              </w:rPr>
            </w:pPr>
          </w:p>
        </w:tc>
      </w:tr>
      <w:tr>
        <w:trPr>
          <w:trHeight w:val="244"/>
        </w:trPr>
        <w:tc>
          <w:tcPr>
            <w:tcW w:w="782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w:t>
            </w:r>
          </w:p>
        </w:tc>
        <w:tc>
          <w:tcPr>
            <w:tcW w:w="220" w:type="dxa"/>
            <w:vAlign w:val="bottom"/>
          </w:tcPr>
          <w:p>
            <w:pPr>
              <w:spacing w:after="0"/>
              <w:rPr>
                <w:sz w:val="21"/>
                <w:szCs w:val="21"/>
                <w:color w:val="auto"/>
              </w:rPr>
            </w:pPr>
          </w:p>
        </w:tc>
      </w:tr>
      <w:tr>
        <w:trPr>
          <w:trHeight w:val="244"/>
        </w:trPr>
        <w:tc>
          <w:tcPr>
            <w:tcW w:w="782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2027</w:t>
            </w:r>
          </w:p>
        </w:tc>
        <w:tc>
          <w:tcPr>
            <w:tcW w:w="100" w:type="dxa"/>
            <w:vAlign w:val="bottom"/>
            <w:shd w:val="clear" w:color="auto" w:fill="DEDEDE"/>
          </w:tcPr>
          <w:p>
            <w:pPr>
              <w:spacing w:after="0"/>
              <w:rPr>
                <w:sz w:val="21"/>
                <w:szCs w:val="21"/>
                <w:color w:val="auto"/>
              </w:rPr>
            </w:pPr>
          </w:p>
        </w:tc>
        <w:tc>
          <w:tcPr>
            <w:tcW w:w="12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205</w:t>
            </w:r>
          </w:p>
        </w:tc>
        <w:tc>
          <w:tcPr>
            <w:tcW w:w="220" w:type="dxa"/>
            <w:vAlign w:val="bottom"/>
            <w:shd w:val="clear" w:color="auto" w:fill="DEDEDE"/>
          </w:tcPr>
          <w:p>
            <w:pPr>
              <w:spacing w:after="0"/>
              <w:rPr>
                <w:sz w:val="21"/>
                <w:szCs w:val="21"/>
                <w:color w:val="auto"/>
              </w:rPr>
            </w:pPr>
          </w:p>
        </w:tc>
      </w:tr>
      <w:tr>
        <w:trPr>
          <w:trHeight w:val="245"/>
        </w:trPr>
        <w:tc>
          <w:tcPr>
            <w:tcW w:w="782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220" w:type="dxa"/>
            <w:vAlign w:val="bottom"/>
          </w:tcPr>
          <w:p>
            <w:pPr>
              <w:spacing w:after="0"/>
              <w:rPr>
                <w:sz w:val="21"/>
                <w:szCs w:val="21"/>
                <w:color w:val="auto"/>
              </w:rPr>
            </w:pPr>
          </w:p>
        </w:tc>
      </w:tr>
      <w:tr>
        <w:trPr>
          <w:trHeight w:val="244"/>
        </w:trPr>
        <w:tc>
          <w:tcPr>
            <w:tcW w:w="782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220" w:type="dxa"/>
            <w:vAlign w:val="bottom"/>
            <w:tcBorders>
              <w:bottom w:val="single" w:sz="8" w:color="DEDEDE"/>
            </w:tcBorders>
          </w:tcPr>
          <w:p>
            <w:pPr>
              <w:spacing w:after="0"/>
              <w:rPr>
                <w:sz w:val="21"/>
                <w:szCs w:val="21"/>
                <w:color w:val="auto"/>
              </w:rPr>
            </w:pPr>
          </w:p>
        </w:tc>
      </w:tr>
      <w:tr>
        <w:trPr>
          <w:trHeight w:val="233"/>
        </w:trPr>
        <w:tc>
          <w:tcPr>
            <w:tcW w:w="782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Total lease payments</w:t>
            </w:r>
          </w:p>
        </w:tc>
        <w:tc>
          <w:tcPr>
            <w:tcW w:w="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12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1,475</w:t>
            </w:r>
          </w:p>
        </w:tc>
        <w:tc>
          <w:tcPr>
            <w:tcW w:w="220" w:type="dxa"/>
            <w:vAlign w:val="bottom"/>
            <w:shd w:val="clear" w:color="auto" w:fill="DEDEDE"/>
          </w:tcPr>
          <w:p>
            <w:pPr>
              <w:spacing w:after="0"/>
              <w:rPr>
                <w:sz w:val="20"/>
                <w:szCs w:val="20"/>
                <w:color w:val="auto"/>
              </w:rPr>
            </w:pPr>
          </w:p>
        </w:tc>
      </w:tr>
      <w:tr>
        <w:trPr>
          <w:trHeight w:val="245"/>
        </w:trPr>
        <w:tc>
          <w:tcPr>
            <w:tcW w:w="782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20"/>
                <w:szCs w:val="20"/>
                <w:color w:val="auto"/>
              </w:rPr>
              <w:t>Less: Present Value Adjustment</w:t>
            </w: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(285</w:t>
            </w:r>
          </w:p>
        </w:tc>
        <w:tc>
          <w:tcPr>
            <w:tcW w:w="220" w:type="dxa"/>
            <w:vAlign w:val="bottom"/>
            <w:tcBorders>
              <w:bottom w:val="single" w:sz="8" w:color="DEDEDE"/>
            </w:tcBorders>
          </w:tcPr>
          <w:p>
            <w:pPr>
              <w:jc w:val="right"/>
              <w:ind w:right="40"/>
              <w:spacing w:after="0"/>
              <w:rPr>
                <w:sz w:val="20"/>
                <w:szCs w:val="20"/>
                <w:color w:val="auto"/>
              </w:rPr>
            </w:pPr>
            <w:r>
              <w:rPr>
                <w:rFonts w:ascii="Times New Roman" w:cs="Times New Roman" w:eastAsia="Times New Roman" w:hAnsi="Times New Roman"/>
                <w:sz w:val="20"/>
                <w:szCs w:val="20"/>
                <w:color w:val="auto"/>
                <w:highlight w:val="white"/>
                <w:w w:val="89"/>
              </w:rPr>
              <w:t>)</w:t>
            </w:r>
          </w:p>
        </w:tc>
      </w:tr>
      <w:tr>
        <w:trPr>
          <w:trHeight w:val="235"/>
        </w:trPr>
        <w:tc>
          <w:tcPr>
            <w:tcW w:w="782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Present value of lease payments</w:t>
            </w:r>
          </w:p>
        </w:tc>
        <w:tc>
          <w:tcPr>
            <w:tcW w:w="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12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1,190</w:t>
            </w:r>
          </w:p>
        </w:tc>
        <w:tc>
          <w:tcPr>
            <w:tcW w:w="220" w:type="dxa"/>
            <w:vAlign w:val="bottom"/>
            <w:shd w:val="clear" w:color="auto" w:fill="DEDEDE"/>
          </w:tcPr>
          <w:p>
            <w:pPr>
              <w:spacing w:after="0"/>
              <w:rPr>
                <w:sz w:val="20"/>
                <w:szCs w:val="20"/>
                <w:color w:val="auto"/>
              </w:rPr>
            </w:pPr>
          </w:p>
        </w:tc>
      </w:tr>
      <w:tr>
        <w:trPr>
          <w:trHeight w:val="20"/>
        </w:trPr>
        <w:tc>
          <w:tcPr>
            <w:tcW w:w="7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-810260</wp:posOffset>
                </wp:positionV>
                <wp:extent cx="594360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3.7999pt" to="468pt,-63.7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-655955</wp:posOffset>
                </wp:positionV>
                <wp:extent cx="594360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6499pt" to="468pt,-51.6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-339725</wp:posOffset>
                </wp:positionV>
                <wp:extent cx="594360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7499pt" to="468pt,-26.7499pt" o:allowincell="f" strokecolor="#FFFFFF" strokeweight="0.72pt"/>
            </w:pict>
          </mc:Fallback>
        </mc:AlternateContent>
      </w:r>
    </w:p>
    <w:p>
      <w:pPr>
        <w:spacing w:after="0" w:line="237" w:lineRule="exact"/>
        <w:rPr>
          <w:sz w:val="20"/>
          <w:szCs w:val="20"/>
          <w:color w:val="auto"/>
        </w:rPr>
      </w:pPr>
    </w:p>
    <w:p>
      <w:pPr>
        <w:ind w:right="260" w:firstLine="619"/>
        <w:spacing w:after="0" w:line="278" w:lineRule="auto"/>
        <w:rPr>
          <w:sz w:val="20"/>
          <w:szCs w:val="20"/>
          <w:color w:val="auto"/>
        </w:rPr>
      </w:pPr>
      <w:r>
        <w:rPr>
          <w:rFonts w:ascii="Times New Roman" w:cs="Times New Roman" w:eastAsia="Times New Roman" w:hAnsi="Times New Roman"/>
          <w:sz w:val="20"/>
          <w:szCs w:val="20"/>
          <w:color w:val="auto"/>
        </w:rPr>
        <w:t>Rent expense recorded for the years ended December 31, 2024, 2023, and 2022, were $1,194, $1,913, and $2,215 respectively.</w:t>
      </w:r>
    </w:p>
    <w:p>
      <w:pPr>
        <w:spacing w:after="0" w:line="2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Contingencies</w:t>
      </w:r>
    </w:p>
    <w:p>
      <w:pPr>
        <w:spacing w:after="0" w:line="120" w:lineRule="exact"/>
        <w:rPr>
          <w:sz w:val="20"/>
          <w:szCs w:val="20"/>
          <w:color w:val="auto"/>
        </w:rPr>
      </w:pPr>
    </w:p>
    <w:p>
      <w:pPr>
        <w:jc w:val="both"/>
        <w:ind w:right="160" w:firstLine="619"/>
        <w:spacing w:after="0" w:line="258" w:lineRule="auto"/>
        <w:rPr>
          <w:sz w:val="20"/>
          <w:szCs w:val="20"/>
          <w:color w:val="auto"/>
        </w:rPr>
      </w:pPr>
      <w:r>
        <w:rPr>
          <w:rFonts w:ascii="Times New Roman" w:cs="Times New Roman" w:eastAsia="Times New Roman" w:hAnsi="Times New Roman"/>
          <w:sz w:val="20"/>
          <w:szCs w:val="20"/>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ectPr>
          <w:pgSz w:w="12240" w:h="15840" w:orient="portrait"/>
          <w:cols w:equalWidth="0" w:num="1">
            <w:col w:w="9360"/>
          </w:cols>
          <w:pgMar w:left="1440" w:top="1420" w:right="1440" w:bottom="175"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0"/>
          <w:szCs w:val="20"/>
          <w:b w:val="1"/>
          <w:bCs w:val="1"/>
          <w:i w:val="1"/>
          <w:iCs w:val="1"/>
          <w:color w:val="auto"/>
        </w:rPr>
        <w:t>7. Stockholders’ Equity</w:t>
      </w:r>
    </w:p>
    <w:p>
      <w:pPr>
        <w:spacing w:after="0" w:line="119" w:lineRule="exact"/>
        <w:rPr>
          <w:sz w:val="20"/>
          <w:szCs w:val="20"/>
          <w:color w:val="auto"/>
        </w:rPr>
      </w:pPr>
    </w:p>
    <w:p>
      <w:pPr>
        <w:ind w:right="680" w:firstLine="619"/>
        <w:spacing w:after="0" w:line="252" w:lineRule="auto"/>
        <w:rPr>
          <w:sz w:val="20"/>
          <w:szCs w:val="20"/>
          <w:color w:val="auto"/>
        </w:rPr>
      </w:pPr>
      <w:r>
        <w:rPr>
          <w:rFonts w:ascii="Times New Roman" w:cs="Times New Roman" w:eastAsia="Times New Roman" w:hAnsi="Times New Roman"/>
          <w:sz w:val="20"/>
          <w:szCs w:val="20"/>
          <w:color w:val="auto"/>
        </w:rPr>
        <w:t>The Company is authorized to issue up to 1,000,000,000 shares of common stock with a par value of $0.00001 per share, and 5,000,000 shares of preferred stock with a par value of $0.00001 per share. As of December 31, 2024 and 2023, there were 51,935,134 and 51,445,862 shares of common stock issued and outstanding, respectively.</w:t>
      </w:r>
    </w:p>
    <w:p>
      <w:pPr>
        <w:spacing w:after="0" w:line="195" w:lineRule="exact"/>
        <w:rPr>
          <w:sz w:val="20"/>
          <w:szCs w:val="20"/>
          <w:color w:val="auto"/>
        </w:rPr>
      </w:pPr>
    </w:p>
    <w:p>
      <w:pPr>
        <w:ind w:right="280" w:firstLine="619"/>
        <w:spacing w:after="0" w:line="258" w:lineRule="auto"/>
        <w:rPr>
          <w:sz w:val="20"/>
          <w:szCs w:val="20"/>
          <w:color w:val="auto"/>
        </w:rPr>
      </w:pPr>
      <w:r>
        <w:rPr>
          <w:rFonts w:ascii="Times New Roman" w:cs="Times New Roman" w:eastAsia="Times New Roman" w:hAnsi="Times New Roman"/>
          <w:sz w:val="20"/>
          <w:szCs w:val="20"/>
          <w:color w:val="auto"/>
        </w:rPr>
        <w:t>Common stockholders are entitled to receive dividends if and when declared by the board of directors subject to the rights of any preferred stockholders. As of December 31, 2024, no dividends on common stock had been declared by the Company.</w:t>
      </w:r>
    </w:p>
    <w:p>
      <w:pPr>
        <w:spacing w:after="0" w:line="188" w:lineRule="exact"/>
        <w:rPr>
          <w:sz w:val="20"/>
          <w:szCs w:val="20"/>
          <w:color w:val="auto"/>
        </w:rPr>
      </w:pPr>
    </w:p>
    <w:p>
      <w:pPr>
        <w:ind w:right="440" w:firstLine="619"/>
        <w:spacing w:after="0" w:line="278" w:lineRule="auto"/>
        <w:rPr>
          <w:sz w:val="20"/>
          <w:szCs w:val="20"/>
          <w:color w:val="auto"/>
        </w:rPr>
      </w:pPr>
      <w:r>
        <w:rPr>
          <w:rFonts w:ascii="Times New Roman" w:cs="Times New Roman" w:eastAsia="Times New Roman" w:hAnsi="Times New Roman"/>
          <w:sz w:val="20"/>
          <w:szCs w:val="20"/>
          <w:color w:val="auto"/>
        </w:rPr>
        <w:t>As of December 31, 2024 and 2023, the Company had reserved shares of common stock for issuance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3"/>
        </w:trPr>
        <w:tc>
          <w:tcPr>
            <w:tcW w:w="636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320" w:type="dxa"/>
            <w:vAlign w:val="bottom"/>
            <w:tcBorders>
              <w:bottom w:val="single" w:sz="8" w:color="auto"/>
            </w:tcBorders>
          </w:tcPr>
          <w:p>
            <w:pPr>
              <w:jc w:val="right"/>
              <w:ind w:right="407"/>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E0E0E0"/>
            </w:tcBorders>
          </w:tcPr>
          <w:p>
            <w:pPr>
              <w:spacing w:after="0"/>
              <w:rPr>
                <w:sz w:val="15"/>
                <w:szCs w:val="15"/>
                <w:color w:val="auto"/>
              </w:rPr>
            </w:pPr>
          </w:p>
        </w:tc>
        <w:tc>
          <w:tcPr>
            <w:tcW w:w="2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4"/>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E0E0E0"/>
            </w:tcBorders>
          </w:tcPr>
          <w:p>
            <w:pPr>
              <w:spacing w:after="0"/>
              <w:rPr>
                <w:sz w:val="15"/>
                <w:szCs w:val="15"/>
                <w:color w:val="auto"/>
              </w:rPr>
            </w:pPr>
          </w:p>
        </w:tc>
      </w:tr>
      <w:tr>
        <w:trPr>
          <w:trHeight w:val="220"/>
        </w:trPr>
        <w:tc>
          <w:tcPr>
            <w:tcW w:w="6380" w:type="dxa"/>
            <w:vAlign w:val="bottom"/>
            <w:gridSpan w:val="2"/>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Options issued and outstanding</w:t>
            </w:r>
          </w:p>
        </w:tc>
        <w:tc>
          <w:tcPr>
            <w:tcW w:w="1540" w:type="dxa"/>
            <w:vAlign w:val="bottom"/>
            <w:gridSpan w:val="3"/>
            <w:shd w:val="clear" w:color="auto" w:fill="E0E0E0"/>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8,653,913</w:t>
            </w:r>
          </w:p>
        </w:tc>
        <w:tc>
          <w:tcPr>
            <w:tcW w:w="20" w:type="dxa"/>
            <w:vAlign w:val="bottom"/>
            <w:shd w:val="clear" w:color="auto" w:fill="E0E0E0"/>
          </w:tcPr>
          <w:p>
            <w:pPr>
              <w:spacing w:after="0"/>
              <w:rPr>
                <w:sz w:val="19"/>
                <w:szCs w:val="19"/>
                <w:color w:val="auto"/>
              </w:rPr>
            </w:pPr>
          </w:p>
        </w:tc>
        <w:tc>
          <w:tcPr>
            <w:tcW w:w="380" w:type="dxa"/>
            <w:vAlign w:val="bottom"/>
            <w:shd w:val="clear" w:color="auto" w:fill="E0E0E0"/>
          </w:tcPr>
          <w:p>
            <w:pPr>
              <w:spacing w:after="0"/>
              <w:rPr>
                <w:sz w:val="19"/>
                <w:szCs w:val="19"/>
                <w:color w:val="auto"/>
              </w:rPr>
            </w:pPr>
          </w:p>
        </w:tc>
        <w:tc>
          <w:tcPr>
            <w:tcW w:w="1040" w:type="dxa"/>
            <w:vAlign w:val="bottom"/>
            <w:gridSpan w:val="2"/>
            <w:shd w:val="clear" w:color="auto" w:fill="E0E0E0"/>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6,973,464</w:t>
            </w:r>
          </w:p>
        </w:tc>
      </w:tr>
      <w:tr>
        <w:trPr>
          <w:trHeight w:val="230"/>
        </w:trPr>
        <w:tc>
          <w:tcPr>
            <w:tcW w:w="6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Shares available for future stock option and RSU grants</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5,321,104</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4,474,411</w:t>
            </w:r>
          </w:p>
        </w:tc>
      </w:tr>
      <w:tr>
        <w:trPr>
          <w:trHeight w:val="230"/>
        </w:trPr>
        <w:tc>
          <w:tcPr>
            <w:tcW w:w="638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Shares available for employee stock purchase plan</w:t>
            </w:r>
          </w:p>
        </w:tc>
        <w:tc>
          <w:tcPr>
            <w:tcW w:w="1540" w:type="dxa"/>
            <w:vAlign w:val="bottom"/>
            <w:gridSpan w:val="3"/>
            <w:shd w:val="clear" w:color="auto" w:fill="E0E0E0"/>
          </w:tcPr>
          <w:p>
            <w:pPr>
              <w:jc w:val="right"/>
              <w:ind w:right="220"/>
              <w:spacing w:after="0"/>
              <w:rPr>
                <w:sz w:val="20"/>
                <w:szCs w:val="20"/>
                <w:color w:val="auto"/>
              </w:rPr>
            </w:pPr>
            <w:r>
              <w:rPr>
                <w:rFonts w:ascii="Times New Roman" w:cs="Times New Roman" w:eastAsia="Times New Roman" w:hAnsi="Times New Roman"/>
                <w:sz w:val="20"/>
                <w:szCs w:val="20"/>
                <w:color w:val="auto"/>
              </w:rPr>
              <w:t>1,408,321</w:t>
            </w:r>
          </w:p>
        </w:tc>
        <w:tc>
          <w:tcPr>
            <w:tcW w:w="20" w:type="dxa"/>
            <w:vAlign w:val="bottom"/>
            <w:shd w:val="clear" w:color="auto" w:fill="E0E0E0"/>
          </w:tcPr>
          <w:p>
            <w:pPr>
              <w:spacing w:after="0"/>
              <w:rPr>
                <w:sz w:val="20"/>
                <w:szCs w:val="20"/>
                <w:color w:val="auto"/>
              </w:rPr>
            </w:pPr>
          </w:p>
        </w:tc>
        <w:tc>
          <w:tcPr>
            <w:tcW w:w="380" w:type="dxa"/>
            <w:vAlign w:val="bottom"/>
            <w:shd w:val="clear" w:color="auto" w:fill="E0E0E0"/>
          </w:tcPr>
          <w:p>
            <w:pPr>
              <w:spacing w:after="0"/>
              <w:rPr>
                <w:sz w:val="20"/>
                <w:szCs w:val="20"/>
                <w:color w:val="auto"/>
              </w:rPr>
            </w:pPr>
          </w:p>
        </w:tc>
        <w:tc>
          <w:tcPr>
            <w:tcW w:w="104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1,056,832</w:t>
            </w:r>
          </w:p>
        </w:tc>
      </w:tr>
      <w:tr>
        <w:trPr>
          <w:trHeight w:val="221"/>
        </w:trPr>
        <w:tc>
          <w:tcPr>
            <w:tcW w:w="6380" w:type="dxa"/>
            <w:vAlign w:val="bottom"/>
            <w:gridSpan w:val="2"/>
          </w:tcPr>
          <w:p>
            <w:pPr>
              <w:spacing w:after="0" w:line="221" w:lineRule="exact"/>
              <w:rPr>
                <w:sz w:val="20"/>
                <w:szCs w:val="20"/>
                <w:color w:val="auto"/>
              </w:rPr>
            </w:pPr>
            <w:r>
              <w:rPr>
                <w:rFonts w:ascii="Times New Roman" w:cs="Times New Roman" w:eastAsia="Times New Roman" w:hAnsi="Times New Roman"/>
                <w:sz w:val="20"/>
                <w:szCs w:val="20"/>
                <w:color w:val="auto"/>
              </w:rPr>
              <w:t>Total</w:t>
            </w:r>
          </w:p>
        </w:tc>
        <w:tc>
          <w:tcPr>
            <w:tcW w:w="1320" w:type="dxa"/>
            <w:vAlign w:val="bottom"/>
            <w:tcBorders>
              <w:top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15,383,338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12,504,707</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ATM Program</w:t>
      </w:r>
    </w:p>
    <w:p>
      <w:pPr>
        <w:spacing w:after="0" w:line="120" w:lineRule="exact"/>
        <w:rPr>
          <w:sz w:val="20"/>
          <w:szCs w:val="20"/>
          <w:color w:val="auto"/>
        </w:rPr>
      </w:pPr>
    </w:p>
    <w:p>
      <w:pPr>
        <w:ind w:right="360" w:firstLine="619"/>
        <w:spacing w:after="0" w:line="249" w:lineRule="auto"/>
        <w:rPr>
          <w:sz w:val="20"/>
          <w:szCs w:val="20"/>
          <w:color w:val="auto"/>
        </w:rPr>
      </w:pPr>
      <w:r>
        <w:rPr>
          <w:rFonts w:ascii="Times New Roman" w:cs="Times New Roman" w:eastAsia="Times New Roman" w:hAnsi="Times New Roman"/>
          <w:sz w:val="20"/>
          <w:szCs w:val="20"/>
          <w:color w:val="auto"/>
        </w:rPr>
        <w:t>On October 4, 2021, the Company entered into an at- the-market offering program (the “ATM Program”) pursuant to which, the Company may offer and sell shares of its common stock having aggregate gross sales proceeds of up to $150.0 million from time to time. As of December 31, 2024, the Company had approximately $113.8 million remaining in gross proceeds available for future issuances of common stock under the ATM Program.</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8.  Stock Plan</w:t>
      </w:r>
    </w:p>
    <w:p>
      <w:pPr>
        <w:spacing w:after="0" w:line="1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2020 Equity Incentive Plan</w:t>
      </w:r>
    </w:p>
    <w:p>
      <w:pPr>
        <w:spacing w:after="0" w:line="111" w:lineRule="exact"/>
        <w:rPr>
          <w:sz w:val="20"/>
          <w:szCs w:val="20"/>
          <w:color w:val="auto"/>
        </w:rPr>
      </w:pPr>
    </w:p>
    <w:p>
      <w:pPr>
        <w:ind w:firstLine="619"/>
        <w:spacing w:after="0" w:line="231" w:lineRule="auto"/>
        <w:rPr>
          <w:sz w:val="20"/>
          <w:szCs w:val="20"/>
          <w:color w:val="auto"/>
        </w:rPr>
      </w:pPr>
      <w:r>
        <w:rPr>
          <w:rFonts w:ascii="Times New Roman" w:cs="Times New Roman" w:eastAsia="Times New Roman" w:hAnsi="Times New Roman"/>
          <w:sz w:val="20"/>
          <w:szCs w:val="20"/>
          <w:color w:val="auto"/>
        </w:rPr>
        <w:t>The 2020 Equity Incentive Plan (the “2020 Plan”) was approved by the Company’s board of directors on September 24, 2020. The 2020 Plan provides for the grant of incentive stock options, non-qualified stock options, stock appreciation rights, restricted stock units, restricted stock awards, unrestricted stock awards, cash-based awards and dividend equivalent rights to the Company’s officers, employees, directors and consultants. The number of shares of common stock initially reserved for issuance under the 2020 Plan was 4,406,374, which shall be increased, upon approval by the Company’s board of directors, on January 1, 2021 and each January 1 thereafter, in an amount equal to the least of (i) 4,406,374 shares of common stock, (ii) five percent (5%) of the outstanding common stock on the immediately preceding December 31, or (iii) such number of common stock determined by the board of directors no later than the immediately preceding December 31. For 2022, the board’s compensation committee, as the 2020 Plan administrator, exercised its discretion under clause (iii) to increase the number of shares of common stock reserved for issuance under the 2020 Plan by a lesser amount of 1,363,084 shares, effective as of January 1, 2022. For 2023, the board’s compensation committee, as the 2020 Plan administrator, exercised its discretion under clause (iii) to increase the number of shares of common stock reserved for issuance under the 2020 Plan by a lesser amount of 1,830,853 shares, effective as of January 1, 2023. For 2024, the board’s compensation committee, as the 2020 Plan administrator, exercised its discretion under clause (ii) to increase the number of shares of common stock reserved for issuance under the 2020 Plan by 2,572,174 shares, effective as of January 1, 2024. For 2025, the board’s compensation committee, as the 2020 Plan administrator, exercised its discretion under clause</w:t>
      </w:r>
    </w:p>
    <w:p>
      <w:pPr>
        <w:spacing w:after="0" w:line="11" w:lineRule="exact"/>
        <w:rPr>
          <w:sz w:val="20"/>
          <w:szCs w:val="20"/>
          <w:color w:val="auto"/>
        </w:rPr>
      </w:pPr>
    </w:p>
    <w:p>
      <w:pPr>
        <w:ind w:right="20"/>
        <w:spacing w:after="0" w:line="236" w:lineRule="auto"/>
        <w:tabs>
          <w:tab w:leader="none" w:pos="29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increase the number of shares of common stock reserved for issuance under the 2020 Plan by 2,596,638 shares, effective as of January 1, 2025. As of December 31, 2024, there were 5,321,104 shares available for issuance under the 2020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ectPr>
          <w:pgSz w:w="12240" w:h="15840" w:orient="portrait"/>
          <w:cols w:equalWidth="0" w:num="1">
            <w:col w:w="9360"/>
          </w:cols>
          <w:pgMar w:left="1440" w:top="1420" w:right="1440" w:bottom="175" w:gutter="0" w:footer="0" w:header="0"/>
        </w:sectPr>
      </w:pPr>
    </w:p>
    <w:bookmarkStart w:id="123" w:name="page124"/>
    <w:bookmarkEnd w:id="123"/>
    <w:p>
      <w:pPr>
        <w:ind w:right="400" w:firstLine="619"/>
        <w:spacing w:after="0" w:line="248" w:lineRule="auto"/>
        <w:rPr>
          <w:sz w:val="20"/>
          <w:szCs w:val="20"/>
          <w:color w:val="auto"/>
        </w:rPr>
      </w:pPr>
      <w:r>
        <w:rPr>
          <w:rFonts w:ascii="Times New Roman" w:cs="Times New Roman" w:eastAsia="Times New Roman" w:hAnsi="Times New Roman"/>
          <w:sz w:val="20"/>
          <w:szCs w:val="20"/>
          <w:color w:val="auto"/>
        </w:rPr>
        <w:t>On September 9, 2022, the Company granted 374,899 Restricted Stock Units (“RSUs”) to employees pursuant to an employee retention program approved by the board’s compensation committee. The RSU’s have graded vesting on an annual basis for two years of continuous service, as per the 2020 Plan.</w:t>
      </w:r>
    </w:p>
    <w:p>
      <w:pPr>
        <w:spacing w:after="0" w:line="188" w:lineRule="exact"/>
        <w:rPr>
          <w:sz w:val="20"/>
          <w:szCs w:val="20"/>
          <w:color w:val="auto"/>
        </w:rPr>
      </w:pPr>
    </w:p>
    <w:p>
      <w:pPr>
        <w:ind w:right="60" w:firstLine="619"/>
        <w:spacing w:after="0" w:line="242" w:lineRule="auto"/>
        <w:rPr>
          <w:sz w:val="20"/>
          <w:szCs w:val="20"/>
          <w:color w:val="auto"/>
        </w:rPr>
      </w:pPr>
      <w:r>
        <w:rPr>
          <w:rFonts w:ascii="Times New Roman" w:cs="Times New Roman" w:eastAsia="Times New Roman" w:hAnsi="Times New Roman"/>
          <w:sz w:val="20"/>
          <w:szCs w:val="20"/>
          <w:color w:val="auto"/>
        </w:rPr>
        <w:t>On January 18, 2024, the Company granted 952,665 RSUs to employees VP-level or higher, pursuant to an employee retention program approved by the compensation committee of the Company’s board of directors. The RSUs are scheduled to vest on June 30, 2025, based on approximately one and a half years of continuous service, as per the 2020 Plan.</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table below summarizes the annual grant activity under the 2020 Plan as of December 31,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Shares Available</w:t>
            </w:r>
          </w:p>
        </w:tc>
      </w:tr>
      <w:tr>
        <w:trPr>
          <w:trHeight w:val="203"/>
        </w:trPr>
        <w:tc>
          <w:tcPr>
            <w:tcW w:w="7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gridSpan w:val="3"/>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for Grant</w:t>
            </w:r>
          </w:p>
        </w:tc>
      </w:tr>
      <w:tr>
        <w:trPr>
          <w:trHeight w:val="230"/>
        </w:trPr>
        <w:tc>
          <w:tcPr>
            <w:tcW w:w="7700" w:type="dxa"/>
            <w:vAlign w:val="bottom"/>
            <w:gridSpan w:val="2"/>
            <w:shd w:val="clear" w:color="auto" w:fill="DEDEDE"/>
          </w:tcPr>
          <w:p>
            <w:pPr>
              <w:spacing w:after="0"/>
              <w:rPr>
                <w:sz w:val="20"/>
                <w:szCs w:val="20"/>
                <w:color w:val="auto"/>
              </w:rPr>
            </w:pPr>
            <w:r>
              <w:rPr>
                <w:rFonts w:ascii="Times New Roman" w:cs="Times New Roman" w:eastAsia="Times New Roman" w:hAnsi="Times New Roman"/>
                <w:sz w:val="20"/>
                <w:szCs w:val="20"/>
                <w:b w:val="1"/>
                <w:bCs w:val="1"/>
                <w:color w:val="auto"/>
              </w:rPr>
              <w:t>Balances December 31, 2023</w:t>
            </w:r>
          </w:p>
        </w:tc>
        <w:tc>
          <w:tcPr>
            <w:tcW w:w="144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20"/>
                <w:szCs w:val="20"/>
                <w:color w:val="auto"/>
              </w:rPr>
              <w:t>4,474,411</w:t>
            </w:r>
          </w:p>
        </w:tc>
        <w:tc>
          <w:tcPr>
            <w:tcW w:w="220" w:type="dxa"/>
            <w:vAlign w:val="bottom"/>
            <w:shd w:val="clear" w:color="auto" w:fill="DEDEDE"/>
          </w:tcPr>
          <w:p>
            <w:pPr>
              <w:spacing w:after="0"/>
              <w:rPr>
                <w:sz w:val="20"/>
                <w:szCs w:val="20"/>
                <w:color w:val="auto"/>
              </w:rPr>
            </w:pPr>
          </w:p>
        </w:tc>
      </w:tr>
      <w:tr>
        <w:trPr>
          <w:trHeight w:val="229"/>
        </w:trPr>
        <w:tc>
          <w:tcPr>
            <w:tcW w:w="7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Shares reserved for issuance</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2,572,174</w:t>
            </w:r>
          </w:p>
        </w:tc>
        <w:tc>
          <w:tcPr>
            <w:tcW w:w="220" w:type="dxa"/>
            <w:vAlign w:val="bottom"/>
          </w:tcPr>
          <w:p>
            <w:pPr>
              <w:spacing w:after="0"/>
              <w:rPr>
                <w:sz w:val="19"/>
                <w:szCs w:val="19"/>
                <w:color w:val="auto"/>
              </w:rPr>
            </w:pPr>
          </w:p>
        </w:tc>
      </w:tr>
      <w:tr>
        <w:trPr>
          <w:trHeight w:val="230"/>
        </w:trPr>
        <w:tc>
          <w:tcPr>
            <w:tcW w:w="7700" w:type="dxa"/>
            <w:vAlign w:val="bottom"/>
            <w:gridSpan w:val="2"/>
            <w:shd w:val="clear" w:color="auto" w:fill="DEDEDE"/>
          </w:tcPr>
          <w:p>
            <w:pPr>
              <w:spacing w:after="0"/>
              <w:rPr>
                <w:sz w:val="20"/>
                <w:szCs w:val="20"/>
                <w:color w:val="auto"/>
              </w:rPr>
            </w:pPr>
            <w:r>
              <w:rPr>
                <w:rFonts w:ascii="Times New Roman" w:cs="Times New Roman" w:eastAsia="Times New Roman" w:hAnsi="Times New Roman"/>
                <w:sz w:val="20"/>
                <w:szCs w:val="20"/>
                <w:color w:val="auto"/>
              </w:rPr>
              <w:t>Options and RSUs granted</w:t>
            </w:r>
          </w:p>
        </w:tc>
        <w:tc>
          <w:tcPr>
            <w:tcW w:w="1660" w:type="dxa"/>
            <w:vAlign w:val="bottom"/>
            <w:gridSpan w:val="3"/>
            <w:shd w:val="clear" w:color="auto" w:fill="DEDEDE"/>
          </w:tcPr>
          <w:p>
            <w:pPr>
              <w:jc w:val="right"/>
              <w:ind w:right="180"/>
              <w:spacing w:after="0"/>
              <w:rPr>
                <w:sz w:val="20"/>
                <w:szCs w:val="20"/>
                <w:color w:val="auto"/>
              </w:rPr>
            </w:pPr>
            <w:r>
              <w:rPr>
                <w:rFonts w:ascii="Times New Roman" w:cs="Times New Roman" w:eastAsia="Times New Roman" w:hAnsi="Times New Roman"/>
                <w:sz w:val="20"/>
                <w:szCs w:val="20"/>
                <w:color w:val="auto"/>
              </w:rPr>
              <w:t>(6,331,885)</w:t>
            </w:r>
          </w:p>
        </w:tc>
      </w:tr>
      <w:tr>
        <w:trPr>
          <w:trHeight w:val="230"/>
        </w:trPr>
        <w:tc>
          <w:tcPr>
            <w:tcW w:w="7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Options forfeited / cancelled</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4,552,488</w:t>
            </w:r>
          </w:p>
        </w:tc>
        <w:tc>
          <w:tcPr>
            <w:tcW w:w="220" w:type="dxa"/>
            <w:vAlign w:val="bottom"/>
          </w:tcPr>
          <w:p>
            <w:pPr>
              <w:spacing w:after="0"/>
              <w:rPr>
                <w:sz w:val="20"/>
                <w:szCs w:val="20"/>
                <w:color w:val="auto"/>
              </w:rPr>
            </w:pPr>
          </w:p>
        </w:tc>
      </w:tr>
      <w:tr>
        <w:trPr>
          <w:trHeight w:val="229"/>
        </w:trPr>
        <w:tc>
          <w:tcPr>
            <w:tcW w:w="7700" w:type="dxa"/>
            <w:vAlign w:val="bottom"/>
            <w:gridSpan w:val="2"/>
            <w:shd w:val="clear" w:color="auto" w:fill="DEDEDE"/>
          </w:tcPr>
          <w:p>
            <w:pPr>
              <w:spacing w:after="0"/>
              <w:rPr>
                <w:sz w:val="20"/>
                <w:szCs w:val="20"/>
                <w:color w:val="auto"/>
              </w:rPr>
            </w:pPr>
            <w:r>
              <w:rPr>
                <w:rFonts w:ascii="Times New Roman" w:cs="Times New Roman" w:eastAsia="Times New Roman" w:hAnsi="Times New Roman"/>
                <w:sz w:val="20"/>
                <w:szCs w:val="20"/>
                <w:color w:val="auto"/>
              </w:rPr>
              <w:t>RSU’s forfeited</w:t>
            </w:r>
          </w:p>
        </w:tc>
        <w:tc>
          <w:tcPr>
            <w:tcW w:w="144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20"/>
                <w:szCs w:val="20"/>
                <w:color w:val="auto"/>
              </w:rPr>
              <w:t>53,916</w:t>
            </w:r>
          </w:p>
        </w:tc>
        <w:tc>
          <w:tcPr>
            <w:tcW w:w="220" w:type="dxa"/>
            <w:vAlign w:val="bottom"/>
            <w:shd w:val="clear" w:color="auto" w:fill="DEDEDE"/>
          </w:tcPr>
          <w:p>
            <w:pPr>
              <w:spacing w:after="0"/>
              <w:rPr>
                <w:sz w:val="19"/>
                <w:szCs w:val="19"/>
                <w:color w:val="auto"/>
              </w:rPr>
            </w:pPr>
          </w:p>
        </w:tc>
      </w:tr>
      <w:tr>
        <w:trPr>
          <w:trHeight w:val="222"/>
        </w:trPr>
        <w:tc>
          <w:tcPr>
            <w:tcW w:w="770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Balances December 31, 2024</w:t>
            </w:r>
          </w:p>
        </w:tc>
        <w:tc>
          <w:tcPr>
            <w:tcW w:w="142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5,321,104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2020 Employee Stock Purchase Plan</w:t>
      </w:r>
    </w:p>
    <w:p>
      <w:pPr>
        <w:spacing w:after="0" w:line="111" w:lineRule="exact"/>
        <w:rPr>
          <w:sz w:val="20"/>
          <w:szCs w:val="20"/>
          <w:color w:val="auto"/>
        </w:rPr>
      </w:pPr>
    </w:p>
    <w:p>
      <w:pPr>
        <w:ind w:right="20" w:firstLine="619"/>
        <w:spacing w:after="0" w:line="234" w:lineRule="auto"/>
        <w:rPr>
          <w:sz w:val="20"/>
          <w:szCs w:val="20"/>
          <w:color w:val="auto"/>
        </w:rPr>
      </w:pPr>
      <w:r>
        <w:rPr>
          <w:rFonts w:ascii="Times New Roman" w:cs="Times New Roman" w:eastAsia="Times New Roman" w:hAnsi="Times New Roman"/>
          <w:sz w:val="20"/>
          <w:szCs w:val="20"/>
          <w:color w:val="auto"/>
        </w:rPr>
        <w:t>The 2020 Employee Stock Purchase Plan (the “2020 ESPP”) was approved by the board of directors on September 24, 2020. A total of 400,752 shares of common stock were initially reserved for issuance under this plan, which shall be increased, upon approval by the board of directors, on January 1, 2021 and each January 1 thereafter, to the lesser of (i) 801,504 shares of common stock, (ii) 1% of the outstanding shares of common stock on the last day of the immediately preceding fiscal year, or (iii) an amount determined by the board of directors or any of its committees no later than the last day of the immediately preceding fiscal year. For 2022, the board waived the annual increase to the shares reserved under the 2020 ESPP. For 2023, the 2020 ESPP reserved shares were increased under clause (ii) by 457,713 shares, effective as of January 1, 2023. For 2024, the 2020 ESPP reserved shares were increased under clause (ii) by 514,434 shares, effective as of January 1, 2024. For 2025, the board waived the annual increase to the shares reserved under the 2020 ESPP.</w:t>
      </w:r>
    </w:p>
    <w:p>
      <w:pPr>
        <w:spacing w:after="0" w:line="82" w:lineRule="exact"/>
        <w:rPr>
          <w:sz w:val="20"/>
          <w:szCs w:val="20"/>
          <w:color w:val="auto"/>
        </w:rPr>
      </w:pPr>
    </w:p>
    <w:p>
      <w:pPr>
        <w:ind w:right="20" w:firstLine="619"/>
        <w:spacing w:after="0" w:line="242" w:lineRule="auto"/>
        <w:rPr>
          <w:sz w:val="20"/>
          <w:szCs w:val="20"/>
          <w:color w:val="auto"/>
        </w:rPr>
      </w:pPr>
      <w:r>
        <w:rPr>
          <w:rFonts w:ascii="Times New Roman" w:cs="Times New Roman" w:eastAsia="Times New Roman" w:hAnsi="Times New Roman"/>
          <w:sz w:val="20"/>
          <w:szCs w:val="20"/>
          <w:color w:val="auto"/>
        </w:rPr>
        <w:t>On May 20, 2024, employees of the Company exercised their right to purchase 73,152 shares under the 2020 ESPP. On November 21, 2024, employees of the Company exercised their right to purchase 89,793 shares under the 2020 ESPP. As of December 31, 2024, 365,290 shares are issued or outstanding, and there were 1,408,321 shares available for issuance, under the 2020 ESPP.</w:t>
      </w:r>
    </w:p>
    <w:p>
      <w:pPr>
        <w:spacing w:after="0" w:line="3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111" w:lineRule="exact"/>
        <w:rPr>
          <w:sz w:val="20"/>
          <w:szCs w:val="20"/>
          <w:color w:val="auto"/>
        </w:rPr>
      </w:pPr>
    </w:p>
    <w:p>
      <w:pPr>
        <w:ind w:right="20" w:firstLine="619"/>
        <w:spacing w:after="0" w:line="233" w:lineRule="auto"/>
        <w:rPr>
          <w:sz w:val="20"/>
          <w:szCs w:val="20"/>
          <w:color w:val="auto"/>
        </w:rPr>
      </w:pPr>
      <w:r>
        <w:rPr>
          <w:rFonts w:ascii="Times New Roman" w:cs="Times New Roman" w:eastAsia="Times New Roman" w:hAnsi="Times New Roman"/>
          <w:sz w:val="20"/>
          <w:szCs w:val="20"/>
          <w:color w:val="auto"/>
        </w:rPr>
        <w:t>On July 16, 2024, the Company filed with the Securities and Exchange Commission a Tender Offer Statement on Schedule TO defining the terms and conditions of a one-time voluntary stock option exchange to its employees of certain options to purchase up to an aggregate of 2,820,491 shares of the Company’s common stock (the “Option Exchange”). On August 13, 2024, the completion date of the Option Exchange, stock options covering an aggregate of 2,786,691 shares of common stock were tendered by eligible employees, and the Company granted new options at an exercise price of $1.48, the Company’s closing stock price on August 13, 2024, covering an aggregate of 2,786,691 shares of common stock under the 2020 Equity Incentive Plan in exchange for the tendered options. The new options are subject to a new three or four-year vesting schedule, vesting in equal annual installments over the vesting term. Each new option has a maximum term of ten years. The exchange of stock option was treated as a modification for accounting purposes. As a result of the Option Exchange, the Company will recognize incremental stock-based compensation expense of $ 1,370 over the requisite service period of the new stock options, which is three or four years. The Company will recognize the sum of the incremental stock-based compensation expense and the remaining unrecognized compensation expense for the original awards on the modification date, over the requisite service period of the new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ectPr>
          <w:pgSz w:w="12240" w:h="15840" w:orient="portrait"/>
          <w:cols w:equalWidth="0" w:num="1">
            <w:col w:w="9360"/>
          </w:cols>
          <w:pgMar w:left="1440" w:top="1412" w:right="1440" w:bottom="175" w:gutter="0" w:footer="0" w:header="0"/>
        </w:sectPr>
      </w:pPr>
    </w:p>
    <w:bookmarkStart w:id="124" w:name="page125"/>
    <w:bookmarkEnd w:id="124"/>
    <w:p>
      <w:pPr>
        <w:ind w:left="620"/>
        <w:spacing w:after="0"/>
        <w:rPr>
          <w:sz w:val="20"/>
          <w:szCs w:val="20"/>
          <w:color w:val="auto"/>
        </w:rPr>
      </w:pPr>
      <w:r>
        <w:rPr>
          <w:rFonts w:ascii="Times New Roman" w:cs="Times New Roman" w:eastAsia="Times New Roman" w:hAnsi="Times New Roman"/>
          <w:sz w:val="20"/>
          <w:szCs w:val="20"/>
          <w:color w:val="auto"/>
        </w:rPr>
        <w:t>The following table summarizes option activity for the year ended December 31, 2024:</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9"/>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8"/>
        </w:trPr>
        <w:tc>
          <w:tcPr>
            <w:tcW w:w="4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00" w:type="dxa"/>
            <w:vAlign w:val="bottom"/>
          </w:tcPr>
          <w:p>
            <w:pPr>
              <w:spacing w:after="0"/>
              <w:rPr>
                <w:sz w:val="17"/>
                <w:szCs w:val="17"/>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00" w:type="dxa"/>
            <w:vAlign w:val="bottom"/>
          </w:tcPr>
          <w:p>
            <w:pPr>
              <w:spacing w:after="0"/>
              <w:rPr>
                <w:sz w:val="17"/>
                <w:szCs w:val="17"/>
                <w:color w:val="auto"/>
              </w:rPr>
            </w:pPr>
          </w:p>
        </w:tc>
      </w:tr>
      <w:tr>
        <w:trPr>
          <w:trHeight w:val="198"/>
        </w:trPr>
        <w:tc>
          <w:tcPr>
            <w:tcW w:w="4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center"/>
              <w:ind w:right="9"/>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100" w:type="dxa"/>
            <w:vAlign w:val="bottom"/>
          </w:tcPr>
          <w:p>
            <w:pPr>
              <w:spacing w:after="0"/>
              <w:rPr>
                <w:sz w:val="17"/>
                <w:szCs w:val="17"/>
                <w:color w:val="auto"/>
              </w:rPr>
            </w:pPr>
          </w:p>
        </w:tc>
      </w:tr>
      <w:tr>
        <w:trPr>
          <w:trHeight w:val="198"/>
        </w:trPr>
        <w:tc>
          <w:tcPr>
            <w:tcW w:w="4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Life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center"/>
              <w:ind w:right="2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00" w:type="dxa"/>
            <w:vAlign w:val="bottom"/>
          </w:tcPr>
          <w:p>
            <w:pPr>
              <w:spacing w:after="0"/>
              <w:rPr>
                <w:sz w:val="17"/>
                <w:szCs w:val="17"/>
                <w:color w:val="auto"/>
              </w:rPr>
            </w:pPr>
          </w:p>
        </w:tc>
      </w:tr>
      <w:tr>
        <w:trPr>
          <w:trHeight w:val="223"/>
        </w:trPr>
        <w:tc>
          <w:tcPr>
            <w:tcW w:w="4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center"/>
              <w:ind w:right="9"/>
              <w:spacing w:after="0"/>
              <w:rPr>
                <w:sz w:val="20"/>
                <w:szCs w:val="20"/>
                <w:color w:val="auto"/>
              </w:rPr>
            </w:pPr>
            <w:r>
              <w:rPr>
                <w:rFonts w:ascii="Times New Roman" w:cs="Times New Roman" w:eastAsia="Times New Roman" w:hAnsi="Times New Roman"/>
                <w:sz w:val="16"/>
                <w:szCs w:val="16"/>
                <w:b w:val="1"/>
                <w:bCs w:val="1"/>
                <w:color w:val="auto"/>
                <w:w w:val="99"/>
              </w:rPr>
              <w:t>(in 000s)</w:t>
            </w:r>
          </w:p>
        </w:tc>
        <w:tc>
          <w:tcPr>
            <w:tcW w:w="100" w:type="dxa"/>
            <w:vAlign w:val="bottom"/>
          </w:tcPr>
          <w:p>
            <w:pPr>
              <w:spacing w:after="0"/>
              <w:rPr>
                <w:sz w:val="19"/>
                <w:szCs w:val="19"/>
                <w:color w:val="auto"/>
              </w:rPr>
            </w:pPr>
          </w:p>
        </w:tc>
      </w:tr>
      <w:tr>
        <w:trPr>
          <w:trHeight w:val="204"/>
        </w:trPr>
        <w:tc>
          <w:tcPr>
            <w:tcW w:w="4660" w:type="dxa"/>
            <w:vAlign w:val="bottom"/>
            <w:tcBorders>
              <w:top w:val="single" w:sz="8" w:color="E0E0E0"/>
            </w:tcBorders>
            <w:shd w:val="clear" w:color="auto" w:fill="E0E0E0"/>
          </w:tcPr>
          <w:p>
            <w:pPr>
              <w:spacing w:after="0" w:line="204" w:lineRule="exact"/>
              <w:rPr>
                <w:sz w:val="20"/>
                <w:szCs w:val="20"/>
                <w:color w:val="auto"/>
              </w:rPr>
            </w:pPr>
            <w:r>
              <w:rPr>
                <w:rFonts w:ascii="Times New Roman" w:cs="Times New Roman" w:eastAsia="Times New Roman" w:hAnsi="Times New Roman"/>
                <w:sz w:val="20"/>
                <w:szCs w:val="20"/>
                <w:b w:val="1"/>
                <w:bCs w:val="1"/>
                <w:color w:val="auto"/>
              </w:rPr>
              <w:t>Balances December 31, 2023</w:t>
            </w:r>
          </w:p>
        </w:tc>
        <w:tc>
          <w:tcPr>
            <w:tcW w:w="160" w:type="dxa"/>
            <w:vAlign w:val="bottom"/>
            <w:tcBorders>
              <w:top w:val="single" w:sz="8" w:color="E0E0E0"/>
            </w:tcBorders>
            <w:shd w:val="clear" w:color="auto" w:fill="E0E0E0"/>
          </w:tcPr>
          <w:p>
            <w:pPr>
              <w:spacing w:after="0"/>
              <w:rPr>
                <w:sz w:val="17"/>
                <w:szCs w:val="17"/>
                <w:color w:val="auto"/>
              </w:rPr>
            </w:pPr>
          </w:p>
        </w:tc>
        <w:tc>
          <w:tcPr>
            <w:tcW w:w="20" w:type="dxa"/>
            <w:vAlign w:val="bottom"/>
            <w:tcBorders>
              <w:top w:val="single" w:sz="8" w:color="E0E0E0"/>
            </w:tcBorders>
            <w:shd w:val="clear" w:color="auto" w:fill="E0E0E0"/>
          </w:tcPr>
          <w:p>
            <w:pPr>
              <w:spacing w:after="0"/>
              <w:rPr>
                <w:sz w:val="17"/>
                <w:szCs w:val="17"/>
                <w:color w:val="auto"/>
              </w:rPr>
            </w:pPr>
          </w:p>
        </w:tc>
        <w:tc>
          <w:tcPr>
            <w:tcW w:w="80" w:type="dxa"/>
            <w:vAlign w:val="bottom"/>
            <w:tcBorders>
              <w:top w:val="single" w:sz="8" w:color="auto"/>
            </w:tcBorders>
            <w:shd w:val="clear" w:color="auto" w:fill="E0E0E0"/>
          </w:tcPr>
          <w:p>
            <w:pPr>
              <w:spacing w:after="0"/>
              <w:rPr>
                <w:sz w:val="17"/>
                <w:szCs w:val="17"/>
                <w:color w:val="auto"/>
              </w:rPr>
            </w:pPr>
          </w:p>
        </w:tc>
        <w:tc>
          <w:tcPr>
            <w:tcW w:w="1000" w:type="dxa"/>
            <w:vAlign w:val="bottom"/>
            <w:tcBorders>
              <w:top w:val="single" w:sz="8" w:color="auto"/>
            </w:tcBorders>
            <w:shd w:val="clear" w:color="auto" w:fill="E0E0E0"/>
          </w:tcPr>
          <w:p>
            <w:pPr>
              <w:ind w:left="180"/>
              <w:spacing w:after="0" w:line="204" w:lineRule="exact"/>
              <w:rPr>
                <w:sz w:val="20"/>
                <w:szCs w:val="20"/>
                <w:color w:val="auto"/>
              </w:rPr>
            </w:pPr>
            <w:r>
              <w:rPr>
                <w:rFonts w:ascii="Times New Roman" w:cs="Times New Roman" w:eastAsia="Times New Roman" w:hAnsi="Times New Roman"/>
                <w:sz w:val="20"/>
                <w:szCs w:val="20"/>
                <w:color w:val="auto"/>
                <w:w w:val="99"/>
              </w:rPr>
              <w:t>6,973,464</w:t>
            </w:r>
          </w:p>
        </w:tc>
        <w:tc>
          <w:tcPr>
            <w:tcW w:w="80" w:type="dxa"/>
            <w:vAlign w:val="bottom"/>
            <w:tcBorders>
              <w:top w:val="single" w:sz="8" w:color="E0E0E0"/>
            </w:tcBorders>
            <w:shd w:val="clear" w:color="auto" w:fill="E0E0E0"/>
          </w:tcPr>
          <w:p>
            <w:pPr>
              <w:spacing w:after="0"/>
              <w:rPr>
                <w:sz w:val="17"/>
                <w:szCs w:val="17"/>
                <w:color w:val="auto"/>
              </w:rPr>
            </w:pPr>
          </w:p>
        </w:tc>
        <w:tc>
          <w:tcPr>
            <w:tcW w:w="100" w:type="dxa"/>
            <w:vAlign w:val="bottom"/>
            <w:tcBorders>
              <w:top w:val="single" w:sz="8" w:color="E0E0E0"/>
            </w:tcBorders>
            <w:shd w:val="clear" w:color="auto" w:fill="E0E0E0"/>
          </w:tcPr>
          <w:p>
            <w:pPr>
              <w:spacing w:after="0"/>
              <w:rPr>
                <w:sz w:val="17"/>
                <w:szCs w:val="17"/>
                <w:color w:val="auto"/>
              </w:rPr>
            </w:pPr>
          </w:p>
        </w:tc>
        <w:tc>
          <w:tcPr>
            <w:tcW w:w="100" w:type="dxa"/>
            <w:vAlign w:val="bottom"/>
            <w:tcBorders>
              <w:top w:val="single" w:sz="8" w:color="auto"/>
            </w:tcBorders>
            <w:shd w:val="clear" w:color="auto" w:fill="E0E0E0"/>
          </w:tcPr>
          <w:p>
            <w:pPr>
              <w:jc w:val="right"/>
              <w:spacing w:after="0" w:line="20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780" w:type="dxa"/>
            <w:vAlign w:val="bottom"/>
            <w:tcBorders>
              <w:top w:val="single" w:sz="8" w:color="auto"/>
            </w:tcBorders>
            <w:shd w:val="clear" w:color="auto" w:fill="E0E0E0"/>
          </w:tcPr>
          <w:p>
            <w:pPr>
              <w:jc w:val="right"/>
              <w:spacing w:after="0" w:line="204" w:lineRule="exact"/>
              <w:rPr>
                <w:sz w:val="20"/>
                <w:szCs w:val="20"/>
                <w:color w:val="auto"/>
              </w:rPr>
            </w:pPr>
            <w:r>
              <w:rPr>
                <w:rFonts w:ascii="Times New Roman" w:cs="Times New Roman" w:eastAsia="Times New Roman" w:hAnsi="Times New Roman"/>
                <w:sz w:val="20"/>
                <w:szCs w:val="20"/>
                <w:color w:val="auto"/>
              </w:rPr>
              <w:t>9.44</w:t>
            </w:r>
          </w:p>
        </w:tc>
        <w:tc>
          <w:tcPr>
            <w:tcW w:w="100" w:type="dxa"/>
            <w:vAlign w:val="bottom"/>
            <w:tcBorders>
              <w:top w:val="single" w:sz="8" w:color="E0E0E0"/>
            </w:tcBorders>
            <w:shd w:val="clear" w:color="auto" w:fill="E0E0E0"/>
          </w:tcPr>
          <w:p>
            <w:pPr>
              <w:spacing w:after="0"/>
              <w:rPr>
                <w:sz w:val="17"/>
                <w:szCs w:val="17"/>
                <w:color w:val="auto"/>
              </w:rPr>
            </w:pPr>
          </w:p>
        </w:tc>
        <w:tc>
          <w:tcPr>
            <w:tcW w:w="100" w:type="dxa"/>
            <w:vAlign w:val="bottom"/>
            <w:tcBorders>
              <w:top w:val="single" w:sz="8" w:color="E0E0E0"/>
            </w:tcBorders>
            <w:shd w:val="clear" w:color="auto" w:fill="E0E0E0"/>
          </w:tcPr>
          <w:p>
            <w:pPr>
              <w:spacing w:after="0"/>
              <w:rPr>
                <w:sz w:val="17"/>
                <w:szCs w:val="17"/>
                <w:color w:val="auto"/>
              </w:rPr>
            </w:pPr>
          </w:p>
        </w:tc>
        <w:tc>
          <w:tcPr>
            <w:tcW w:w="100" w:type="dxa"/>
            <w:vAlign w:val="bottom"/>
            <w:tcBorders>
              <w:top w:val="single" w:sz="8" w:color="auto"/>
            </w:tcBorders>
            <w:shd w:val="clear" w:color="auto" w:fill="E0E0E0"/>
          </w:tcPr>
          <w:p>
            <w:pPr>
              <w:spacing w:after="0"/>
              <w:rPr>
                <w:sz w:val="17"/>
                <w:szCs w:val="17"/>
                <w:color w:val="auto"/>
              </w:rPr>
            </w:pPr>
          </w:p>
        </w:tc>
        <w:tc>
          <w:tcPr>
            <w:tcW w:w="960" w:type="dxa"/>
            <w:vAlign w:val="bottom"/>
            <w:tcBorders>
              <w:top w:val="single" w:sz="8" w:color="auto"/>
            </w:tcBorders>
            <w:shd w:val="clear" w:color="auto" w:fill="E0E0E0"/>
          </w:tcPr>
          <w:p>
            <w:pPr>
              <w:jc w:val="right"/>
              <w:spacing w:after="0" w:line="204" w:lineRule="exact"/>
              <w:rPr>
                <w:sz w:val="20"/>
                <w:szCs w:val="20"/>
                <w:color w:val="auto"/>
              </w:rPr>
            </w:pPr>
            <w:r>
              <w:rPr>
                <w:rFonts w:ascii="Times New Roman" w:cs="Times New Roman" w:eastAsia="Times New Roman" w:hAnsi="Times New Roman"/>
                <w:sz w:val="20"/>
                <w:szCs w:val="20"/>
                <w:color w:val="auto"/>
              </w:rPr>
              <w:t>7.01</w:t>
            </w:r>
          </w:p>
        </w:tc>
        <w:tc>
          <w:tcPr>
            <w:tcW w:w="100" w:type="dxa"/>
            <w:vAlign w:val="bottom"/>
            <w:tcBorders>
              <w:top w:val="single" w:sz="8" w:color="E0E0E0"/>
            </w:tcBorders>
            <w:shd w:val="clear" w:color="auto" w:fill="E0E0E0"/>
          </w:tcPr>
          <w:p>
            <w:pPr>
              <w:spacing w:after="0"/>
              <w:rPr>
                <w:sz w:val="17"/>
                <w:szCs w:val="17"/>
                <w:color w:val="auto"/>
              </w:rPr>
            </w:pPr>
          </w:p>
        </w:tc>
        <w:tc>
          <w:tcPr>
            <w:tcW w:w="100" w:type="dxa"/>
            <w:vAlign w:val="bottom"/>
            <w:tcBorders>
              <w:top w:val="single" w:sz="8" w:color="E0E0E0"/>
            </w:tcBorders>
            <w:shd w:val="clear" w:color="auto" w:fill="E0E0E0"/>
          </w:tcPr>
          <w:p>
            <w:pPr>
              <w:spacing w:after="0"/>
              <w:rPr>
                <w:sz w:val="17"/>
                <w:szCs w:val="17"/>
                <w:color w:val="auto"/>
              </w:rPr>
            </w:pPr>
          </w:p>
        </w:tc>
        <w:tc>
          <w:tcPr>
            <w:tcW w:w="100" w:type="dxa"/>
            <w:vAlign w:val="bottom"/>
            <w:tcBorders>
              <w:top w:val="single" w:sz="8" w:color="auto"/>
            </w:tcBorders>
            <w:shd w:val="clear" w:color="auto" w:fill="E0E0E0"/>
          </w:tcPr>
          <w:p>
            <w:pPr>
              <w:jc w:val="right"/>
              <w:spacing w:after="0" w:line="20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720" w:type="dxa"/>
            <w:vAlign w:val="bottom"/>
            <w:tcBorders>
              <w:top w:val="single" w:sz="8" w:color="auto"/>
            </w:tcBorders>
            <w:shd w:val="clear" w:color="auto" w:fill="E0E0E0"/>
          </w:tcPr>
          <w:p>
            <w:pPr>
              <w:jc w:val="right"/>
              <w:spacing w:after="0" w:line="204" w:lineRule="exact"/>
              <w:rPr>
                <w:sz w:val="20"/>
                <w:szCs w:val="20"/>
                <w:color w:val="auto"/>
              </w:rPr>
            </w:pPr>
            <w:r>
              <w:rPr>
                <w:rFonts w:ascii="Times New Roman" w:cs="Times New Roman" w:eastAsia="Times New Roman" w:hAnsi="Times New Roman"/>
                <w:sz w:val="20"/>
                <w:szCs w:val="20"/>
                <w:color w:val="auto"/>
              </w:rPr>
              <w:t>990</w:t>
            </w:r>
          </w:p>
        </w:tc>
        <w:tc>
          <w:tcPr>
            <w:tcW w:w="100" w:type="dxa"/>
            <w:vAlign w:val="bottom"/>
            <w:tcBorders>
              <w:top w:val="single" w:sz="8" w:color="E0E0E0"/>
            </w:tcBorders>
            <w:shd w:val="clear" w:color="auto" w:fill="E0E0E0"/>
          </w:tcPr>
          <w:p>
            <w:pPr>
              <w:spacing w:after="0"/>
              <w:rPr>
                <w:sz w:val="17"/>
                <w:szCs w:val="17"/>
                <w:color w:val="auto"/>
              </w:rPr>
            </w:pPr>
          </w:p>
        </w:tc>
      </w:tr>
      <w:tr>
        <w:trPr>
          <w:trHeight w:val="244"/>
        </w:trPr>
        <w:tc>
          <w:tcPr>
            <w:tcW w:w="466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Shares reserved for issuance</w:t>
            </w:r>
          </w:p>
        </w:tc>
        <w:tc>
          <w:tcPr>
            <w:tcW w:w="16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8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0E0E0"/>
            </w:tcBorders>
          </w:tcPr>
          <w:p>
            <w:pPr>
              <w:spacing w:after="0"/>
              <w:rPr>
                <w:sz w:val="21"/>
                <w:szCs w:val="21"/>
                <w:color w:val="auto"/>
              </w:rPr>
            </w:pPr>
          </w:p>
        </w:tc>
        <w:tc>
          <w:tcPr>
            <w:tcW w:w="20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96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7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r>
      <w:tr>
        <w:trPr>
          <w:trHeight w:val="225"/>
        </w:trPr>
        <w:tc>
          <w:tcPr>
            <w:tcW w:w="4660" w:type="dxa"/>
            <w:vAlign w:val="bottom"/>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Options granted</w:t>
            </w: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000" w:type="dxa"/>
            <w:vAlign w:val="bottom"/>
            <w:shd w:val="clear" w:color="auto" w:fill="E0E0E0"/>
          </w:tcPr>
          <w:p>
            <w:pPr>
              <w:ind w:left="180"/>
              <w:spacing w:after="0" w:line="225" w:lineRule="exact"/>
              <w:rPr>
                <w:sz w:val="20"/>
                <w:szCs w:val="20"/>
                <w:color w:val="auto"/>
              </w:rPr>
            </w:pPr>
            <w:r>
              <w:rPr>
                <w:rFonts w:ascii="Times New Roman" w:cs="Times New Roman" w:eastAsia="Times New Roman" w:hAnsi="Times New Roman"/>
                <w:sz w:val="20"/>
                <w:szCs w:val="20"/>
                <w:color w:val="auto"/>
                <w:w w:val="99"/>
              </w:rPr>
              <w:t>6,331,885</w:t>
            </w:r>
          </w:p>
        </w:tc>
        <w:tc>
          <w:tcPr>
            <w:tcW w:w="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78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1.64</w:t>
            </w: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7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r>
      <w:tr>
        <w:trPr>
          <w:trHeight w:val="244"/>
        </w:trPr>
        <w:tc>
          <w:tcPr>
            <w:tcW w:w="466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Options forfeited / cancelled</w:t>
            </w:r>
          </w:p>
        </w:tc>
        <w:tc>
          <w:tcPr>
            <w:tcW w:w="180" w:type="dxa"/>
            <w:vAlign w:val="bottom"/>
            <w:tcBorders>
              <w:bottom w:val="single" w:sz="8" w:color="E0E0E0"/>
            </w:tcBorders>
            <w:gridSpan w:val="2"/>
          </w:tcPr>
          <w:p>
            <w:pPr>
              <w:spacing w:after="0"/>
              <w:rPr>
                <w:sz w:val="21"/>
                <w:szCs w:val="21"/>
                <w:color w:val="auto"/>
              </w:rPr>
            </w:pPr>
          </w:p>
        </w:tc>
        <w:tc>
          <w:tcPr>
            <w:tcW w:w="1160" w:type="dxa"/>
            <w:vAlign w:val="bottom"/>
            <w:tcBorders>
              <w:bottom w:val="single" w:sz="8" w:color="E0E0E0"/>
            </w:tcBorders>
            <w:gridSpan w:val="3"/>
          </w:tcPr>
          <w:p>
            <w:pPr>
              <w:jc w:val="right"/>
              <w:spacing w:after="0"/>
              <w:rPr>
                <w:sz w:val="20"/>
                <w:szCs w:val="20"/>
                <w:color w:val="auto"/>
              </w:rPr>
            </w:pPr>
            <w:r>
              <w:rPr>
                <w:rFonts w:ascii="Times New Roman" w:cs="Times New Roman" w:eastAsia="Times New Roman" w:hAnsi="Times New Roman"/>
                <w:sz w:val="20"/>
                <w:szCs w:val="20"/>
                <w:color w:val="auto"/>
              </w:rPr>
              <w:t>(4,552,488 )</w:t>
            </w:r>
          </w:p>
        </w:tc>
        <w:tc>
          <w:tcPr>
            <w:tcW w:w="20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11.26</w:t>
            </w:r>
          </w:p>
        </w:tc>
        <w:tc>
          <w:tcPr>
            <w:tcW w:w="10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96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7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r>
      <w:tr>
        <w:trPr>
          <w:trHeight w:val="225"/>
        </w:trPr>
        <w:tc>
          <w:tcPr>
            <w:tcW w:w="4660" w:type="dxa"/>
            <w:vAlign w:val="bottom"/>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Options exercised</w:t>
            </w: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tcBorders>
              <w:bottom w:val="single" w:sz="8" w:color="auto"/>
            </w:tcBorders>
            <w:shd w:val="clear" w:color="auto" w:fill="E0E0E0"/>
          </w:tcPr>
          <w:p>
            <w:pPr>
              <w:spacing w:after="0"/>
              <w:rPr>
                <w:sz w:val="19"/>
                <w:szCs w:val="19"/>
                <w:color w:val="auto"/>
              </w:rPr>
            </w:pPr>
          </w:p>
        </w:tc>
        <w:tc>
          <w:tcPr>
            <w:tcW w:w="100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(98,948</w:t>
            </w: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100" w:type="dxa"/>
            <w:vAlign w:val="bottom"/>
            <w:shd w:val="clear" w:color="auto" w:fill="E0E0E0"/>
          </w:tcPr>
          <w:p>
            <w:pPr>
              <w:spacing w:after="0"/>
              <w:rPr>
                <w:sz w:val="19"/>
                <w:szCs w:val="19"/>
                <w:color w:val="auto"/>
              </w:rPr>
            </w:pPr>
          </w:p>
        </w:tc>
        <w:tc>
          <w:tcPr>
            <w:tcW w:w="10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78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0.57</w:t>
            </w: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7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r>
      <w:tr>
        <w:trPr>
          <w:trHeight w:val="273"/>
        </w:trPr>
        <w:tc>
          <w:tcPr>
            <w:tcW w:w="466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b w:val="1"/>
                <w:bCs w:val="1"/>
                <w:color w:val="auto"/>
              </w:rPr>
              <w:t>Balances December 31, 2024</w:t>
            </w:r>
          </w:p>
        </w:tc>
        <w:tc>
          <w:tcPr>
            <w:tcW w:w="160" w:type="dxa"/>
            <w:vAlign w:val="bottom"/>
            <w:tcBorders>
              <w:bottom w:val="single" w:sz="8" w:color="E0E0E0"/>
            </w:tcBorders>
          </w:tcPr>
          <w:p>
            <w:pPr>
              <w:spacing w:after="0"/>
              <w:rPr>
                <w:sz w:val="23"/>
                <w:szCs w:val="23"/>
                <w:color w:val="auto"/>
              </w:rPr>
            </w:pPr>
          </w:p>
        </w:tc>
        <w:tc>
          <w:tcPr>
            <w:tcW w:w="20" w:type="dxa"/>
            <w:vAlign w:val="bottom"/>
            <w:tcBorders>
              <w:bottom w:val="single" w:sz="8" w:color="E0E0E0"/>
            </w:tcBorders>
          </w:tcPr>
          <w:p>
            <w:pPr>
              <w:spacing w:after="0"/>
              <w:rPr>
                <w:sz w:val="23"/>
                <w:szCs w:val="23"/>
                <w:color w:val="auto"/>
              </w:rPr>
            </w:pPr>
          </w:p>
        </w:tc>
        <w:tc>
          <w:tcPr>
            <w:tcW w:w="108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20"/>
                <w:szCs w:val="20"/>
                <w:color w:val="auto"/>
                <w:w w:val="99"/>
              </w:rPr>
              <w:t>8,653,913</w:t>
            </w:r>
          </w:p>
        </w:tc>
        <w:tc>
          <w:tcPr>
            <w:tcW w:w="80" w:type="dxa"/>
            <w:vAlign w:val="bottom"/>
            <w:tcBorders>
              <w:bottom w:val="single" w:sz="8" w:color="E0E0E0"/>
            </w:tcBorders>
          </w:tcPr>
          <w:p>
            <w:pPr>
              <w:spacing w:after="0"/>
              <w:rPr>
                <w:sz w:val="23"/>
                <w:szCs w:val="23"/>
                <w:color w:val="auto"/>
              </w:rPr>
            </w:pPr>
          </w:p>
        </w:tc>
        <w:tc>
          <w:tcPr>
            <w:tcW w:w="100" w:type="dxa"/>
            <w:vAlign w:val="bottom"/>
            <w:tcBorders>
              <w:bottom w:val="single" w:sz="8" w:color="E0E0E0"/>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2.87</w:t>
            </w:r>
          </w:p>
        </w:tc>
        <w:tc>
          <w:tcPr>
            <w:tcW w:w="100" w:type="dxa"/>
            <w:vAlign w:val="bottom"/>
            <w:tcBorders>
              <w:bottom w:val="single" w:sz="8" w:color="E0E0E0"/>
            </w:tcBorders>
          </w:tcPr>
          <w:p>
            <w:pPr>
              <w:spacing w:after="0"/>
              <w:rPr>
                <w:sz w:val="23"/>
                <w:szCs w:val="23"/>
                <w:color w:val="auto"/>
              </w:rPr>
            </w:pPr>
          </w:p>
        </w:tc>
        <w:tc>
          <w:tcPr>
            <w:tcW w:w="1160" w:type="dxa"/>
            <w:vAlign w:val="bottom"/>
            <w:tcBorders>
              <w:bottom w:val="single" w:sz="8" w:color="E0E0E0"/>
            </w:tcBorders>
            <w:gridSpan w:val="3"/>
          </w:tcPr>
          <w:p>
            <w:pPr>
              <w:jc w:val="right"/>
              <w:spacing w:after="0"/>
              <w:rPr>
                <w:sz w:val="20"/>
                <w:szCs w:val="20"/>
                <w:color w:val="auto"/>
              </w:rPr>
            </w:pPr>
            <w:r>
              <w:rPr>
                <w:rFonts w:ascii="Times New Roman" w:cs="Times New Roman" w:eastAsia="Times New Roman" w:hAnsi="Times New Roman"/>
                <w:sz w:val="20"/>
                <w:szCs w:val="20"/>
                <w:color w:val="auto"/>
              </w:rPr>
              <w:t>7.72</w:t>
            </w:r>
          </w:p>
        </w:tc>
        <w:tc>
          <w:tcPr>
            <w:tcW w:w="100" w:type="dxa"/>
            <w:vAlign w:val="bottom"/>
            <w:tcBorders>
              <w:bottom w:val="single" w:sz="8" w:color="E0E0E0"/>
            </w:tcBorders>
          </w:tcPr>
          <w:p>
            <w:pPr>
              <w:spacing w:after="0"/>
              <w:rPr>
                <w:sz w:val="23"/>
                <w:szCs w:val="23"/>
                <w:color w:val="auto"/>
              </w:rPr>
            </w:pPr>
          </w:p>
        </w:tc>
        <w:tc>
          <w:tcPr>
            <w:tcW w:w="20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100" w:type="dxa"/>
            <w:vAlign w:val="bottom"/>
            <w:tcBorders>
              <w:bottom w:val="single" w:sz="8" w:color="E0E0E0"/>
            </w:tcBorders>
          </w:tcPr>
          <w:p>
            <w:pPr>
              <w:spacing w:after="0"/>
              <w:rPr>
                <w:sz w:val="23"/>
                <w:szCs w:val="23"/>
                <w:color w:val="auto"/>
              </w:rPr>
            </w:pPr>
          </w:p>
        </w:tc>
      </w:tr>
      <w:tr>
        <w:trPr>
          <w:trHeight w:val="229"/>
        </w:trPr>
        <w:tc>
          <w:tcPr>
            <w:tcW w:w="46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At December 31, 2024</w:t>
            </w: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00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7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7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r>
      <w:tr>
        <w:trPr>
          <w:trHeight w:val="309"/>
        </w:trPr>
        <w:tc>
          <w:tcPr>
            <w:tcW w:w="4660" w:type="dxa"/>
            <w:vAlign w:val="bottom"/>
            <w:tcBorders>
              <w:bottom w:val="single" w:sz="8" w:color="E0E0E0"/>
            </w:tcBorders>
          </w:tcPr>
          <w:p>
            <w:pPr>
              <w:ind w:left="100"/>
              <w:spacing w:after="0"/>
              <w:rPr>
                <w:sz w:val="20"/>
                <w:szCs w:val="20"/>
                <w:color w:val="auto"/>
              </w:rPr>
            </w:pPr>
            <w:r>
              <w:rPr>
                <w:rFonts w:ascii="Times New Roman" w:cs="Times New Roman" w:eastAsia="Times New Roman" w:hAnsi="Times New Roman"/>
                <w:sz w:val="20"/>
                <w:szCs w:val="20"/>
                <w:color w:val="auto"/>
              </w:rPr>
              <w:t>Vested and expected to vest</w:t>
            </w:r>
          </w:p>
        </w:tc>
        <w:tc>
          <w:tcPr>
            <w:tcW w:w="180" w:type="dxa"/>
            <w:vAlign w:val="bottom"/>
            <w:tcBorders>
              <w:bottom w:val="single" w:sz="8" w:color="E0E0E0"/>
            </w:tcBorders>
            <w:gridSpan w:val="2"/>
          </w:tcPr>
          <w:p>
            <w:pPr>
              <w:spacing w:after="0"/>
              <w:rPr>
                <w:sz w:val="24"/>
                <w:szCs w:val="24"/>
                <w:color w:val="auto"/>
              </w:rPr>
            </w:pPr>
          </w:p>
        </w:tc>
        <w:tc>
          <w:tcPr>
            <w:tcW w:w="108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20"/>
                <w:szCs w:val="20"/>
                <w:color w:val="auto"/>
                <w:w w:val="99"/>
              </w:rPr>
              <w:t>8,653,913</w:t>
            </w:r>
          </w:p>
        </w:tc>
        <w:tc>
          <w:tcPr>
            <w:tcW w:w="80" w:type="dxa"/>
            <w:vAlign w:val="bottom"/>
            <w:tcBorders>
              <w:bottom w:val="single" w:sz="8" w:color="E0E0E0"/>
            </w:tcBorders>
          </w:tcPr>
          <w:p>
            <w:pPr>
              <w:spacing w:after="0"/>
              <w:rPr>
                <w:sz w:val="24"/>
                <w:szCs w:val="24"/>
                <w:color w:val="auto"/>
              </w:rPr>
            </w:pPr>
          </w:p>
        </w:tc>
        <w:tc>
          <w:tcPr>
            <w:tcW w:w="20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2.87</w:t>
            </w:r>
          </w:p>
        </w:tc>
        <w:tc>
          <w:tcPr>
            <w:tcW w:w="100" w:type="dxa"/>
            <w:vAlign w:val="bottom"/>
            <w:tcBorders>
              <w:bottom w:val="single" w:sz="8" w:color="E0E0E0"/>
            </w:tcBorders>
          </w:tcPr>
          <w:p>
            <w:pPr>
              <w:spacing w:after="0"/>
              <w:rPr>
                <w:sz w:val="24"/>
                <w:szCs w:val="24"/>
                <w:color w:val="auto"/>
              </w:rPr>
            </w:pPr>
          </w:p>
        </w:tc>
        <w:tc>
          <w:tcPr>
            <w:tcW w:w="1160" w:type="dxa"/>
            <w:vAlign w:val="bottom"/>
            <w:tcBorders>
              <w:bottom w:val="single" w:sz="8" w:color="E0E0E0"/>
            </w:tcBorders>
            <w:gridSpan w:val="3"/>
          </w:tcPr>
          <w:p>
            <w:pPr>
              <w:jc w:val="right"/>
              <w:spacing w:after="0"/>
              <w:rPr>
                <w:sz w:val="20"/>
                <w:szCs w:val="20"/>
                <w:color w:val="auto"/>
              </w:rPr>
            </w:pPr>
            <w:r>
              <w:rPr>
                <w:rFonts w:ascii="Times New Roman" w:cs="Times New Roman" w:eastAsia="Times New Roman" w:hAnsi="Times New Roman"/>
                <w:sz w:val="20"/>
                <w:szCs w:val="20"/>
                <w:color w:val="auto"/>
              </w:rPr>
              <w:t>7.72</w:t>
            </w:r>
          </w:p>
        </w:tc>
        <w:tc>
          <w:tcPr>
            <w:tcW w:w="100" w:type="dxa"/>
            <w:vAlign w:val="bottom"/>
            <w:tcBorders>
              <w:bottom w:val="single" w:sz="8" w:color="E0E0E0"/>
            </w:tcBorders>
          </w:tcPr>
          <w:p>
            <w:pPr>
              <w:spacing w:after="0"/>
              <w:rPr>
                <w:sz w:val="24"/>
                <w:szCs w:val="24"/>
                <w:color w:val="auto"/>
              </w:rPr>
            </w:pPr>
          </w:p>
        </w:tc>
        <w:tc>
          <w:tcPr>
            <w:tcW w:w="20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100" w:type="dxa"/>
            <w:vAlign w:val="bottom"/>
            <w:tcBorders>
              <w:bottom w:val="single" w:sz="8" w:color="E0E0E0"/>
            </w:tcBorders>
          </w:tcPr>
          <w:p>
            <w:pPr>
              <w:spacing w:after="0"/>
              <w:rPr>
                <w:sz w:val="24"/>
                <w:szCs w:val="24"/>
                <w:color w:val="auto"/>
              </w:rPr>
            </w:pPr>
          </w:p>
        </w:tc>
      </w:tr>
      <w:tr>
        <w:trPr>
          <w:trHeight w:val="210"/>
        </w:trPr>
        <w:tc>
          <w:tcPr>
            <w:tcW w:w="4660" w:type="dxa"/>
            <w:vAlign w:val="bottom"/>
            <w:tcBorders>
              <w:top w:val="single" w:sz="8" w:color="E0E0E0"/>
            </w:tcBorders>
            <w:shd w:val="clear" w:color="auto" w:fill="E0E0E0"/>
          </w:tcPr>
          <w:p>
            <w:pPr>
              <w:ind w:left="100"/>
              <w:spacing w:after="0" w:line="210" w:lineRule="exact"/>
              <w:rPr>
                <w:sz w:val="20"/>
                <w:szCs w:val="20"/>
                <w:color w:val="auto"/>
              </w:rPr>
            </w:pPr>
            <w:r>
              <w:rPr>
                <w:rFonts w:ascii="Times New Roman" w:cs="Times New Roman" w:eastAsia="Times New Roman" w:hAnsi="Times New Roman"/>
                <w:sz w:val="20"/>
                <w:szCs w:val="20"/>
                <w:color w:val="auto"/>
              </w:rPr>
              <w:t>Exercisable</w:t>
            </w:r>
          </w:p>
        </w:tc>
        <w:tc>
          <w:tcPr>
            <w:tcW w:w="16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bottom w:val="single" w:sz="8" w:color="auto"/>
            </w:tcBorders>
            <w:shd w:val="clear" w:color="auto" w:fill="E0E0E0"/>
          </w:tcPr>
          <w:p>
            <w:pPr>
              <w:spacing w:after="0"/>
              <w:rPr>
                <w:sz w:val="18"/>
                <w:szCs w:val="18"/>
                <w:color w:val="auto"/>
              </w:rPr>
            </w:pPr>
          </w:p>
        </w:tc>
        <w:tc>
          <w:tcPr>
            <w:tcW w:w="80" w:type="dxa"/>
            <w:vAlign w:val="bottom"/>
            <w:tcBorders>
              <w:top w:val="single" w:sz="8" w:color="E0E0E0"/>
              <w:bottom w:val="single" w:sz="8" w:color="auto"/>
            </w:tcBorders>
            <w:shd w:val="clear" w:color="auto" w:fill="E0E0E0"/>
          </w:tcPr>
          <w:p>
            <w:pPr>
              <w:spacing w:after="0"/>
              <w:rPr>
                <w:sz w:val="18"/>
                <w:szCs w:val="18"/>
                <w:color w:val="auto"/>
              </w:rPr>
            </w:pPr>
          </w:p>
        </w:tc>
        <w:tc>
          <w:tcPr>
            <w:tcW w:w="1000" w:type="dxa"/>
            <w:vAlign w:val="bottom"/>
            <w:tcBorders>
              <w:top w:val="single" w:sz="8" w:color="E0E0E0"/>
              <w:bottom w:val="single" w:sz="8" w:color="auto"/>
            </w:tcBorders>
            <w:shd w:val="clear" w:color="auto" w:fill="E0E0E0"/>
          </w:tcPr>
          <w:p>
            <w:pPr>
              <w:ind w:left="180"/>
              <w:spacing w:after="0" w:line="210" w:lineRule="exact"/>
              <w:rPr>
                <w:sz w:val="20"/>
                <w:szCs w:val="20"/>
                <w:color w:val="auto"/>
              </w:rPr>
            </w:pPr>
            <w:r>
              <w:rPr>
                <w:rFonts w:ascii="Times New Roman" w:cs="Times New Roman" w:eastAsia="Times New Roman" w:hAnsi="Times New Roman"/>
                <w:sz w:val="20"/>
                <w:szCs w:val="20"/>
                <w:color w:val="auto"/>
                <w:w w:val="99"/>
              </w:rPr>
              <w:t>3,098,756</w:t>
            </w:r>
          </w:p>
        </w:tc>
        <w:tc>
          <w:tcPr>
            <w:tcW w:w="8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780" w:type="dxa"/>
            <w:vAlign w:val="bottom"/>
            <w:tcBorders>
              <w:top w:val="single" w:sz="8" w:color="E0E0E0"/>
            </w:tcBorders>
            <w:shd w:val="clear" w:color="auto" w:fill="E0E0E0"/>
          </w:tcPr>
          <w:p>
            <w:pPr>
              <w:jc w:val="right"/>
              <w:spacing w:after="0" w:line="210" w:lineRule="exact"/>
              <w:rPr>
                <w:sz w:val="20"/>
                <w:szCs w:val="20"/>
                <w:color w:val="auto"/>
              </w:rPr>
            </w:pPr>
            <w:r>
              <w:rPr>
                <w:rFonts w:ascii="Times New Roman" w:cs="Times New Roman" w:eastAsia="Times New Roman" w:hAnsi="Times New Roman"/>
                <w:sz w:val="20"/>
                <w:szCs w:val="20"/>
                <w:color w:val="auto"/>
              </w:rPr>
              <w:t>5.05</w:t>
            </w:r>
          </w:p>
        </w:tc>
        <w:tc>
          <w:tcPr>
            <w:tcW w:w="10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spacing w:after="0"/>
              <w:rPr>
                <w:sz w:val="18"/>
                <w:szCs w:val="18"/>
                <w:color w:val="auto"/>
              </w:rPr>
            </w:pPr>
          </w:p>
        </w:tc>
        <w:tc>
          <w:tcPr>
            <w:tcW w:w="960" w:type="dxa"/>
            <w:vAlign w:val="bottom"/>
            <w:tcBorders>
              <w:top w:val="single" w:sz="8" w:color="E0E0E0"/>
            </w:tcBorders>
            <w:shd w:val="clear" w:color="auto" w:fill="E0E0E0"/>
          </w:tcPr>
          <w:p>
            <w:pPr>
              <w:jc w:val="right"/>
              <w:spacing w:after="0" w:line="210" w:lineRule="exact"/>
              <w:rPr>
                <w:sz w:val="20"/>
                <w:szCs w:val="20"/>
                <w:color w:val="auto"/>
              </w:rPr>
            </w:pPr>
            <w:r>
              <w:rPr>
                <w:rFonts w:ascii="Times New Roman" w:cs="Times New Roman" w:eastAsia="Times New Roman" w:hAnsi="Times New Roman"/>
                <w:sz w:val="20"/>
                <w:szCs w:val="20"/>
                <w:color w:val="auto"/>
              </w:rPr>
              <w:t>5.21</w:t>
            </w:r>
          </w:p>
        </w:tc>
        <w:tc>
          <w:tcPr>
            <w:tcW w:w="10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720" w:type="dxa"/>
            <w:vAlign w:val="bottom"/>
            <w:tcBorders>
              <w:top w:val="single" w:sz="8" w:color="E0E0E0"/>
            </w:tcBorders>
            <w:shd w:val="clear" w:color="auto" w:fill="E0E0E0"/>
          </w:tcPr>
          <w:p>
            <w:pPr>
              <w:jc w:val="right"/>
              <w:spacing w:after="0" w:line="210" w:lineRule="exact"/>
              <w:rPr>
                <w:sz w:val="20"/>
                <w:szCs w:val="20"/>
                <w:color w:val="auto"/>
              </w:rPr>
            </w:pPr>
            <w:r>
              <w:rPr>
                <w:rFonts w:ascii="Times New Roman" w:cs="Times New Roman" w:eastAsia="Times New Roman" w:hAnsi="Times New Roman"/>
                <w:sz w:val="20"/>
                <w:szCs w:val="20"/>
                <w:color w:val="auto"/>
              </w:rPr>
              <w:t>77</w:t>
            </w:r>
          </w:p>
        </w:tc>
        <w:tc>
          <w:tcPr>
            <w:tcW w:w="100" w:type="dxa"/>
            <w:vAlign w:val="bottom"/>
            <w:tcBorders>
              <w:top w:val="single" w:sz="8" w:color="E0E0E0"/>
            </w:tcBorders>
            <w:shd w:val="clear" w:color="auto" w:fill="E0E0E0"/>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3070860</wp:posOffset>
                </wp:positionH>
                <wp:positionV relativeFrom="paragraph">
                  <wp:posOffset>-701040</wp:posOffset>
                </wp:positionV>
                <wp:extent cx="68961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1.8pt,-55.1999pt" to="296.1pt,-55.1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3878580</wp:posOffset>
                </wp:positionH>
                <wp:positionV relativeFrom="paragraph">
                  <wp:posOffset>-701040</wp:posOffset>
                </wp:positionV>
                <wp:extent cx="552450"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245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5.4pt,-55.1999pt" to="348.9pt,-55.1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-362585</wp:posOffset>
                </wp:positionV>
                <wp:extent cx="594360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8.5499pt" to="468pt,-28.5499pt" o:allowincell="f" strokecolor="#FFFFFF" strokeweight="0.7199pt"/>
            </w:pict>
          </mc:Fallback>
        </mc:AlternateContent>
      </w:r>
    </w:p>
    <w:p>
      <w:pPr>
        <w:spacing w:after="0" w:line="235" w:lineRule="exact"/>
        <w:rPr>
          <w:sz w:val="20"/>
          <w:szCs w:val="20"/>
          <w:color w:val="auto"/>
        </w:rPr>
      </w:pPr>
    </w:p>
    <w:p>
      <w:pPr>
        <w:ind w:right="300" w:firstLine="619"/>
        <w:spacing w:after="0" w:line="278" w:lineRule="auto"/>
        <w:rPr>
          <w:sz w:val="20"/>
          <w:szCs w:val="20"/>
          <w:color w:val="auto"/>
        </w:rPr>
      </w:pPr>
      <w:r>
        <w:rPr>
          <w:rFonts w:ascii="Times New Roman" w:cs="Times New Roman" w:eastAsia="Times New Roman" w:hAnsi="Times New Roman"/>
          <w:sz w:val="20"/>
          <w:szCs w:val="20"/>
          <w:color w:val="auto"/>
        </w:rPr>
        <w:t>The weighted average grant date fair value of stock options granted during the years ended December 31, 2024, 2023, and 2022, was $4.94, $4.03, and $10.92, respectively.</w:t>
      </w:r>
    </w:p>
    <w:p>
      <w:pPr>
        <w:spacing w:after="0" w:line="168" w:lineRule="exact"/>
        <w:rPr>
          <w:sz w:val="20"/>
          <w:szCs w:val="20"/>
          <w:color w:val="auto"/>
        </w:rPr>
      </w:pPr>
    </w:p>
    <w:p>
      <w:pPr>
        <w:ind w:right="280" w:firstLine="619"/>
        <w:spacing w:after="0" w:line="278" w:lineRule="auto"/>
        <w:rPr>
          <w:sz w:val="20"/>
          <w:szCs w:val="20"/>
          <w:color w:val="auto"/>
        </w:rPr>
      </w:pPr>
      <w:r>
        <w:rPr>
          <w:rFonts w:ascii="Times New Roman" w:cs="Times New Roman" w:eastAsia="Times New Roman" w:hAnsi="Times New Roman"/>
          <w:sz w:val="19"/>
          <w:szCs w:val="19"/>
          <w:color w:val="auto"/>
        </w:rPr>
        <w:t>The aggregate intrinsic value of options vested and exercisable as of December 31, 2024 and 2023 is calculated based on the difference between the exercise price and the fair value of the Company’s common stock. The intrinsic value of options exercised in 2024, 2023, and 2022, was $107, $892, and $3,764, respectively.</w:t>
      </w:r>
    </w:p>
    <w:p>
      <w:pPr>
        <w:spacing w:after="0" w:line="171" w:lineRule="exact"/>
        <w:rPr>
          <w:sz w:val="20"/>
          <w:szCs w:val="20"/>
          <w:color w:val="auto"/>
        </w:rPr>
      </w:pPr>
    </w:p>
    <w:p>
      <w:pPr>
        <w:ind w:right="120" w:firstLine="619"/>
        <w:spacing w:after="0" w:line="258" w:lineRule="auto"/>
        <w:rPr>
          <w:sz w:val="20"/>
          <w:szCs w:val="20"/>
          <w:color w:val="auto"/>
        </w:rPr>
      </w:pPr>
      <w:r>
        <w:rPr>
          <w:rFonts w:ascii="Times New Roman" w:cs="Times New Roman" w:eastAsia="Times New Roman" w:hAnsi="Times New Roman"/>
          <w:sz w:val="20"/>
          <w:szCs w:val="20"/>
          <w:color w:val="auto"/>
        </w:rPr>
        <w:t>As of December 31, 2024, the total compensation cost related to nonvested service-based awards not yet recognized is $13,436. The weighted-average period over which the nonvested awards is expected to be recognized is 3.1 years.</w:t>
      </w:r>
    </w:p>
    <w:p>
      <w:pPr>
        <w:spacing w:after="0" w:line="187" w:lineRule="exact"/>
        <w:rPr>
          <w:sz w:val="20"/>
          <w:szCs w:val="20"/>
          <w:color w:val="auto"/>
        </w:rPr>
      </w:pPr>
    </w:p>
    <w:p>
      <w:pPr>
        <w:ind w:right="80" w:firstLine="619"/>
        <w:spacing w:after="0" w:line="259" w:lineRule="auto"/>
        <w:rPr>
          <w:sz w:val="20"/>
          <w:szCs w:val="20"/>
          <w:color w:val="auto"/>
        </w:rPr>
      </w:pPr>
      <w:r>
        <w:rPr>
          <w:rFonts w:ascii="Times New Roman" w:cs="Times New Roman" w:eastAsia="Times New Roman" w:hAnsi="Times New Roman"/>
          <w:sz w:val="20"/>
          <w:szCs w:val="20"/>
          <w:color w:val="auto"/>
        </w:rPr>
        <w:t>The Company estimated the fair value of stock options using the Black-Scholes options valuation model. The fair value of employee stock options is being amortized on a straight-line basis over the requisite service period of the awards. The fair value of employee stock options was estimated using the following assumptions: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6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20"/>
        </w:trPr>
        <w:tc>
          <w:tcPr>
            <w:tcW w:w="4500" w:type="dxa"/>
            <w:vAlign w:val="bottom"/>
            <w:tcBorders>
              <w:bottom w:val="single" w:sz="8" w:color="E0E0E0"/>
            </w:tcBorders>
          </w:tcPr>
          <w:p>
            <w:pPr>
              <w:spacing w:after="0"/>
              <w:rPr>
                <w:sz w:val="19"/>
                <w:szCs w:val="19"/>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E0E0E0"/>
            </w:tcBorders>
          </w:tcPr>
          <w:p>
            <w:pPr>
              <w:spacing w:after="0"/>
              <w:rPr>
                <w:sz w:val="19"/>
                <w:szCs w:val="19"/>
                <w:color w:val="auto"/>
              </w:rPr>
            </w:pPr>
          </w:p>
        </w:tc>
        <w:tc>
          <w:tcPr>
            <w:tcW w:w="150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E0E0E0"/>
            </w:tcBorders>
          </w:tcPr>
          <w:p>
            <w:pPr>
              <w:spacing w:after="0"/>
              <w:rPr>
                <w:sz w:val="19"/>
                <w:szCs w:val="19"/>
                <w:color w:val="auto"/>
              </w:rPr>
            </w:pPr>
          </w:p>
        </w:tc>
        <w:tc>
          <w:tcPr>
            <w:tcW w:w="148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DEDEDE"/>
            </w:tcBorders>
          </w:tcPr>
          <w:p>
            <w:pPr>
              <w:spacing w:after="0"/>
              <w:rPr>
                <w:sz w:val="19"/>
                <w:szCs w:val="19"/>
                <w:color w:val="auto"/>
              </w:rPr>
            </w:pPr>
          </w:p>
        </w:tc>
      </w:tr>
      <w:tr>
        <w:trPr>
          <w:trHeight w:val="220"/>
        </w:trPr>
        <w:tc>
          <w:tcPr>
            <w:tcW w:w="450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Risk-free interest rate</w:t>
            </w:r>
          </w:p>
        </w:tc>
        <w:tc>
          <w:tcPr>
            <w:tcW w:w="72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3.57%</w:t>
            </w:r>
          </w:p>
        </w:tc>
        <w:tc>
          <w:tcPr>
            <w:tcW w:w="860" w:type="dxa"/>
            <w:vAlign w:val="bottom"/>
            <w:shd w:val="clear" w:color="auto" w:fill="E0E0E0"/>
          </w:tcPr>
          <w:p>
            <w:pPr>
              <w:ind w:left="40"/>
              <w:spacing w:after="0" w:line="220" w:lineRule="exact"/>
              <w:rPr>
                <w:sz w:val="20"/>
                <w:szCs w:val="20"/>
                <w:color w:val="auto"/>
              </w:rPr>
            </w:pPr>
            <w:r>
              <w:rPr>
                <w:rFonts w:ascii="Times New Roman" w:cs="Times New Roman" w:eastAsia="Times New Roman" w:hAnsi="Times New Roman"/>
                <w:sz w:val="20"/>
                <w:szCs w:val="20"/>
                <w:color w:val="auto"/>
              </w:rPr>
              <w:t>- 4.69%</w:t>
            </w:r>
          </w:p>
        </w:tc>
        <w:tc>
          <w:tcPr>
            <w:tcW w:w="100" w:type="dxa"/>
            <w:vAlign w:val="bottom"/>
            <w:shd w:val="clear" w:color="auto" w:fill="E0E0E0"/>
          </w:tcPr>
          <w:p>
            <w:pPr>
              <w:spacing w:after="0"/>
              <w:rPr>
                <w:sz w:val="19"/>
                <w:szCs w:val="19"/>
                <w:color w:val="auto"/>
              </w:rPr>
            </w:pPr>
          </w:p>
        </w:tc>
        <w:tc>
          <w:tcPr>
            <w:tcW w:w="68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3.45%</w:t>
            </w:r>
          </w:p>
        </w:tc>
        <w:tc>
          <w:tcPr>
            <w:tcW w:w="820" w:type="dxa"/>
            <w:vAlign w:val="bottom"/>
            <w:shd w:val="clear" w:color="auto" w:fill="E0E0E0"/>
          </w:tcPr>
          <w:p>
            <w:pPr>
              <w:ind w:left="40"/>
              <w:spacing w:after="0" w:line="220" w:lineRule="exact"/>
              <w:rPr>
                <w:sz w:val="20"/>
                <w:szCs w:val="20"/>
                <w:color w:val="auto"/>
              </w:rPr>
            </w:pPr>
            <w:r>
              <w:rPr>
                <w:rFonts w:ascii="Times New Roman" w:cs="Times New Roman" w:eastAsia="Times New Roman" w:hAnsi="Times New Roman"/>
                <w:sz w:val="20"/>
                <w:szCs w:val="20"/>
                <w:color w:val="auto"/>
              </w:rPr>
              <w:t>- 4.65%</w:t>
            </w:r>
          </w:p>
        </w:tc>
        <w:tc>
          <w:tcPr>
            <w:tcW w:w="80" w:type="dxa"/>
            <w:vAlign w:val="bottom"/>
            <w:shd w:val="clear" w:color="auto" w:fill="E0E0E0"/>
          </w:tcPr>
          <w:p>
            <w:pPr>
              <w:spacing w:after="0"/>
              <w:rPr>
                <w:sz w:val="19"/>
                <w:szCs w:val="19"/>
                <w:color w:val="auto"/>
              </w:rPr>
            </w:pPr>
          </w:p>
        </w:tc>
        <w:tc>
          <w:tcPr>
            <w:tcW w:w="68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1.48%</w:t>
            </w:r>
          </w:p>
        </w:tc>
        <w:tc>
          <w:tcPr>
            <w:tcW w:w="800" w:type="dxa"/>
            <w:vAlign w:val="bottom"/>
            <w:tcBorders>
              <w:right w:val="single" w:sz="8" w:color="DEDEDE"/>
            </w:tcBorders>
            <w:shd w:val="clear" w:color="auto" w:fill="E0E0E0"/>
          </w:tcPr>
          <w:p>
            <w:pPr>
              <w:ind w:left="20"/>
              <w:spacing w:after="0" w:line="220" w:lineRule="exact"/>
              <w:rPr>
                <w:sz w:val="20"/>
                <w:szCs w:val="20"/>
                <w:color w:val="auto"/>
              </w:rPr>
            </w:pPr>
            <w:r>
              <w:rPr>
                <w:rFonts w:ascii="Times New Roman" w:cs="Times New Roman" w:eastAsia="Times New Roman" w:hAnsi="Times New Roman"/>
                <w:sz w:val="20"/>
                <w:szCs w:val="20"/>
                <w:color w:val="auto"/>
              </w:rPr>
              <w:t>- 4.34%</w:t>
            </w:r>
          </w:p>
        </w:tc>
        <w:tc>
          <w:tcPr>
            <w:tcW w:w="120" w:type="dxa"/>
            <w:vAlign w:val="bottom"/>
            <w:shd w:val="clear" w:color="auto" w:fill="DEDEDE"/>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Expected life (in years)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5.50</w:t>
            </w:r>
          </w:p>
        </w:tc>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- 6.25</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5.50</w:t>
            </w:r>
          </w:p>
        </w:tc>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- 6.25</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5.50</w:t>
            </w:r>
          </w:p>
        </w:tc>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- 6.44</w:t>
            </w:r>
          </w:p>
        </w:tc>
        <w:tc>
          <w:tcPr>
            <w:tcW w:w="120" w:type="dxa"/>
            <w:vAlign w:val="bottom"/>
          </w:tcPr>
          <w:p>
            <w:pPr>
              <w:spacing w:after="0"/>
              <w:rPr>
                <w:sz w:val="20"/>
                <w:szCs w:val="20"/>
                <w:color w:val="auto"/>
              </w:rPr>
            </w:pPr>
          </w:p>
        </w:tc>
      </w:tr>
      <w:tr>
        <w:trPr>
          <w:trHeight w:val="230"/>
        </w:trPr>
        <w:tc>
          <w:tcPr>
            <w:tcW w:w="45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1580" w:type="dxa"/>
            <w:vAlign w:val="bottom"/>
            <w:gridSpan w:val="2"/>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w w:val="97"/>
              </w:rPr>
              <w:t>0%</w:t>
            </w:r>
          </w:p>
        </w:tc>
        <w:tc>
          <w:tcPr>
            <w:tcW w:w="100" w:type="dxa"/>
            <w:vAlign w:val="bottom"/>
            <w:shd w:val="clear" w:color="auto" w:fill="E0E0E0"/>
          </w:tcPr>
          <w:p>
            <w:pPr>
              <w:spacing w:after="0"/>
              <w:rPr>
                <w:sz w:val="20"/>
                <w:szCs w:val="20"/>
                <w:color w:val="auto"/>
              </w:rPr>
            </w:pPr>
          </w:p>
        </w:tc>
        <w:tc>
          <w:tcPr>
            <w:tcW w:w="1500" w:type="dxa"/>
            <w:vAlign w:val="bottom"/>
            <w:gridSpan w:val="2"/>
            <w:shd w:val="clear" w:color="auto" w:fill="E0E0E0"/>
          </w:tcPr>
          <w:p>
            <w:pPr>
              <w:jc w:val="right"/>
              <w:ind w:right="520"/>
              <w:spacing w:after="0"/>
              <w:rPr>
                <w:sz w:val="20"/>
                <w:szCs w:val="20"/>
                <w:color w:val="auto"/>
              </w:rPr>
            </w:pPr>
            <w:r>
              <w:rPr>
                <w:rFonts w:ascii="Times New Roman" w:cs="Times New Roman" w:eastAsia="Times New Roman" w:hAnsi="Times New Roman"/>
                <w:sz w:val="20"/>
                <w:szCs w:val="20"/>
                <w:color w:val="auto"/>
              </w:rPr>
              <w:t>0%</w:t>
            </w:r>
          </w:p>
        </w:tc>
        <w:tc>
          <w:tcPr>
            <w:tcW w:w="80" w:type="dxa"/>
            <w:vAlign w:val="bottom"/>
            <w:shd w:val="clear" w:color="auto" w:fill="E0E0E0"/>
          </w:tcPr>
          <w:p>
            <w:pPr>
              <w:spacing w:after="0"/>
              <w:rPr>
                <w:sz w:val="20"/>
                <w:szCs w:val="20"/>
                <w:color w:val="auto"/>
              </w:rPr>
            </w:pPr>
          </w:p>
        </w:tc>
        <w:tc>
          <w:tcPr>
            <w:tcW w:w="1480" w:type="dxa"/>
            <w:vAlign w:val="bottom"/>
            <w:tcBorders>
              <w:right w:val="single" w:sz="8" w:color="DEDEDE"/>
            </w:tcBorders>
            <w:gridSpan w:val="2"/>
            <w:shd w:val="clear" w:color="auto" w:fill="E0E0E0"/>
          </w:tcPr>
          <w:p>
            <w:pPr>
              <w:jc w:val="right"/>
              <w:ind w:right="500"/>
              <w:spacing w:after="0"/>
              <w:rPr>
                <w:sz w:val="20"/>
                <w:szCs w:val="20"/>
                <w:color w:val="auto"/>
              </w:rPr>
            </w:pPr>
            <w:r>
              <w:rPr>
                <w:rFonts w:ascii="Times New Roman" w:cs="Times New Roman" w:eastAsia="Times New Roman" w:hAnsi="Times New Roman"/>
                <w:sz w:val="20"/>
                <w:szCs w:val="20"/>
                <w:color w:val="auto"/>
              </w:rPr>
              <w:t>0%</w:t>
            </w:r>
          </w:p>
        </w:tc>
        <w:tc>
          <w:tcPr>
            <w:tcW w:w="120" w:type="dxa"/>
            <w:vAlign w:val="bottom"/>
            <w:shd w:val="clear" w:color="auto" w:fill="DEDEDE"/>
          </w:tcPr>
          <w:p>
            <w:pPr>
              <w:spacing w:after="0"/>
              <w:rPr>
                <w:sz w:val="20"/>
                <w:szCs w:val="20"/>
                <w:color w:val="auto"/>
              </w:rPr>
            </w:pPr>
          </w:p>
        </w:tc>
      </w:tr>
      <w:tr>
        <w:trPr>
          <w:trHeight w:val="267"/>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85.55% - 127.07%</w:t>
            </w: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75.21%</w:t>
            </w:r>
          </w:p>
        </w:tc>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- 77.72%</w:t>
            </w:r>
          </w:p>
        </w:tc>
        <w:tc>
          <w:tcPr>
            <w:tcW w:w="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76.33%</w:t>
            </w:r>
          </w:p>
        </w:tc>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- 81.00%</w:t>
            </w:r>
          </w:p>
        </w:tc>
        <w:tc>
          <w:tcPr>
            <w:tcW w:w="1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5857875</wp:posOffset>
                </wp:positionH>
                <wp:positionV relativeFrom="paragraph">
                  <wp:posOffset>-763270</wp:posOffset>
                </wp:positionV>
                <wp:extent cx="85725"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725"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1.25pt,-60.0999pt" to="468pt,-60.0999pt" o:allowincell="f" strokecolor="#FFFFFF" strokeweight="0.48pt"/>
            </w:pict>
          </mc:Fallback>
        </mc:AlternateContent>
      </w:r>
    </w:p>
    <w:p>
      <w:pPr>
        <w:spacing w:after="0" w:line="199" w:lineRule="exact"/>
        <w:rPr>
          <w:sz w:val="20"/>
          <w:szCs w:val="20"/>
          <w:color w:val="auto"/>
        </w:rPr>
      </w:pPr>
    </w:p>
    <w:p>
      <w:pPr>
        <w:ind w:right="240" w:firstLine="619"/>
        <w:spacing w:after="0" w:line="278" w:lineRule="auto"/>
        <w:rPr>
          <w:sz w:val="20"/>
          <w:szCs w:val="20"/>
          <w:color w:val="auto"/>
        </w:rPr>
      </w:pPr>
      <w:r>
        <w:rPr>
          <w:rFonts w:ascii="Times New Roman" w:cs="Times New Roman" w:eastAsia="Times New Roman" w:hAnsi="Times New Roman"/>
          <w:sz w:val="20"/>
          <w:szCs w:val="20"/>
          <w:color w:val="auto"/>
        </w:rPr>
        <w:t>The weighted average assumptions used to estimate the fair value of stock purchase rights under the ESPP are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20" w:type="dxa"/>
            <w:vAlign w:val="bottom"/>
          </w:tcPr>
          <w:p>
            <w:pPr>
              <w:spacing w:after="0"/>
              <w:rPr>
                <w:sz w:val="17"/>
                <w:szCs w:val="17"/>
                <w:color w:val="auto"/>
              </w:rPr>
            </w:pPr>
          </w:p>
        </w:tc>
        <w:tc>
          <w:tcPr>
            <w:tcW w:w="302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 w:type="dxa"/>
            <w:vAlign w:val="bottom"/>
          </w:tcPr>
          <w:p>
            <w:pPr>
              <w:spacing w:after="0"/>
              <w:rPr>
                <w:sz w:val="17"/>
                <w:szCs w:val="17"/>
                <w:color w:val="auto"/>
              </w:rPr>
            </w:pPr>
          </w:p>
        </w:tc>
      </w:tr>
      <w:tr>
        <w:trPr>
          <w:trHeight w:val="220"/>
        </w:trPr>
        <w:tc>
          <w:tcPr>
            <w:tcW w:w="6220" w:type="dxa"/>
            <w:vAlign w:val="bottom"/>
            <w:tcBorders>
              <w:bottom w:val="single" w:sz="8" w:color="E0E0E0"/>
            </w:tcBorders>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E0E0E0"/>
            </w:tcBorders>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Borders>
              <w:bottom w:val="single" w:sz="8" w:color="DEDEDE"/>
            </w:tcBorders>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Borders>
              <w:bottom w:val="single" w:sz="8" w:color="DEDEDE"/>
            </w:tcBorders>
          </w:tcPr>
          <w:p>
            <w:pPr>
              <w:spacing w:after="0"/>
              <w:rPr>
                <w:sz w:val="19"/>
                <w:szCs w:val="19"/>
                <w:color w:val="auto"/>
              </w:rPr>
            </w:pPr>
          </w:p>
        </w:tc>
      </w:tr>
      <w:tr>
        <w:trPr>
          <w:trHeight w:val="220"/>
        </w:trPr>
        <w:tc>
          <w:tcPr>
            <w:tcW w:w="622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Risk-free interest rate</w:t>
            </w:r>
          </w:p>
        </w:tc>
        <w:tc>
          <w:tcPr>
            <w:tcW w:w="980" w:type="dxa"/>
            <w:vAlign w:val="bottom"/>
            <w:shd w:val="clear" w:color="auto" w:fill="E0E0E0"/>
          </w:tcPr>
          <w:p>
            <w:pPr>
              <w:jc w:val="center"/>
              <w:spacing w:after="0" w:line="220" w:lineRule="exact"/>
              <w:rPr>
                <w:sz w:val="20"/>
                <w:szCs w:val="20"/>
                <w:color w:val="auto"/>
              </w:rPr>
            </w:pPr>
            <w:r>
              <w:rPr>
                <w:rFonts w:ascii="Times New Roman" w:cs="Times New Roman" w:eastAsia="Times New Roman" w:hAnsi="Times New Roman"/>
                <w:sz w:val="20"/>
                <w:szCs w:val="20"/>
                <w:color w:val="auto"/>
                <w:w w:val="96"/>
              </w:rPr>
              <w:t>5.43%</w:t>
            </w:r>
          </w:p>
        </w:tc>
        <w:tc>
          <w:tcPr>
            <w:tcW w:w="1100" w:type="dxa"/>
            <w:vAlign w:val="bottom"/>
            <w:tcBorders>
              <w:right w:val="single" w:sz="8" w:color="DEDEDE"/>
            </w:tcBorders>
            <w:gridSpan w:val="2"/>
            <w:shd w:val="clear" w:color="auto" w:fill="E0E0E0"/>
          </w:tcPr>
          <w:p>
            <w:pPr>
              <w:jc w:val="center"/>
              <w:spacing w:after="0" w:line="220" w:lineRule="exact"/>
              <w:rPr>
                <w:sz w:val="20"/>
                <w:szCs w:val="20"/>
                <w:color w:val="auto"/>
              </w:rPr>
            </w:pPr>
            <w:r>
              <w:rPr>
                <w:rFonts w:ascii="Times New Roman" w:cs="Times New Roman" w:eastAsia="Times New Roman" w:hAnsi="Times New Roman"/>
                <w:sz w:val="20"/>
                <w:szCs w:val="20"/>
                <w:color w:val="auto"/>
              </w:rPr>
              <w:t>5.41%</w:t>
            </w:r>
          </w:p>
        </w:tc>
        <w:tc>
          <w:tcPr>
            <w:tcW w:w="120" w:type="dxa"/>
            <w:vAlign w:val="bottom"/>
            <w:shd w:val="clear" w:color="auto" w:fill="DEDEDE"/>
          </w:tcPr>
          <w:p>
            <w:pPr>
              <w:spacing w:after="0"/>
              <w:rPr>
                <w:sz w:val="19"/>
                <w:szCs w:val="19"/>
                <w:color w:val="auto"/>
              </w:rPr>
            </w:pPr>
          </w:p>
        </w:tc>
        <w:tc>
          <w:tcPr>
            <w:tcW w:w="820" w:type="dxa"/>
            <w:vAlign w:val="bottom"/>
            <w:shd w:val="clear" w:color="auto" w:fill="E0E0E0"/>
          </w:tcPr>
          <w:p>
            <w:pPr>
              <w:jc w:val="center"/>
              <w:spacing w:after="0" w:line="220" w:lineRule="exact"/>
              <w:rPr>
                <w:sz w:val="20"/>
                <w:szCs w:val="20"/>
                <w:color w:val="auto"/>
              </w:rPr>
            </w:pPr>
            <w:r>
              <w:rPr>
                <w:rFonts w:ascii="Times New Roman" w:cs="Times New Roman" w:eastAsia="Times New Roman" w:hAnsi="Times New Roman"/>
                <w:sz w:val="20"/>
                <w:szCs w:val="20"/>
                <w:color w:val="auto"/>
              </w:rPr>
              <w:t>3.44%</w:t>
            </w:r>
          </w:p>
        </w:tc>
        <w:tc>
          <w:tcPr>
            <w:tcW w:w="120" w:type="dxa"/>
            <w:vAlign w:val="bottom"/>
            <w:shd w:val="clear" w:color="auto" w:fill="DEDEDE"/>
          </w:tcPr>
          <w:p>
            <w:pPr>
              <w:spacing w:after="0"/>
              <w:rPr>
                <w:sz w:val="19"/>
                <w:szCs w:val="19"/>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Expected life (in years)</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0.5</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0.49</w:t>
            </w:r>
          </w:p>
        </w:tc>
        <w:tc>
          <w:tcPr>
            <w:tcW w:w="1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0.49</w:t>
            </w:r>
          </w:p>
        </w:tc>
        <w:tc>
          <w:tcPr>
            <w:tcW w:w="120" w:type="dxa"/>
            <w:vAlign w:val="bottom"/>
          </w:tcPr>
          <w:p>
            <w:pPr>
              <w:spacing w:after="0"/>
              <w:rPr>
                <w:sz w:val="20"/>
                <w:szCs w:val="20"/>
                <w:color w:val="auto"/>
              </w:rPr>
            </w:pPr>
          </w:p>
        </w:tc>
      </w:tr>
      <w:tr>
        <w:trPr>
          <w:trHeight w:val="230"/>
        </w:trPr>
        <w:tc>
          <w:tcPr>
            <w:tcW w:w="62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98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w w:val="97"/>
              </w:rPr>
              <w:t>0%</w:t>
            </w:r>
          </w:p>
        </w:tc>
        <w:tc>
          <w:tcPr>
            <w:tcW w:w="1100" w:type="dxa"/>
            <w:vAlign w:val="bottom"/>
            <w:tcBorders>
              <w:right w:val="single" w:sz="8" w:color="DEDEDE"/>
            </w:tcBorders>
            <w:gridSpan w:val="2"/>
            <w:shd w:val="clear" w:color="auto" w:fill="E0E0E0"/>
          </w:tcPr>
          <w:p>
            <w:pPr>
              <w:jc w:val="center"/>
              <w:ind w:left="20"/>
              <w:spacing w:after="0"/>
              <w:rPr>
                <w:sz w:val="20"/>
                <w:szCs w:val="20"/>
                <w:color w:val="auto"/>
              </w:rPr>
            </w:pPr>
            <w:r>
              <w:rPr>
                <w:rFonts w:ascii="Times New Roman" w:cs="Times New Roman" w:eastAsia="Times New Roman" w:hAnsi="Times New Roman"/>
                <w:sz w:val="20"/>
                <w:szCs w:val="20"/>
                <w:color w:val="auto"/>
                <w:w w:val="97"/>
              </w:rPr>
              <w:t>0%</w:t>
            </w:r>
          </w:p>
        </w:tc>
        <w:tc>
          <w:tcPr>
            <w:tcW w:w="120" w:type="dxa"/>
            <w:vAlign w:val="bottom"/>
            <w:shd w:val="clear" w:color="auto" w:fill="DEDEDE"/>
          </w:tcPr>
          <w:p>
            <w:pPr>
              <w:spacing w:after="0"/>
              <w:rPr>
                <w:sz w:val="20"/>
                <w:szCs w:val="20"/>
                <w:color w:val="auto"/>
              </w:rPr>
            </w:pPr>
          </w:p>
        </w:tc>
        <w:tc>
          <w:tcPr>
            <w:tcW w:w="82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w w:val="97"/>
              </w:rPr>
              <w:t>0%</w:t>
            </w:r>
          </w:p>
        </w:tc>
        <w:tc>
          <w:tcPr>
            <w:tcW w:w="120" w:type="dxa"/>
            <w:vAlign w:val="bottom"/>
            <w:shd w:val="clear" w:color="auto" w:fill="DEDEDE"/>
          </w:tcPr>
          <w:p>
            <w:pPr>
              <w:spacing w:after="0"/>
              <w:rPr>
                <w:sz w:val="20"/>
                <w:szCs w:val="20"/>
                <w:color w:val="auto"/>
              </w:rPr>
            </w:pPr>
          </w:p>
        </w:tc>
      </w:tr>
      <w:tr>
        <w:trPr>
          <w:trHeight w:val="267"/>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85.55%</w:t>
            </w:r>
          </w:p>
        </w:tc>
        <w:tc>
          <w:tcPr>
            <w:tcW w:w="110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76.27%</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77.00%</w:t>
            </w:r>
          </w:p>
        </w:tc>
        <w:tc>
          <w:tcPr>
            <w:tcW w:w="120" w:type="dxa"/>
            <w:vAlign w:val="bottom"/>
          </w:tcPr>
          <w:p>
            <w:pPr>
              <w:spacing w:after="0"/>
              <w:rPr>
                <w:sz w:val="23"/>
                <w:szCs w:val="23"/>
                <w:color w:val="auto"/>
              </w:rPr>
            </w:pPr>
          </w:p>
        </w:tc>
      </w:tr>
    </w:tbl>
    <w:p>
      <w:pPr>
        <w:spacing w:after="0" w:line="183" w:lineRule="exact"/>
        <w:rPr>
          <w:sz w:val="20"/>
          <w:szCs w:val="20"/>
          <w:color w:val="auto"/>
        </w:rPr>
      </w:pPr>
    </w:p>
    <w:p>
      <w:pPr>
        <w:ind w:right="200" w:firstLine="619"/>
        <w:spacing w:after="0" w:line="277" w:lineRule="auto"/>
        <w:rPr>
          <w:sz w:val="20"/>
          <w:szCs w:val="20"/>
          <w:color w:val="auto"/>
        </w:rPr>
      </w:pPr>
      <w:r>
        <w:rPr>
          <w:rFonts w:ascii="Times New Roman" w:cs="Times New Roman" w:eastAsia="Times New Roman" w:hAnsi="Times New Roman"/>
          <w:sz w:val="20"/>
          <w:szCs w:val="20"/>
          <w:color w:val="auto"/>
        </w:rPr>
        <w:t>Risk Free Interest Rate: The risk-free rate is based on the U.S. Treasury yields in effect at the time of grant for periods corresponding with the expected term of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ectPr>
          <w:pgSz w:w="12240" w:h="15840" w:orient="portrait"/>
          <w:cols w:equalWidth="0" w:num="1">
            <w:col w:w="9360"/>
          </w:cols>
          <w:pgMar w:left="1440" w:top="1412" w:right="1440" w:bottom="175" w:gutter="0" w:footer="0" w:header="0"/>
        </w:sectPr>
      </w:pPr>
    </w:p>
    <w:bookmarkStart w:id="125" w:name="page126"/>
    <w:bookmarkEnd w:id="125"/>
    <w:p>
      <w:pPr>
        <w:ind w:right="40" w:firstLine="619"/>
        <w:spacing w:after="0" w:line="277" w:lineRule="auto"/>
        <w:rPr>
          <w:sz w:val="20"/>
          <w:szCs w:val="20"/>
          <w:color w:val="auto"/>
        </w:rPr>
      </w:pPr>
      <w:r>
        <w:rPr>
          <w:rFonts w:ascii="Times New Roman" w:cs="Times New Roman" w:eastAsia="Times New Roman" w:hAnsi="Times New Roman"/>
          <w:sz w:val="20"/>
          <w:szCs w:val="20"/>
          <w:color w:val="auto"/>
        </w:rPr>
        <w:t>Expected Term: The Company uses the simplified method to calculate expected term described in the SEC’s Staff Accounting Bulletin No. 107, which takes into account vesting term and expiration date of the options.</w:t>
      </w:r>
    </w:p>
    <w:p>
      <w:pPr>
        <w:spacing w:after="0" w:line="169" w:lineRule="exact"/>
        <w:rPr>
          <w:sz w:val="20"/>
          <w:szCs w:val="20"/>
          <w:color w:val="auto"/>
        </w:rPr>
      </w:pPr>
    </w:p>
    <w:p>
      <w:pPr>
        <w:ind w:right="140" w:firstLine="619"/>
        <w:spacing w:after="0" w:line="305" w:lineRule="auto"/>
        <w:rPr>
          <w:sz w:val="20"/>
          <w:szCs w:val="20"/>
          <w:color w:val="auto"/>
        </w:rPr>
      </w:pPr>
      <w:r>
        <w:rPr>
          <w:rFonts w:ascii="Times New Roman" w:cs="Times New Roman" w:eastAsia="Times New Roman" w:hAnsi="Times New Roman"/>
          <w:sz w:val="19"/>
          <w:szCs w:val="19"/>
          <w:color w:val="auto"/>
        </w:rPr>
        <w:t>Dividend Yield: The Company has never declared or paid any cash dividends and does not plan to pay cash dividends in the foreseeable future, and therefore, used an expected dividend yield of zero in the valuation model.</w:t>
      </w:r>
    </w:p>
    <w:p>
      <w:pPr>
        <w:spacing w:after="0" w:line="144" w:lineRule="exact"/>
        <w:rPr>
          <w:sz w:val="20"/>
          <w:szCs w:val="20"/>
          <w:color w:val="auto"/>
        </w:rPr>
      </w:pPr>
    </w:p>
    <w:p>
      <w:pPr>
        <w:ind w:right="440" w:firstLine="619"/>
        <w:spacing w:after="0" w:line="278" w:lineRule="auto"/>
        <w:rPr>
          <w:sz w:val="20"/>
          <w:szCs w:val="20"/>
          <w:color w:val="auto"/>
        </w:rPr>
      </w:pPr>
      <w:r>
        <w:rPr>
          <w:rFonts w:ascii="Times New Roman" w:cs="Times New Roman" w:eastAsia="Times New Roman" w:hAnsi="Times New Roman"/>
          <w:sz w:val="20"/>
          <w:szCs w:val="20"/>
          <w:color w:val="auto"/>
        </w:rPr>
        <w:t>Volatility: Volatility is based on the historical volatility of the Company’s publicly traded shares for the expected term.</w:t>
      </w:r>
    </w:p>
    <w:p>
      <w:pPr>
        <w:spacing w:after="0" w:line="2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following table presents RSU activity under the 2020 Plan as of December 31, 2024:</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Weighted-</w:t>
            </w:r>
          </w:p>
        </w:tc>
      </w:tr>
      <w:tr>
        <w:trPr>
          <w:trHeight w:val="184"/>
        </w:trPr>
        <w:tc>
          <w:tcPr>
            <w:tcW w:w="6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184"/>
        </w:trPr>
        <w:tc>
          <w:tcPr>
            <w:tcW w:w="6540" w:type="dxa"/>
            <w:vAlign w:val="bottom"/>
          </w:tcPr>
          <w:p>
            <w:pPr>
              <w:spacing w:after="0"/>
              <w:rPr>
                <w:sz w:val="15"/>
                <w:szCs w:val="15"/>
                <w:color w:val="auto"/>
              </w:rPr>
            </w:pP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0" w:type="dxa"/>
            <w:vAlign w:val="bottom"/>
          </w:tcPr>
          <w:p>
            <w:pPr>
              <w:spacing w:after="0"/>
              <w:rPr>
                <w:sz w:val="15"/>
                <w:szCs w:val="15"/>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Grant Date Fair</w:t>
            </w:r>
          </w:p>
        </w:tc>
      </w:tr>
      <w:tr>
        <w:trPr>
          <w:trHeight w:val="203"/>
        </w:trPr>
        <w:tc>
          <w:tcPr>
            <w:tcW w:w="6540" w:type="dxa"/>
            <w:vAlign w:val="bottom"/>
            <w:tcBorders>
              <w:bottom w:val="single" w:sz="8" w:color="E0E0E0"/>
            </w:tcBorders>
          </w:tcPr>
          <w:p>
            <w:pPr>
              <w:spacing w:after="0"/>
              <w:rPr>
                <w:sz w:val="17"/>
                <w:szCs w:val="17"/>
                <w:color w:val="auto"/>
              </w:rPr>
            </w:pPr>
          </w:p>
        </w:tc>
        <w:tc>
          <w:tcPr>
            <w:tcW w:w="120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6"/>
                <w:szCs w:val="16"/>
                <w:b w:val="1"/>
                <w:bCs w:val="1"/>
                <w:color w:val="auto"/>
              </w:rPr>
              <w:t>Stock Units</w:t>
            </w:r>
          </w:p>
        </w:tc>
        <w:tc>
          <w:tcPr>
            <w:tcW w:w="22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20" w:type="dxa"/>
            <w:vAlign w:val="bottom"/>
            <w:tcBorders>
              <w:bottom w:val="single" w:sz="8" w:color="E0E0E0"/>
            </w:tcBorders>
          </w:tcPr>
          <w:p>
            <w:pPr>
              <w:spacing w:after="0"/>
              <w:rPr>
                <w:sz w:val="17"/>
                <w:szCs w:val="17"/>
                <w:color w:val="auto"/>
              </w:rPr>
            </w:pPr>
          </w:p>
        </w:tc>
      </w:tr>
      <w:tr>
        <w:trPr>
          <w:trHeight w:val="220"/>
        </w:trPr>
        <w:tc>
          <w:tcPr>
            <w:tcW w:w="654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Unvested shares December 31, 2023</w:t>
            </w:r>
          </w:p>
        </w:tc>
        <w:tc>
          <w:tcPr>
            <w:tcW w:w="120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236,296</w:t>
            </w:r>
          </w:p>
        </w:tc>
        <w:tc>
          <w:tcPr>
            <w:tcW w:w="220" w:type="dxa"/>
            <w:vAlign w:val="bottom"/>
            <w:shd w:val="clear" w:color="auto" w:fill="E0E0E0"/>
          </w:tcPr>
          <w:p>
            <w:pPr>
              <w:spacing w:after="0"/>
              <w:rPr>
                <w:sz w:val="19"/>
                <w:szCs w:val="19"/>
                <w:color w:val="auto"/>
              </w:rPr>
            </w:pPr>
          </w:p>
        </w:tc>
        <w:tc>
          <w:tcPr>
            <w:tcW w:w="180" w:type="dxa"/>
            <w:vAlign w:val="bottom"/>
            <w:gridSpan w:val="2"/>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13.62</w:t>
            </w:r>
          </w:p>
        </w:tc>
        <w:tc>
          <w:tcPr>
            <w:tcW w:w="220" w:type="dxa"/>
            <w:vAlign w:val="bottom"/>
            <w:shd w:val="clear" w:color="auto" w:fill="E0E0E0"/>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952,665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w:t>
            </w:r>
          </w:p>
        </w:tc>
        <w:tc>
          <w:tcPr>
            <w:tcW w:w="220" w:type="dxa"/>
            <w:vAlign w:val="bottom"/>
          </w:tcPr>
          <w:p>
            <w:pPr>
              <w:spacing w:after="0"/>
              <w:rPr>
                <w:sz w:val="20"/>
                <w:szCs w:val="20"/>
                <w:color w:val="auto"/>
              </w:rPr>
            </w:pPr>
          </w:p>
        </w:tc>
      </w:tr>
      <w:tr>
        <w:trPr>
          <w:trHeight w:val="230"/>
        </w:trPr>
        <w:tc>
          <w:tcPr>
            <w:tcW w:w="654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Vested</w:t>
            </w:r>
          </w:p>
        </w:tc>
        <w:tc>
          <w:tcPr>
            <w:tcW w:w="142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20"/>
                <w:szCs w:val="20"/>
                <w:color w:val="auto"/>
              </w:rPr>
              <w:t>(227,379)</w:t>
            </w:r>
          </w:p>
        </w:tc>
        <w:tc>
          <w:tcPr>
            <w:tcW w:w="20" w:type="dxa"/>
            <w:vAlign w:val="bottom"/>
            <w:shd w:val="clear" w:color="auto" w:fill="DEDEDE"/>
          </w:tcPr>
          <w:p>
            <w:pPr>
              <w:spacing w:after="0"/>
              <w:rPr>
                <w:sz w:val="20"/>
                <w:szCs w:val="20"/>
                <w:color w:val="auto"/>
              </w:rPr>
            </w:pPr>
          </w:p>
        </w:tc>
        <w:tc>
          <w:tcPr>
            <w:tcW w:w="160" w:type="dxa"/>
            <w:vAlign w:val="bottom"/>
            <w:shd w:val="clear" w:color="auto" w:fill="DEDEDE"/>
          </w:tcPr>
          <w:p>
            <w:pPr>
              <w:spacing w:after="0"/>
              <w:rPr>
                <w:sz w:val="20"/>
                <w:szCs w:val="20"/>
                <w:color w:val="auto"/>
              </w:rPr>
            </w:pPr>
          </w:p>
        </w:tc>
        <w:tc>
          <w:tcPr>
            <w:tcW w:w="10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13.62</w:t>
            </w:r>
          </w:p>
        </w:tc>
        <w:tc>
          <w:tcPr>
            <w:tcW w:w="220" w:type="dxa"/>
            <w:vAlign w:val="bottom"/>
            <w:shd w:val="clear" w:color="auto" w:fill="DEDEDE"/>
          </w:tcPr>
          <w:p>
            <w:pPr>
              <w:spacing w:after="0"/>
              <w:rPr>
                <w:sz w:val="20"/>
                <w:szCs w:val="20"/>
                <w:color w:val="auto"/>
              </w:rPr>
            </w:pPr>
          </w:p>
        </w:tc>
      </w:tr>
      <w:tr>
        <w:trPr>
          <w:trHeight w:val="229"/>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(53,916)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w:t>
            </w:r>
          </w:p>
        </w:tc>
        <w:tc>
          <w:tcPr>
            <w:tcW w:w="220" w:type="dxa"/>
            <w:vAlign w:val="bottom"/>
          </w:tcPr>
          <w:p>
            <w:pPr>
              <w:spacing w:after="0"/>
              <w:rPr>
                <w:sz w:val="19"/>
                <w:szCs w:val="19"/>
                <w:color w:val="auto"/>
              </w:rPr>
            </w:pPr>
          </w:p>
        </w:tc>
      </w:tr>
      <w:tr>
        <w:trPr>
          <w:trHeight w:val="221"/>
        </w:trPr>
        <w:tc>
          <w:tcPr>
            <w:tcW w:w="6540" w:type="dxa"/>
            <w:vAlign w:val="bottom"/>
            <w:tcBorders>
              <w:top w:val="single" w:sz="8" w:color="DEDEDE"/>
            </w:tcBorders>
            <w:shd w:val="clear" w:color="auto" w:fill="DEDEDE"/>
          </w:tcPr>
          <w:p>
            <w:pPr>
              <w:spacing w:after="0" w:line="221" w:lineRule="exact"/>
              <w:rPr>
                <w:sz w:val="20"/>
                <w:szCs w:val="20"/>
                <w:color w:val="auto"/>
              </w:rPr>
            </w:pPr>
            <w:r>
              <w:rPr>
                <w:rFonts w:ascii="Times New Roman" w:cs="Times New Roman" w:eastAsia="Times New Roman" w:hAnsi="Times New Roman"/>
                <w:sz w:val="20"/>
                <w:szCs w:val="20"/>
                <w:color w:val="auto"/>
              </w:rPr>
              <w:t>Unvested shares December 31, 2024</w:t>
            </w:r>
          </w:p>
        </w:tc>
        <w:tc>
          <w:tcPr>
            <w:tcW w:w="1200" w:type="dxa"/>
            <w:vAlign w:val="bottom"/>
            <w:tcBorders>
              <w:top w:val="single" w:sz="8" w:color="auto"/>
              <w:bottom w:val="single" w:sz="8" w:color="auto"/>
            </w:tcBorders>
            <w:shd w:val="clear" w:color="auto" w:fill="DEDEDE"/>
          </w:tcPr>
          <w:p>
            <w:pPr>
              <w:jc w:val="right"/>
              <w:spacing w:after="0" w:line="221" w:lineRule="exact"/>
              <w:rPr>
                <w:sz w:val="20"/>
                <w:szCs w:val="20"/>
                <w:color w:val="auto"/>
              </w:rPr>
            </w:pPr>
            <w:r>
              <w:rPr>
                <w:rFonts w:ascii="Times New Roman" w:cs="Times New Roman" w:eastAsia="Times New Roman" w:hAnsi="Times New Roman"/>
                <w:sz w:val="20"/>
                <w:szCs w:val="20"/>
                <w:color w:val="auto"/>
              </w:rPr>
              <w:t>907,666</w:t>
            </w:r>
          </w:p>
        </w:tc>
        <w:tc>
          <w:tcPr>
            <w:tcW w:w="220" w:type="dxa"/>
            <w:vAlign w:val="bottom"/>
            <w:tcBorders>
              <w:top w:val="single" w:sz="8" w:color="DEDEDE"/>
            </w:tcBorders>
            <w:shd w:val="clear" w:color="auto" w:fill="DEDEDE"/>
          </w:tcPr>
          <w:p>
            <w:pPr>
              <w:spacing w:after="0"/>
              <w:rPr>
                <w:sz w:val="19"/>
                <w:szCs w:val="19"/>
                <w:color w:val="auto"/>
              </w:rPr>
            </w:pPr>
          </w:p>
        </w:tc>
        <w:tc>
          <w:tcPr>
            <w:tcW w:w="20" w:type="dxa"/>
            <w:vAlign w:val="bottom"/>
            <w:tcBorders>
              <w:top w:val="single" w:sz="8" w:color="DEDEDE"/>
              <w:bottom w:val="single" w:sz="8" w:color="auto"/>
            </w:tcBorders>
            <w:shd w:val="clear" w:color="auto" w:fill="DEDEDE"/>
          </w:tcPr>
          <w:p>
            <w:pPr>
              <w:spacing w:after="0"/>
              <w:rPr>
                <w:sz w:val="19"/>
                <w:szCs w:val="19"/>
                <w:color w:val="auto"/>
              </w:rPr>
            </w:pPr>
          </w:p>
        </w:tc>
        <w:tc>
          <w:tcPr>
            <w:tcW w:w="160" w:type="dxa"/>
            <w:vAlign w:val="bottom"/>
            <w:tcBorders>
              <w:top w:val="single" w:sz="8" w:color="auto"/>
              <w:bottom w:val="single" w:sz="8" w:color="auto"/>
            </w:tcBorders>
            <w:shd w:val="clear" w:color="auto" w:fill="DEDEDE"/>
          </w:tcPr>
          <w:p>
            <w:pPr>
              <w:spacing w:after="0"/>
              <w:rPr>
                <w:sz w:val="19"/>
                <w:szCs w:val="19"/>
                <w:color w:val="auto"/>
              </w:rPr>
            </w:pPr>
          </w:p>
        </w:tc>
        <w:tc>
          <w:tcPr>
            <w:tcW w:w="1000" w:type="dxa"/>
            <w:vAlign w:val="bottom"/>
            <w:tcBorders>
              <w:top w:val="single" w:sz="8" w:color="auto"/>
              <w:bottom w:val="single" w:sz="8" w:color="auto"/>
            </w:tcBorders>
            <w:shd w:val="clear" w:color="auto" w:fill="DEDEDE"/>
          </w:tcPr>
          <w:p>
            <w:pPr>
              <w:jc w:val="right"/>
              <w:spacing w:after="0" w:line="221" w:lineRule="exact"/>
              <w:rPr>
                <w:sz w:val="20"/>
                <w:szCs w:val="20"/>
                <w:color w:val="auto"/>
              </w:rPr>
            </w:pPr>
            <w:r>
              <w:rPr>
                <w:rFonts w:ascii="Times New Roman" w:cs="Times New Roman" w:eastAsia="Times New Roman" w:hAnsi="Times New Roman"/>
                <w:sz w:val="20"/>
                <w:szCs w:val="20"/>
                <w:color w:val="auto"/>
              </w:rPr>
              <w:t>1.80</w:t>
            </w:r>
          </w:p>
        </w:tc>
        <w:tc>
          <w:tcPr>
            <w:tcW w:w="220" w:type="dxa"/>
            <w:vAlign w:val="bottom"/>
            <w:tcBorders>
              <w:top w:val="single" w:sz="8" w:color="DEDEDE"/>
            </w:tcBorders>
            <w:shd w:val="clear" w:color="auto" w:fill="DEDEDE"/>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57"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20"/>
          <w:szCs w:val="20"/>
          <w:color w:val="auto"/>
        </w:rPr>
        <w:t>As of December 31, 2024, there was $561 of unrecognized compensation cost related to RSUs that are expected to vest. These costs are expected to be recognized over a weighted average remaining vesting period of 0.5 years.</w:t>
      </w:r>
    </w:p>
    <w:p>
      <w:pPr>
        <w:spacing w:after="0" w:line="187" w:lineRule="exact"/>
        <w:rPr>
          <w:sz w:val="20"/>
          <w:szCs w:val="20"/>
          <w:color w:val="auto"/>
        </w:rPr>
      </w:pPr>
    </w:p>
    <w:p>
      <w:pPr>
        <w:ind w:right="100" w:firstLine="619"/>
        <w:spacing w:after="0" w:line="259" w:lineRule="auto"/>
        <w:rPr>
          <w:sz w:val="20"/>
          <w:szCs w:val="20"/>
          <w:color w:val="auto"/>
        </w:rPr>
      </w:pPr>
      <w:r>
        <w:rPr>
          <w:rFonts w:ascii="Times New Roman" w:cs="Times New Roman" w:eastAsia="Times New Roman" w:hAnsi="Times New Roman"/>
          <w:sz w:val="20"/>
          <w:szCs w:val="20"/>
          <w:color w:val="auto"/>
        </w:rPr>
        <w:t>Stock-based compensation expense recorded under ASC 718 related to stock options and RSUs granted and common stock issued under the 2020 ESPP were allocated to research and development and general and administrative expense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Pr>
          <w:p>
            <w:pPr>
              <w:spacing w:after="0"/>
              <w:rPr>
                <w:sz w:val="17"/>
                <w:szCs w:val="17"/>
                <w:color w:val="auto"/>
              </w:rPr>
            </w:pPr>
          </w:p>
        </w:tc>
        <w:tc>
          <w:tcPr>
            <w:tcW w:w="3280" w:type="dxa"/>
            <w:vAlign w:val="bottom"/>
            <w:gridSpan w:val="8"/>
          </w:tcPr>
          <w:p>
            <w:pPr>
              <w:ind w:left="3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0" w:type="dxa"/>
            <w:vAlign w:val="bottom"/>
          </w:tcPr>
          <w:p>
            <w:pPr>
              <w:spacing w:after="0"/>
              <w:rPr>
                <w:sz w:val="1"/>
                <w:szCs w:val="1"/>
                <w:color w:val="auto"/>
              </w:rPr>
            </w:pPr>
          </w:p>
        </w:tc>
      </w:tr>
      <w:tr>
        <w:trPr>
          <w:trHeight w:val="174"/>
        </w:trPr>
        <w:tc>
          <w:tcPr>
            <w:tcW w:w="5700" w:type="dxa"/>
            <w:vAlign w:val="bottom"/>
            <w:tcBorders>
              <w:bottom w:val="single" w:sz="8" w:color="E0E0E0"/>
            </w:tcBorders>
            <w:vMerge w:val="continue"/>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ind w:left="10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bottom w:val="single" w:sz="8" w:color="E0E0E0"/>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45"/>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top w:val="single" w:sz="8" w:color="auto"/>
              <w:bottom w:val="single" w:sz="8" w:color="E0E0E0"/>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25"/>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700" w:type="dxa"/>
            <w:vAlign w:val="bottom"/>
            <w:tcBorders>
              <w:right w:val="single" w:sz="8" w:color="E0E0E0"/>
            </w:tcBorders>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Research and development</w:t>
            </w:r>
          </w:p>
        </w:tc>
        <w:tc>
          <w:tcPr>
            <w:tcW w:w="220" w:type="dxa"/>
            <w:vAlign w:val="bottom"/>
            <w:shd w:val="clear" w:color="auto" w:fill="E0E0E0"/>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gridSpan w:val="2"/>
            <w:shd w:val="clear" w:color="auto" w:fill="E0E0E0"/>
          </w:tcPr>
          <w:p>
            <w:pPr>
              <w:ind w:left="320"/>
              <w:spacing w:after="0" w:line="220" w:lineRule="exact"/>
              <w:rPr>
                <w:sz w:val="20"/>
                <w:szCs w:val="20"/>
                <w:color w:val="auto"/>
              </w:rPr>
            </w:pPr>
            <w:r>
              <w:rPr>
                <w:rFonts w:ascii="Times New Roman" w:cs="Times New Roman" w:eastAsia="Times New Roman" w:hAnsi="Times New Roman"/>
                <w:sz w:val="20"/>
                <w:szCs w:val="20"/>
                <w:color w:val="auto"/>
              </w:rPr>
              <w:t>3,656</w:t>
            </w:r>
          </w:p>
        </w:tc>
        <w:tc>
          <w:tcPr>
            <w:tcW w:w="220" w:type="dxa"/>
            <w:vAlign w:val="bottom"/>
            <w:shd w:val="clear" w:color="auto" w:fill="E0E0E0"/>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right w:val="single" w:sz="8" w:color="E0E0E0"/>
            </w:tcBorders>
            <w:gridSpan w:val="2"/>
            <w:shd w:val="clear" w:color="auto" w:fill="E0E0E0"/>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5,518</w:t>
            </w:r>
          </w:p>
        </w:tc>
        <w:tc>
          <w:tcPr>
            <w:tcW w:w="220" w:type="dxa"/>
            <w:vAlign w:val="bottom"/>
            <w:shd w:val="clear" w:color="auto" w:fill="E0E0E0"/>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gridSpan w:val="2"/>
            <w:shd w:val="clear" w:color="auto" w:fill="E0E0E0"/>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3,466</w:t>
            </w:r>
          </w:p>
        </w:tc>
        <w:tc>
          <w:tcPr>
            <w:tcW w:w="0" w:type="dxa"/>
            <w:vAlign w:val="bottom"/>
          </w:tcPr>
          <w:p>
            <w:pPr>
              <w:spacing w:after="0"/>
              <w:rPr>
                <w:sz w:val="1"/>
                <w:szCs w:val="1"/>
                <w:color w:val="auto"/>
              </w:rPr>
            </w:pPr>
          </w:p>
        </w:tc>
      </w:tr>
      <w:tr>
        <w:trPr>
          <w:trHeight w:val="229"/>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20" w:type="dxa"/>
            <w:vAlign w:val="bottom"/>
          </w:tcPr>
          <w:p>
            <w:pPr>
              <w:spacing w:after="0"/>
              <w:rPr>
                <w:sz w:val="19"/>
                <w:szCs w:val="19"/>
                <w:color w:val="auto"/>
              </w:rPr>
            </w:pPr>
          </w:p>
        </w:tc>
        <w:tc>
          <w:tcPr>
            <w:tcW w:w="9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5,216</w:t>
            </w: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6,857</w:t>
            </w:r>
          </w:p>
        </w:tc>
        <w:tc>
          <w:tcPr>
            <w:tcW w:w="2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6,729</w:t>
            </w:r>
          </w:p>
        </w:tc>
        <w:tc>
          <w:tcPr>
            <w:tcW w:w="0" w:type="dxa"/>
            <w:vAlign w:val="bottom"/>
          </w:tcPr>
          <w:p>
            <w:pPr>
              <w:spacing w:after="0"/>
              <w:rPr>
                <w:sz w:val="1"/>
                <w:szCs w:val="1"/>
                <w:color w:val="auto"/>
              </w:rPr>
            </w:pPr>
          </w:p>
        </w:tc>
      </w:tr>
      <w:tr>
        <w:trPr>
          <w:trHeight w:val="20"/>
        </w:trPr>
        <w:tc>
          <w:tcPr>
            <w:tcW w:w="5700" w:type="dxa"/>
            <w:vAlign w:val="bottom"/>
            <w:tcBorders>
              <w:right w:val="single" w:sz="8" w:color="E0E0E0"/>
            </w:tcBorders>
            <w:shd w:val="clear" w:color="auto" w:fill="E0E0E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E0E0E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E0E0E0"/>
            </w:tcBorders>
            <w:shd w:val="clear" w:color="auto" w:fill="E0E0E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00" w:type="dxa"/>
            <w:vAlign w:val="bottom"/>
            <w:tcBorders>
              <w:right w:val="single" w:sz="8" w:color="E0E0E0"/>
            </w:tcBorders>
            <w:shd w:val="clear" w:color="auto" w:fill="E0E0E0"/>
          </w:tcPr>
          <w:p>
            <w:pPr>
              <w:ind w:left="200"/>
              <w:spacing w:after="0" w:line="221" w:lineRule="exact"/>
              <w:rPr>
                <w:sz w:val="20"/>
                <w:szCs w:val="20"/>
                <w:color w:val="auto"/>
              </w:rPr>
            </w:pPr>
            <w:r>
              <w:rPr>
                <w:rFonts w:ascii="Times New Roman" w:cs="Times New Roman" w:eastAsia="Times New Roman" w:hAnsi="Times New Roman"/>
                <w:sz w:val="20"/>
                <w:szCs w:val="20"/>
                <w:color w:val="auto"/>
              </w:rPr>
              <w:t>Total stock-based compensation</w:t>
            </w:r>
          </w:p>
        </w:tc>
        <w:tc>
          <w:tcPr>
            <w:tcW w:w="220" w:type="dxa"/>
            <w:vAlign w:val="bottom"/>
            <w:shd w:val="clear" w:color="auto" w:fill="E0E0E0"/>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gridSpan w:val="2"/>
            <w:shd w:val="clear" w:color="auto" w:fill="E0E0E0"/>
          </w:tcPr>
          <w:p>
            <w:pPr>
              <w:ind w:left="320"/>
              <w:spacing w:after="0" w:line="221" w:lineRule="exact"/>
              <w:rPr>
                <w:sz w:val="20"/>
                <w:szCs w:val="20"/>
                <w:color w:val="auto"/>
              </w:rPr>
            </w:pPr>
            <w:r>
              <w:rPr>
                <w:rFonts w:ascii="Times New Roman" w:cs="Times New Roman" w:eastAsia="Times New Roman" w:hAnsi="Times New Roman"/>
                <w:sz w:val="20"/>
                <w:szCs w:val="20"/>
                <w:color w:val="auto"/>
              </w:rPr>
              <w:t>8,872</w:t>
            </w:r>
          </w:p>
        </w:tc>
        <w:tc>
          <w:tcPr>
            <w:tcW w:w="220" w:type="dxa"/>
            <w:vAlign w:val="bottom"/>
            <w:shd w:val="clear" w:color="auto" w:fill="E0E0E0"/>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right w:val="single" w:sz="8" w:color="E0E0E0"/>
            </w:tcBorders>
            <w:gridSpan w:val="2"/>
            <w:shd w:val="clear" w:color="auto" w:fill="E0E0E0"/>
          </w:tcPr>
          <w:p>
            <w:pPr>
              <w:jc w:val="right"/>
              <w:ind w:right="220"/>
              <w:spacing w:after="0" w:line="221" w:lineRule="exact"/>
              <w:rPr>
                <w:sz w:val="20"/>
                <w:szCs w:val="20"/>
                <w:color w:val="auto"/>
              </w:rPr>
            </w:pPr>
            <w:r>
              <w:rPr>
                <w:rFonts w:ascii="Times New Roman" w:cs="Times New Roman" w:eastAsia="Times New Roman" w:hAnsi="Times New Roman"/>
                <w:sz w:val="20"/>
                <w:szCs w:val="20"/>
                <w:color w:val="auto"/>
              </w:rPr>
              <w:t>12,375</w:t>
            </w:r>
          </w:p>
        </w:tc>
        <w:tc>
          <w:tcPr>
            <w:tcW w:w="220" w:type="dxa"/>
            <w:vAlign w:val="bottom"/>
            <w:shd w:val="clear" w:color="auto" w:fill="E0E0E0"/>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gridSpan w:val="2"/>
            <w:shd w:val="clear" w:color="auto" w:fill="E0E0E0"/>
          </w:tcPr>
          <w:p>
            <w:pPr>
              <w:jc w:val="right"/>
              <w:ind w:right="100"/>
              <w:spacing w:after="0" w:line="221" w:lineRule="exact"/>
              <w:rPr>
                <w:sz w:val="20"/>
                <w:szCs w:val="20"/>
                <w:color w:val="auto"/>
              </w:rPr>
            </w:pPr>
            <w:r>
              <w:rPr>
                <w:rFonts w:ascii="Times New Roman" w:cs="Times New Roman" w:eastAsia="Times New Roman" w:hAnsi="Times New Roman"/>
                <w:sz w:val="20"/>
                <w:szCs w:val="20"/>
                <w:color w:val="auto"/>
              </w:rPr>
              <w:t>10,195</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ind w:right="80" w:firstLine="619"/>
        <w:spacing w:after="0" w:line="278" w:lineRule="auto"/>
        <w:rPr>
          <w:sz w:val="20"/>
          <w:szCs w:val="20"/>
          <w:color w:val="auto"/>
        </w:rPr>
      </w:pPr>
      <w:r>
        <w:rPr>
          <w:rFonts w:ascii="Times New Roman" w:cs="Times New Roman" w:eastAsia="Times New Roman" w:hAnsi="Times New Roman"/>
          <w:sz w:val="20"/>
          <w:szCs w:val="20"/>
          <w:color w:val="auto"/>
        </w:rPr>
        <w:t>Stock-based compensation expense by award type included within the consolidated statements of operations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Pr>
          <w:p>
            <w:pPr>
              <w:spacing w:after="0"/>
              <w:rPr>
                <w:sz w:val="17"/>
                <w:szCs w:val="17"/>
                <w:color w:val="auto"/>
              </w:rPr>
            </w:pPr>
          </w:p>
        </w:tc>
        <w:tc>
          <w:tcPr>
            <w:tcW w:w="3280" w:type="dxa"/>
            <w:vAlign w:val="bottom"/>
            <w:gridSpan w:val="9"/>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0" w:type="dxa"/>
            <w:vAlign w:val="bottom"/>
          </w:tcPr>
          <w:p>
            <w:pPr>
              <w:spacing w:after="0"/>
              <w:rPr>
                <w:sz w:val="1"/>
                <w:szCs w:val="1"/>
                <w:color w:val="auto"/>
              </w:rPr>
            </w:pPr>
          </w:p>
        </w:tc>
      </w:tr>
      <w:tr>
        <w:trPr>
          <w:trHeight w:val="174"/>
        </w:trPr>
        <w:tc>
          <w:tcPr>
            <w:tcW w:w="5700" w:type="dxa"/>
            <w:vAlign w:val="bottom"/>
            <w:gridSpan w:val="2"/>
            <w:vMerge w:val="continue"/>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47"/>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44"/>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24"/>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7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Stock options</w:t>
            </w:r>
          </w:p>
        </w:tc>
        <w:tc>
          <w:tcPr>
            <w:tcW w:w="220" w:type="dxa"/>
            <w:vAlign w:val="bottom"/>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6,732</w:t>
            </w:r>
          </w:p>
        </w:tc>
        <w:tc>
          <w:tcPr>
            <w:tcW w:w="240" w:type="dxa"/>
            <w:vAlign w:val="bottom"/>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9,745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9,174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Borders>
              <w:right w:val="single" w:sz="8" w:color="E0E0E0"/>
            </w:tcBorders>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Restricted stock units</w:t>
            </w:r>
          </w:p>
        </w:tc>
        <w:tc>
          <w:tcPr>
            <w:tcW w:w="220" w:type="dxa"/>
            <w:vAlign w:val="bottom"/>
            <w:shd w:val="clear" w:color="auto" w:fill="E0E0E0"/>
          </w:tcPr>
          <w:p>
            <w:pPr>
              <w:spacing w:after="0"/>
              <w:rPr>
                <w:sz w:val="20"/>
                <w:szCs w:val="20"/>
                <w:color w:val="auto"/>
              </w:rPr>
            </w:pPr>
          </w:p>
        </w:tc>
        <w:tc>
          <w:tcPr>
            <w:tcW w:w="1000" w:type="dxa"/>
            <w:vAlign w:val="bottom"/>
            <w:tcBorders>
              <w:right w:val="single" w:sz="8" w:color="E0E0E0"/>
            </w:tcBorders>
            <w:gridSpan w:val="2"/>
            <w:shd w:val="clear" w:color="auto" w:fill="E0E0E0"/>
          </w:tcPr>
          <w:p>
            <w:pPr>
              <w:jc w:val="right"/>
              <w:ind w:right="240"/>
              <w:spacing w:after="0"/>
              <w:rPr>
                <w:sz w:val="20"/>
                <w:szCs w:val="20"/>
                <w:color w:val="auto"/>
              </w:rPr>
            </w:pPr>
            <w:r>
              <w:rPr>
                <w:rFonts w:ascii="Times New Roman" w:cs="Times New Roman" w:eastAsia="Times New Roman" w:hAnsi="Times New Roman"/>
                <w:sz w:val="20"/>
                <w:szCs w:val="20"/>
                <w:color w:val="auto"/>
              </w:rPr>
              <w:t>1,939</w:t>
            </w:r>
          </w:p>
        </w:tc>
        <w:tc>
          <w:tcPr>
            <w:tcW w:w="200" w:type="dxa"/>
            <w:vAlign w:val="bottom"/>
            <w:shd w:val="clear" w:color="auto" w:fill="DEDEDE"/>
          </w:tcPr>
          <w:p>
            <w:pPr>
              <w:spacing w:after="0"/>
              <w:rPr>
                <w:sz w:val="20"/>
                <w:szCs w:val="20"/>
                <w:color w:val="auto"/>
              </w:rPr>
            </w:pPr>
          </w:p>
        </w:tc>
        <w:tc>
          <w:tcPr>
            <w:tcW w:w="86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20"/>
                <w:szCs w:val="20"/>
                <w:color w:val="auto"/>
              </w:rPr>
              <w:t>2,413</w:t>
            </w:r>
          </w:p>
        </w:tc>
        <w:tc>
          <w:tcPr>
            <w:tcW w:w="140" w:type="dxa"/>
            <w:vAlign w:val="bottom"/>
            <w:tcBorders>
              <w:right w:val="single" w:sz="8" w:color="E0E0E0"/>
            </w:tcBorders>
            <w:shd w:val="clear" w:color="auto" w:fill="E0E0E0"/>
          </w:tcPr>
          <w:p>
            <w:pPr>
              <w:spacing w:after="0"/>
              <w:rPr>
                <w:sz w:val="20"/>
                <w:szCs w:val="20"/>
                <w:color w:val="auto"/>
              </w:rPr>
            </w:pPr>
          </w:p>
        </w:tc>
        <w:tc>
          <w:tcPr>
            <w:tcW w:w="220" w:type="dxa"/>
            <w:vAlign w:val="bottom"/>
            <w:shd w:val="clear" w:color="auto" w:fill="DEDEDE"/>
          </w:tcPr>
          <w:p>
            <w:pPr>
              <w:spacing w:after="0"/>
              <w:rPr>
                <w:sz w:val="20"/>
                <w:szCs w:val="20"/>
                <w:color w:val="auto"/>
              </w:rPr>
            </w:pPr>
          </w:p>
        </w:tc>
        <w:tc>
          <w:tcPr>
            <w:tcW w:w="86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20"/>
                <w:szCs w:val="20"/>
                <w:color w:val="auto"/>
              </w:rPr>
              <w:t>790</w:t>
            </w:r>
          </w:p>
        </w:tc>
        <w:tc>
          <w:tcPr>
            <w:tcW w:w="0" w:type="dxa"/>
            <w:vAlign w:val="bottom"/>
          </w:tcPr>
          <w:p>
            <w:pPr>
              <w:spacing w:after="0"/>
              <w:rPr>
                <w:sz w:val="1"/>
                <w:szCs w:val="1"/>
                <w:color w:val="auto"/>
              </w:rPr>
            </w:pPr>
          </w:p>
        </w:tc>
      </w:tr>
      <w:tr>
        <w:trPr>
          <w:trHeight w:val="229"/>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Employee stock purchase plan</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201</w:t>
            </w:r>
          </w:p>
        </w:tc>
        <w:tc>
          <w:tcPr>
            <w:tcW w:w="2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217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231</w:t>
            </w:r>
          </w:p>
        </w:tc>
        <w:tc>
          <w:tcPr>
            <w:tcW w:w="0" w:type="dxa"/>
            <w:vAlign w:val="bottom"/>
          </w:tcPr>
          <w:p>
            <w:pPr>
              <w:spacing w:after="0"/>
              <w:rPr>
                <w:sz w:val="1"/>
                <w:szCs w:val="1"/>
                <w:color w:val="auto"/>
              </w:rPr>
            </w:pPr>
          </w:p>
        </w:tc>
      </w:tr>
      <w:tr>
        <w:trPr>
          <w:trHeight w:val="20"/>
        </w:trPr>
        <w:tc>
          <w:tcPr>
            <w:tcW w:w="5560" w:type="dxa"/>
            <w:vAlign w:val="bottom"/>
            <w:shd w:val="clear" w:color="auto" w:fill="E0E0E0"/>
          </w:tcPr>
          <w:p>
            <w:pPr>
              <w:spacing w:after="0" w:line="20" w:lineRule="exact"/>
              <w:rPr>
                <w:sz w:val="1"/>
                <w:szCs w:val="1"/>
                <w:color w:val="auto"/>
              </w:rPr>
            </w:pPr>
          </w:p>
        </w:tc>
        <w:tc>
          <w:tcPr>
            <w:tcW w:w="140" w:type="dxa"/>
            <w:vAlign w:val="bottom"/>
            <w:tcBorders>
              <w:right w:val="single" w:sz="8" w:color="DEDEDE"/>
            </w:tcBorders>
            <w:shd w:val="clear" w:color="auto" w:fill="DEDEDE"/>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Borders>
              <w:right w:val="single" w:sz="8" w:color="E0E0E0"/>
            </w:tcBorders>
            <w:shd w:val="clear" w:color="auto" w:fill="E0E0E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E0E0E0"/>
          </w:tcPr>
          <w:p>
            <w:pPr>
              <w:spacing w:after="0" w:line="20" w:lineRule="exact"/>
              <w:rPr>
                <w:sz w:val="1"/>
                <w:szCs w:val="1"/>
                <w:color w:val="auto"/>
              </w:rPr>
            </w:pPr>
          </w:p>
        </w:tc>
        <w:tc>
          <w:tcPr>
            <w:tcW w:w="140" w:type="dxa"/>
            <w:vAlign w:val="bottom"/>
            <w:tcBorders>
              <w:right w:val="single" w:sz="8" w:color="E0E0E0"/>
            </w:tcBorders>
            <w:shd w:val="clear" w:color="auto" w:fill="E0E0E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60" w:type="dxa"/>
            <w:vAlign w:val="bottom"/>
            <w:shd w:val="clear" w:color="auto" w:fill="E0E0E0"/>
          </w:tcPr>
          <w:p>
            <w:pPr>
              <w:ind w:left="200"/>
              <w:spacing w:after="0" w:line="221" w:lineRule="exact"/>
              <w:rPr>
                <w:sz w:val="20"/>
                <w:szCs w:val="20"/>
                <w:color w:val="auto"/>
              </w:rPr>
            </w:pPr>
            <w:r>
              <w:rPr>
                <w:rFonts w:ascii="Times New Roman" w:cs="Times New Roman" w:eastAsia="Times New Roman" w:hAnsi="Times New Roman"/>
                <w:sz w:val="20"/>
                <w:szCs w:val="20"/>
                <w:color w:val="auto"/>
              </w:rPr>
              <w:t>Total stock-based compensation</w:t>
            </w:r>
          </w:p>
        </w:tc>
        <w:tc>
          <w:tcPr>
            <w:tcW w:w="140" w:type="dxa"/>
            <w:vAlign w:val="bottom"/>
            <w:tcBorders>
              <w:right w:val="single" w:sz="8" w:color="DEDEDE"/>
            </w:tcBorders>
            <w:shd w:val="clear" w:color="auto" w:fill="DEDEDE"/>
          </w:tcPr>
          <w:p>
            <w:pPr>
              <w:spacing w:after="0"/>
              <w:rPr>
                <w:sz w:val="19"/>
                <w:szCs w:val="19"/>
                <w:color w:val="auto"/>
              </w:rPr>
            </w:pPr>
          </w:p>
        </w:tc>
        <w:tc>
          <w:tcPr>
            <w:tcW w:w="220" w:type="dxa"/>
            <w:vAlign w:val="bottom"/>
            <w:shd w:val="clear" w:color="auto" w:fill="E0E0E0"/>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right w:val="single" w:sz="8" w:color="E0E0E0"/>
            </w:tcBorders>
            <w:gridSpan w:val="2"/>
            <w:shd w:val="clear" w:color="auto" w:fill="E0E0E0"/>
          </w:tcPr>
          <w:p>
            <w:pPr>
              <w:jc w:val="right"/>
              <w:ind w:right="240"/>
              <w:spacing w:after="0" w:line="221" w:lineRule="exact"/>
              <w:rPr>
                <w:sz w:val="20"/>
                <w:szCs w:val="20"/>
                <w:color w:val="auto"/>
              </w:rPr>
            </w:pPr>
            <w:r>
              <w:rPr>
                <w:rFonts w:ascii="Times New Roman" w:cs="Times New Roman" w:eastAsia="Times New Roman" w:hAnsi="Times New Roman"/>
                <w:sz w:val="20"/>
                <w:szCs w:val="20"/>
                <w:color w:val="auto"/>
              </w:rPr>
              <w:t>8,872</w:t>
            </w:r>
          </w:p>
        </w:tc>
        <w:tc>
          <w:tcPr>
            <w:tcW w:w="200" w:type="dxa"/>
            <w:vAlign w:val="bottom"/>
            <w:shd w:val="clear" w:color="auto" w:fill="E0E0E0"/>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E0E0E0"/>
          </w:tcPr>
          <w:p>
            <w:pPr>
              <w:jc w:val="right"/>
              <w:ind w:right="80"/>
              <w:spacing w:after="0" w:line="221" w:lineRule="exact"/>
              <w:rPr>
                <w:sz w:val="20"/>
                <w:szCs w:val="20"/>
                <w:color w:val="auto"/>
              </w:rPr>
            </w:pPr>
            <w:r>
              <w:rPr>
                <w:rFonts w:ascii="Times New Roman" w:cs="Times New Roman" w:eastAsia="Times New Roman" w:hAnsi="Times New Roman"/>
                <w:sz w:val="20"/>
                <w:szCs w:val="20"/>
                <w:color w:val="auto"/>
              </w:rPr>
              <w:t>12,375</w:t>
            </w:r>
          </w:p>
        </w:tc>
        <w:tc>
          <w:tcPr>
            <w:tcW w:w="360" w:type="dxa"/>
            <w:vAlign w:val="bottom"/>
            <w:gridSpan w:val="2"/>
            <w:shd w:val="clear" w:color="auto" w:fill="E0E0E0"/>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shd w:val="clear" w:color="auto" w:fill="E0E0E0"/>
          </w:tcPr>
          <w:p>
            <w:pPr>
              <w:jc w:val="right"/>
              <w:ind w:right="100"/>
              <w:spacing w:after="0" w:line="221" w:lineRule="exact"/>
              <w:rPr>
                <w:sz w:val="20"/>
                <w:szCs w:val="20"/>
                <w:color w:val="auto"/>
              </w:rPr>
            </w:pPr>
            <w:r>
              <w:rPr>
                <w:rFonts w:ascii="Times New Roman" w:cs="Times New Roman" w:eastAsia="Times New Roman" w:hAnsi="Times New Roman"/>
                <w:sz w:val="20"/>
                <w:szCs w:val="20"/>
                <w:color w:val="auto"/>
              </w:rPr>
              <w:t>10,195</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ectPr>
          <w:pgSz w:w="12240" w:h="15840" w:orient="portrait"/>
          <w:cols w:equalWidth="0" w:num="1">
            <w:col w:w="9360"/>
          </w:cols>
          <w:pgMar w:left="1440" w:top="1420" w:right="1440" w:bottom="175"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b w:val="1"/>
          <w:bCs w:val="1"/>
          <w:i w:val="1"/>
          <w:iCs w:val="1"/>
          <w:color w:val="auto"/>
        </w:rPr>
        <w:t>9. Income Taxes</w:t>
      </w:r>
    </w:p>
    <w:p>
      <w:pPr>
        <w:spacing w:after="0" w:line="119" w:lineRule="exact"/>
        <w:rPr>
          <w:sz w:val="20"/>
          <w:szCs w:val="20"/>
          <w:color w:val="auto"/>
        </w:rPr>
      </w:pPr>
    </w:p>
    <w:p>
      <w:pPr>
        <w:ind w:right="260" w:firstLine="619"/>
        <w:spacing w:after="0" w:line="278" w:lineRule="auto"/>
        <w:rPr>
          <w:sz w:val="20"/>
          <w:szCs w:val="20"/>
          <w:color w:val="auto"/>
        </w:rPr>
      </w:pPr>
      <w:r>
        <w:rPr>
          <w:rFonts w:ascii="Times New Roman" w:cs="Times New Roman" w:eastAsia="Times New Roman" w:hAnsi="Times New Roman"/>
          <w:sz w:val="20"/>
          <w:szCs w:val="20"/>
          <w:color w:val="auto"/>
        </w:rPr>
        <w:t>The income tax (benefit) provision for the years ended December 31, 2024, 2023, and 2022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11"/>
          </w:tcPr>
          <w:p>
            <w:pPr>
              <w:ind w:left="80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4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DEDEDE"/>
            </w:tcBorders>
          </w:tcPr>
          <w:p>
            <w:pPr>
              <w:spacing w:after="0"/>
              <w:rPr>
                <w:sz w:val="18"/>
                <w:szCs w:val="18"/>
                <w:color w:val="auto"/>
              </w:rPr>
            </w:pPr>
          </w:p>
        </w:tc>
        <w:tc>
          <w:tcPr>
            <w:tcW w:w="20" w:type="dxa"/>
            <w:vAlign w:val="bottom"/>
            <w:tcBorders>
              <w:bottom w:val="single" w:sz="8" w:color="DEDEDE"/>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DEDEDE"/>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DEDEDE"/>
            </w:tcBorders>
          </w:tcPr>
          <w:p>
            <w:pPr>
              <w:spacing w:after="0"/>
              <w:rPr>
                <w:sz w:val="18"/>
                <w:szCs w:val="18"/>
                <w:color w:val="auto"/>
              </w:rPr>
            </w:pPr>
          </w:p>
        </w:tc>
      </w:tr>
      <w:tr>
        <w:trPr>
          <w:trHeight w:val="214"/>
        </w:trPr>
        <w:tc>
          <w:tcPr>
            <w:tcW w:w="4900" w:type="dxa"/>
            <w:vAlign w:val="bottom"/>
            <w:tcBorders>
              <w:top w:val="single" w:sz="8" w:color="DEDEDE"/>
            </w:tcBorders>
            <w:shd w:val="clear" w:color="auto" w:fill="DEDEDE"/>
          </w:tcPr>
          <w:p>
            <w:pPr>
              <w:spacing w:after="0" w:line="214" w:lineRule="exact"/>
              <w:rPr>
                <w:sz w:val="20"/>
                <w:szCs w:val="20"/>
                <w:color w:val="auto"/>
              </w:rPr>
            </w:pPr>
            <w:r>
              <w:rPr>
                <w:rFonts w:ascii="Times New Roman" w:cs="Times New Roman" w:eastAsia="Times New Roman" w:hAnsi="Times New Roman"/>
                <w:sz w:val="20"/>
                <w:szCs w:val="20"/>
                <w:color w:val="auto"/>
              </w:rPr>
              <w:t>Current:</w:t>
            </w:r>
          </w:p>
        </w:tc>
        <w:tc>
          <w:tcPr>
            <w:tcW w:w="140" w:type="dxa"/>
            <w:vAlign w:val="bottom"/>
            <w:tcBorders>
              <w:top w:val="single" w:sz="8" w:color="DEDEDE"/>
            </w:tcBorders>
            <w:shd w:val="clear" w:color="auto" w:fill="DEDEDE"/>
          </w:tcPr>
          <w:p>
            <w:pPr>
              <w:spacing w:after="0"/>
              <w:rPr>
                <w:sz w:val="18"/>
                <w:szCs w:val="18"/>
                <w:color w:val="auto"/>
              </w:rPr>
            </w:pPr>
          </w:p>
        </w:tc>
        <w:tc>
          <w:tcPr>
            <w:tcW w:w="120" w:type="dxa"/>
            <w:vAlign w:val="bottom"/>
            <w:tcBorders>
              <w:top w:val="single" w:sz="8" w:color="DEDEDE"/>
            </w:tcBorders>
            <w:shd w:val="clear" w:color="auto" w:fill="DEDEDE"/>
          </w:tcPr>
          <w:p>
            <w:pPr>
              <w:spacing w:after="0"/>
              <w:rPr>
                <w:sz w:val="18"/>
                <w:szCs w:val="18"/>
                <w:color w:val="auto"/>
              </w:rPr>
            </w:pPr>
          </w:p>
        </w:tc>
        <w:tc>
          <w:tcPr>
            <w:tcW w:w="1140" w:type="dxa"/>
            <w:vAlign w:val="bottom"/>
            <w:tcBorders>
              <w:top w:val="single" w:sz="8" w:color="DEDEDE"/>
            </w:tcBorders>
            <w:shd w:val="clear" w:color="auto" w:fill="DEDEDE"/>
          </w:tcPr>
          <w:p>
            <w:pPr>
              <w:spacing w:after="0"/>
              <w:rPr>
                <w:sz w:val="18"/>
                <w:szCs w:val="18"/>
                <w:color w:val="auto"/>
              </w:rPr>
            </w:pPr>
          </w:p>
        </w:tc>
        <w:tc>
          <w:tcPr>
            <w:tcW w:w="60" w:type="dxa"/>
            <w:vAlign w:val="bottom"/>
            <w:tcBorders>
              <w:top w:val="single" w:sz="8" w:color="DEDEDE"/>
            </w:tcBorders>
            <w:shd w:val="clear" w:color="auto" w:fill="DEDEDE"/>
          </w:tcPr>
          <w:p>
            <w:pPr>
              <w:spacing w:after="0"/>
              <w:rPr>
                <w:sz w:val="18"/>
                <w:szCs w:val="18"/>
                <w:color w:val="auto"/>
              </w:rPr>
            </w:pPr>
          </w:p>
        </w:tc>
        <w:tc>
          <w:tcPr>
            <w:tcW w:w="2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DEDEDE"/>
            </w:tcBorders>
            <w:shd w:val="clear" w:color="auto" w:fill="DEDEDE"/>
          </w:tcPr>
          <w:p>
            <w:pPr>
              <w:spacing w:after="0"/>
              <w:rPr>
                <w:sz w:val="18"/>
                <w:szCs w:val="18"/>
                <w:color w:val="auto"/>
              </w:rPr>
            </w:pPr>
          </w:p>
        </w:tc>
        <w:tc>
          <w:tcPr>
            <w:tcW w:w="2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DEDEDE"/>
            </w:tcBorders>
            <w:shd w:val="clear" w:color="auto" w:fill="DEDEDE"/>
          </w:tcPr>
          <w:p>
            <w:pPr>
              <w:spacing w:after="0"/>
              <w:rPr>
                <w:sz w:val="18"/>
                <w:szCs w:val="18"/>
                <w:color w:val="auto"/>
              </w:rPr>
            </w:pPr>
          </w:p>
        </w:tc>
        <w:tc>
          <w:tcPr>
            <w:tcW w:w="1140" w:type="dxa"/>
            <w:vAlign w:val="bottom"/>
            <w:tcBorders>
              <w:top w:val="single" w:sz="8" w:color="DEDEDE"/>
            </w:tcBorders>
            <w:shd w:val="clear" w:color="auto" w:fill="DEDEDE"/>
          </w:tcPr>
          <w:p>
            <w:pPr>
              <w:spacing w:after="0"/>
              <w:rPr>
                <w:sz w:val="18"/>
                <w:szCs w:val="18"/>
                <w:color w:val="auto"/>
              </w:rPr>
            </w:pPr>
          </w:p>
        </w:tc>
        <w:tc>
          <w:tcPr>
            <w:tcW w:w="8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DEDEDE"/>
            </w:tcBorders>
            <w:shd w:val="clear" w:color="auto" w:fill="DEDEDE"/>
          </w:tcPr>
          <w:p>
            <w:pPr>
              <w:spacing w:after="0"/>
              <w:rPr>
                <w:sz w:val="18"/>
                <w:szCs w:val="18"/>
                <w:color w:val="auto"/>
              </w:rPr>
            </w:pPr>
          </w:p>
        </w:tc>
        <w:tc>
          <w:tcPr>
            <w:tcW w:w="120" w:type="dxa"/>
            <w:vAlign w:val="bottom"/>
            <w:tcBorders>
              <w:top w:val="single" w:sz="8" w:color="DEDEDE"/>
            </w:tcBorders>
            <w:shd w:val="clear" w:color="auto" w:fill="DEDEDE"/>
          </w:tcPr>
          <w:p>
            <w:pPr>
              <w:spacing w:after="0"/>
              <w:rPr>
                <w:sz w:val="18"/>
                <w:szCs w:val="18"/>
                <w:color w:val="auto"/>
              </w:rPr>
            </w:pPr>
          </w:p>
        </w:tc>
        <w:tc>
          <w:tcPr>
            <w:tcW w:w="280" w:type="dxa"/>
            <w:vAlign w:val="bottom"/>
            <w:tcBorders>
              <w:top w:val="single" w:sz="8" w:color="DEDEDE"/>
            </w:tcBorders>
            <w:shd w:val="clear" w:color="auto" w:fill="DEDEDE"/>
          </w:tcPr>
          <w:p>
            <w:pPr>
              <w:spacing w:after="0"/>
              <w:rPr>
                <w:sz w:val="18"/>
                <w:szCs w:val="18"/>
                <w:color w:val="auto"/>
              </w:rPr>
            </w:pPr>
          </w:p>
        </w:tc>
        <w:tc>
          <w:tcPr>
            <w:tcW w:w="860" w:type="dxa"/>
            <w:vAlign w:val="bottom"/>
            <w:tcBorders>
              <w:top w:val="single" w:sz="8" w:color="DEDEDE"/>
            </w:tcBorders>
            <w:shd w:val="clear" w:color="auto" w:fill="DEDEDE"/>
          </w:tcPr>
          <w:p>
            <w:pPr>
              <w:spacing w:after="0"/>
              <w:rPr>
                <w:sz w:val="18"/>
                <w:szCs w:val="18"/>
                <w:color w:val="auto"/>
              </w:rPr>
            </w:pPr>
          </w:p>
        </w:tc>
        <w:tc>
          <w:tcPr>
            <w:tcW w:w="80" w:type="dxa"/>
            <w:vAlign w:val="bottom"/>
            <w:tcBorders>
              <w:top w:val="single" w:sz="8" w:color="DEDEDE"/>
            </w:tcBorders>
            <w:shd w:val="clear" w:color="auto" w:fill="DEDEDE"/>
          </w:tcPr>
          <w:p>
            <w:pPr>
              <w:spacing w:after="0"/>
              <w:rPr>
                <w:sz w:val="18"/>
                <w:szCs w:val="18"/>
                <w:color w:val="auto"/>
              </w:rPr>
            </w:pPr>
          </w:p>
        </w:tc>
      </w:tr>
      <w:tr>
        <w:trPr>
          <w:trHeight w:val="244"/>
        </w:trPr>
        <w:tc>
          <w:tcPr>
            <w:tcW w:w="4900" w:type="dxa"/>
            <w:vAlign w:val="bottom"/>
            <w:tcBorders>
              <w:bottom w:val="single" w:sz="8" w:color="DEDEDE"/>
            </w:tcBorders>
          </w:tcPr>
          <w:p>
            <w:pPr>
              <w:ind w:left="100"/>
              <w:spacing w:after="0"/>
              <w:rPr>
                <w:sz w:val="20"/>
                <w:szCs w:val="20"/>
                <w:color w:val="auto"/>
              </w:rPr>
            </w:pPr>
            <w:r>
              <w:rPr>
                <w:rFonts w:ascii="Times New Roman" w:cs="Times New Roman" w:eastAsia="Times New Roman" w:hAnsi="Times New Roman"/>
                <w:sz w:val="20"/>
                <w:szCs w:val="20"/>
                <w:color w:val="auto"/>
              </w:rPr>
              <w:t>Federal</w:t>
            </w:r>
          </w:p>
        </w:tc>
        <w:tc>
          <w:tcPr>
            <w:tcW w:w="260" w:type="dxa"/>
            <w:vAlign w:val="bottom"/>
            <w:tcBorders>
              <w:bottom w:val="single" w:sz="8" w:color="DEDEDE"/>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DEDEDE"/>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DEDEDE"/>
            </w:tcBorders>
          </w:tcPr>
          <w:p>
            <w:pPr>
              <w:spacing w:after="0"/>
              <w:rPr>
                <w:sz w:val="21"/>
                <w:szCs w:val="21"/>
                <w:color w:val="auto"/>
              </w:rPr>
            </w:pPr>
          </w:p>
        </w:tc>
        <w:tc>
          <w:tcPr>
            <w:tcW w:w="280" w:type="dxa"/>
            <w:vAlign w:val="bottom"/>
            <w:tcBorders>
              <w:bottom w:val="single" w:sz="8" w:color="DEDEDE"/>
            </w:tcBorders>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DEDEDE"/>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bottom w:val="single" w:sz="8" w:color="DEDEDE"/>
            </w:tcBorders>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Borders>
              <w:bottom w:val="single" w:sz="8" w:color="DEDEDE"/>
            </w:tcBorders>
          </w:tcPr>
          <w:p>
            <w:pPr>
              <w:spacing w:after="0"/>
              <w:rPr>
                <w:sz w:val="21"/>
                <w:szCs w:val="21"/>
                <w:color w:val="auto"/>
              </w:rPr>
            </w:pPr>
          </w:p>
        </w:tc>
        <w:tc>
          <w:tcPr>
            <w:tcW w:w="860" w:type="dxa"/>
            <w:vAlign w:val="bottom"/>
            <w:tcBorders>
              <w:bottom w:val="single" w:sz="8" w:color="DEDEDE"/>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DEDEDE"/>
            </w:tcBorders>
          </w:tcPr>
          <w:p>
            <w:pPr>
              <w:spacing w:after="0"/>
              <w:rPr>
                <w:sz w:val="21"/>
                <w:szCs w:val="21"/>
                <w:color w:val="auto"/>
              </w:rPr>
            </w:pPr>
          </w:p>
        </w:tc>
      </w:tr>
      <w:tr>
        <w:trPr>
          <w:trHeight w:val="224"/>
        </w:trPr>
        <w:tc>
          <w:tcPr>
            <w:tcW w:w="4900" w:type="dxa"/>
            <w:vAlign w:val="bottom"/>
            <w:shd w:val="clear" w:color="auto" w:fill="DEDEDE"/>
          </w:tcPr>
          <w:p>
            <w:pPr>
              <w:ind w:left="100"/>
              <w:spacing w:after="0" w:line="224" w:lineRule="exact"/>
              <w:rPr>
                <w:sz w:val="20"/>
                <w:szCs w:val="20"/>
                <w:color w:val="auto"/>
              </w:rPr>
            </w:pPr>
            <w:r>
              <w:rPr>
                <w:rFonts w:ascii="Times New Roman" w:cs="Times New Roman" w:eastAsia="Times New Roman" w:hAnsi="Times New Roman"/>
                <w:sz w:val="20"/>
                <w:szCs w:val="20"/>
                <w:color w:val="auto"/>
              </w:rPr>
              <w:t>State</w:t>
            </w:r>
          </w:p>
        </w:tc>
        <w:tc>
          <w:tcPr>
            <w:tcW w:w="14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1140" w:type="dxa"/>
            <w:vAlign w:val="bottom"/>
            <w:shd w:val="clear" w:color="auto" w:fill="DEDEDE"/>
          </w:tcPr>
          <w:p>
            <w:pPr>
              <w:jc w:val="right"/>
              <w:spacing w:after="0" w:line="224" w:lineRule="exact"/>
              <w:rPr>
                <w:sz w:val="20"/>
                <w:szCs w:val="20"/>
                <w:color w:val="auto"/>
              </w:rPr>
            </w:pPr>
            <w:r>
              <w:rPr>
                <w:rFonts w:ascii="Times New Roman" w:cs="Times New Roman" w:eastAsia="Times New Roman" w:hAnsi="Times New Roman"/>
                <w:sz w:val="20"/>
                <w:szCs w:val="20"/>
                <w:color w:val="auto"/>
              </w:rPr>
              <w:t>(16,170</w:t>
            </w:r>
          </w:p>
        </w:tc>
        <w:tc>
          <w:tcPr>
            <w:tcW w:w="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1140" w:type="dxa"/>
            <w:vAlign w:val="bottom"/>
            <w:shd w:val="clear" w:color="auto" w:fill="DEDEDE"/>
          </w:tcPr>
          <w:p>
            <w:pPr>
              <w:jc w:val="right"/>
              <w:spacing w:after="0" w:line="224" w:lineRule="exact"/>
              <w:rPr>
                <w:sz w:val="20"/>
                <w:szCs w:val="20"/>
                <w:color w:val="auto"/>
              </w:rPr>
            </w:pPr>
            <w:r>
              <w:rPr>
                <w:rFonts w:ascii="Times New Roman" w:cs="Times New Roman" w:eastAsia="Times New Roman" w:hAnsi="Times New Roman"/>
                <w:sz w:val="20"/>
                <w:szCs w:val="20"/>
                <w:color w:val="auto"/>
              </w:rPr>
              <w:t>2</w:t>
            </w:r>
          </w:p>
        </w:tc>
        <w:tc>
          <w:tcPr>
            <w:tcW w:w="80" w:type="dxa"/>
            <w:vAlign w:val="bottom"/>
            <w:shd w:val="clear" w:color="auto" w:fill="DEDEDE"/>
          </w:tcPr>
          <w:p>
            <w:pPr>
              <w:spacing w:after="0"/>
              <w:rPr>
                <w:sz w:val="19"/>
                <w:szCs w:val="19"/>
                <w:color w:val="auto"/>
              </w:rPr>
            </w:pPr>
          </w:p>
        </w:tc>
        <w:tc>
          <w:tcPr>
            <w:tcW w:w="16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280" w:type="dxa"/>
            <w:vAlign w:val="bottom"/>
            <w:shd w:val="clear" w:color="auto" w:fill="DEDEDE"/>
          </w:tcPr>
          <w:p>
            <w:pPr>
              <w:spacing w:after="0"/>
              <w:rPr>
                <w:sz w:val="19"/>
                <w:szCs w:val="19"/>
                <w:color w:val="auto"/>
              </w:rPr>
            </w:pPr>
          </w:p>
        </w:tc>
        <w:tc>
          <w:tcPr>
            <w:tcW w:w="860" w:type="dxa"/>
            <w:vAlign w:val="bottom"/>
            <w:shd w:val="clear" w:color="auto" w:fill="DEDEDE"/>
          </w:tcPr>
          <w:p>
            <w:pPr>
              <w:jc w:val="right"/>
              <w:spacing w:after="0" w:line="224" w:lineRule="exact"/>
              <w:rPr>
                <w:sz w:val="20"/>
                <w:szCs w:val="20"/>
                <w:color w:val="auto"/>
              </w:rPr>
            </w:pPr>
            <w:r>
              <w:rPr>
                <w:rFonts w:ascii="Times New Roman" w:cs="Times New Roman" w:eastAsia="Times New Roman" w:hAnsi="Times New Roman"/>
                <w:sz w:val="20"/>
                <w:szCs w:val="20"/>
                <w:color w:val="auto"/>
              </w:rPr>
              <w:t>(9</w:t>
            </w:r>
          </w:p>
        </w:tc>
        <w:tc>
          <w:tcPr>
            <w:tcW w:w="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70"/>
        </w:trPr>
        <w:tc>
          <w:tcPr>
            <w:tcW w:w="4900" w:type="dxa"/>
            <w:vAlign w:val="bottom"/>
            <w:tcBorders>
              <w:bottom w:val="single" w:sz="8" w:color="E0E0E0"/>
            </w:tcBorders>
          </w:tcPr>
          <w:p>
            <w:pPr>
              <w:ind w:left="100"/>
              <w:spacing w:after="0"/>
              <w:rPr>
                <w:sz w:val="20"/>
                <w:szCs w:val="20"/>
                <w:color w:val="auto"/>
              </w:rPr>
            </w:pPr>
            <w:r>
              <w:rPr>
                <w:rFonts w:ascii="Times New Roman" w:cs="Times New Roman" w:eastAsia="Times New Roman" w:hAnsi="Times New Roman"/>
                <w:sz w:val="20"/>
                <w:szCs w:val="20"/>
                <w:color w:val="auto"/>
              </w:rPr>
              <w:t>Foreign</w:t>
            </w:r>
          </w:p>
        </w:tc>
        <w:tc>
          <w:tcPr>
            <w:tcW w:w="140" w:type="dxa"/>
            <w:vAlign w:val="bottom"/>
            <w:tcBorders>
              <w:bottom w:val="single" w:sz="8" w:color="E0E0E0"/>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60" w:type="dxa"/>
            <w:vAlign w:val="bottom"/>
            <w:tcBorders>
              <w:bottom w:val="single" w:sz="8" w:color="E0E0E0"/>
            </w:tcBorders>
          </w:tcPr>
          <w:p>
            <w:pPr>
              <w:spacing w:after="0"/>
              <w:rPr>
                <w:sz w:val="23"/>
                <w:szCs w:val="23"/>
                <w:color w:val="auto"/>
              </w:rPr>
            </w:pPr>
          </w:p>
        </w:tc>
        <w:tc>
          <w:tcPr>
            <w:tcW w:w="20" w:type="dxa"/>
            <w:vAlign w:val="bottom"/>
            <w:tcBorders>
              <w:bottom w:val="single" w:sz="8" w:color="E0E0E0"/>
            </w:tcBorders>
          </w:tcPr>
          <w:p>
            <w:pPr>
              <w:spacing w:after="0"/>
              <w:rPr>
                <w:sz w:val="23"/>
                <w:szCs w:val="23"/>
                <w:color w:val="auto"/>
              </w:rPr>
            </w:pPr>
          </w:p>
        </w:tc>
        <w:tc>
          <w:tcPr>
            <w:tcW w:w="140" w:type="dxa"/>
            <w:vAlign w:val="bottom"/>
            <w:tcBorders>
              <w:bottom w:val="single" w:sz="8" w:color="E0E0E0"/>
            </w:tcBorders>
          </w:tcPr>
          <w:p>
            <w:pPr>
              <w:spacing w:after="0"/>
              <w:rPr>
                <w:sz w:val="23"/>
                <w:szCs w:val="23"/>
                <w:color w:val="auto"/>
              </w:rPr>
            </w:pPr>
          </w:p>
        </w:tc>
        <w:tc>
          <w:tcPr>
            <w:tcW w:w="20" w:type="dxa"/>
            <w:vAlign w:val="bottom"/>
            <w:tcBorders>
              <w:bottom w:val="single" w:sz="8" w:color="E0E0E0"/>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0E0E0"/>
            </w:tcBorders>
          </w:tcPr>
          <w:p>
            <w:pPr>
              <w:spacing w:after="0"/>
              <w:rPr>
                <w:sz w:val="23"/>
                <w:szCs w:val="23"/>
                <w:color w:val="auto"/>
              </w:rPr>
            </w:pPr>
          </w:p>
        </w:tc>
        <w:tc>
          <w:tcPr>
            <w:tcW w:w="160" w:type="dxa"/>
            <w:vAlign w:val="bottom"/>
            <w:tcBorders>
              <w:bottom w:val="single" w:sz="8" w:color="E0E0E0"/>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0E0E0"/>
            </w:tcBorders>
          </w:tcPr>
          <w:p>
            <w:pPr>
              <w:spacing w:after="0"/>
              <w:rPr>
                <w:sz w:val="23"/>
                <w:szCs w:val="23"/>
                <w:color w:val="auto"/>
              </w:rPr>
            </w:pPr>
          </w:p>
        </w:tc>
      </w:tr>
      <w:tr>
        <w:trPr>
          <w:trHeight w:val="213"/>
        </w:trPr>
        <w:tc>
          <w:tcPr>
            <w:tcW w:w="4900" w:type="dxa"/>
            <w:vAlign w:val="bottom"/>
            <w:tcBorders>
              <w:top w:val="single" w:sz="8" w:color="E0E0E0"/>
            </w:tcBorders>
            <w:shd w:val="clear" w:color="auto" w:fill="E0E0E0"/>
          </w:tcPr>
          <w:p>
            <w:pPr>
              <w:ind w:left="200"/>
              <w:spacing w:after="0" w:line="213" w:lineRule="exact"/>
              <w:rPr>
                <w:sz w:val="20"/>
                <w:szCs w:val="20"/>
                <w:color w:val="auto"/>
              </w:rPr>
            </w:pPr>
            <w:r>
              <w:rPr>
                <w:rFonts w:ascii="Times New Roman" w:cs="Times New Roman" w:eastAsia="Times New Roman" w:hAnsi="Times New Roman"/>
                <w:sz w:val="20"/>
                <w:szCs w:val="20"/>
                <w:color w:val="auto"/>
              </w:rPr>
              <w:t>Total current</w:t>
            </w:r>
          </w:p>
        </w:tc>
        <w:tc>
          <w:tcPr>
            <w:tcW w:w="140" w:type="dxa"/>
            <w:vAlign w:val="bottom"/>
            <w:tcBorders>
              <w:top w:val="single" w:sz="8" w:color="E0E0E0"/>
            </w:tcBorders>
            <w:shd w:val="clear" w:color="auto" w:fill="E0E0E0"/>
          </w:tcPr>
          <w:p>
            <w:pPr>
              <w:spacing w:after="0"/>
              <w:rPr>
                <w:sz w:val="18"/>
                <w:szCs w:val="18"/>
                <w:color w:val="auto"/>
              </w:rPr>
            </w:pPr>
          </w:p>
        </w:tc>
        <w:tc>
          <w:tcPr>
            <w:tcW w:w="120" w:type="dxa"/>
            <w:vAlign w:val="bottom"/>
            <w:tcBorders>
              <w:top w:val="single" w:sz="8" w:color="E0E0E0"/>
              <w:bottom w:val="single" w:sz="8" w:color="auto"/>
            </w:tcBorders>
            <w:shd w:val="clear" w:color="auto" w:fill="E0E0E0"/>
          </w:tcPr>
          <w:p>
            <w:pPr>
              <w:spacing w:after="0"/>
              <w:rPr>
                <w:sz w:val="18"/>
                <w:szCs w:val="18"/>
                <w:color w:val="auto"/>
              </w:rPr>
            </w:pPr>
          </w:p>
        </w:tc>
        <w:tc>
          <w:tcPr>
            <w:tcW w:w="1140" w:type="dxa"/>
            <w:vAlign w:val="bottom"/>
            <w:tcBorders>
              <w:top w:val="single" w:sz="8" w:color="E0E0E0"/>
              <w:bottom w:val="single" w:sz="8" w:color="auto"/>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rPr>
              <w:t>(16,100</w:t>
            </w:r>
          </w:p>
        </w:tc>
        <w:tc>
          <w:tcPr>
            <w:tcW w:w="60" w:type="dxa"/>
            <w:vAlign w:val="bottom"/>
            <w:tcBorders>
              <w:top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20" w:type="dxa"/>
            <w:vAlign w:val="bottom"/>
            <w:tcBorders>
              <w:top w:val="single" w:sz="8" w:color="E0E0E0"/>
            </w:tcBorders>
            <w:shd w:val="clear" w:color="auto" w:fill="E0E0E0"/>
          </w:tcPr>
          <w:p>
            <w:pPr>
              <w:spacing w:after="0"/>
              <w:rPr>
                <w:sz w:val="18"/>
                <w:szCs w:val="18"/>
                <w:color w:val="auto"/>
              </w:rPr>
            </w:pPr>
          </w:p>
        </w:tc>
        <w:tc>
          <w:tcPr>
            <w:tcW w:w="14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bottom w:val="single" w:sz="8" w:color="auto"/>
            </w:tcBorders>
            <w:shd w:val="clear" w:color="auto" w:fill="E0E0E0"/>
          </w:tcPr>
          <w:p>
            <w:pPr>
              <w:spacing w:after="0"/>
              <w:rPr>
                <w:sz w:val="18"/>
                <w:szCs w:val="18"/>
                <w:color w:val="auto"/>
              </w:rPr>
            </w:pPr>
          </w:p>
        </w:tc>
        <w:tc>
          <w:tcPr>
            <w:tcW w:w="1140" w:type="dxa"/>
            <w:vAlign w:val="bottom"/>
            <w:tcBorders>
              <w:top w:val="single" w:sz="8" w:color="E0E0E0"/>
              <w:bottom w:val="single" w:sz="8" w:color="auto"/>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rPr>
              <w:t>2</w:t>
            </w:r>
          </w:p>
        </w:tc>
        <w:tc>
          <w:tcPr>
            <w:tcW w:w="80" w:type="dxa"/>
            <w:vAlign w:val="bottom"/>
            <w:tcBorders>
              <w:top w:val="single" w:sz="8" w:color="E0E0E0"/>
            </w:tcBorders>
            <w:shd w:val="clear" w:color="auto" w:fill="E0E0E0"/>
          </w:tcPr>
          <w:p>
            <w:pPr>
              <w:spacing w:after="0"/>
              <w:rPr>
                <w:sz w:val="18"/>
                <w:szCs w:val="18"/>
                <w:color w:val="auto"/>
              </w:rPr>
            </w:pPr>
          </w:p>
        </w:tc>
        <w:tc>
          <w:tcPr>
            <w:tcW w:w="160" w:type="dxa"/>
            <w:vAlign w:val="bottom"/>
            <w:tcBorders>
              <w:top w:val="single" w:sz="8" w:color="E0E0E0"/>
            </w:tcBorders>
            <w:shd w:val="clear" w:color="auto" w:fill="E0E0E0"/>
          </w:tcPr>
          <w:p>
            <w:pPr>
              <w:spacing w:after="0"/>
              <w:rPr>
                <w:sz w:val="18"/>
                <w:szCs w:val="18"/>
                <w:color w:val="auto"/>
              </w:rPr>
            </w:pPr>
          </w:p>
        </w:tc>
        <w:tc>
          <w:tcPr>
            <w:tcW w:w="120" w:type="dxa"/>
            <w:vAlign w:val="bottom"/>
            <w:tcBorders>
              <w:top w:val="single" w:sz="8" w:color="E0E0E0"/>
              <w:bottom w:val="single" w:sz="8" w:color="auto"/>
            </w:tcBorders>
            <w:shd w:val="clear" w:color="auto" w:fill="E0E0E0"/>
          </w:tcPr>
          <w:p>
            <w:pPr>
              <w:spacing w:after="0"/>
              <w:rPr>
                <w:sz w:val="18"/>
                <w:szCs w:val="18"/>
                <w:color w:val="auto"/>
              </w:rPr>
            </w:pPr>
          </w:p>
        </w:tc>
        <w:tc>
          <w:tcPr>
            <w:tcW w:w="280" w:type="dxa"/>
            <w:vAlign w:val="bottom"/>
            <w:tcBorders>
              <w:top w:val="single" w:sz="8" w:color="E0E0E0"/>
              <w:bottom w:val="single" w:sz="8" w:color="auto"/>
            </w:tcBorders>
            <w:shd w:val="clear" w:color="auto" w:fill="E0E0E0"/>
          </w:tcPr>
          <w:p>
            <w:pPr>
              <w:spacing w:after="0"/>
              <w:rPr>
                <w:sz w:val="18"/>
                <w:szCs w:val="18"/>
                <w:color w:val="auto"/>
              </w:rPr>
            </w:pPr>
          </w:p>
        </w:tc>
        <w:tc>
          <w:tcPr>
            <w:tcW w:w="860" w:type="dxa"/>
            <w:vAlign w:val="bottom"/>
            <w:tcBorders>
              <w:top w:val="single" w:sz="8" w:color="E0E0E0"/>
              <w:bottom w:val="single" w:sz="8" w:color="auto"/>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rPr>
              <w:t>(9</w:t>
            </w:r>
          </w:p>
        </w:tc>
        <w:tc>
          <w:tcPr>
            <w:tcW w:w="80" w:type="dxa"/>
            <w:vAlign w:val="bottom"/>
            <w:tcBorders>
              <w:top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r>
      <w:tr>
        <w:trPr>
          <w:trHeight w:val="234"/>
        </w:trPr>
        <w:tc>
          <w:tcPr>
            <w:tcW w:w="490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Deferred:</w:t>
            </w:r>
          </w:p>
        </w:tc>
        <w:tc>
          <w:tcPr>
            <w:tcW w:w="140" w:type="dxa"/>
            <w:vAlign w:val="bottom"/>
            <w:tcBorders>
              <w:bottom w:val="single" w:sz="8" w:color="E0E0E0"/>
            </w:tcBorders>
          </w:tcPr>
          <w:p>
            <w:pPr>
              <w:spacing w:after="0"/>
              <w:rPr>
                <w:sz w:val="20"/>
                <w:szCs w:val="20"/>
                <w:color w:val="auto"/>
              </w:rPr>
            </w:pPr>
          </w:p>
        </w:tc>
        <w:tc>
          <w:tcPr>
            <w:tcW w:w="120" w:type="dxa"/>
            <w:vAlign w:val="bottom"/>
            <w:tcBorders>
              <w:bottom w:val="single" w:sz="8" w:color="E0E0E0"/>
            </w:tcBorders>
          </w:tcPr>
          <w:p>
            <w:pPr>
              <w:spacing w:after="0"/>
              <w:rPr>
                <w:sz w:val="20"/>
                <w:szCs w:val="20"/>
                <w:color w:val="auto"/>
              </w:rPr>
            </w:pPr>
          </w:p>
        </w:tc>
        <w:tc>
          <w:tcPr>
            <w:tcW w:w="1140" w:type="dxa"/>
            <w:vAlign w:val="bottom"/>
            <w:tcBorders>
              <w:bottom w:val="single" w:sz="8" w:color="E0E0E0"/>
            </w:tcBorders>
          </w:tcPr>
          <w:p>
            <w:pPr>
              <w:spacing w:after="0"/>
              <w:rPr>
                <w:sz w:val="20"/>
                <w:szCs w:val="20"/>
                <w:color w:val="auto"/>
              </w:rPr>
            </w:pPr>
          </w:p>
        </w:tc>
        <w:tc>
          <w:tcPr>
            <w:tcW w:w="60" w:type="dxa"/>
            <w:vAlign w:val="bottom"/>
            <w:tcBorders>
              <w:bottom w:val="single" w:sz="8" w:color="E0E0E0"/>
            </w:tcBorders>
          </w:tcPr>
          <w:p>
            <w:pPr>
              <w:spacing w:after="0"/>
              <w:rPr>
                <w:sz w:val="20"/>
                <w:szCs w:val="20"/>
                <w:color w:val="auto"/>
              </w:rPr>
            </w:pPr>
          </w:p>
        </w:tc>
        <w:tc>
          <w:tcPr>
            <w:tcW w:w="20" w:type="dxa"/>
            <w:vAlign w:val="bottom"/>
            <w:tcBorders>
              <w:bottom w:val="single" w:sz="8" w:color="E0E0E0"/>
            </w:tcBorders>
          </w:tcPr>
          <w:p>
            <w:pPr>
              <w:spacing w:after="0"/>
              <w:rPr>
                <w:sz w:val="20"/>
                <w:szCs w:val="20"/>
                <w:color w:val="auto"/>
              </w:rPr>
            </w:pPr>
          </w:p>
        </w:tc>
        <w:tc>
          <w:tcPr>
            <w:tcW w:w="140" w:type="dxa"/>
            <w:vAlign w:val="bottom"/>
            <w:tcBorders>
              <w:bottom w:val="single" w:sz="8" w:color="E0E0E0"/>
            </w:tcBorders>
          </w:tcPr>
          <w:p>
            <w:pPr>
              <w:spacing w:after="0"/>
              <w:rPr>
                <w:sz w:val="20"/>
                <w:szCs w:val="20"/>
                <w:color w:val="auto"/>
              </w:rPr>
            </w:pPr>
          </w:p>
        </w:tc>
        <w:tc>
          <w:tcPr>
            <w:tcW w:w="20" w:type="dxa"/>
            <w:vAlign w:val="bottom"/>
            <w:tcBorders>
              <w:bottom w:val="single" w:sz="8" w:color="E0E0E0"/>
            </w:tcBorders>
          </w:tcPr>
          <w:p>
            <w:pPr>
              <w:spacing w:after="0"/>
              <w:rPr>
                <w:sz w:val="20"/>
                <w:szCs w:val="20"/>
                <w:color w:val="auto"/>
              </w:rPr>
            </w:pPr>
          </w:p>
        </w:tc>
        <w:tc>
          <w:tcPr>
            <w:tcW w:w="100" w:type="dxa"/>
            <w:vAlign w:val="bottom"/>
            <w:tcBorders>
              <w:bottom w:val="single" w:sz="8" w:color="E0E0E0"/>
            </w:tcBorders>
          </w:tcPr>
          <w:p>
            <w:pPr>
              <w:spacing w:after="0"/>
              <w:rPr>
                <w:sz w:val="20"/>
                <w:szCs w:val="20"/>
                <w:color w:val="auto"/>
              </w:rPr>
            </w:pPr>
          </w:p>
        </w:tc>
        <w:tc>
          <w:tcPr>
            <w:tcW w:w="1140" w:type="dxa"/>
            <w:vAlign w:val="bottom"/>
            <w:tcBorders>
              <w:bottom w:val="single" w:sz="8" w:color="E0E0E0"/>
            </w:tcBorders>
          </w:tcPr>
          <w:p>
            <w:pPr>
              <w:spacing w:after="0"/>
              <w:rPr>
                <w:sz w:val="20"/>
                <w:szCs w:val="20"/>
                <w:color w:val="auto"/>
              </w:rPr>
            </w:pPr>
          </w:p>
        </w:tc>
        <w:tc>
          <w:tcPr>
            <w:tcW w:w="80" w:type="dxa"/>
            <w:vAlign w:val="bottom"/>
            <w:tcBorders>
              <w:bottom w:val="single" w:sz="8" w:color="E0E0E0"/>
            </w:tcBorders>
          </w:tcPr>
          <w:p>
            <w:pPr>
              <w:spacing w:after="0"/>
              <w:rPr>
                <w:sz w:val="20"/>
                <w:szCs w:val="20"/>
                <w:color w:val="auto"/>
              </w:rPr>
            </w:pPr>
          </w:p>
        </w:tc>
        <w:tc>
          <w:tcPr>
            <w:tcW w:w="160" w:type="dxa"/>
            <w:vAlign w:val="bottom"/>
            <w:tcBorders>
              <w:bottom w:val="single" w:sz="8" w:color="E0E0E0"/>
            </w:tcBorders>
          </w:tcPr>
          <w:p>
            <w:pPr>
              <w:spacing w:after="0"/>
              <w:rPr>
                <w:sz w:val="20"/>
                <w:szCs w:val="20"/>
                <w:color w:val="auto"/>
              </w:rPr>
            </w:pPr>
          </w:p>
        </w:tc>
        <w:tc>
          <w:tcPr>
            <w:tcW w:w="120" w:type="dxa"/>
            <w:vAlign w:val="bottom"/>
            <w:tcBorders>
              <w:bottom w:val="single" w:sz="8" w:color="E0E0E0"/>
            </w:tcBorders>
          </w:tcPr>
          <w:p>
            <w:pPr>
              <w:spacing w:after="0"/>
              <w:rPr>
                <w:sz w:val="20"/>
                <w:szCs w:val="20"/>
                <w:color w:val="auto"/>
              </w:rPr>
            </w:pPr>
          </w:p>
        </w:tc>
        <w:tc>
          <w:tcPr>
            <w:tcW w:w="280" w:type="dxa"/>
            <w:vAlign w:val="bottom"/>
            <w:tcBorders>
              <w:bottom w:val="single" w:sz="8" w:color="E0E0E0"/>
            </w:tcBorders>
          </w:tcPr>
          <w:p>
            <w:pPr>
              <w:spacing w:after="0"/>
              <w:rPr>
                <w:sz w:val="20"/>
                <w:szCs w:val="20"/>
                <w:color w:val="auto"/>
              </w:rPr>
            </w:pPr>
          </w:p>
        </w:tc>
        <w:tc>
          <w:tcPr>
            <w:tcW w:w="860" w:type="dxa"/>
            <w:vAlign w:val="bottom"/>
            <w:tcBorders>
              <w:bottom w:val="single" w:sz="8" w:color="E0E0E0"/>
            </w:tcBorders>
          </w:tcPr>
          <w:p>
            <w:pPr>
              <w:spacing w:after="0"/>
              <w:rPr>
                <w:sz w:val="20"/>
                <w:szCs w:val="20"/>
                <w:color w:val="auto"/>
              </w:rPr>
            </w:pPr>
          </w:p>
        </w:tc>
        <w:tc>
          <w:tcPr>
            <w:tcW w:w="80" w:type="dxa"/>
            <w:vAlign w:val="bottom"/>
            <w:tcBorders>
              <w:bottom w:val="single" w:sz="8" w:color="E0E0E0"/>
            </w:tcBorders>
          </w:tcPr>
          <w:p>
            <w:pPr>
              <w:spacing w:after="0"/>
              <w:rPr>
                <w:sz w:val="20"/>
                <w:szCs w:val="20"/>
                <w:color w:val="auto"/>
              </w:rPr>
            </w:pPr>
          </w:p>
        </w:tc>
      </w:tr>
      <w:tr>
        <w:trPr>
          <w:trHeight w:val="224"/>
        </w:trPr>
        <w:tc>
          <w:tcPr>
            <w:tcW w:w="4900" w:type="dxa"/>
            <w:vAlign w:val="bottom"/>
            <w:shd w:val="clear" w:color="auto" w:fill="E0E0E0"/>
          </w:tcPr>
          <w:p>
            <w:pPr>
              <w:ind w:left="100"/>
              <w:spacing w:after="0" w:line="224" w:lineRule="exact"/>
              <w:rPr>
                <w:sz w:val="20"/>
                <w:szCs w:val="20"/>
                <w:color w:val="auto"/>
              </w:rPr>
            </w:pPr>
            <w:r>
              <w:rPr>
                <w:rFonts w:ascii="Times New Roman" w:cs="Times New Roman" w:eastAsia="Times New Roman" w:hAnsi="Times New Roman"/>
                <w:sz w:val="20"/>
                <w:szCs w:val="20"/>
                <w:color w:val="auto"/>
              </w:rPr>
              <w:t>Federal</w:t>
            </w:r>
          </w:p>
        </w:tc>
        <w:tc>
          <w:tcPr>
            <w:tcW w:w="140" w:type="dxa"/>
            <w:vAlign w:val="bottom"/>
            <w:shd w:val="clear" w:color="auto" w:fill="E0E0E0"/>
          </w:tcPr>
          <w:p>
            <w:pPr>
              <w:spacing w:after="0"/>
              <w:rPr>
                <w:sz w:val="19"/>
                <w:szCs w:val="19"/>
                <w:color w:val="auto"/>
              </w:rPr>
            </w:pPr>
          </w:p>
        </w:tc>
        <w:tc>
          <w:tcPr>
            <w:tcW w:w="12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4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4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shd w:val="clear" w:color="auto" w:fill="E0E0E0"/>
          </w:tcPr>
          <w:p>
            <w:pPr>
              <w:spacing w:after="0"/>
              <w:rPr>
                <w:sz w:val="19"/>
                <w:szCs w:val="19"/>
                <w:color w:val="auto"/>
              </w:rPr>
            </w:pPr>
          </w:p>
        </w:tc>
        <w:tc>
          <w:tcPr>
            <w:tcW w:w="12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280" w:type="dxa"/>
            <w:vAlign w:val="bottom"/>
            <w:shd w:val="clear" w:color="auto" w:fill="E0E0E0"/>
          </w:tcPr>
          <w:p>
            <w:pPr>
              <w:spacing w:after="0"/>
              <w:rPr>
                <w:sz w:val="19"/>
                <w:szCs w:val="19"/>
                <w:color w:val="auto"/>
              </w:rPr>
            </w:pPr>
          </w:p>
        </w:tc>
        <w:tc>
          <w:tcPr>
            <w:tcW w:w="86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0E0E0"/>
          </w:tcPr>
          <w:p>
            <w:pPr>
              <w:spacing w:after="0"/>
              <w:rPr>
                <w:sz w:val="19"/>
                <w:szCs w:val="19"/>
                <w:color w:val="auto"/>
              </w:rPr>
            </w:pPr>
          </w:p>
        </w:tc>
      </w:tr>
      <w:tr>
        <w:trPr>
          <w:trHeight w:val="244"/>
        </w:trPr>
        <w:tc>
          <w:tcPr>
            <w:tcW w:w="4900" w:type="dxa"/>
            <w:vAlign w:val="bottom"/>
            <w:tcBorders>
              <w:bottom w:val="single" w:sz="8" w:color="E0E0E0"/>
            </w:tcBorders>
          </w:tcPr>
          <w:p>
            <w:pPr>
              <w:ind w:left="100"/>
              <w:spacing w:after="0"/>
              <w:rPr>
                <w:sz w:val="20"/>
                <w:szCs w:val="20"/>
                <w:color w:val="auto"/>
              </w:rPr>
            </w:pPr>
            <w:r>
              <w:rPr>
                <w:rFonts w:ascii="Times New Roman" w:cs="Times New Roman" w:eastAsia="Times New Roman" w:hAnsi="Times New Roman"/>
                <w:sz w:val="20"/>
                <w:szCs w:val="20"/>
                <w:color w:val="auto"/>
              </w:rPr>
              <w:t>State</w:t>
            </w:r>
          </w:p>
        </w:tc>
        <w:tc>
          <w:tcPr>
            <w:tcW w:w="14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11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4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1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0E0E0"/>
            </w:tcBorders>
          </w:tcPr>
          <w:p>
            <w:pPr>
              <w:spacing w:after="0"/>
              <w:rPr>
                <w:sz w:val="21"/>
                <w:szCs w:val="21"/>
                <w:color w:val="auto"/>
              </w:rPr>
            </w:pPr>
          </w:p>
        </w:tc>
        <w:tc>
          <w:tcPr>
            <w:tcW w:w="16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280" w:type="dxa"/>
            <w:vAlign w:val="bottom"/>
            <w:tcBorders>
              <w:bottom w:val="single" w:sz="8" w:color="E0E0E0"/>
            </w:tcBorders>
          </w:tcPr>
          <w:p>
            <w:pPr>
              <w:spacing w:after="0"/>
              <w:rPr>
                <w:sz w:val="21"/>
                <w:szCs w:val="21"/>
                <w:color w:val="auto"/>
              </w:rPr>
            </w:pPr>
          </w:p>
        </w:tc>
        <w:tc>
          <w:tcPr>
            <w:tcW w:w="8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0E0E0"/>
            </w:tcBorders>
          </w:tcPr>
          <w:p>
            <w:pPr>
              <w:spacing w:after="0"/>
              <w:rPr>
                <w:sz w:val="21"/>
                <w:szCs w:val="21"/>
                <w:color w:val="auto"/>
              </w:rPr>
            </w:pPr>
          </w:p>
        </w:tc>
      </w:tr>
      <w:tr>
        <w:trPr>
          <w:trHeight w:val="225"/>
        </w:trPr>
        <w:tc>
          <w:tcPr>
            <w:tcW w:w="4900" w:type="dxa"/>
            <w:vAlign w:val="bottom"/>
            <w:shd w:val="clear" w:color="auto" w:fill="E0E0E0"/>
          </w:tcPr>
          <w:p>
            <w:pPr>
              <w:ind w:left="100"/>
              <w:spacing w:after="0" w:line="225" w:lineRule="exact"/>
              <w:rPr>
                <w:sz w:val="20"/>
                <w:szCs w:val="20"/>
                <w:color w:val="auto"/>
              </w:rPr>
            </w:pPr>
            <w:r>
              <w:rPr>
                <w:rFonts w:ascii="Times New Roman" w:cs="Times New Roman" w:eastAsia="Times New Roman" w:hAnsi="Times New Roman"/>
                <w:sz w:val="20"/>
                <w:szCs w:val="20"/>
                <w:color w:val="auto"/>
              </w:rPr>
              <w:t>Foreign</w:t>
            </w:r>
          </w:p>
        </w:tc>
        <w:tc>
          <w:tcPr>
            <w:tcW w:w="140" w:type="dxa"/>
            <w:vAlign w:val="bottom"/>
            <w:shd w:val="clear" w:color="auto" w:fill="E0E0E0"/>
          </w:tcPr>
          <w:p>
            <w:pPr>
              <w:spacing w:after="0"/>
              <w:rPr>
                <w:sz w:val="19"/>
                <w:szCs w:val="19"/>
                <w:color w:val="auto"/>
              </w:rPr>
            </w:pPr>
          </w:p>
        </w:tc>
        <w:tc>
          <w:tcPr>
            <w:tcW w:w="120" w:type="dxa"/>
            <w:vAlign w:val="bottom"/>
            <w:tcBorders>
              <w:bottom w:val="single" w:sz="8" w:color="auto"/>
            </w:tcBorders>
            <w:shd w:val="clear" w:color="auto" w:fill="E0E0E0"/>
          </w:tcPr>
          <w:p>
            <w:pPr>
              <w:spacing w:after="0"/>
              <w:rPr>
                <w:sz w:val="19"/>
                <w:szCs w:val="19"/>
                <w:color w:val="auto"/>
              </w:rPr>
            </w:pPr>
          </w:p>
        </w:tc>
        <w:tc>
          <w:tcPr>
            <w:tcW w:w="114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tcBorders>
              <w:bottom w:val="single" w:sz="8" w:color="auto"/>
            </w:tcBorders>
            <w:shd w:val="clear" w:color="auto" w:fill="E0E0E0"/>
          </w:tcPr>
          <w:p>
            <w:pPr>
              <w:spacing w:after="0"/>
              <w:rPr>
                <w:sz w:val="19"/>
                <w:szCs w:val="19"/>
                <w:color w:val="auto"/>
              </w:rPr>
            </w:pPr>
          </w:p>
        </w:tc>
        <w:tc>
          <w:tcPr>
            <w:tcW w:w="114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20" w:type="dxa"/>
            <w:vAlign w:val="bottom"/>
            <w:tcBorders>
              <w:bottom w:val="single" w:sz="8" w:color="auto"/>
            </w:tcBorders>
            <w:shd w:val="clear" w:color="auto" w:fill="E0E0E0"/>
          </w:tcPr>
          <w:p>
            <w:pPr>
              <w:spacing w:after="0"/>
              <w:rPr>
                <w:sz w:val="19"/>
                <w:szCs w:val="19"/>
                <w:color w:val="auto"/>
              </w:rPr>
            </w:pPr>
          </w:p>
        </w:tc>
        <w:tc>
          <w:tcPr>
            <w:tcW w:w="280" w:type="dxa"/>
            <w:vAlign w:val="bottom"/>
            <w:tcBorders>
              <w:bottom w:val="single" w:sz="8" w:color="auto"/>
            </w:tcBorders>
            <w:shd w:val="clear" w:color="auto" w:fill="E0E0E0"/>
          </w:tcPr>
          <w:p>
            <w:pPr>
              <w:spacing w:after="0"/>
              <w:rPr>
                <w:sz w:val="19"/>
                <w:szCs w:val="19"/>
                <w:color w:val="auto"/>
              </w:rPr>
            </w:pPr>
          </w:p>
        </w:tc>
        <w:tc>
          <w:tcPr>
            <w:tcW w:w="86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0E0E0"/>
          </w:tcPr>
          <w:p>
            <w:pPr>
              <w:spacing w:after="0"/>
              <w:rPr>
                <w:sz w:val="19"/>
                <w:szCs w:val="19"/>
                <w:color w:val="auto"/>
              </w:rPr>
            </w:pPr>
          </w:p>
        </w:tc>
      </w:tr>
      <w:tr>
        <w:trPr>
          <w:trHeight w:val="259"/>
        </w:trPr>
        <w:tc>
          <w:tcPr>
            <w:tcW w:w="490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Total deferred</w:t>
            </w:r>
          </w:p>
        </w:tc>
        <w:tc>
          <w:tcPr>
            <w:tcW w:w="140" w:type="dxa"/>
            <w:vAlign w:val="bottom"/>
            <w:tcBorders>
              <w:bottom w:val="single" w:sz="8" w:color="E0E0E0"/>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14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0E0E0"/>
            </w:tcBorders>
          </w:tcPr>
          <w:p>
            <w:pPr>
              <w:spacing w:after="0"/>
              <w:rPr>
                <w:sz w:val="22"/>
                <w:szCs w:val="22"/>
                <w:color w:val="auto"/>
              </w:rPr>
            </w:pPr>
          </w:p>
        </w:tc>
        <w:tc>
          <w:tcPr>
            <w:tcW w:w="160" w:type="dxa"/>
            <w:vAlign w:val="bottom"/>
            <w:tcBorders>
              <w:bottom w:val="single" w:sz="8" w:color="E0E0E0"/>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0E0E0"/>
            </w:tcBorders>
          </w:tcPr>
          <w:p>
            <w:pPr>
              <w:spacing w:after="0"/>
              <w:rPr>
                <w:sz w:val="22"/>
                <w:szCs w:val="22"/>
                <w:color w:val="auto"/>
              </w:rPr>
            </w:pPr>
          </w:p>
        </w:tc>
      </w:tr>
      <w:tr>
        <w:trPr>
          <w:trHeight w:val="214"/>
        </w:trPr>
        <w:tc>
          <w:tcPr>
            <w:tcW w:w="4900" w:type="dxa"/>
            <w:vAlign w:val="bottom"/>
            <w:tcBorders>
              <w:top w:val="single" w:sz="8" w:color="E0E0E0"/>
            </w:tcBorders>
            <w:shd w:val="clear" w:color="auto" w:fill="E0E0E0"/>
          </w:tcPr>
          <w:p>
            <w:pPr>
              <w:ind w:left="300"/>
              <w:spacing w:after="0" w:line="214" w:lineRule="exact"/>
              <w:rPr>
                <w:sz w:val="20"/>
                <w:szCs w:val="20"/>
                <w:color w:val="auto"/>
              </w:rPr>
            </w:pPr>
            <w:r>
              <w:rPr>
                <w:rFonts w:ascii="Times New Roman" w:cs="Times New Roman" w:eastAsia="Times New Roman" w:hAnsi="Times New Roman"/>
                <w:sz w:val="20"/>
                <w:szCs w:val="20"/>
                <w:color w:val="auto"/>
              </w:rPr>
              <w:t>Total (benefit) provision</w:t>
            </w:r>
          </w:p>
        </w:tc>
        <w:tc>
          <w:tcPr>
            <w:tcW w:w="140" w:type="dxa"/>
            <w:vAlign w:val="bottom"/>
            <w:tcBorders>
              <w:top w:val="single" w:sz="8" w:color="E0E0E0"/>
            </w:tcBorders>
            <w:shd w:val="clear" w:color="auto" w:fill="E0E0E0"/>
          </w:tcPr>
          <w:p>
            <w:pPr>
              <w:spacing w:after="0"/>
              <w:rPr>
                <w:sz w:val="18"/>
                <w:szCs w:val="18"/>
                <w:color w:val="auto"/>
              </w:rPr>
            </w:pPr>
          </w:p>
        </w:tc>
        <w:tc>
          <w:tcPr>
            <w:tcW w:w="12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4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(16,100</w:t>
            </w:r>
          </w:p>
        </w:tc>
        <w:tc>
          <w:tcPr>
            <w:tcW w:w="60" w:type="dxa"/>
            <w:vAlign w:val="bottom"/>
            <w:tcBorders>
              <w:top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20" w:type="dxa"/>
            <w:vAlign w:val="bottom"/>
            <w:tcBorders>
              <w:top w:val="single" w:sz="8" w:color="E0E0E0"/>
            </w:tcBorders>
            <w:shd w:val="clear" w:color="auto" w:fill="E0E0E0"/>
          </w:tcPr>
          <w:p>
            <w:pPr>
              <w:spacing w:after="0"/>
              <w:rPr>
                <w:sz w:val="18"/>
                <w:szCs w:val="18"/>
                <w:color w:val="auto"/>
              </w:rPr>
            </w:pPr>
          </w:p>
        </w:tc>
        <w:tc>
          <w:tcPr>
            <w:tcW w:w="14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bottom w:val="single" w:sz="8" w:color="auto"/>
            </w:tcBorders>
            <w:shd w:val="clear" w:color="auto" w:fill="E0E0E0"/>
          </w:tcPr>
          <w:p>
            <w:pPr>
              <w:spacing w:after="0"/>
              <w:rPr>
                <w:sz w:val="18"/>
                <w:szCs w:val="18"/>
                <w:color w:val="auto"/>
              </w:rPr>
            </w:pPr>
          </w:p>
        </w:tc>
        <w:tc>
          <w:tcPr>
            <w:tcW w:w="10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4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2</w:t>
            </w:r>
          </w:p>
        </w:tc>
        <w:tc>
          <w:tcPr>
            <w:tcW w:w="240" w:type="dxa"/>
            <w:vAlign w:val="bottom"/>
            <w:tcBorders>
              <w:top w:val="single" w:sz="8" w:color="E0E0E0"/>
            </w:tcBorders>
            <w:gridSpan w:val="2"/>
            <w:shd w:val="clear" w:color="auto" w:fill="E0E0E0"/>
          </w:tcPr>
          <w:p>
            <w:pPr>
              <w:spacing w:after="0"/>
              <w:rPr>
                <w:sz w:val="18"/>
                <w:szCs w:val="18"/>
                <w:color w:val="auto"/>
              </w:rPr>
            </w:pPr>
          </w:p>
        </w:tc>
        <w:tc>
          <w:tcPr>
            <w:tcW w:w="12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280" w:type="dxa"/>
            <w:vAlign w:val="bottom"/>
            <w:tcBorders>
              <w:top w:val="single" w:sz="8" w:color="E0E0E0"/>
              <w:bottom w:val="single" w:sz="8" w:color="auto"/>
            </w:tcBorders>
            <w:shd w:val="clear" w:color="auto" w:fill="E0E0E0"/>
          </w:tcPr>
          <w:p>
            <w:pPr>
              <w:spacing w:after="0"/>
              <w:rPr>
                <w:sz w:val="18"/>
                <w:szCs w:val="18"/>
                <w:color w:val="auto"/>
              </w:rPr>
            </w:pPr>
          </w:p>
        </w:tc>
        <w:tc>
          <w:tcPr>
            <w:tcW w:w="86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(9</w:t>
            </w:r>
          </w:p>
        </w:tc>
        <w:tc>
          <w:tcPr>
            <w:tcW w:w="80" w:type="dxa"/>
            <w:vAlign w:val="bottom"/>
            <w:tcBorders>
              <w:top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r>
      <w:tr>
        <w:trPr>
          <w:trHeight w:val="20"/>
        </w:trPr>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-1288415</wp:posOffset>
                </wp:positionV>
                <wp:extent cx="594360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1.4499pt" to="468pt,-101.4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-656590</wp:posOffset>
                </wp:positionV>
                <wp:extent cx="594360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6999pt" to="468pt,-51.6999pt" o:allowincell="f" strokecolor="#FFFFFF" strokeweight="0.72pt"/>
            </w:pict>
          </mc:Fallback>
        </mc:AlternateContent>
      </w:r>
    </w:p>
    <w:p>
      <w:pPr>
        <w:spacing w:after="0" w:line="237" w:lineRule="exact"/>
        <w:rPr>
          <w:sz w:val="20"/>
          <w:szCs w:val="20"/>
          <w:color w:val="auto"/>
        </w:rPr>
      </w:pPr>
    </w:p>
    <w:p>
      <w:pPr>
        <w:jc w:val="both"/>
        <w:ind w:firstLine="619"/>
        <w:spacing w:after="0" w:line="277" w:lineRule="auto"/>
        <w:rPr>
          <w:sz w:val="20"/>
          <w:szCs w:val="20"/>
          <w:color w:val="auto"/>
        </w:rPr>
      </w:pPr>
      <w:r>
        <w:rPr>
          <w:rFonts w:ascii="Times New Roman" w:cs="Times New Roman" w:eastAsia="Times New Roman" w:hAnsi="Times New Roman"/>
          <w:sz w:val="20"/>
          <w:szCs w:val="20"/>
          <w:color w:val="auto"/>
        </w:rPr>
        <w:t>A reconciliation of income tax computed at the statutory federal income tax rate to the provision (benefit) for income taxes included in the accompanying consolidated statements of operations for the Company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r>
      <w:tr>
        <w:trPr>
          <w:trHeight w:val="168"/>
        </w:trPr>
        <w:tc>
          <w:tcPr>
            <w:tcW w:w="5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tcPr>
          <w:p>
            <w:pPr>
              <w:jc w:val="right"/>
              <w:ind w:right="163"/>
              <w:spacing w:after="0" w:line="168"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40" w:type="dxa"/>
            <w:vAlign w:val="bottom"/>
          </w:tcPr>
          <w:p>
            <w:pPr>
              <w:spacing w:after="0"/>
              <w:rPr>
                <w:sz w:val="14"/>
                <w:szCs w:val="14"/>
                <w:color w:val="auto"/>
              </w:rPr>
            </w:pPr>
          </w:p>
        </w:tc>
        <w:tc>
          <w:tcPr>
            <w:tcW w:w="1220" w:type="dxa"/>
            <w:vAlign w:val="bottom"/>
            <w:gridSpan w:val="3"/>
          </w:tcPr>
          <w:p>
            <w:pPr>
              <w:jc w:val="center"/>
              <w:ind w:right="160"/>
              <w:spacing w:after="0" w:line="168"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4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240" w:type="dxa"/>
            <w:vAlign w:val="bottom"/>
          </w:tcPr>
          <w:p>
            <w:pPr>
              <w:spacing w:after="0"/>
              <w:rPr>
                <w:sz w:val="14"/>
                <w:szCs w:val="14"/>
                <w:color w:val="auto"/>
              </w:rPr>
            </w:pPr>
          </w:p>
        </w:tc>
      </w:tr>
      <w:tr>
        <w:trPr>
          <w:trHeight w:val="204"/>
        </w:trPr>
        <w:tc>
          <w:tcPr>
            <w:tcW w:w="5600" w:type="dxa"/>
            <w:vAlign w:val="bottom"/>
          </w:tcPr>
          <w:p>
            <w:pPr>
              <w:spacing w:after="0"/>
              <w:rPr>
                <w:sz w:val="17"/>
                <w:szCs w:val="17"/>
                <w:color w:val="auto"/>
              </w:rPr>
            </w:pPr>
          </w:p>
        </w:tc>
        <w:tc>
          <w:tcPr>
            <w:tcW w:w="1020" w:type="dxa"/>
            <w:vAlign w:val="bottom"/>
            <w:gridSpan w:val="3"/>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7"/>
                <w:szCs w:val="17"/>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60" w:type="dxa"/>
            <w:vAlign w:val="bottom"/>
          </w:tcPr>
          <w:p>
            <w:pPr>
              <w:spacing w:after="0"/>
              <w:rPr>
                <w:sz w:val="17"/>
                <w:szCs w:val="17"/>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r>
      <w:tr>
        <w:trPr>
          <w:trHeight w:val="233"/>
        </w:trPr>
        <w:tc>
          <w:tcPr>
            <w:tcW w:w="560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20"/>
                <w:szCs w:val="20"/>
                <w:color w:val="auto"/>
              </w:rPr>
              <w:t>Income tax provision at statutory rate</w:t>
            </w:r>
          </w:p>
        </w:tc>
        <w:tc>
          <w:tcPr>
            <w:tcW w:w="60" w:type="dxa"/>
            <w:vAlign w:val="bottom"/>
            <w:tcBorders>
              <w:top w:val="single" w:sz="8" w:color="DEDEDE"/>
            </w:tcBorders>
            <w:shd w:val="clear" w:color="auto" w:fill="DEDEDE"/>
          </w:tcPr>
          <w:p>
            <w:pPr>
              <w:spacing w:after="0"/>
              <w:rPr>
                <w:sz w:val="20"/>
                <w:szCs w:val="20"/>
                <w:color w:val="auto"/>
              </w:rPr>
            </w:pPr>
          </w:p>
        </w:tc>
        <w:tc>
          <w:tcPr>
            <w:tcW w:w="20" w:type="dxa"/>
            <w:vAlign w:val="bottom"/>
            <w:tcBorders>
              <w:top w:val="single" w:sz="8" w:color="DEDEDE"/>
            </w:tcBorders>
            <w:shd w:val="clear" w:color="auto" w:fill="DEDEDE"/>
          </w:tcPr>
          <w:p>
            <w:pPr>
              <w:spacing w:after="0"/>
              <w:rPr>
                <w:sz w:val="20"/>
                <w:szCs w:val="20"/>
                <w:color w:val="auto"/>
              </w:rPr>
            </w:pPr>
          </w:p>
        </w:tc>
        <w:tc>
          <w:tcPr>
            <w:tcW w:w="94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24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20"/>
                <w:szCs w:val="20"/>
                <w:color w:val="auto"/>
                <w:highlight w:val="lightGray"/>
              </w:rPr>
              <w:t>%</w:t>
            </w:r>
          </w:p>
        </w:tc>
        <w:tc>
          <w:tcPr>
            <w:tcW w:w="40" w:type="dxa"/>
            <w:vAlign w:val="bottom"/>
            <w:tcBorders>
              <w:top w:val="single" w:sz="8" w:color="DEDEDE"/>
            </w:tcBorders>
            <w:shd w:val="clear" w:color="auto" w:fill="DEDEDE"/>
          </w:tcPr>
          <w:p>
            <w:pPr>
              <w:spacing w:after="0"/>
              <w:rPr>
                <w:sz w:val="20"/>
                <w:szCs w:val="20"/>
                <w:color w:val="auto"/>
              </w:rPr>
            </w:pPr>
          </w:p>
        </w:tc>
        <w:tc>
          <w:tcPr>
            <w:tcW w:w="20" w:type="dxa"/>
            <w:vAlign w:val="bottom"/>
            <w:tcBorders>
              <w:top w:val="single" w:sz="8" w:color="DEDEDE"/>
            </w:tcBorders>
            <w:shd w:val="clear" w:color="auto" w:fill="DEDEDE"/>
          </w:tcPr>
          <w:p>
            <w:pPr>
              <w:spacing w:after="0"/>
              <w:rPr>
                <w:sz w:val="20"/>
                <w:szCs w:val="20"/>
                <w:color w:val="auto"/>
              </w:rPr>
            </w:pPr>
          </w:p>
        </w:tc>
        <w:tc>
          <w:tcPr>
            <w:tcW w:w="94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26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20"/>
                <w:szCs w:val="20"/>
                <w:color w:val="auto"/>
                <w:highlight w:val="lightGray"/>
              </w:rPr>
              <w:t>%</w:t>
            </w:r>
          </w:p>
        </w:tc>
        <w:tc>
          <w:tcPr>
            <w:tcW w:w="40" w:type="dxa"/>
            <w:vAlign w:val="bottom"/>
            <w:tcBorders>
              <w:top w:val="single" w:sz="8" w:color="DEDEDE"/>
            </w:tcBorders>
            <w:shd w:val="clear" w:color="auto" w:fill="DEDEDE"/>
          </w:tcPr>
          <w:p>
            <w:pPr>
              <w:spacing w:after="0"/>
              <w:rPr>
                <w:sz w:val="20"/>
                <w:szCs w:val="20"/>
                <w:color w:val="auto"/>
              </w:rPr>
            </w:pPr>
          </w:p>
        </w:tc>
        <w:tc>
          <w:tcPr>
            <w:tcW w:w="20" w:type="dxa"/>
            <w:vAlign w:val="bottom"/>
            <w:tcBorders>
              <w:top w:val="single" w:sz="8" w:color="DEDEDE"/>
            </w:tcBorders>
            <w:shd w:val="clear" w:color="auto" w:fill="DEDEDE"/>
          </w:tcPr>
          <w:p>
            <w:pPr>
              <w:spacing w:after="0"/>
              <w:rPr>
                <w:sz w:val="20"/>
                <w:szCs w:val="20"/>
                <w:color w:val="auto"/>
              </w:rPr>
            </w:pPr>
          </w:p>
        </w:tc>
        <w:tc>
          <w:tcPr>
            <w:tcW w:w="94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24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20"/>
                <w:szCs w:val="20"/>
                <w:color w:val="auto"/>
                <w:highlight w:val="lightGray"/>
              </w:rPr>
              <w:t>%</w:t>
            </w:r>
          </w:p>
        </w:tc>
      </w:tr>
      <w:tr>
        <w:trPr>
          <w:trHeight w:val="244"/>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State income taxes, net of federal benefit</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5 %</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6 %</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7 %</w:t>
            </w:r>
          </w:p>
        </w:tc>
      </w:tr>
      <w:tr>
        <w:trPr>
          <w:trHeight w:val="245"/>
        </w:trPr>
        <w:tc>
          <w:tcPr>
            <w:tcW w:w="560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Tax credits</w:t>
            </w:r>
          </w:p>
        </w:tc>
        <w:tc>
          <w:tcPr>
            <w:tcW w:w="60" w:type="dxa"/>
            <w:vAlign w:val="bottom"/>
            <w:shd w:val="clear" w:color="auto" w:fill="DEDEDE"/>
          </w:tcPr>
          <w:p>
            <w:pPr>
              <w:spacing w:after="0"/>
              <w:rPr>
                <w:sz w:val="21"/>
                <w:szCs w:val="21"/>
                <w:color w:val="auto"/>
              </w:rPr>
            </w:pPr>
          </w:p>
        </w:tc>
        <w:tc>
          <w:tcPr>
            <w:tcW w:w="20" w:type="dxa"/>
            <w:vAlign w:val="bottom"/>
            <w:shd w:val="clear" w:color="auto" w:fill="DEDEDE"/>
          </w:tcPr>
          <w:p>
            <w:pPr>
              <w:spacing w:after="0"/>
              <w:rPr>
                <w:sz w:val="21"/>
                <w:szCs w:val="21"/>
                <w:color w:val="auto"/>
              </w:rPr>
            </w:pP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4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highlight w:val="lightGray"/>
              </w:rPr>
              <w:t>%</w:t>
            </w:r>
          </w:p>
        </w:tc>
        <w:tc>
          <w:tcPr>
            <w:tcW w:w="40" w:type="dxa"/>
            <w:vAlign w:val="bottom"/>
            <w:shd w:val="clear" w:color="auto" w:fill="DEDEDE"/>
          </w:tcPr>
          <w:p>
            <w:pPr>
              <w:spacing w:after="0"/>
              <w:rPr>
                <w:sz w:val="21"/>
                <w:szCs w:val="21"/>
                <w:color w:val="auto"/>
              </w:rPr>
            </w:pPr>
          </w:p>
        </w:tc>
        <w:tc>
          <w:tcPr>
            <w:tcW w:w="20" w:type="dxa"/>
            <w:vAlign w:val="bottom"/>
            <w:shd w:val="clear" w:color="auto" w:fill="DEDEDE"/>
          </w:tcPr>
          <w:p>
            <w:pPr>
              <w:spacing w:after="0"/>
              <w:rPr>
                <w:sz w:val="21"/>
                <w:szCs w:val="21"/>
                <w:color w:val="auto"/>
              </w:rPr>
            </w:pP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6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highlight w:val="lightGray"/>
              </w:rPr>
              <w:t>%</w:t>
            </w:r>
          </w:p>
        </w:tc>
        <w:tc>
          <w:tcPr>
            <w:tcW w:w="40" w:type="dxa"/>
            <w:vAlign w:val="bottom"/>
            <w:shd w:val="clear" w:color="auto" w:fill="DEDEDE"/>
          </w:tcPr>
          <w:p>
            <w:pPr>
              <w:spacing w:after="0"/>
              <w:rPr>
                <w:sz w:val="21"/>
                <w:szCs w:val="21"/>
                <w:color w:val="auto"/>
              </w:rPr>
            </w:pPr>
          </w:p>
        </w:tc>
        <w:tc>
          <w:tcPr>
            <w:tcW w:w="20" w:type="dxa"/>
            <w:vAlign w:val="bottom"/>
            <w:shd w:val="clear" w:color="auto" w:fill="DEDEDE"/>
          </w:tcPr>
          <w:p>
            <w:pPr>
              <w:spacing w:after="0"/>
              <w:rPr>
                <w:sz w:val="21"/>
                <w:szCs w:val="21"/>
                <w:color w:val="auto"/>
              </w:rPr>
            </w:pP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4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highlight w:val="lightGray"/>
              </w:rPr>
              <w:t>%</w:t>
            </w:r>
          </w:p>
        </w:tc>
      </w:tr>
      <w:tr>
        <w:trPr>
          <w:trHeight w:val="244"/>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Stock compensation</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(3 )%</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(1 )%</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(0 )%</w:t>
            </w:r>
          </w:p>
        </w:tc>
      </w:tr>
      <w:tr>
        <w:trPr>
          <w:trHeight w:val="244"/>
        </w:trPr>
        <w:tc>
          <w:tcPr>
            <w:tcW w:w="560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Executive compensation limitation</w:t>
            </w:r>
          </w:p>
        </w:tc>
        <w:tc>
          <w:tcPr>
            <w:tcW w:w="60" w:type="dxa"/>
            <w:vAlign w:val="bottom"/>
            <w:shd w:val="clear" w:color="auto" w:fill="DEDEDE"/>
          </w:tcPr>
          <w:p>
            <w:pPr>
              <w:spacing w:after="0"/>
              <w:rPr>
                <w:sz w:val="21"/>
                <w:szCs w:val="21"/>
                <w:color w:val="auto"/>
              </w:rPr>
            </w:pPr>
          </w:p>
        </w:tc>
        <w:tc>
          <w:tcPr>
            <w:tcW w:w="20" w:type="dxa"/>
            <w:vAlign w:val="bottom"/>
            <w:shd w:val="clear" w:color="auto" w:fill="DEDEDE"/>
          </w:tcPr>
          <w:p>
            <w:pPr>
              <w:spacing w:after="0"/>
              <w:rPr>
                <w:sz w:val="21"/>
                <w:szCs w:val="21"/>
                <w:color w:val="auto"/>
              </w:rPr>
            </w:pP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4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highlight w:val="lightGray"/>
                <w:w w:val="94"/>
              </w:rPr>
              <w:t>)%</w:t>
            </w:r>
          </w:p>
        </w:tc>
        <w:tc>
          <w:tcPr>
            <w:tcW w:w="40" w:type="dxa"/>
            <w:vAlign w:val="bottom"/>
            <w:shd w:val="clear" w:color="auto" w:fill="DEDEDE"/>
          </w:tcPr>
          <w:p>
            <w:pPr>
              <w:spacing w:after="0"/>
              <w:rPr>
                <w:sz w:val="21"/>
                <w:szCs w:val="21"/>
                <w:color w:val="auto"/>
              </w:rPr>
            </w:pPr>
          </w:p>
        </w:tc>
        <w:tc>
          <w:tcPr>
            <w:tcW w:w="20" w:type="dxa"/>
            <w:vAlign w:val="bottom"/>
            <w:shd w:val="clear" w:color="auto" w:fill="DEDEDE"/>
          </w:tcPr>
          <w:p>
            <w:pPr>
              <w:spacing w:after="0"/>
              <w:rPr>
                <w:sz w:val="21"/>
                <w:szCs w:val="21"/>
                <w:color w:val="auto"/>
              </w:rPr>
            </w:pP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6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highlight w:val="lightGray"/>
              </w:rPr>
              <w:t>)%</w:t>
            </w:r>
          </w:p>
        </w:tc>
        <w:tc>
          <w:tcPr>
            <w:tcW w:w="40" w:type="dxa"/>
            <w:vAlign w:val="bottom"/>
            <w:shd w:val="clear" w:color="auto" w:fill="DEDEDE"/>
          </w:tcPr>
          <w:p>
            <w:pPr>
              <w:spacing w:after="0"/>
              <w:rPr>
                <w:sz w:val="21"/>
                <w:szCs w:val="21"/>
                <w:color w:val="auto"/>
              </w:rPr>
            </w:pPr>
          </w:p>
        </w:tc>
        <w:tc>
          <w:tcPr>
            <w:tcW w:w="20" w:type="dxa"/>
            <w:vAlign w:val="bottom"/>
            <w:shd w:val="clear" w:color="auto" w:fill="DEDEDE"/>
          </w:tcPr>
          <w:p>
            <w:pPr>
              <w:spacing w:after="0"/>
              <w:rPr>
                <w:sz w:val="21"/>
                <w:szCs w:val="21"/>
                <w:color w:val="auto"/>
              </w:rPr>
            </w:pP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4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highlight w:val="lightGray"/>
                <w:w w:val="94"/>
              </w:rPr>
              <w:t>)%</w:t>
            </w:r>
          </w:p>
        </w:tc>
      </w:tr>
      <w:tr>
        <w:trPr>
          <w:trHeight w:val="245"/>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Proceeds from sale of tax attributes</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60" w:type="dxa"/>
            <w:vAlign w:val="bottom"/>
            <w:gridSpan w:val="2"/>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26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r>
      <w:tr>
        <w:trPr>
          <w:trHeight w:val="244"/>
        </w:trPr>
        <w:tc>
          <w:tcPr>
            <w:tcW w:w="560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Change in valuation allowance, excluding impact of the sale of tax</w:t>
            </w:r>
          </w:p>
        </w:tc>
        <w:tc>
          <w:tcPr>
            <w:tcW w:w="60" w:type="dxa"/>
            <w:vAlign w:val="bottom"/>
            <w:shd w:val="clear" w:color="auto" w:fill="DEDEDE"/>
          </w:tcPr>
          <w:p>
            <w:pPr>
              <w:spacing w:after="0"/>
              <w:rPr>
                <w:sz w:val="21"/>
                <w:szCs w:val="21"/>
                <w:color w:val="auto"/>
              </w:rPr>
            </w:pPr>
          </w:p>
        </w:tc>
        <w:tc>
          <w:tcPr>
            <w:tcW w:w="20" w:type="dxa"/>
            <w:vAlign w:val="bottom"/>
            <w:shd w:val="clear" w:color="auto" w:fill="DEDEDE"/>
          </w:tcPr>
          <w:p>
            <w:pPr>
              <w:spacing w:after="0"/>
              <w:rPr>
                <w:sz w:val="21"/>
                <w:szCs w:val="21"/>
                <w:color w:val="auto"/>
              </w:rPr>
            </w:pPr>
          </w:p>
        </w:tc>
        <w:tc>
          <w:tcPr>
            <w:tcW w:w="940" w:type="dxa"/>
            <w:vAlign w:val="bottom"/>
            <w:shd w:val="clear" w:color="auto" w:fill="DEDEDE"/>
          </w:tcPr>
          <w:p>
            <w:pPr>
              <w:spacing w:after="0"/>
              <w:rPr>
                <w:sz w:val="21"/>
                <w:szCs w:val="21"/>
                <w:color w:val="auto"/>
              </w:rPr>
            </w:pPr>
          </w:p>
        </w:tc>
        <w:tc>
          <w:tcPr>
            <w:tcW w:w="240" w:type="dxa"/>
            <w:vAlign w:val="bottom"/>
            <w:shd w:val="clear" w:color="auto" w:fill="DEDEDE"/>
          </w:tcPr>
          <w:p>
            <w:pPr>
              <w:spacing w:after="0"/>
              <w:rPr>
                <w:sz w:val="21"/>
                <w:szCs w:val="21"/>
                <w:color w:val="auto"/>
              </w:rPr>
            </w:pPr>
          </w:p>
        </w:tc>
        <w:tc>
          <w:tcPr>
            <w:tcW w:w="40" w:type="dxa"/>
            <w:vAlign w:val="bottom"/>
            <w:shd w:val="clear" w:color="auto" w:fill="DEDEDE"/>
          </w:tcPr>
          <w:p>
            <w:pPr>
              <w:spacing w:after="0"/>
              <w:rPr>
                <w:sz w:val="21"/>
                <w:szCs w:val="21"/>
                <w:color w:val="auto"/>
              </w:rPr>
            </w:pPr>
          </w:p>
        </w:tc>
        <w:tc>
          <w:tcPr>
            <w:tcW w:w="20" w:type="dxa"/>
            <w:vAlign w:val="bottom"/>
            <w:shd w:val="clear" w:color="auto" w:fill="DEDEDE"/>
          </w:tcPr>
          <w:p>
            <w:pPr>
              <w:spacing w:after="0"/>
              <w:rPr>
                <w:sz w:val="21"/>
                <w:szCs w:val="21"/>
                <w:color w:val="auto"/>
              </w:rPr>
            </w:pPr>
          </w:p>
        </w:tc>
        <w:tc>
          <w:tcPr>
            <w:tcW w:w="940" w:type="dxa"/>
            <w:vAlign w:val="bottom"/>
            <w:shd w:val="clear" w:color="auto" w:fill="DEDEDE"/>
          </w:tcPr>
          <w:p>
            <w:pPr>
              <w:spacing w:after="0"/>
              <w:rPr>
                <w:sz w:val="21"/>
                <w:szCs w:val="21"/>
                <w:color w:val="auto"/>
              </w:rPr>
            </w:pPr>
          </w:p>
        </w:tc>
        <w:tc>
          <w:tcPr>
            <w:tcW w:w="260" w:type="dxa"/>
            <w:vAlign w:val="bottom"/>
            <w:shd w:val="clear" w:color="auto" w:fill="DEDEDE"/>
          </w:tcPr>
          <w:p>
            <w:pPr>
              <w:spacing w:after="0"/>
              <w:rPr>
                <w:sz w:val="21"/>
                <w:szCs w:val="21"/>
                <w:color w:val="auto"/>
              </w:rPr>
            </w:pPr>
          </w:p>
        </w:tc>
        <w:tc>
          <w:tcPr>
            <w:tcW w:w="40" w:type="dxa"/>
            <w:vAlign w:val="bottom"/>
            <w:shd w:val="clear" w:color="auto" w:fill="DEDEDE"/>
          </w:tcPr>
          <w:p>
            <w:pPr>
              <w:spacing w:after="0"/>
              <w:rPr>
                <w:sz w:val="21"/>
                <w:szCs w:val="21"/>
                <w:color w:val="auto"/>
              </w:rPr>
            </w:pPr>
          </w:p>
        </w:tc>
        <w:tc>
          <w:tcPr>
            <w:tcW w:w="20" w:type="dxa"/>
            <w:vAlign w:val="bottom"/>
            <w:shd w:val="clear" w:color="auto" w:fill="DEDEDE"/>
          </w:tcPr>
          <w:p>
            <w:pPr>
              <w:spacing w:after="0"/>
              <w:rPr>
                <w:sz w:val="21"/>
                <w:szCs w:val="21"/>
                <w:color w:val="auto"/>
              </w:rPr>
            </w:pPr>
          </w:p>
        </w:tc>
        <w:tc>
          <w:tcPr>
            <w:tcW w:w="940" w:type="dxa"/>
            <w:vAlign w:val="bottom"/>
            <w:shd w:val="clear" w:color="auto" w:fill="DEDEDE"/>
          </w:tcPr>
          <w:p>
            <w:pPr>
              <w:spacing w:after="0"/>
              <w:rPr>
                <w:sz w:val="21"/>
                <w:szCs w:val="21"/>
                <w:color w:val="auto"/>
              </w:rPr>
            </w:pPr>
          </w:p>
        </w:tc>
        <w:tc>
          <w:tcPr>
            <w:tcW w:w="240" w:type="dxa"/>
            <w:vAlign w:val="bottom"/>
            <w:shd w:val="clear" w:color="auto" w:fill="DEDEDE"/>
          </w:tcPr>
          <w:p>
            <w:pPr>
              <w:spacing w:after="0"/>
              <w:rPr>
                <w:sz w:val="21"/>
                <w:szCs w:val="21"/>
                <w:color w:val="auto"/>
              </w:rPr>
            </w:pPr>
          </w:p>
        </w:tc>
      </w:tr>
      <w:tr>
        <w:trPr>
          <w:trHeight w:val="230"/>
        </w:trPr>
        <w:tc>
          <w:tcPr>
            <w:tcW w:w="560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attributes</w:t>
            </w:r>
          </w:p>
        </w:tc>
        <w:tc>
          <w:tcPr>
            <w:tcW w:w="6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9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24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highlight w:val="lightGray"/>
                <w:w w:val="94"/>
              </w:rPr>
              <w:t>)%</w:t>
            </w:r>
          </w:p>
        </w:tc>
        <w:tc>
          <w:tcPr>
            <w:tcW w:w="4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9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26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highlight w:val="lightGray"/>
              </w:rPr>
              <w:t>)%</w:t>
            </w:r>
          </w:p>
        </w:tc>
        <w:tc>
          <w:tcPr>
            <w:tcW w:w="4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9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24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highlight w:val="lightGray"/>
                <w:w w:val="94"/>
              </w:rPr>
              <w:t>)%</w:t>
            </w:r>
          </w:p>
        </w:tc>
      </w:tr>
      <w:tr>
        <w:trPr>
          <w:trHeight w:val="236"/>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Effective income tax rate</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gridSpan w:val="2"/>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2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5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3578225</wp:posOffset>
                </wp:positionH>
                <wp:positionV relativeFrom="paragraph">
                  <wp:posOffset>-645160</wp:posOffset>
                </wp:positionV>
                <wp:extent cx="0" cy="15494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4940"/>
                        </a:xfrm>
                        <a:prstGeom prst="line">
                          <a:avLst/>
                        </a:prstGeom>
                        <a:solidFill>
                          <a:srgbClr val="FFFFFF"/>
                        </a:solidFill>
                        <a:ln w="25146">
                          <a:solidFill>
                            <a:srgbClr val="FFFFFF"/>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1.75pt,-50.7999pt" to="281.75pt,-38.5999pt" o:allowincell="f" strokecolor="#FFFFFF" strokeweight="1.98pt"/>
            </w:pict>
          </mc:Fallback>
        </mc:AlternateContent>
        <mc:AlternateContent>
          <mc:Choice Requires="wps">
            <w:drawing>
              <wp:anchor simplePos="0" relativeHeight="251657728" behindDoc="1" locked="0" layoutInCell="0" allowOverlap="1">
                <wp:simplePos x="0" y="0"/>
                <wp:positionH relativeFrom="column">
                  <wp:posOffset>4370705</wp:posOffset>
                </wp:positionH>
                <wp:positionV relativeFrom="paragraph">
                  <wp:posOffset>-645160</wp:posOffset>
                </wp:positionV>
                <wp:extent cx="0" cy="15494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4940"/>
                        </a:xfrm>
                        <a:prstGeom prst="line">
                          <a:avLst/>
                        </a:prstGeom>
                        <a:solidFill>
                          <a:srgbClr val="FFFFFF"/>
                        </a:solidFill>
                        <a:ln w="24384">
                          <a:solidFill>
                            <a:srgbClr val="FFFFFF"/>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15pt,-50.7999pt" to="344.15pt,-38.5999pt" o:allowincell="f" strokecolor="#FFFFFF" strokeweight="1.92pt"/>
            </w:pict>
          </mc:Fallback>
        </mc:AlternateContent>
        <mc:AlternateContent>
          <mc:Choice Requires="wps">
            <w:drawing>
              <wp:anchor simplePos="0" relativeHeight="251657728" behindDoc="1" locked="0" layoutInCell="0" allowOverlap="1">
                <wp:simplePos x="0" y="0"/>
                <wp:positionH relativeFrom="column">
                  <wp:posOffset>5163185</wp:posOffset>
                </wp:positionH>
                <wp:positionV relativeFrom="paragraph">
                  <wp:posOffset>-645160</wp:posOffset>
                </wp:positionV>
                <wp:extent cx="0" cy="15494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4940"/>
                        </a:xfrm>
                        <a:prstGeom prst="line">
                          <a:avLst/>
                        </a:prstGeom>
                        <a:solidFill>
                          <a:srgbClr val="FFFFFF"/>
                        </a:solidFill>
                        <a:ln w="25145">
                          <a:solidFill>
                            <a:srgbClr val="FFFFFF"/>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6.55pt,-50.7999pt" to="406.55pt,-38.5999pt" o:allowincell="f" strokecolor="#FFFFFF" strokeweight="1.97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-640715</wp:posOffset>
                </wp:positionV>
                <wp:extent cx="594360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0.4499pt" to="468pt,-50.4499pt" o:allowincell="f" strokecolor="#FFFFFF"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ectPr>
          <w:pgSz w:w="12240" w:h="15840" w:orient="portrait"/>
          <w:cols w:equalWidth="0" w:num="1">
            <w:col w:w="9360"/>
          </w:cols>
          <w:pgMar w:left="1440" w:top="1420" w:right="1440" w:bottom="175" w:gutter="0" w:footer="0" w:header="0"/>
        </w:sectPr>
      </w:pPr>
    </w:p>
    <w:bookmarkStart w:id="127" w:name="page128"/>
    <w:bookmarkEnd w:id="127"/>
    <w:p>
      <w:pPr>
        <w:ind w:right="180" w:firstLine="619"/>
        <w:spacing w:after="0" w:line="246" w:lineRule="auto"/>
        <w:rPr>
          <w:sz w:val="20"/>
          <w:szCs w:val="20"/>
          <w:color w:val="auto"/>
        </w:rPr>
      </w:pPr>
      <w:r>
        <w:rPr>
          <w:rFonts w:ascii="Times New Roman" w:cs="Times New Roman" w:eastAsia="Times New Roman" w:hAnsi="Times New Roman"/>
          <w:sz w:val="20"/>
          <w:szCs w:val="20"/>
          <w:color w:val="auto"/>
        </w:rPr>
        <w:t>For the year ended December 31, 2024, the Company generated a significant state tax benefit from the sale of net operating losses (“NOLs”) in 2024 under the New Jersey Technology Business Tax Certificate Transfer Program. For the year ended December 31, 2024, the Company’s effective tax rate was 21% due to the income tax benefit recognized for the sale of state tax attributes. For the years ending December 31, 2023, and 2022, the Company’s effective tax rate was below the federal statutory income tax rate of 21% primarily due to state income taxes, net of federal benefit and the Company’s position to establish a full valuation allowance on its deferred tax assets.</w:t>
      </w:r>
    </w:p>
    <w:p>
      <w:pPr>
        <w:spacing w:after="0" w:line="235" w:lineRule="exact"/>
        <w:rPr>
          <w:sz w:val="20"/>
          <w:szCs w:val="20"/>
          <w:color w:val="auto"/>
        </w:rPr>
      </w:pPr>
    </w:p>
    <w:p>
      <w:pPr>
        <w:ind w:right="700" w:firstLine="619"/>
        <w:spacing w:after="0" w:line="278" w:lineRule="auto"/>
        <w:rPr>
          <w:sz w:val="20"/>
          <w:szCs w:val="20"/>
          <w:color w:val="auto"/>
        </w:rPr>
      </w:pPr>
      <w:r>
        <w:rPr>
          <w:rFonts w:ascii="Times New Roman" w:cs="Times New Roman" w:eastAsia="Times New Roman" w:hAnsi="Times New Roman"/>
          <w:sz w:val="20"/>
          <w:szCs w:val="20"/>
          <w:color w:val="auto"/>
        </w:rPr>
        <w:t>The tax effect of temporary differences and carryforwards that give rise to significant portions of the deferred tax assets and liabilities are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20" w:type="dxa"/>
            <w:vAlign w:val="bottom"/>
            <w:gridSpan w:val="6"/>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174"/>
        </w:trPr>
        <w:tc>
          <w:tcPr>
            <w:tcW w:w="6660" w:type="dxa"/>
            <w:vAlign w:val="bottom"/>
            <w:tcBorders>
              <w:bottom w:val="single" w:sz="8" w:color="DEDEDE"/>
            </w:tcBorders>
          </w:tcPr>
          <w:p>
            <w:pPr>
              <w:spacing w:after="0"/>
              <w:rPr>
                <w:sz w:val="15"/>
                <w:szCs w:val="15"/>
                <w:color w:val="auto"/>
              </w:rPr>
            </w:pPr>
          </w:p>
        </w:tc>
        <w:tc>
          <w:tcPr>
            <w:tcW w:w="20" w:type="dxa"/>
            <w:vAlign w:val="bottom"/>
            <w:tcBorders>
              <w:bottom w:val="single" w:sz="8" w:color="DEDEDE"/>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23"/>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bottom w:val="single" w:sz="8" w:color="DEDEDE"/>
            </w:tcBorders>
          </w:tcPr>
          <w:p>
            <w:pPr>
              <w:spacing w:after="0"/>
              <w:rPr>
                <w:sz w:val="15"/>
                <w:szCs w:val="15"/>
                <w:color w:val="auto"/>
              </w:rPr>
            </w:pPr>
          </w:p>
        </w:tc>
        <w:tc>
          <w:tcPr>
            <w:tcW w:w="20" w:type="dxa"/>
            <w:vAlign w:val="bottom"/>
            <w:tcBorders>
              <w:top w:val="single" w:sz="8" w:color="auto"/>
              <w:bottom w:val="single" w:sz="8" w:color="DEDEDE"/>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21"/>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DEDEDE"/>
            </w:tcBorders>
          </w:tcPr>
          <w:p>
            <w:pPr>
              <w:spacing w:after="0"/>
              <w:rPr>
                <w:sz w:val="15"/>
                <w:szCs w:val="15"/>
                <w:color w:val="auto"/>
              </w:rPr>
            </w:pPr>
          </w:p>
        </w:tc>
      </w:tr>
      <w:tr>
        <w:trPr>
          <w:trHeight w:val="220"/>
        </w:trPr>
        <w:tc>
          <w:tcPr>
            <w:tcW w:w="6660" w:type="dxa"/>
            <w:vAlign w:val="bottom"/>
            <w:shd w:val="clear" w:color="auto" w:fill="DEDEDE"/>
          </w:tcPr>
          <w:p>
            <w:pPr>
              <w:spacing w:after="0" w:line="220" w:lineRule="exact"/>
              <w:rPr>
                <w:sz w:val="20"/>
                <w:szCs w:val="20"/>
                <w:color w:val="auto"/>
              </w:rPr>
            </w:pPr>
            <w:r>
              <w:rPr>
                <w:rFonts w:ascii="Times New Roman" w:cs="Times New Roman" w:eastAsia="Times New Roman" w:hAnsi="Times New Roman"/>
                <w:sz w:val="20"/>
                <w:szCs w:val="20"/>
                <w:color w:val="auto"/>
              </w:rPr>
              <w:t>Deferred tax assets:</w:t>
            </w:r>
          </w:p>
        </w:tc>
        <w:tc>
          <w:tcPr>
            <w:tcW w:w="20" w:type="dxa"/>
            <w:vAlign w:val="bottom"/>
            <w:shd w:val="clear" w:color="auto" w:fill="DEDEDE"/>
          </w:tcPr>
          <w:p>
            <w:pPr>
              <w:spacing w:after="0"/>
              <w:rPr>
                <w:sz w:val="19"/>
                <w:szCs w:val="19"/>
                <w:color w:val="auto"/>
              </w:rPr>
            </w:pPr>
          </w:p>
        </w:tc>
        <w:tc>
          <w:tcPr>
            <w:tcW w:w="260" w:type="dxa"/>
            <w:vAlign w:val="bottom"/>
            <w:shd w:val="clear" w:color="auto" w:fill="DEDEDE"/>
          </w:tcPr>
          <w:p>
            <w:pPr>
              <w:spacing w:after="0"/>
              <w:rPr>
                <w:sz w:val="19"/>
                <w:szCs w:val="19"/>
                <w:color w:val="auto"/>
              </w:rPr>
            </w:pPr>
          </w:p>
        </w:tc>
        <w:tc>
          <w:tcPr>
            <w:tcW w:w="900" w:type="dxa"/>
            <w:vAlign w:val="bottom"/>
            <w:shd w:val="clear" w:color="auto" w:fill="DEDEDE"/>
          </w:tcPr>
          <w:p>
            <w:pPr>
              <w:spacing w:after="0"/>
              <w:rPr>
                <w:sz w:val="19"/>
                <w:szCs w:val="19"/>
                <w:color w:val="auto"/>
              </w:rPr>
            </w:pPr>
          </w:p>
        </w:tc>
        <w:tc>
          <w:tcPr>
            <w:tcW w:w="24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260" w:type="dxa"/>
            <w:vAlign w:val="bottom"/>
            <w:shd w:val="clear" w:color="auto" w:fill="DEDEDE"/>
          </w:tcPr>
          <w:p>
            <w:pPr>
              <w:spacing w:after="0"/>
              <w:rPr>
                <w:sz w:val="19"/>
                <w:szCs w:val="19"/>
                <w:color w:val="auto"/>
              </w:rPr>
            </w:pPr>
          </w:p>
        </w:tc>
        <w:tc>
          <w:tcPr>
            <w:tcW w:w="90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r>
      <w:tr>
        <w:trPr>
          <w:trHeight w:val="229"/>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49,729</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56,701</w:t>
            </w:r>
          </w:p>
        </w:tc>
      </w:tr>
      <w:tr>
        <w:trPr>
          <w:trHeight w:val="230"/>
        </w:trPr>
        <w:tc>
          <w:tcPr>
            <w:tcW w:w="6660" w:type="dxa"/>
            <w:vAlign w:val="bottom"/>
            <w:shd w:val="clear" w:color="auto" w:fill="DEDEDE"/>
          </w:tcPr>
          <w:p>
            <w:pPr>
              <w:ind w:left="200"/>
              <w:spacing w:after="0"/>
              <w:rPr>
                <w:sz w:val="20"/>
                <w:szCs w:val="20"/>
                <w:color w:val="auto"/>
              </w:rPr>
            </w:pPr>
            <w:r>
              <w:rPr>
                <w:rFonts w:ascii="Times New Roman" w:cs="Times New Roman" w:eastAsia="Times New Roman" w:hAnsi="Times New Roman"/>
                <w:sz w:val="20"/>
                <w:szCs w:val="20"/>
                <w:color w:val="auto"/>
              </w:rPr>
              <w:t>Stock compensation</w:t>
            </w:r>
          </w:p>
        </w:tc>
        <w:tc>
          <w:tcPr>
            <w:tcW w:w="20" w:type="dxa"/>
            <w:vAlign w:val="bottom"/>
            <w:shd w:val="clear" w:color="auto" w:fill="DEDEDE"/>
          </w:tcPr>
          <w:p>
            <w:pPr>
              <w:spacing w:after="0"/>
              <w:rPr>
                <w:sz w:val="20"/>
                <w:szCs w:val="20"/>
                <w:color w:val="auto"/>
              </w:rPr>
            </w:pPr>
          </w:p>
        </w:tc>
        <w:tc>
          <w:tcPr>
            <w:tcW w:w="260" w:type="dxa"/>
            <w:vAlign w:val="bottom"/>
            <w:shd w:val="clear" w:color="auto" w:fill="DEDEDE"/>
          </w:tcPr>
          <w:p>
            <w:pPr>
              <w:spacing w:after="0"/>
              <w:rPr>
                <w:sz w:val="20"/>
                <w:szCs w:val="20"/>
                <w:color w:val="auto"/>
              </w:rPr>
            </w:pPr>
          </w:p>
        </w:tc>
        <w:tc>
          <w:tcPr>
            <w:tcW w:w="1140" w:type="dxa"/>
            <w:vAlign w:val="bottom"/>
            <w:gridSpan w:val="2"/>
            <w:shd w:val="clear" w:color="auto" w:fill="DEDEDE"/>
          </w:tcPr>
          <w:p>
            <w:pPr>
              <w:jc w:val="right"/>
              <w:ind w:right="240"/>
              <w:spacing w:after="0"/>
              <w:rPr>
                <w:sz w:val="20"/>
                <w:szCs w:val="20"/>
                <w:color w:val="auto"/>
              </w:rPr>
            </w:pPr>
            <w:r>
              <w:rPr>
                <w:rFonts w:ascii="Times New Roman" w:cs="Times New Roman" w:eastAsia="Times New Roman" w:hAnsi="Times New Roman"/>
                <w:sz w:val="20"/>
                <w:szCs w:val="20"/>
                <w:color w:val="auto"/>
              </w:rPr>
              <w:t>3,610</w:t>
            </w:r>
          </w:p>
        </w:tc>
        <w:tc>
          <w:tcPr>
            <w:tcW w:w="20" w:type="dxa"/>
            <w:vAlign w:val="bottom"/>
            <w:shd w:val="clear" w:color="auto" w:fill="DEDEDE"/>
          </w:tcPr>
          <w:p>
            <w:pPr>
              <w:spacing w:after="0"/>
              <w:rPr>
                <w:sz w:val="20"/>
                <w:szCs w:val="20"/>
                <w:color w:val="auto"/>
              </w:rPr>
            </w:pPr>
          </w:p>
        </w:tc>
        <w:tc>
          <w:tcPr>
            <w:tcW w:w="260" w:type="dxa"/>
            <w:vAlign w:val="bottom"/>
            <w:shd w:val="clear" w:color="auto" w:fill="DEDEDE"/>
          </w:tcPr>
          <w:p>
            <w:pPr>
              <w:spacing w:after="0"/>
              <w:rPr>
                <w:sz w:val="20"/>
                <w:szCs w:val="20"/>
                <w:color w:val="auto"/>
              </w:rPr>
            </w:pPr>
          </w:p>
        </w:tc>
        <w:tc>
          <w:tcPr>
            <w:tcW w:w="100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20"/>
                <w:szCs w:val="20"/>
                <w:color w:val="auto"/>
              </w:rPr>
              <w:t>3,707</w:t>
            </w:r>
          </w:p>
        </w:tc>
      </w:tr>
      <w:tr>
        <w:trPr>
          <w:trHeight w:val="230"/>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Capitalized research expenditures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32,514</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22,154</w:t>
            </w:r>
          </w:p>
        </w:tc>
      </w:tr>
      <w:tr>
        <w:trPr>
          <w:trHeight w:val="229"/>
        </w:trPr>
        <w:tc>
          <w:tcPr>
            <w:tcW w:w="6660" w:type="dxa"/>
            <w:vAlign w:val="bottom"/>
            <w:shd w:val="clear" w:color="auto" w:fill="DEDEDE"/>
          </w:tcPr>
          <w:p>
            <w:pPr>
              <w:ind w:left="200"/>
              <w:spacing w:after="0"/>
              <w:rPr>
                <w:sz w:val="20"/>
                <w:szCs w:val="20"/>
                <w:color w:val="auto"/>
              </w:rPr>
            </w:pPr>
            <w:r>
              <w:rPr>
                <w:rFonts w:ascii="Times New Roman" w:cs="Times New Roman" w:eastAsia="Times New Roman" w:hAnsi="Times New Roman"/>
                <w:sz w:val="20"/>
                <w:szCs w:val="20"/>
                <w:color w:val="auto"/>
              </w:rPr>
              <w:t>Research and development credits</w:t>
            </w:r>
          </w:p>
        </w:tc>
        <w:tc>
          <w:tcPr>
            <w:tcW w:w="20" w:type="dxa"/>
            <w:vAlign w:val="bottom"/>
            <w:shd w:val="clear" w:color="auto" w:fill="DEDEDE"/>
          </w:tcPr>
          <w:p>
            <w:pPr>
              <w:spacing w:after="0"/>
              <w:rPr>
                <w:sz w:val="19"/>
                <w:szCs w:val="19"/>
                <w:color w:val="auto"/>
              </w:rPr>
            </w:pPr>
          </w:p>
        </w:tc>
        <w:tc>
          <w:tcPr>
            <w:tcW w:w="260" w:type="dxa"/>
            <w:vAlign w:val="bottom"/>
            <w:shd w:val="clear" w:color="auto" w:fill="DEDEDE"/>
          </w:tcPr>
          <w:p>
            <w:pPr>
              <w:spacing w:after="0"/>
              <w:rPr>
                <w:sz w:val="19"/>
                <w:szCs w:val="19"/>
                <w:color w:val="auto"/>
              </w:rPr>
            </w:pPr>
          </w:p>
        </w:tc>
        <w:tc>
          <w:tcPr>
            <w:tcW w:w="1140" w:type="dxa"/>
            <w:vAlign w:val="bottom"/>
            <w:gridSpan w:val="2"/>
            <w:shd w:val="clear" w:color="auto" w:fill="DEDEDE"/>
          </w:tcPr>
          <w:p>
            <w:pPr>
              <w:jc w:val="right"/>
              <w:ind w:right="240"/>
              <w:spacing w:after="0"/>
              <w:rPr>
                <w:sz w:val="20"/>
                <w:szCs w:val="20"/>
                <w:color w:val="auto"/>
              </w:rPr>
            </w:pPr>
            <w:r>
              <w:rPr>
                <w:rFonts w:ascii="Times New Roman" w:cs="Times New Roman" w:eastAsia="Times New Roman" w:hAnsi="Times New Roman"/>
                <w:sz w:val="20"/>
                <w:szCs w:val="20"/>
                <w:color w:val="auto"/>
              </w:rPr>
              <w:t>9,554</w:t>
            </w:r>
          </w:p>
        </w:tc>
        <w:tc>
          <w:tcPr>
            <w:tcW w:w="20" w:type="dxa"/>
            <w:vAlign w:val="bottom"/>
            <w:shd w:val="clear" w:color="auto" w:fill="DEDEDE"/>
          </w:tcPr>
          <w:p>
            <w:pPr>
              <w:spacing w:after="0"/>
              <w:rPr>
                <w:sz w:val="19"/>
                <w:szCs w:val="19"/>
                <w:color w:val="auto"/>
              </w:rPr>
            </w:pPr>
          </w:p>
        </w:tc>
        <w:tc>
          <w:tcPr>
            <w:tcW w:w="260" w:type="dxa"/>
            <w:vAlign w:val="bottom"/>
            <w:shd w:val="clear" w:color="auto" w:fill="DEDEDE"/>
          </w:tcPr>
          <w:p>
            <w:pPr>
              <w:spacing w:after="0"/>
              <w:rPr>
                <w:sz w:val="19"/>
                <w:szCs w:val="19"/>
                <w:color w:val="auto"/>
              </w:rPr>
            </w:pPr>
          </w:p>
        </w:tc>
        <w:tc>
          <w:tcPr>
            <w:tcW w:w="100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20"/>
                <w:szCs w:val="20"/>
                <w:color w:val="auto"/>
              </w:rPr>
              <w:t>8,993</w:t>
            </w:r>
          </w:p>
        </w:tc>
      </w:tr>
      <w:tr>
        <w:trPr>
          <w:trHeight w:val="230"/>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expenses and other</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1,230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1,064</w:t>
            </w:r>
          </w:p>
        </w:tc>
      </w:tr>
      <w:tr>
        <w:trPr>
          <w:trHeight w:val="250"/>
        </w:trPr>
        <w:tc>
          <w:tcPr>
            <w:tcW w:w="6660" w:type="dxa"/>
            <w:vAlign w:val="bottom"/>
            <w:shd w:val="clear" w:color="auto" w:fill="DEDEDE"/>
          </w:tcPr>
          <w:p>
            <w:pPr>
              <w:ind w:left="20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20" w:type="dxa"/>
            <w:vAlign w:val="bottom"/>
            <w:shd w:val="clear" w:color="auto" w:fill="DEDEDE"/>
          </w:tcPr>
          <w:p>
            <w:pPr>
              <w:spacing w:after="0"/>
              <w:rPr>
                <w:sz w:val="21"/>
                <w:szCs w:val="21"/>
                <w:color w:val="auto"/>
              </w:rPr>
            </w:pPr>
          </w:p>
        </w:tc>
        <w:tc>
          <w:tcPr>
            <w:tcW w:w="260" w:type="dxa"/>
            <w:vAlign w:val="bottom"/>
            <w:shd w:val="clear" w:color="auto" w:fill="DEDEDE"/>
          </w:tcPr>
          <w:p>
            <w:pPr>
              <w:spacing w:after="0"/>
              <w:rPr>
                <w:sz w:val="21"/>
                <w:szCs w:val="21"/>
                <w:color w:val="auto"/>
              </w:rPr>
            </w:pPr>
          </w:p>
        </w:tc>
        <w:tc>
          <w:tcPr>
            <w:tcW w:w="1140" w:type="dxa"/>
            <w:vAlign w:val="bottom"/>
            <w:gridSpan w:val="2"/>
            <w:shd w:val="clear" w:color="auto" w:fill="DEDEDE"/>
          </w:tcPr>
          <w:p>
            <w:pPr>
              <w:jc w:val="right"/>
              <w:ind w:right="240"/>
              <w:spacing w:after="0"/>
              <w:rPr>
                <w:sz w:val="20"/>
                <w:szCs w:val="20"/>
                <w:color w:val="auto"/>
              </w:rPr>
            </w:pPr>
            <w:r>
              <w:rPr>
                <w:rFonts w:ascii="Times New Roman" w:cs="Times New Roman" w:eastAsia="Times New Roman" w:hAnsi="Times New Roman"/>
                <w:sz w:val="20"/>
                <w:szCs w:val="20"/>
                <w:color w:val="auto"/>
              </w:rPr>
              <w:t>338</w:t>
            </w:r>
          </w:p>
        </w:tc>
        <w:tc>
          <w:tcPr>
            <w:tcW w:w="20" w:type="dxa"/>
            <w:vAlign w:val="bottom"/>
            <w:shd w:val="clear" w:color="auto" w:fill="DEDEDE"/>
          </w:tcPr>
          <w:p>
            <w:pPr>
              <w:spacing w:after="0"/>
              <w:rPr>
                <w:sz w:val="21"/>
                <w:szCs w:val="21"/>
                <w:color w:val="auto"/>
              </w:rPr>
            </w:pPr>
          </w:p>
        </w:tc>
        <w:tc>
          <w:tcPr>
            <w:tcW w:w="260" w:type="dxa"/>
            <w:vAlign w:val="bottom"/>
            <w:shd w:val="clear" w:color="auto" w:fill="DEDEDE"/>
          </w:tcPr>
          <w:p>
            <w:pPr>
              <w:spacing w:after="0"/>
              <w:rPr>
                <w:sz w:val="21"/>
                <w:szCs w:val="21"/>
                <w:color w:val="auto"/>
              </w:rPr>
            </w:pPr>
          </w:p>
        </w:tc>
        <w:tc>
          <w:tcPr>
            <w:tcW w:w="100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20"/>
                <w:szCs w:val="20"/>
                <w:color w:val="auto"/>
              </w:rPr>
              <w:t>3,735</w:t>
            </w:r>
          </w:p>
        </w:tc>
      </w:tr>
      <w:tr>
        <w:trPr>
          <w:trHeight w:val="200"/>
        </w:trPr>
        <w:tc>
          <w:tcPr>
            <w:tcW w:w="6660" w:type="dxa"/>
            <w:vAlign w:val="bottom"/>
            <w:tcBorders>
              <w:top w:val="single" w:sz="8" w:color="DEDEDE"/>
            </w:tcBorders>
          </w:tcPr>
          <w:p>
            <w:pPr>
              <w:spacing w:after="0" w:line="200" w:lineRule="exact"/>
              <w:rPr>
                <w:sz w:val="20"/>
                <w:szCs w:val="20"/>
                <w:color w:val="auto"/>
              </w:rPr>
            </w:pPr>
            <w:r>
              <w:rPr>
                <w:rFonts w:ascii="Times New Roman" w:cs="Times New Roman" w:eastAsia="Times New Roman" w:hAnsi="Times New Roman"/>
                <w:sz w:val="20"/>
                <w:szCs w:val="20"/>
                <w:color w:val="auto"/>
              </w:rPr>
              <w:t>Total deferred tax assets</w:t>
            </w:r>
          </w:p>
        </w:tc>
        <w:tc>
          <w:tcPr>
            <w:tcW w:w="20" w:type="dxa"/>
            <w:vAlign w:val="bottom"/>
            <w:tcBorders>
              <w:top w:val="single" w:sz="8" w:color="DEDEDE"/>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96,975</w:t>
            </w:r>
          </w:p>
        </w:tc>
        <w:tc>
          <w:tcPr>
            <w:tcW w:w="240" w:type="dxa"/>
            <w:vAlign w:val="bottom"/>
            <w:tcBorders>
              <w:top w:val="single" w:sz="8" w:color="DEDEDE"/>
            </w:tcBorders>
          </w:tcPr>
          <w:p>
            <w:pPr>
              <w:spacing w:after="0"/>
              <w:rPr>
                <w:sz w:val="17"/>
                <w:szCs w:val="17"/>
                <w:color w:val="auto"/>
              </w:rPr>
            </w:pPr>
          </w:p>
        </w:tc>
        <w:tc>
          <w:tcPr>
            <w:tcW w:w="20" w:type="dxa"/>
            <w:vAlign w:val="bottom"/>
            <w:tcBorders>
              <w:top w:val="single" w:sz="8" w:color="DEDEDE"/>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96,354</w:t>
            </w:r>
          </w:p>
        </w:tc>
        <w:tc>
          <w:tcPr>
            <w:tcW w:w="100" w:type="dxa"/>
            <w:vAlign w:val="bottom"/>
            <w:tcBorders>
              <w:top w:val="single" w:sz="8" w:color="DEDEDE"/>
            </w:tcBorders>
          </w:tcPr>
          <w:p>
            <w:pPr>
              <w:spacing w:after="0"/>
              <w:rPr>
                <w:sz w:val="17"/>
                <w:szCs w:val="17"/>
                <w:color w:val="auto"/>
              </w:rPr>
            </w:pPr>
          </w:p>
        </w:tc>
      </w:tr>
      <w:tr>
        <w:trPr>
          <w:trHeight w:val="229"/>
        </w:trPr>
        <w:tc>
          <w:tcPr>
            <w:tcW w:w="666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20" w:type="dxa"/>
            <w:vAlign w:val="bottom"/>
            <w:shd w:val="clear" w:color="auto" w:fill="DEDEDE"/>
          </w:tcPr>
          <w:p>
            <w:pPr>
              <w:spacing w:after="0"/>
              <w:rPr>
                <w:sz w:val="19"/>
                <w:szCs w:val="19"/>
                <w:color w:val="auto"/>
              </w:rPr>
            </w:pPr>
          </w:p>
        </w:tc>
        <w:tc>
          <w:tcPr>
            <w:tcW w:w="260" w:type="dxa"/>
            <w:vAlign w:val="bottom"/>
            <w:shd w:val="clear" w:color="auto" w:fill="DEDEDE"/>
          </w:tcPr>
          <w:p>
            <w:pPr>
              <w:spacing w:after="0"/>
              <w:rPr>
                <w:sz w:val="19"/>
                <w:szCs w:val="19"/>
                <w:color w:val="auto"/>
              </w:rPr>
            </w:pPr>
          </w:p>
        </w:tc>
        <w:tc>
          <w:tcPr>
            <w:tcW w:w="1140" w:type="dxa"/>
            <w:vAlign w:val="bottom"/>
            <w:gridSpan w:val="2"/>
            <w:shd w:val="clear" w:color="auto" w:fill="DEDEDE"/>
          </w:tcPr>
          <w:p>
            <w:pPr>
              <w:jc w:val="right"/>
              <w:ind w:right="160"/>
              <w:spacing w:after="0"/>
              <w:rPr>
                <w:sz w:val="20"/>
                <w:szCs w:val="20"/>
                <w:color w:val="auto"/>
              </w:rPr>
            </w:pPr>
            <w:r>
              <w:rPr>
                <w:rFonts w:ascii="Times New Roman" w:cs="Times New Roman" w:eastAsia="Times New Roman" w:hAnsi="Times New Roman"/>
                <w:sz w:val="20"/>
                <w:szCs w:val="20"/>
                <w:color w:val="auto"/>
              </w:rPr>
              <w:t>(96,606)</w:t>
            </w:r>
          </w:p>
        </w:tc>
        <w:tc>
          <w:tcPr>
            <w:tcW w:w="20" w:type="dxa"/>
            <w:vAlign w:val="bottom"/>
            <w:shd w:val="clear" w:color="auto" w:fill="DEDEDE"/>
          </w:tcPr>
          <w:p>
            <w:pPr>
              <w:spacing w:after="0"/>
              <w:rPr>
                <w:sz w:val="19"/>
                <w:szCs w:val="19"/>
                <w:color w:val="auto"/>
              </w:rPr>
            </w:pPr>
          </w:p>
        </w:tc>
        <w:tc>
          <w:tcPr>
            <w:tcW w:w="260" w:type="dxa"/>
            <w:vAlign w:val="bottom"/>
            <w:shd w:val="clear" w:color="auto" w:fill="DEDEDE"/>
          </w:tcPr>
          <w:p>
            <w:pPr>
              <w:spacing w:after="0"/>
              <w:rPr>
                <w:sz w:val="19"/>
                <w:szCs w:val="19"/>
                <w:color w:val="auto"/>
              </w:rPr>
            </w:pPr>
          </w:p>
        </w:tc>
        <w:tc>
          <w:tcPr>
            <w:tcW w:w="100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20"/>
                <w:szCs w:val="20"/>
                <w:color w:val="auto"/>
              </w:rPr>
              <w:t>(93,778)</w:t>
            </w:r>
          </w:p>
        </w:tc>
      </w:tr>
      <w:tr>
        <w:trPr>
          <w:trHeight w:val="220"/>
        </w:trPr>
        <w:tc>
          <w:tcPr>
            <w:tcW w:w="6660" w:type="dxa"/>
            <w:vAlign w:val="bottom"/>
            <w:tcBorders>
              <w:bottom w:val="single" w:sz="8" w:color="DEDEDE"/>
            </w:tcBorders>
          </w:tcPr>
          <w:p>
            <w:pPr>
              <w:spacing w:after="0" w:line="220" w:lineRule="exact"/>
              <w:rPr>
                <w:sz w:val="20"/>
                <w:szCs w:val="20"/>
                <w:color w:val="auto"/>
              </w:rPr>
            </w:pPr>
            <w:r>
              <w:rPr>
                <w:rFonts w:ascii="Times New Roman" w:cs="Times New Roman" w:eastAsia="Times New Roman" w:hAnsi="Times New Roman"/>
                <w:sz w:val="20"/>
                <w:szCs w:val="20"/>
                <w:color w:val="auto"/>
              </w:rPr>
              <w:t>Deferred tax assets recognized</w:t>
            </w:r>
          </w:p>
        </w:tc>
        <w:tc>
          <w:tcPr>
            <w:tcW w:w="20" w:type="dxa"/>
            <w:vAlign w:val="bottom"/>
            <w:tcBorders>
              <w:bottom w:val="single" w:sz="8" w:color="DEDEDE"/>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369</w:t>
            </w:r>
          </w:p>
        </w:tc>
        <w:tc>
          <w:tcPr>
            <w:tcW w:w="240" w:type="dxa"/>
            <w:vAlign w:val="bottom"/>
            <w:tcBorders>
              <w:bottom w:val="single" w:sz="8" w:color="DEDEDE"/>
            </w:tcBorders>
          </w:tcPr>
          <w:p>
            <w:pPr>
              <w:spacing w:after="0"/>
              <w:rPr>
                <w:sz w:val="19"/>
                <w:szCs w:val="19"/>
                <w:color w:val="auto"/>
              </w:rPr>
            </w:pPr>
          </w:p>
        </w:tc>
        <w:tc>
          <w:tcPr>
            <w:tcW w:w="20" w:type="dxa"/>
            <w:vAlign w:val="bottom"/>
            <w:tcBorders>
              <w:bottom w:val="single" w:sz="8" w:color="DEDEDE"/>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2,576</w:t>
            </w:r>
          </w:p>
        </w:tc>
        <w:tc>
          <w:tcPr>
            <w:tcW w:w="100" w:type="dxa"/>
            <w:vAlign w:val="bottom"/>
            <w:tcBorders>
              <w:bottom w:val="single" w:sz="8" w:color="DEDEDE"/>
            </w:tcBorders>
          </w:tcPr>
          <w:p>
            <w:pPr>
              <w:spacing w:after="0"/>
              <w:rPr>
                <w:sz w:val="19"/>
                <w:szCs w:val="19"/>
                <w:color w:val="auto"/>
              </w:rPr>
            </w:pPr>
          </w:p>
        </w:tc>
      </w:tr>
      <w:tr>
        <w:trPr>
          <w:trHeight w:val="220"/>
        </w:trPr>
        <w:tc>
          <w:tcPr>
            <w:tcW w:w="6660" w:type="dxa"/>
            <w:vAlign w:val="bottom"/>
            <w:shd w:val="clear" w:color="auto" w:fill="DEDEDE"/>
          </w:tcPr>
          <w:p>
            <w:pPr>
              <w:spacing w:after="0" w:line="220" w:lineRule="exact"/>
              <w:rPr>
                <w:sz w:val="20"/>
                <w:szCs w:val="20"/>
                <w:color w:val="auto"/>
              </w:rPr>
            </w:pPr>
            <w:r>
              <w:rPr>
                <w:rFonts w:ascii="Times New Roman" w:cs="Times New Roman" w:eastAsia="Times New Roman" w:hAnsi="Times New Roman"/>
                <w:sz w:val="20"/>
                <w:szCs w:val="20"/>
                <w:color w:val="auto"/>
              </w:rPr>
              <w:t>Deferred tax liabilities:</w:t>
            </w:r>
          </w:p>
        </w:tc>
        <w:tc>
          <w:tcPr>
            <w:tcW w:w="20" w:type="dxa"/>
            <w:vAlign w:val="bottom"/>
            <w:shd w:val="clear" w:color="auto" w:fill="DEDEDE"/>
          </w:tcPr>
          <w:p>
            <w:pPr>
              <w:spacing w:after="0"/>
              <w:rPr>
                <w:sz w:val="19"/>
                <w:szCs w:val="19"/>
                <w:color w:val="auto"/>
              </w:rPr>
            </w:pPr>
          </w:p>
        </w:tc>
        <w:tc>
          <w:tcPr>
            <w:tcW w:w="260" w:type="dxa"/>
            <w:vAlign w:val="bottom"/>
            <w:shd w:val="clear" w:color="auto" w:fill="DEDEDE"/>
          </w:tcPr>
          <w:p>
            <w:pPr>
              <w:spacing w:after="0"/>
              <w:rPr>
                <w:sz w:val="19"/>
                <w:szCs w:val="19"/>
                <w:color w:val="auto"/>
              </w:rPr>
            </w:pPr>
          </w:p>
        </w:tc>
        <w:tc>
          <w:tcPr>
            <w:tcW w:w="900" w:type="dxa"/>
            <w:vAlign w:val="bottom"/>
            <w:shd w:val="clear" w:color="auto" w:fill="DEDEDE"/>
          </w:tcPr>
          <w:p>
            <w:pPr>
              <w:spacing w:after="0"/>
              <w:rPr>
                <w:sz w:val="19"/>
                <w:szCs w:val="19"/>
                <w:color w:val="auto"/>
              </w:rPr>
            </w:pPr>
          </w:p>
        </w:tc>
        <w:tc>
          <w:tcPr>
            <w:tcW w:w="24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260" w:type="dxa"/>
            <w:vAlign w:val="bottom"/>
            <w:shd w:val="clear" w:color="auto" w:fill="DEDEDE"/>
          </w:tcPr>
          <w:p>
            <w:pPr>
              <w:spacing w:after="0"/>
              <w:rPr>
                <w:sz w:val="19"/>
                <w:szCs w:val="19"/>
                <w:color w:val="auto"/>
              </w:rPr>
            </w:pPr>
          </w:p>
        </w:tc>
        <w:tc>
          <w:tcPr>
            <w:tcW w:w="90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r>
      <w:tr>
        <w:trPr>
          <w:trHeight w:val="230"/>
        </w:trPr>
        <w:tc>
          <w:tcPr>
            <w:tcW w:w="66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Right-of-use assets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(325)</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(2,357)</w:t>
            </w:r>
          </w:p>
        </w:tc>
      </w:tr>
      <w:tr>
        <w:trPr>
          <w:trHeight w:val="250"/>
        </w:trPr>
        <w:tc>
          <w:tcPr>
            <w:tcW w:w="6660" w:type="dxa"/>
            <w:vAlign w:val="bottom"/>
            <w:shd w:val="clear" w:color="auto" w:fill="DEDEDE"/>
          </w:tcPr>
          <w:p>
            <w:pPr>
              <w:ind w:left="100"/>
              <w:spacing w:after="0"/>
              <w:rPr>
                <w:sz w:val="20"/>
                <w:szCs w:val="20"/>
                <w:color w:val="auto"/>
              </w:rPr>
            </w:pPr>
            <w:r>
              <w:rPr>
                <w:rFonts w:ascii="Times New Roman" w:cs="Times New Roman" w:eastAsia="Times New Roman" w:hAnsi="Times New Roman"/>
                <w:sz w:val="20"/>
                <w:szCs w:val="20"/>
                <w:color w:val="auto"/>
              </w:rPr>
              <w:t>Fixed assets and depreciation</w:t>
            </w:r>
          </w:p>
        </w:tc>
        <w:tc>
          <w:tcPr>
            <w:tcW w:w="20" w:type="dxa"/>
            <w:vAlign w:val="bottom"/>
            <w:shd w:val="clear" w:color="auto" w:fill="DEDEDE"/>
          </w:tcPr>
          <w:p>
            <w:pPr>
              <w:spacing w:after="0"/>
              <w:rPr>
                <w:sz w:val="21"/>
                <w:szCs w:val="21"/>
                <w:color w:val="auto"/>
              </w:rPr>
            </w:pPr>
          </w:p>
        </w:tc>
        <w:tc>
          <w:tcPr>
            <w:tcW w:w="260" w:type="dxa"/>
            <w:vAlign w:val="bottom"/>
            <w:shd w:val="clear" w:color="auto" w:fill="DEDEDE"/>
          </w:tcPr>
          <w:p>
            <w:pPr>
              <w:spacing w:after="0"/>
              <w:rPr>
                <w:sz w:val="21"/>
                <w:szCs w:val="21"/>
                <w:color w:val="auto"/>
              </w:rPr>
            </w:pPr>
          </w:p>
        </w:tc>
        <w:tc>
          <w:tcPr>
            <w:tcW w:w="1140" w:type="dxa"/>
            <w:vAlign w:val="bottom"/>
            <w:gridSpan w:val="2"/>
            <w:shd w:val="clear" w:color="auto" w:fill="DEDEDE"/>
          </w:tcPr>
          <w:p>
            <w:pPr>
              <w:jc w:val="right"/>
              <w:ind w:right="160"/>
              <w:spacing w:after="0"/>
              <w:rPr>
                <w:sz w:val="20"/>
                <w:szCs w:val="20"/>
                <w:color w:val="auto"/>
              </w:rPr>
            </w:pPr>
            <w:r>
              <w:rPr>
                <w:rFonts w:ascii="Times New Roman" w:cs="Times New Roman" w:eastAsia="Times New Roman" w:hAnsi="Times New Roman"/>
                <w:sz w:val="20"/>
                <w:szCs w:val="20"/>
                <w:color w:val="auto"/>
              </w:rPr>
              <w:t>(44)</w:t>
            </w:r>
          </w:p>
        </w:tc>
        <w:tc>
          <w:tcPr>
            <w:tcW w:w="20" w:type="dxa"/>
            <w:vAlign w:val="bottom"/>
            <w:shd w:val="clear" w:color="auto" w:fill="DEDEDE"/>
          </w:tcPr>
          <w:p>
            <w:pPr>
              <w:spacing w:after="0"/>
              <w:rPr>
                <w:sz w:val="21"/>
                <w:szCs w:val="21"/>
                <w:color w:val="auto"/>
              </w:rPr>
            </w:pPr>
          </w:p>
        </w:tc>
        <w:tc>
          <w:tcPr>
            <w:tcW w:w="260" w:type="dxa"/>
            <w:vAlign w:val="bottom"/>
            <w:shd w:val="clear" w:color="auto" w:fill="DEDEDE"/>
          </w:tcPr>
          <w:p>
            <w:pPr>
              <w:spacing w:after="0"/>
              <w:rPr>
                <w:sz w:val="21"/>
                <w:szCs w:val="21"/>
                <w:color w:val="auto"/>
              </w:rPr>
            </w:pPr>
          </w:p>
        </w:tc>
        <w:tc>
          <w:tcPr>
            <w:tcW w:w="100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20"/>
                <w:szCs w:val="20"/>
                <w:color w:val="auto"/>
              </w:rPr>
              <w:t>(219)</w:t>
            </w:r>
          </w:p>
        </w:tc>
      </w:tr>
      <w:tr>
        <w:trPr>
          <w:trHeight w:val="200"/>
        </w:trPr>
        <w:tc>
          <w:tcPr>
            <w:tcW w:w="6660" w:type="dxa"/>
            <w:vAlign w:val="bottom"/>
            <w:tcBorders>
              <w:top w:val="single" w:sz="8" w:color="DEDEDE"/>
              <w:bottom w:val="single" w:sz="8" w:color="DEDEDE"/>
            </w:tcBorders>
          </w:tcPr>
          <w:p>
            <w:pPr>
              <w:spacing w:after="0" w:line="200" w:lineRule="exact"/>
              <w:rPr>
                <w:sz w:val="20"/>
                <w:szCs w:val="20"/>
                <w:color w:val="auto"/>
              </w:rPr>
            </w:pPr>
            <w:r>
              <w:rPr>
                <w:rFonts w:ascii="Times New Roman" w:cs="Times New Roman" w:eastAsia="Times New Roman" w:hAnsi="Times New Roman"/>
                <w:sz w:val="20"/>
                <w:szCs w:val="20"/>
                <w:color w:val="auto"/>
              </w:rPr>
              <w:t>Total deferred tax liabilities</w:t>
            </w:r>
          </w:p>
        </w:tc>
        <w:tc>
          <w:tcPr>
            <w:tcW w:w="20" w:type="dxa"/>
            <w:vAlign w:val="bottom"/>
            <w:tcBorders>
              <w:top w:val="single" w:sz="8" w:color="DEDEDE"/>
              <w:bottom w:val="single" w:sz="8" w:color="DEDEDE"/>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(369)</w:t>
            </w:r>
          </w:p>
        </w:tc>
        <w:tc>
          <w:tcPr>
            <w:tcW w:w="240" w:type="dxa"/>
            <w:vAlign w:val="bottom"/>
            <w:tcBorders>
              <w:top w:val="single" w:sz="8" w:color="DEDEDE"/>
              <w:bottom w:val="single" w:sz="8" w:color="DEDEDE"/>
            </w:tcBorders>
          </w:tcPr>
          <w:p>
            <w:pPr>
              <w:spacing w:after="0"/>
              <w:rPr>
                <w:sz w:val="17"/>
                <w:szCs w:val="17"/>
                <w:color w:val="auto"/>
              </w:rPr>
            </w:pPr>
          </w:p>
        </w:tc>
        <w:tc>
          <w:tcPr>
            <w:tcW w:w="20" w:type="dxa"/>
            <w:vAlign w:val="bottom"/>
            <w:tcBorders>
              <w:top w:val="single" w:sz="8" w:color="DEDEDE"/>
              <w:bottom w:val="single" w:sz="8" w:color="DEDEDE"/>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(2,576)</w:t>
            </w:r>
          </w:p>
        </w:tc>
        <w:tc>
          <w:tcPr>
            <w:tcW w:w="100" w:type="dxa"/>
            <w:vAlign w:val="bottom"/>
            <w:tcBorders>
              <w:top w:val="single" w:sz="8" w:color="DEDEDE"/>
              <w:bottom w:val="single" w:sz="8" w:color="DEDEDE"/>
            </w:tcBorders>
          </w:tcPr>
          <w:p>
            <w:pPr>
              <w:spacing w:after="0"/>
              <w:rPr>
                <w:sz w:val="17"/>
                <w:szCs w:val="17"/>
                <w:color w:val="auto"/>
              </w:rPr>
            </w:pPr>
          </w:p>
        </w:tc>
      </w:tr>
      <w:tr>
        <w:trPr>
          <w:trHeight w:val="221"/>
        </w:trPr>
        <w:tc>
          <w:tcPr>
            <w:tcW w:w="6660" w:type="dxa"/>
            <w:vAlign w:val="bottom"/>
            <w:shd w:val="clear" w:color="auto" w:fill="DEDEDE"/>
          </w:tcPr>
          <w:p>
            <w:pPr>
              <w:spacing w:after="0" w:line="220" w:lineRule="exact"/>
              <w:rPr>
                <w:sz w:val="20"/>
                <w:szCs w:val="20"/>
                <w:color w:val="auto"/>
              </w:rPr>
            </w:pPr>
            <w:r>
              <w:rPr>
                <w:rFonts w:ascii="Times New Roman" w:cs="Times New Roman" w:eastAsia="Times New Roman" w:hAnsi="Times New Roman"/>
                <w:sz w:val="20"/>
                <w:szCs w:val="20"/>
                <w:color w:val="auto"/>
              </w:rPr>
              <w:t>Net deferred tax assets</w:t>
            </w:r>
          </w:p>
        </w:tc>
        <w:tc>
          <w:tcPr>
            <w:tcW w:w="280" w:type="dxa"/>
            <w:vAlign w:val="bottom"/>
            <w:gridSpan w:val="2"/>
            <w:shd w:val="clear" w:color="auto" w:fill="DEDEDE"/>
          </w:tcPr>
          <w:p>
            <w:pPr>
              <w:jc w:val="right"/>
              <w:ind w:right="160"/>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gridSpan w:val="2"/>
            <w:shd w:val="clear" w:color="auto" w:fill="DEDEDE"/>
          </w:tcPr>
          <w:p>
            <w:pPr>
              <w:jc w:val="right"/>
              <w:ind w:right="240"/>
              <w:spacing w:after="0" w:line="221"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shd w:val="clear" w:color="auto" w:fill="DEDEDE"/>
          </w:tcPr>
          <w:p>
            <w:pPr>
              <w:jc w:val="right"/>
              <w:ind w:right="160"/>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gridSpan w:val="2"/>
            <w:shd w:val="clear" w:color="auto" w:fill="DEDEDE"/>
          </w:tcPr>
          <w:p>
            <w:pPr>
              <w:jc w:val="right"/>
              <w:ind w:right="100"/>
              <w:spacing w:after="0" w:line="221" w:lineRule="exact"/>
              <w:rPr>
                <w:sz w:val="20"/>
                <w:szCs w:val="20"/>
                <w:color w:val="auto"/>
              </w:rPr>
            </w:pPr>
            <w:r>
              <w:rPr>
                <w:rFonts w:ascii="Times New Roman" w:cs="Times New Roman" w:eastAsia="Times New Roman" w:hAnsi="Times New Roman"/>
                <w:sz w:val="20"/>
                <w:szCs w:val="20"/>
                <w:color w:val="auto"/>
              </w:rPr>
              <w:t>-</w:t>
            </w:r>
          </w:p>
        </w:tc>
      </w:tr>
      <w:tr>
        <w:trPr>
          <w:trHeight w:val="20"/>
        </w:trPr>
        <w:tc>
          <w:tcPr>
            <w:tcW w:w="6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-1224915</wp:posOffset>
                </wp:positionV>
                <wp:extent cx="423735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37355"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6.4499pt" to="333.65pt,-96.44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4980940</wp:posOffset>
                </wp:positionH>
                <wp:positionV relativeFrom="paragraph">
                  <wp:posOffset>-1224915</wp:posOffset>
                </wp:positionV>
                <wp:extent cx="159385"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385"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2.2pt,-96.4499pt" to="404.75pt,-96.44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5883910</wp:posOffset>
                </wp:positionH>
                <wp:positionV relativeFrom="paragraph">
                  <wp:posOffset>-1224915</wp:posOffset>
                </wp:positionV>
                <wp:extent cx="5969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9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3pt,-96.4499pt" to="468pt,-96.44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-329565</wp:posOffset>
                </wp:positionV>
                <wp:extent cx="423735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37355"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9499pt" to="333.65pt,-25.94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4980940</wp:posOffset>
                </wp:positionH>
                <wp:positionV relativeFrom="paragraph">
                  <wp:posOffset>-329565</wp:posOffset>
                </wp:positionV>
                <wp:extent cx="159385"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385"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2.2pt,-25.9499pt" to="404.75pt,-25.94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5883910</wp:posOffset>
                </wp:positionH>
                <wp:positionV relativeFrom="paragraph">
                  <wp:posOffset>-329565</wp:posOffset>
                </wp:positionV>
                <wp:extent cx="59690"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9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3pt,-25.9499pt" to="468pt,-25.9499pt" o:allowincell="f" strokecolor="#FFFFFF" strokeweight="0.48pt"/>
            </w:pict>
          </mc:Fallback>
        </mc:AlternateContent>
      </w:r>
    </w:p>
    <w:p>
      <w:pPr>
        <w:spacing w:after="0" w:line="237" w:lineRule="exact"/>
        <w:rPr>
          <w:sz w:val="20"/>
          <w:szCs w:val="20"/>
          <w:color w:val="auto"/>
        </w:rPr>
      </w:pPr>
    </w:p>
    <w:p>
      <w:pPr>
        <w:ind w:right="240" w:firstLine="619"/>
        <w:spacing w:after="0" w:line="277" w:lineRule="auto"/>
        <w:rPr>
          <w:sz w:val="20"/>
          <w:szCs w:val="20"/>
          <w:color w:val="auto"/>
        </w:rPr>
      </w:pPr>
      <w:r>
        <w:rPr>
          <w:rFonts w:ascii="Times New Roman" w:cs="Times New Roman" w:eastAsia="Times New Roman" w:hAnsi="Times New Roman"/>
          <w:sz w:val="20"/>
          <w:szCs w:val="20"/>
          <w:color w:val="auto"/>
        </w:rPr>
        <w:t>The Company has recorded a valuation allowance for its deferred tax assets that it does not believe will be realizable at a more likely than not level based on analysis of all available sources of taxable income.</w:t>
      </w:r>
    </w:p>
    <w:p>
      <w:pPr>
        <w:spacing w:after="0" w:line="169"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0"/>
          <w:szCs w:val="20"/>
          <w:color w:val="auto"/>
        </w:rPr>
        <w:t>As of December 31, 2024 and 2023, the Company had federal net operating loss carryforwards of $214,652 and $195,676, respectively. As of December 31, 2024, the Company had state net operating loss carryforwards for New Jersey, California, Massachusetts, and Arizona of approximately $54,685, $4,912, $6,542, and $192, respectively. At December 31, 2023, the Company had state net operating loss carryforwards for New Jersey, California, Massachusetts, and Arizona of approximately $208,817, $4,912, $6,358, and $115, respectively. Federal net operating loss carryforwards of $27,500 expire beginning in the year 2033. State net operating loss carryforwards begin to expire in the year 2033. Net operating loss carryforwards related to tax years after 2017 of $187,152 do not expire. The Company also has federal and state research and development credit carryforward of approximately $13,034 and $12,693 as of December 31, 2024 and 2023, respectively. The federal credits will begin to expire in 2034 if not utilized. The California state credits carryforward indefinitely and the New Jersey state credits expire starting in 2030. The above net operating losses and research and development credits are subject to Sections 382 and 383 of the Internal Revenue Code. In the event of a change in ownership as defined by these code sections, the usage of the net operating losses and research and development credits may be limited.</w:t>
      </w:r>
    </w:p>
    <w:p>
      <w:pPr>
        <w:spacing w:after="0" w:line="202" w:lineRule="exact"/>
        <w:rPr>
          <w:sz w:val="20"/>
          <w:szCs w:val="20"/>
          <w:color w:val="auto"/>
        </w:rPr>
      </w:pPr>
    </w:p>
    <w:p>
      <w:pPr>
        <w:ind w:right="40" w:firstLine="619"/>
        <w:spacing w:after="0" w:line="259" w:lineRule="auto"/>
        <w:rPr>
          <w:sz w:val="20"/>
          <w:szCs w:val="20"/>
          <w:color w:val="auto"/>
        </w:rPr>
      </w:pPr>
      <w:r>
        <w:rPr>
          <w:rFonts w:ascii="Times New Roman" w:cs="Times New Roman" w:eastAsia="Times New Roman" w:hAnsi="Times New Roman"/>
          <w:sz w:val="20"/>
          <w:szCs w:val="20"/>
          <w:color w:val="121212"/>
        </w:rPr>
        <w:t>The Company accrues interest and penalties related to unrecognized tax benefits in the (benefit) provision for income taxes line item in the consolidated statements of operations and comprehensive loss</w:t>
      </w:r>
      <w:r>
        <w:rPr>
          <w:rFonts w:ascii="Times New Roman" w:cs="Times New Roman" w:eastAsia="Times New Roman" w:hAnsi="Times New Roman"/>
          <w:sz w:val="20"/>
          <w:szCs w:val="20"/>
          <w:b w:val="1"/>
          <w:bCs w:val="1"/>
          <w:color w:val="121212"/>
        </w:rPr>
        <w:t>.</w:t>
      </w:r>
      <w:r>
        <w:rPr>
          <w:rFonts w:ascii="Times New Roman" w:cs="Times New Roman" w:eastAsia="Times New Roman" w:hAnsi="Times New Roman"/>
          <w:sz w:val="20"/>
          <w:szCs w:val="20"/>
          <w:color w:val="121212"/>
        </w:rPr>
        <w:t xml:space="preserve"> </w:t>
      </w:r>
      <w:r>
        <w:rPr>
          <w:rFonts w:ascii="Times New Roman" w:cs="Times New Roman" w:eastAsia="Times New Roman" w:hAnsi="Times New Roman"/>
          <w:sz w:val="20"/>
          <w:szCs w:val="20"/>
          <w:color w:val="000000"/>
        </w:rPr>
        <w:t>As of December 31,</w:t>
      </w:r>
      <w:r>
        <w:rPr>
          <w:rFonts w:ascii="Times New Roman" w:cs="Times New Roman" w:eastAsia="Times New Roman" w:hAnsi="Times New Roman"/>
          <w:sz w:val="20"/>
          <w:szCs w:val="20"/>
          <w:color w:val="121212"/>
        </w:rPr>
        <w:t xml:space="preserve"> </w:t>
      </w:r>
      <w:r>
        <w:rPr>
          <w:rFonts w:ascii="Times New Roman" w:cs="Times New Roman" w:eastAsia="Times New Roman" w:hAnsi="Times New Roman"/>
          <w:sz w:val="20"/>
          <w:szCs w:val="20"/>
          <w:color w:val="000000"/>
        </w:rPr>
        <w:t>2024 and 2023, the Company had not accrued any interest or penalties related to uncertain tax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ectPr>
          <w:pgSz w:w="12240" w:h="15840" w:orient="portrait"/>
          <w:cols w:equalWidth="0" w:num="1">
            <w:col w:w="9360"/>
          </w:cols>
          <w:pgMar w:left="1440" w:top="1420" w:right="1440" w:bottom="175" w:gutter="0" w:footer="0" w:header="0"/>
        </w:sectPr>
      </w:pPr>
    </w:p>
    <w:bookmarkStart w:id="128" w:name="page129"/>
    <w:bookmarkEnd w:id="128"/>
    <w:p>
      <w:pPr>
        <w:ind w:right="80" w:firstLine="619"/>
        <w:spacing w:after="0" w:line="258" w:lineRule="auto"/>
        <w:rPr>
          <w:sz w:val="20"/>
          <w:szCs w:val="20"/>
          <w:color w:val="auto"/>
        </w:rPr>
      </w:pPr>
      <w:r>
        <w:rPr>
          <w:rFonts w:ascii="Times New Roman" w:cs="Times New Roman" w:eastAsia="Times New Roman" w:hAnsi="Times New Roman"/>
          <w:sz w:val="20"/>
          <w:szCs w:val="20"/>
          <w:color w:val="auto"/>
        </w:rPr>
        <w:t>If the ending balance of $3,259 and $3,173 of unrecognized tax benefits as of December 31, 2024 and 2023, respectively, were recognized, none of the recognition would affect the income tax rate. The following table summarized the activity related to the Company’s unrecognized tax benefits: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gridSpan w:val="7"/>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For the Year Ended</w:t>
            </w:r>
          </w:p>
        </w:tc>
      </w:tr>
      <w:tr>
        <w:trPr>
          <w:trHeight w:val="155"/>
        </w:trPr>
        <w:tc>
          <w:tcPr>
            <w:tcW w:w="6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3"/>
          </w:tcPr>
          <w:p>
            <w:pPr>
              <w:jc w:val="right"/>
              <w:ind w:right="360"/>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27"/>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3"/>
                <w:szCs w:val="13"/>
                <w:color w:val="auto"/>
              </w:rPr>
            </w:pPr>
          </w:p>
        </w:tc>
      </w:tr>
      <w:tr>
        <w:trPr>
          <w:trHeight w:val="203"/>
        </w:trPr>
        <w:tc>
          <w:tcPr>
            <w:tcW w:w="6660" w:type="dxa"/>
            <w:vAlign w:val="bottom"/>
            <w:tcBorders>
              <w:bottom w:val="single" w:sz="8" w:color="DEDEDE"/>
            </w:tcBorders>
          </w:tcPr>
          <w:p>
            <w:pPr>
              <w:spacing w:after="0"/>
              <w:rPr>
                <w:sz w:val="17"/>
                <w:szCs w:val="17"/>
                <w:color w:val="auto"/>
              </w:rPr>
            </w:pPr>
          </w:p>
        </w:tc>
        <w:tc>
          <w:tcPr>
            <w:tcW w:w="20" w:type="dxa"/>
            <w:vAlign w:val="bottom"/>
            <w:tcBorders>
              <w:bottom w:val="single" w:sz="8" w:color="DEDEDE"/>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DEDEDE"/>
            </w:tcBorders>
          </w:tcPr>
          <w:p>
            <w:pPr>
              <w:spacing w:after="0"/>
              <w:rPr>
                <w:sz w:val="17"/>
                <w:szCs w:val="17"/>
                <w:color w:val="auto"/>
              </w:rPr>
            </w:pPr>
          </w:p>
        </w:tc>
        <w:tc>
          <w:tcPr>
            <w:tcW w:w="220" w:type="dxa"/>
            <w:vAlign w:val="bottom"/>
            <w:tcBorders>
              <w:bottom w:val="single" w:sz="8" w:color="DEDEDE"/>
            </w:tcBorders>
          </w:tcPr>
          <w:p>
            <w:pPr>
              <w:spacing w:after="0"/>
              <w:rPr>
                <w:sz w:val="17"/>
                <w:szCs w:val="17"/>
                <w:color w:val="auto"/>
              </w:rPr>
            </w:pPr>
          </w:p>
        </w:tc>
        <w:tc>
          <w:tcPr>
            <w:tcW w:w="20" w:type="dxa"/>
            <w:vAlign w:val="bottom"/>
            <w:tcBorders>
              <w:bottom w:val="single" w:sz="8" w:color="DEDEDE"/>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DEDEDE"/>
            </w:tcBorders>
          </w:tcPr>
          <w:p>
            <w:pPr>
              <w:spacing w:after="0"/>
              <w:rPr>
                <w:sz w:val="17"/>
                <w:szCs w:val="17"/>
                <w:color w:val="auto"/>
              </w:rPr>
            </w:pPr>
          </w:p>
        </w:tc>
      </w:tr>
      <w:tr>
        <w:trPr>
          <w:trHeight w:val="220"/>
        </w:trPr>
        <w:tc>
          <w:tcPr>
            <w:tcW w:w="6660" w:type="dxa"/>
            <w:vAlign w:val="bottom"/>
            <w:shd w:val="clear" w:color="auto" w:fill="DEDEDE"/>
          </w:tcPr>
          <w:p>
            <w:pPr>
              <w:spacing w:after="0" w:line="220" w:lineRule="exact"/>
              <w:rPr>
                <w:sz w:val="20"/>
                <w:szCs w:val="20"/>
                <w:color w:val="auto"/>
              </w:rPr>
            </w:pPr>
            <w:r>
              <w:rPr>
                <w:rFonts w:ascii="Times New Roman" w:cs="Times New Roman" w:eastAsia="Times New Roman" w:hAnsi="Times New Roman"/>
                <w:sz w:val="20"/>
                <w:szCs w:val="20"/>
                <w:color w:val="auto"/>
              </w:rPr>
              <w:t>Unrecognized tax benefits, beginning of year</w:t>
            </w:r>
          </w:p>
        </w:tc>
        <w:tc>
          <w:tcPr>
            <w:tcW w:w="120" w:type="dxa"/>
            <w:vAlign w:val="bottom"/>
            <w:gridSpan w:val="2"/>
            <w:shd w:val="clear" w:color="auto" w:fill="DEDEDE"/>
          </w:tcPr>
          <w:p>
            <w:pPr>
              <w:jc w:val="right"/>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gridSpan w:val="2"/>
            <w:shd w:val="clear" w:color="auto" w:fill="DEDEDE"/>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3,173</w:t>
            </w:r>
          </w:p>
        </w:tc>
        <w:tc>
          <w:tcPr>
            <w:tcW w:w="220" w:type="dxa"/>
            <w:vAlign w:val="bottom"/>
            <w:shd w:val="clear" w:color="auto" w:fill="DEDEDE"/>
          </w:tcPr>
          <w:p>
            <w:pPr>
              <w:spacing w:after="0"/>
              <w:rPr>
                <w:sz w:val="19"/>
                <w:szCs w:val="19"/>
                <w:color w:val="auto"/>
              </w:rPr>
            </w:pPr>
          </w:p>
        </w:tc>
        <w:tc>
          <w:tcPr>
            <w:tcW w:w="120" w:type="dxa"/>
            <w:vAlign w:val="bottom"/>
            <w:gridSpan w:val="2"/>
            <w:shd w:val="clear" w:color="auto" w:fill="DEDEDE"/>
          </w:tcPr>
          <w:p>
            <w:pPr>
              <w:jc w:val="right"/>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gridSpan w:val="2"/>
            <w:shd w:val="clear" w:color="auto" w:fill="DEDEDE"/>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2,437</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Decreases related to prior year tax positions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(586)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666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Increases related to current year tax positions</w:t>
            </w:r>
          </w:p>
        </w:tc>
        <w:tc>
          <w:tcPr>
            <w:tcW w:w="20" w:type="dxa"/>
            <w:vAlign w:val="bottom"/>
            <w:shd w:val="clear" w:color="auto" w:fill="DEDEDE"/>
          </w:tcPr>
          <w:p>
            <w:pPr>
              <w:spacing w:after="0"/>
              <w:rPr>
                <w:sz w:val="20"/>
                <w:szCs w:val="20"/>
                <w:color w:val="auto"/>
              </w:rPr>
            </w:pPr>
          </w:p>
        </w:tc>
        <w:tc>
          <w:tcPr>
            <w:tcW w:w="100" w:type="dxa"/>
            <w:vAlign w:val="bottom"/>
            <w:shd w:val="clear" w:color="auto" w:fill="DEDEDE"/>
          </w:tcPr>
          <w:p>
            <w:pPr>
              <w:spacing w:after="0"/>
              <w:rPr>
                <w:sz w:val="20"/>
                <w:szCs w:val="20"/>
                <w:color w:val="auto"/>
              </w:rPr>
            </w:pPr>
          </w:p>
        </w:tc>
        <w:tc>
          <w:tcPr>
            <w:tcW w:w="108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20"/>
                <w:szCs w:val="20"/>
                <w:color w:val="auto"/>
              </w:rPr>
              <w:t>672</w:t>
            </w:r>
          </w:p>
        </w:tc>
        <w:tc>
          <w:tcPr>
            <w:tcW w:w="22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100" w:type="dxa"/>
            <w:vAlign w:val="bottom"/>
            <w:shd w:val="clear" w:color="auto" w:fill="DEDEDE"/>
          </w:tcPr>
          <w:p>
            <w:pPr>
              <w:spacing w:after="0"/>
              <w:rPr>
                <w:sz w:val="20"/>
                <w:szCs w:val="20"/>
                <w:color w:val="auto"/>
              </w:rPr>
            </w:pPr>
          </w:p>
        </w:tc>
        <w:tc>
          <w:tcPr>
            <w:tcW w:w="116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20"/>
                <w:szCs w:val="20"/>
                <w:color w:val="auto"/>
              </w:rPr>
              <w:t>736</w:t>
            </w:r>
          </w:p>
        </w:tc>
      </w:tr>
      <w:tr>
        <w:trPr>
          <w:trHeight w:val="221"/>
        </w:trPr>
        <w:tc>
          <w:tcPr>
            <w:tcW w:w="666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Unrecognized tax benefits, end of year</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3,259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3,173</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7"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20"/>
          <w:szCs w:val="20"/>
          <w:color w:val="auto"/>
        </w:rPr>
        <w:t>The Company does not anticipate any material change in its unrecognized tax benefits over the next twelve months. The unrecognized tax benefits may change during the next year for items that arise in the ordinary course of business.</w:t>
      </w:r>
    </w:p>
    <w:p>
      <w:pPr>
        <w:spacing w:after="0" w:line="188" w:lineRule="exact"/>
        <w:rPr>
          <w:sz w:val="20"/>
          <w:szCs w:val="20"/>
          <w:color w:val="auto"/>
        </w:rPr>
      </w:pPr>
    </w:p>
    <w:p>
      <w:pPr>
        <w:ind w:right="240" w:firstLine="619"/>
        <w:spacing w:after="0" w:line="252" w:lineRule="auto"/>
        <w:rPr>
          <w:sz w:val="20"/>
          <w:szCs w:val="20"/>
          <w:color w:val="auto"/>
        </w:rPr>
      </w:pPr>
      <w:r>
        <w:rPr>
          <w:rFonts w:ascii="Times New Roman" w:cs="Times New Roman" w:eastAsia="Times New Roman" w:hAnsi="Times New Roman"/>
          <w:sz w:val="20"/>
          <w:szCs w:val="20"/>
          <w:color w:val="auto"/>
        </w:rPr>
        <w:t>The Company files U.S. federal and state income tax returns with varying statutes of limitations. The Company’s tax years 2013 to 2023 will remain open for examination by the federal and state authorities for three and four years, respectively, from the date of utilization of any net operating losses and research and development credits.</w:t>
      </w:r>
    </w:p>
    <w:p>
      <w:pPr>
        <w:spacing w:after="0" w:line="193" w:lineRule="exact"/>
        <w:rPr>
          <w:sz w:val="20"/>
          <w:szCs w:val="20"/>
          <w:color w:val="auto"/>
        </w:rPr>
      </w:pPr>
    </w:p>
    <w:p>
      <w:pPr>
        <w:ind w:right="20" w:firstLine="619"/>
        <w:spacing w:after="0" w:line="249" w:lineRule="auto"/>
        <w:rPr>
          <w:sz w:val="20"/>
          <w:szCs w:val="20"/>
          <w:color w:val="auto"/>
        </w:rPr>
      </w:pPr>
      <w:r>
        <w:rPr>
          <w:rFonts w:ascii="Times New Roman" w:cs="Times New Roman" w:eastAsia="Times New Roman" w:hAnsi="Times New Roman"/>
          <w:sz w:val="20"/>
          <w:szCs w:val="20"/>
          <w:color w:val="auto"/>
        </w:rPr>
        <w:t>The State of New Jersey’s Technology Business Tax Certificate Program allows certain high technology and biotechnology companies to sell unused NOL carryforwards and research and development (“R&amp;D”) tax credits to other New Jersey-based corporate taxpayers. As of December 31, 2024, the Company received $16,176 of cash for the NOL and R&amp;D tax credit sales related to the tax years ended December 31, 2015 to 2020. The sale of the NOLs and R&amp;D tax credits has been recorded as an income tax benefit within the consolidated statement of operations.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10. Net Loss per Share</w:t>
      </w:r>
    </w:p>
    <w:p>
      <w:pPr>
        <w:spacing w:after="0" w:line="120" w:lineRule="exact"/>
        <w:rPr>
          <w:sz w:val="20"/>
          <w:szCs w:val="20"/>
          <w:color w:val="auto"/>
        </w:rPr>
      </w:pPr>
    </w:p>
    <w:p>
      <w:pPr>
        <w:ind w:right="200" w:firstLine="619"/>
        <w:spacing w:after="0" w:line="252" w:lineRule="auto"/>
        <w:rPr>
          <w:sz w:val="20"/>
          <w:szCs w:val="20"/>
          <w:color w:val="auto"/>
        </w:rPr>
      </w:pPr>
      <w:r>
        <w:rPr>
          <w:rFonts w:ascii="Times New Roman" w:cs="Times New Roman" w:eastAsia="Times New Roman" w:hAnsi="Times New Roman"/>
          <w:sz w:val="20"/>
          <w:szCs w:val="20"/>
          <w:color w:val="auto"/>
        </w:rPr>
        <w:t>The Company excluded all outstanding stock options and restricted stock units at each period end from the computation of diluted net loss per share attributable to common stockholders for the periods indicated because including them would have had an anti -dilutive effect. The following common stock equivalents were excluded from the calculation of diluted net loss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40" w:type="dxa"/>
            <w:vAlign w:val="bottom"/>
            <w:tcBorders>
              <w:bottom w:val="single" w:sz="8" w:color="auto"/>
            </w:tcBorders>
            <w:gridSpan w:val="8"/>
          </w:tcPr>
          <w:p>
            <w:pPr>
              <w:ind w:left="13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74"/>
        </w:trPr>
        <w:tc>
          <w:tcPr>
            <w:tcW w:w="4120" w:type="dxa"/>
            <w:vAlign w:val="bottom"/>
            <w:tcBorders>
              <w:bottom w:val="single" w:sz="8" w:color="E0E0E0"/>
            </w:tcBorders>
          </w:tcPr>
          <w:p>
            <w:pPr>
              <w:spacing w:after="0"/>
              <w:rPr>
                <w:sz w:val="15"/>
                <w:szCs w:val="15"/>
                <w:color w:val="auto"/>
              </w:rPr>
            </w:pPr>
          </w:p>
        </w:tc>
        <w:tc>
          <w:tcPr>
            <w:tcW w:w="6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580" w:type="dxa"/>
            <w:vAlign w:val="bottom"/>
            <w:tcBorders>
              <w:bottom w:val="single" w:sz="8" w:color="auto"/>
            </w:tcBorders>
          </w:tcPr>
          <w:p>
            <w:pPr>
              <w:jc w:val="right"/>
              <w:ind w:right="547"/>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E0E0E0"/>
            </w:tcBorders>
          </w:tcPr>
          <w:p>
            <w:pPr>
              <w:spacing w:after="0"/>
              <w:rPr>
                <w:sz w:val="15"/>
                <w:szCs w:val="15"/>
                <w:color w:val="auto"/>
              </w:rPr>
            </w:pPr>
          </w:p>
        </w:tc>
        <w:tc>
          <w:tcPr>
            <w:tcW w:w="24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440" w:type="dxa"/>
            <w:vAlign w:val="bottom"/>
            <w:tcBorders>
              <w:bottom w:val="single" w:sz="8" w:color="auto"/>
            </w:tcBorders>
          </w:tcPr>
          <w:p>
            <w:pPr>
              <w:jc w:val="right"/>
              <w:ind w:right="464"/>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4"/>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E0E0E0"/>
            </w:tcBorders>
          </w:tcPr>
          <w:p>
            <w:pPr>
              <w:spacing w:after="0"/>
              <w:rPr>
                <w:sz w:val="15"/>
                <w:szCs w:val="15"/>
                <w:color w:val="auto"/>
              </w:rPr>
            </w:pPr>
          </w:p>
        </w:tc>
        <w:tc>
          <w:tcPr>
            <w:tcW w:w="80" w:type="dxa"/>
            <w:vAlign w:val="bottom"/>
            <w:tcBorders>
              <w:bottom w:val="single" w:sz="8" w:color="E0E0E0"/>
            </w:tcBorders>
          </w:tcPr>
          <w:p>
            <w:pPr>
              <w:spacing w:after="0"/>
              <w:rPr>
                <w:sz w:val="15"/>
                <w:szCs w:val="15"/>
                <w:color w:val="auto"/>
              </w:rPr>
            </w:pPr>
          </w:p>
        </w:tc>
      </w:tr>
      <w:tr>
        <w:trPr>
          <w:trHeight w:val="220"/>
        </w:trPr>
        <w:tc>
          <w:tcPr>
            <w:tcW w:w="412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Options to purchase common stock</w:t>
            </w: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600" w:type="dxa"/>
            <w:vAlign w:val="bottom"/>
            <w:gridSpan w:val="2"/>
            <w:shd w:val="clear" w:color="auto" w:fill="E0E0E0"/>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8,653,913</w:t>
            </w:r>
          </w:p>
        </w:tc>
        <w:tc>
          <w:tcPr>
            <w:tcW w:w="2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660" w:type="dxa"/>
            <w:vAlign w:val="bottom"/>
            <w:gridSpan w:val="2"/>
            <w:shd w:val="clear" w:color="auto" w:fill="E0E0E0"/>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6,973,464</w:t>
            </w:r>
          </w:p>
        </w:tc>
        <w:tc>
          <w:tcPr>
            <w:tcW w:w="20" w:type="dxa"/>
            <w:vAlign w:val="bottom"/>
            <w:shd w:val="clear" w:color="auto" w:fill="E0E0E0"/>
          </w:tcPr>
          <w:p>
            <w:pPr>
              <w:spacing w:after="0"/>
              <w:rPr>
                <w:sz w:val="19"/>
                <w:szCs w:val="19"/>
                <w:color w:val="auto"/>
              </w:rPr>
            </w:pPr>
          </w:p>
        </w:tc>
        <w:tc>
          <w:tcPr>
            <w:tcW w:w="400" w:type="dxa"/>
            <w:vAlign w:val="bottom"/>
            <w:shd w:val="clear" w:color="auto" w:fill="E0E0E0"/>
          </w:tcPr>
          <w:p>
            <w:pPr>
              <w:spacing w:after="0"/>
              <w:rPr>
                <w:sz w:val="19"/>
                <w:szCs w:val="19"/>
                <w:color w:val="auto"/>
              </w:rPr>
            </w:pPr>
          </w:p>
        </w:tc>
        <w:tc>
          <w:tcPr>
            <w:tcW w:w="1220" w:type="dxa"/>
            <w:vAlign w:val="bottom"/>
            <w:gridSpan w:val="3"/>
            <w:shd w:val="clear" w:color="auto" w:fill="E0E0E0"/>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5,278,771</w:t>
            </w: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20"/>
                <w:szCs w:val="20"/>
                <w:color w:val="auto"/>
              </w:rPr>
              <w:t>Unvested restricted common stock units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907,666</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236,296</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374,899</w:t>
            </w:r>
          </w:p>
        </w:tc>
      </w:tr>
      <w:tr>
        <w:trPr>
          <w:trHeight w:val="249"/>
        </w:trPr>
        <w:tc>
          <w:tcPr>
            <w:tcW w:w="41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shd w:val="clear" w:color="auto" w:fill="E0E0E0"/>
              </w:rPr>
              <w:t>Expected shares to be purchased under 2020 ESPP</w:t>
            </w:r>
          </w:p>
        </w:tc>
        <w:tc>
          <w:tcPr>
            <w:tcW w:w="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60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3,944</w:t>
            </w:r>
          </w:p>
        </w:tc>
        <w:tc>
          <w:tcPr>
            <w:tcW w:w="24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66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20"/>
                <w:szCs w:val="20"/>
                <w:color w:val="auto"/>
              </w:rPr>
              <w:t>2,237</w:t>
            </w:r>
          </w:p>
        </w:tc>
        <w:tc>
          <w:tcPr>
            <w:tcW w:w="20" w:type="dxa"/>
            <w:vAlign w:val="bottom"/>
            <w:shd w:val="clear" w:color="auto" w:fill="E0E0E0"/>
          </w:tcPr>
          <w:p>
            <w:pPr>
              <w:spacing w:after="0"/>
              <w:rPr>
                <w:sz w:val="21"/>
                <w:szCs w:val="21"/>
                <w:color w:val="auto"/>
              </w:rPr>
            </w:pPr>
          </w:p>
        </w:tc>
        <w:tc>
          <w:tcPr>
            <w:tcW w:w="400" w:type="dxa"/>
            <w:vAlign w:val="bottom"/>
            <w:shd w:val="clear" w:color="auto" w:fill="E0E0E0"/>
          </w:tcPr>
          <w:p>
            <w:pPr>
              <w:spacing w:after="0"/>
              <w:rPr>
                <w:sz w:val="21"/>
                <w:szCs w:val="21"/>
                <w:color w:val="auto"/>
              </w:rPr>
            </w:pPr>
          </w:p>
        </w:tc>
        <w:tc>
          <w:tcPr>
            <w:tcW w:w="1220" w:type="dxa"/>
            <w:vAlign w:val="bottom"/>
            <w:gridSpan w:val="3"/>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95,905</w:t>
            </w:r>
          </w:p>
        </w:tc>
      </w:tr>
      <w:tr>
        <w:trPr>
          <w:trHeight w:val="202"/>
        </w:trPr>
        <w:tc>
          <w:tcPr>
            <w:tcW w:w="4120" w:type="dxa"/>
            <w:vAlign w:val="bottom"/>
            <w:tcBorders>
              <w:top w:val="single" w:sz="8" w:color="E0E0E0"/>
            </w:tcBorders>
          </w:tcPr>
          <w:p>
            <w:pPr>
              <w:spacing w:after="0" w:line="203" w:lineRule="exact"/>
              <w:rPr>
                <w:sz w:val="20"/>
                <w:szCs w:val="20"/>
                <w:color w:val="auto"/>
              </w:rPr>
            </w:pPr>
            <w:r>
              <w:rPr>
                <w:rFonts w:ascii="Times New Roman" w:cs="Times New Roman" w:eastAsia="Times New Roman" w:hAnsi="Times New Roman"/>
                <w:sz w:val="20"/>
                <w:szCs w:val="20"/>
                <w:color w:val="auto"/>
              </w:rPr>
              <w:t>Total</w:t>
            </w:r>
          </w:p>
        </w:tc>
        <w:tc>
          <w:tcPr>
            <w:tcW w:w="60" w:type="dxa"/>
            <w:vAlign w:val="bottom"/>
            <w:tcBorders>
              <w:top w:val="single" w:sz="8" w:color="E0E0E0"/>
            </w:tcBorders>
          </w:tcPr>
          <w:p>
            <w:pPr>
              <w:spacing w:after="0"/>
              <w:rPr>
                <w:sz w:val="17"/>
                <w:szCs w:val="17"/>
                <w:color w:val="auto"/>
              </w:rPr>
            </w:pPr>
          </w:p>
        </w:tc>
        <w:tc>
          <w:tcPr>
            <w:tcW w:w="20" w:type="dxa"/>
            <w:vAlign w:val="bottom"/>
            <w:tcBorders>
              <w:top w:val="single" w:sz="8" w:color="E0E0E0"/>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9,565,523</w:t>
            </w:r>
          </w:p>
        </w:tc>
        <w:tc>
          <w:tcPr>
            <w:tcW w:w="20" w:type="dxa"/>
            <w:vAlign w:val="bottom"/>
            <w:tcBorders>
              <w:top w:val="single" w:sz="8" w:color="E0E0E0"/>
            </w:tcBorders>
          </w:tcPr>
          <w:p>
            <w:pPr>
              <w:spacing w:after="0"/>
              <w:rPr>
                <w:sz w:val="17"/>
                <w:szCs w:val="17"/>
                <w:color w:val="auto"/>
              </w:rPr>
            </w:pPr>
          </w:p>
        </w:tc>
        <w:tc>
          <w:tcPr>
            <w:tcW w:w="240" w:type="dxa"/>
            <w:vAlign w:val="bottom"/>
            <w:tcBorders>
              <w:top w:val="single" w:sz="8" w:color="E0E0E0"/>
            </w:tcBorders>
          </w:tcPr>
          <w:p>
            <w:pPr>
              <w:spacing w:after="0"/>
              <w:rPr>
                <w:sz w:val="17"/>
                <w:szCs w:val="17"/>
                <w:color w:val="auto"/>
              </w:rPr>
            </w:pPr>
          </w:p>
        </w:tc>
        <w:tc>
          <w:tcPr>
            <w:tcW w:w="20" w:type="dxa"/>
            <w:vAlign w:val="bottom"/>
            <w:tcBorders>
              <w:top w:val="single" w:sz="8" w:color="E0E0E0"/>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7,211,997</w:t>
            </w:r>
          </w:p>
        </w:tc>
        <w:tc>
          <w:tcPr>
            <w:tcW w:w="220" w:type="dxa"/>
            <w:vAlign w:val="bottom"/>
            <w:tcBorders>
              <w:top w:val="single" w:sz="8" w:color="E0E0E0"/>
            </w:tcBorders>
          </w:tcPr>
          <w:p>
            <w:pPr>
              <w:spacing w:after="0"/>
              <w:rPr>
                <w:sz w:val="17"/>
                <w:szCs w:val="17"/>
                <w:color w:val="auto"/>
              </w:rPr>
            </w:pPr>
          </w:p>
        </w:tc>
        <w:tc>
          <w:tcPr>
            <w:tcW w:w="20" w:type="dxa"/>
            <w:vAlign w:val="bottom"/>
            <w:tcBorders>
              <w:top w:val="single" w:sz="8" w:color="E0E0E0"/>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5,749,575</w:t>
            </w:r>
          </w:p>
        </w:tc>
        <w:tc>
          <w:tcPr>
            <w:tcW w:w="100" w:type="dxa"/>
            <w:vAlign w:val="bottom"/>
            <w:tcBorders>
              <w:top w:val="single" w:sz="8" w:color="E0E0E0"/>
            </w:tcBorders>
            <w:gridSpan w:val="2"/>
          </w:tcPr>
          <w:p>
            <w:pPr>
              <w:spacing w:after="0"/>
              <w:rPr>
                <w:sz w:val="17"/>
                <w:szCs w:val="17"/>
                <w:color w:val="auto"/>
              </w:rPr>
            </w:pPr>
          </w:p>
        </w:tc>
      </w:tr>
      <w:tr>
        <w:trPr>
          <w:trHeight w:val="20"/>
        </w:trPr>
        <w:tc>
          <w:tcPr>
            <w:tcW w:w="4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5883910</wp:posOffset>
                </wp:positionH>
                <wp:positionV relativeFrom="paragraph">
                  <wp:posOffset>-745490</wp:posOffset>
                </wp:positionV>
                <wp:extent cx="59690"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9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3pt,-58.6999pt" to="468pt,-58.69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-177800</wp:posOffset>
                </wp:positionV>
                <wp:extent cx="266890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68905"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pt" to="210.15pt,-14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3665855</wp:posOffset>
                </wp:positionH>
                <wp:positionV relativeFrom="paragraph">
                  <wp:posOffset>-177800</wp:posOffset>
                </wp:positionV>
                <wp:extent cx="183515"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515"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8.65pt,-14pt" to="303.1pt,-14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4763770</wp:posOffset>
                </wp:positionH>
                <wp:positionV relativeFrom="paragraph">
                  <wp:posOffset>-177800</wp:posOffset>
                </wp:positionV>
                <wp:extent cx="148590"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59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1pt,-14pt" to="386.8pt,-14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5883910</wp:posOffset>
                </wp:positionH>
                <wp:positionV relativeFrom="paragraph">
                  <wp:posOffset>-177800</wp:posOffset>
                </wp:positionV>
                <wp:extent cx="59690"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9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3pt,-14pt" to="468pt,-14pt" o:allowincell="f" strokecolor="#FFFFFF" strokeweight="0.48pt"/>
            </w:pict>
          </mc:Fallback>
        </mc:AlternateConten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11. Related Parties</w:t>
      </w:r>
    </w:p>
    <w:p>
      <w:pPr>
        <w:spacing w:after="0" w:line="138" w:lineRule="exact"/>
        <w:rPr>
          <w:sz w:val="20"/>
          <w:szCs w:val="20"/>
          <w:color w:val="auto"/>
        </w:rPr>
      </w:pPr>
    </w:p>
    <w:p>
      <w:pPr>
        <w:ind w:right="100" w:firstLine="619"/>
        <w:spacing w:after="0" w:line="252" w:lineRule="auto"/>
        <w:rPr>
          <w:sz w:val="20"/>
          <w:szCs w:val="20"/>
          <w:color w:val="auto"/>
        </w:rPr>
      </w:pPr>
      <w:r>
        <w:rPr>
          <w:rFonts w:ascii="Times New Roman" w:cs="Times New Roman" w:eastAsia="Times New Roman" w:hAnsi="Times New Roman"/>
          <w:sz w:val="20"/>
          <w:szCs w:val="20"/>
          <w:color w:val="auto"/>
        </w:rPr>
        <w:t>The Company has consulting agreements with three members of its board of directors; one of which waived his consulting fees starting as of September 2021. Total consulting fees paid during the years ended December 31, 2024, 2023, and 2022 were $187, $92, and $111, respectively. There were no amounts owed under the consulting agreements as of December 31, 2024.</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12. Restructuring</w:t>
      </w:r>
    </w:p>
    <w:p>
      <w:pPr>
        <w:spacing w:after="0" w:line="119" w:lineRule="exact"/>
        <w:rPr>
          <w:sz w:val="20"/>
          <w:szCs w:val="20"/>
          <w:color w:val="auto"/>
        </w:rPr>
      </w:pPr>
    </w:p>
    <w:p>
      <w:pPr>
        <w:ind w:right="140" w:firstLine="619"/>
        <w:spacing w:after="0" w:line="249" w:lineRule="auto"/>
        <w:rPr>
          <w:sz w:val="20"/>
          <w:szCs w:val="20"/>
          <w:color w:val="auto"/>
        </w:rPr>
      </w:pPr>
      <w:r>
        <w:rPr>
          <w:rFonts w:ascii="Times New Roman" w:cs="Times New Roman" w:eastAsia="Times New Roman" w:hAnsi="Times New Roman"/>
          <w:sz w:val="20"/>
          <w:szCs w:val="20"/>
          <w:color w:val="auto"/>
        </w:rPr>
        <w:t>On January 18, 2024, the Company announced a restructuring plan involving the reduction of its workforce by approximately 30% of the Company’s employees. All of the costs under the restructuring plan were incurred during the fiscal year ending December 31, 2024. The Company undertook these steps in order to streamline operations, reduce costs and preserve capital as it advances into late-stage development for its lead product candidate, rezatapopt.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ectPr>
          <w:pgSz w:w="12240" w:h="15840" w:orient="portrait"/>
          <w:cols w:equalWidth="0" w:num="1">
            <w:col w:w="9360"/>
          </w:cols>
          <w:pgMar w:left="1440" w:top="1420" w:right="1440" w:bottom="175" w:gutter="0" w:footer="0" w:header="0"/>
        </w:sectPr>
      </w:pPr>
    </w:p>
    <w:bookmarkStart w:id="129" w:name="page130"/>
    <w:bookmarkEnd w:id="129"/>
    <w:p>
      <w:pPr>
        <w:ind w:right="500" w:firstLine="619"/>
        <w:spacing w:after="0" w:line="252" w:lineRule="auto"/>
        <w:rPr>
          <w:sz w:val="20"/>
          <w:szCs w:val="20"/>
          <w:color w:val="auto"/>
        </w:rPr>
      </w:pPr>
      <w:r>
        <w:rPr>
          <w:rFonts w:ascii="Times New Roman" w:cs="Times New Roman" w:eastAsia="Times New Roman" w:hAnsi="Times New Roman"/>
          <w:sz w:val="20"/>
          <w:szCs w:val="20"/>
          <w:color w:val="auto"/>
        </w:rPr>
        <w:t>As a result of the reduction in force, the Company incurred an aggregate non-recurring charge of $0.6 million, consisting primarily of employee severance and benefit costs associated with the restructuring. The Company has recorded these charges in research and development expenses in the accompanying consolidated statement of operations based on responsibilities of the impacted employees.</w:t>
      </w:r>
    </w:p>
    <w:p>
      <w:pPr>
        <w:spacing w:after="0" w:line="193" w:lineRule="exact"/>
        <w:rPr>
          <w:sz w:val="20"/>
          <w:szCs w:val="20"/>
          <w:color w:val="auto"/>
        </w:rPr>
      </w:pPr>
    </w:p>
    <w:p>
      <w:pPr>
        <w:ind w:right="300" w:firstLine="619"/>
        <w:spacing w:after="0" w:line="259" w:lineRule="auto"/>
        <w:rPr>
          <w:sz w:val="20"/>
          <w:szCs w:val="20"/>
          <w:color w:val="auto"/>
        </w:rPr>
      </w:pPr>
      <w:r>
        <w:rPr>
          <w:rFonts w:ascii="Times New Roman" w:cs="Times New Roman" w:eastAsia="Times New Roman" w:hAnsi="Times New Roman"/>
          <w:sz w:val="20"/>
          <w:szCs w:val="20"/>
          <w:color w:val="auto"/>
        </w:rPr>
        <w:t>The Company accounts for employee termination benefits that represent a one-time benefit in accordance with ASC Topic 420, Exit or Disposal Cost Obligations. It records such costs into expense over the employee’s future service period, if any.</w:t>
      </w:r>
    </w:p>
    <w:p>
      <w:pPr>
        <w:spacing w:after="0" w:line="186" w:lineRule="exact"/>
        <w:rPr>
          <w:sz w:val="20"/>
          <w:szCs w:val="20"/>
          <w:color w:val="auto"/>
        </w:rPr>
      </w:pPr>
    </w:p>
    <w:p>
      <w:pPr>
        <w:ind w:right="440" w:firstLine="619"/>
        <w:spacing w:after="0" w:line="278" w:lineRule="auto"/>
        <w:rPr>
          <w:sz w:val="20"/>
          <w:szCs w:val="20"/>
          <w:color w:val="auto"/>
        </w:rPr>
      </w:pPr>
      <w:r>
        <w:rPr>
          <w:rFonts w:ascii="Times New Roman" w:cs="Times New Roman" w:eastAsia="Times New Roman" w:hAnsi="Times New Roman"/>
          <w:sz w:val="20"/>
          <w:szCs w:val="20"/>
          <w:color w:val="auto"/>
        </w:rPr>
        <w:t>The following sets forth information regarding the balances and activity associated with the Company’s accrued employee severance and benefits costs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Balance as of</w:t>
            </w:r>
          </w:p>
        </w:tc>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Balance as of</w:t>
            </w:r>
          </w:p>
        </w:tc>
      </w:tr>
      <w:tr>
        <w:trPr>
          <w:trHeight w:val="207"/>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1640" w:type="dxa"/>
            <w:vAlign w:val="bottom"/>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Expenses, net</w:t>
            </w:r>
          </w:p>
        </w:tc>
        <w:tc>
          <w:tcPr>
            <w:tcW w:w="180" w:type="dxa"/>
            <w:vAlign w:val="bottom"/>
          </w:tcPr>
          <w:p>
            <w:pPr>
              <w:spacing w:after="0"/>
              <w:rPr>
                <w:sz w:val="18"/>
                <w:szCs w:val="18"/>
                <w:color w:val="auto"/>
              </w:rPr>
            </w:pPr>
          </w:p>
        </w:tc>
        <w:tc>
          <w:tcPr>
            <w:tcW w:w="184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Cash</w:t>
            </w: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r>
      <w:tr>
        <w:trPr>
          <w:trHeight w:val="230"/>
        </w:trPr>
        <w:tc>
          <w:tcPr>
            <w:tcW w:w="216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shd w:val="clear" w:color="auto" w:fill="E0E0E0"/>
              </w:rPr>
              <w:t>Employee severance and</w:t>
            </w:r>
          </w:p>
        </w:tc>
        <w:tc>
          <w:tcPr>
            <w:tcW w:w="80" w:type="dxa"/>
            <w:vAlign w:val="bottom"/>
            <w:tcBorders>
              <w:top w:val="single" w:sz="8" w:color="auto"/>
            </w:tcBorders>
            <w:shd w:val="clear" w:color="auto" w:fill="E0E0E0"/>
          </w:tcPr>
          <w:p>
            <w:pPr>
              <w:spacing w:after="0"/>
              <w:rPr>
                <w:sz w:val="20"/>
                <w:szCs w:val="20"/>
                <w:color w:val="auto"/>
              </w:rPr>
            </w:pPr>
          </w:p>
        </w:tc>
        <w:tc>
          <w:tcPr>
            <w:tcW w:w="1540" w:type="dxa"/>
            <w:vAlign w:val="bottom"/>
            <w:tcBorders>
              <w:top w:val="single" w:sz="8" w:color="auto"/>
            </w:tcBorders>
            <w:shd w:val="clear" w:color="auto" w:fill="E0E0E0"/>
          </w:tcPr>
          <w:p>
            <w:pPr>
              <w:spacing w:after="0"/>
              <w:rPr>
                <w:sz w:val="20"/>
                <w:szCs w:val="20"/>
                <w:color w:val="auto"/>
              </w:rPr>
            </w:pPr>
          </w:p>
        </w:tc>
        <w:tc>
          <w:tcPr>
            <w:tcW w:w="200" w:type="dxa"/>
            <w:vAlign w:val="bottom"/>
            <w:tcBorders>
              <w:top w:val="single" w:sz="8" w:color="E0E0E0"/>
            </w:tcBorders>
            <w:shd w:val="clear" w:color="auto" w:fill="E0E0E0"/>
          </w:tcPr>
          <w:p>
            <w:pPr>
              <w:spacing w:after="0"/>
              <w:rPr>
                <w:sz w:val="20"/>
                <w:szCs w:val="20"/>
                <w:color w:val="auto"/>
              </w:rPr>
            </w:pPr>
          </w:p>
        </w:tc>
        <w:tc>
          <w:tcPr>
            <w:tcW w:w="1640" w:type="dxa"/>
            <w:vAlign w:val="bottom"/>
            <w:tcBorders>
              <w:top w:val="single" w:sz="8" w:color="auto"/>
            </w:tcBorders>
            <w:shd w:val="clear" w:color="auto" w:fill="E0E0E0"/>
          </w:tcPr>
          <w:p>
            <w:pPr>
              <w:spacing w:after="0"/>
              <w:rPr>
                <w:sz w:val="20"/>
                <w:szCs w:val="20"/>
                <w:color w:val="auto"/>
              </w:rPr>
            </w:pPr>
          </w:p>
        </w:tc>
        <w:tc>
          <w:tcPr>
            <w:tcW w:w="180" w:type="dxa"/>
            <w:vAlign w:val="bottom"/>
            <w:tcBorders>
              <w:top w:val="single" w:sz="8" w:color="E0E0E0"/>
            </w:tcBorders>
            <w:shd w:val="clear" w:color="auto" w:fill="E0E0E0"/>
          </w:tcPr>
          <w:p>
            <w:pPr>
              <w:spacing w:after="0"/>
              <w:rPr>
                <w:sz w:val="20"/>
                <w:szCs w:val="20"/>
                <w:color w:val="auto"/>
              </w:rPr>
            </w:pPr>
          </w:p>
        </w:tc>
        <w:tc>
          <w:tcPr>
            <w:tcW w:w="1640" w:type="dxa"/>
            <w:vAlign w:val="bottom"/>
            <w:tcBorders>
              <w:top w:val="single" w:sz="8" w:color="auto"/>
            </w:tcBorders>
            <w:shd w:val="clear" w:color="auto" w:fill="E0E0E0"/>
          </w:tcPr>
          <w:p>
            <w:pPr>
              <w:spacing w:after="0"/>
              <w:rPr>
                <w:sz w:val="20"/>
                <w:szCs w:val="20"/>
                <w:color w:val="auto"/>
              </w:rPr>
            </w:pPr>
          </w:p>
        </w:tc>
        <w:tc>
          <w:tcPr>
            <w:tcW w:w="200" w:type="dxa"/>
            <w:vAlign w:val="bottom"/>
            <w:tcBorders>
              <w:top w:val="single" w:sz="8" w:color="E0E0E0"/>
            </w:tcBorders>
            <w:shd w:val="clear" w:color="auto" w:fill="E0E0E0"/>
          </w:tcPr>
          <w:p>
            <w:pPr>
              <w:spacing w:after="0"/>
              <w:rPr>
                <w:sz w:val="20"/>
                <w:szCs w:val="20"/>
                <w:color w:val="auto"/>
              </w:rPr>
            </w:pPr>
          </w:p>
        </w:tc>
        <w:tc>
          <w:tcPr>
            <w:tcW w:w="1620" w:type="dxa"/>
            <w:vAlign w:val="bottom"/>
            <w:tcBorders>
              <w:top w:val="single" w:sz="8" w:color="auto"/>
            </w:tcBorders>
            <w:shd w:val="clear" w:color="auto" w:fill="E0E0E0"/>
          </w:tcPr>
          <w:p>
            <w:pPr>
              <w:spacing w:after="0"/>
              <w:rPr>
                <w:sz w:val="20"/>
                <w:szCs w:val="20"/>
                <w:color w:val="auto"/>
              </w:rPr>
            </w:pPr>
          </w:p>
        </w:tc>
        <w:tc>
          <w:tcPr>
            <w:tcW w:w="100" w:type="dxa"/>
            <w:vAlign w:val="bottom"/>
            <w:tcBorders>
              <w:top w:val="single" w:sz="8" w:color="E0E0E0"/>
            </w:tcBorders>
            <w:shd w:val="clear" w:color="auto" w:fill="E0E0E0"/>
          </w:tcPr>
          <w:p>
            <w:pPr>
              <w:spacing w:after="0"/>
              <w:rPr>
                <w:sz w:val="20"/>
                <w:szCs w:val="20"/>
                <w:color w:val="auto"/>
              </w:rPr>
            </w:pPr>
          </w:p>
        </w:tc>
      </w:tr>
      <w:tr>
        <w:trPr>
          <w:trHeight w:val="229"/>
        </w:trPr>
        <w:tc>
          <w:tcPr>
            <w:tcW w:w="21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benefit costs</w:t>
            </w:r>
          </w:p>
        </w:tc>
        <w:tc>
          <w:tcPr>
            <w:tcW w:w="80" w:type="dxa"/>
            <w:vAlign w:val="bottom"/>
            <w:shd w:val="clear" w:color="auto" w:fill="E0E0E0"/>
          </w:tcPr>
          <w:p>
            <w:pPr>
              <w:spacing w:after="0"/>
              <w:rPr>
                <w:sz w:val="19"/>
                <w:szCs w:val="19"/>
                <w:color w:val="auto"/>
              </w:rPr>
            </w:pPr>
          </w:p>
        </w:tc>
        <w:tc>
          <w:tcPr>
            <w:tcW w:w="1540" w:type="dxa"/>
            <w:vAlign w:val="bottom"/>
            <w:shd w:val="clear" w:color="auto" w:fill="E0E0E0"/>
          </w:tcPr>
          <w:p>
            <w:pPr>
              <w:ind w:left="1320"/>
              <w:spacing w:after="0"/>
              <w:rPr>
                <w:sz w:val="20"/>
                <w:szCs w:val="20"/>
                <w:color w:val="auto"/>
              </w:rPr>
            </w:pPr>
            <w:r>
              <w:rPr>
                <w:rFonts w:ascii="Times New Roman" w:cs="Times New Roman" w:eastAsia="Times New Roman" w:hAnsi="Times New Roman"/>
                <w:sz w:val="20"/>
                <w:szCs w:val="20"/>
                <w:color w:val="auto"/>
                <w:w w:val="99"/>
              </w:rPr>
              <w:t>—</w:t>
            </w:r>
          </w:p>
        </w:tc>
        <w:tc>
          <w:tcPr>
            <w:tcW w:w="200" w:type="dxa"/>
            <w:vAlign w:val="bottom"/>
            <w:shd w:val="clear" w:color="auto" w:fill="E0E0E0"/>
          </w:tcPr>
          <w:p>
            <w:pPr>
              <w:spacing w:after="0"/>
              <w:rPr>
                <w:sz w:val="19"/>
                <w:szCs w:val="19"/>
                <w:color w:val="auto"/>
              </w:rPr>
            </w:pPr>
          </w:p>
        </w:tc>
        <w:tc>
          <w:tcPr>
            <w:tcW w:w="1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597</w:t>
            </w:r>
          </w:p>
        </w:tc>
        <w:tc>
          <w:tcPr>
            <w:tcW w:w="180" w:type="dxa"/>
            <w:vAlign w:val="bottom"/>
            <w:shd w:val="clear" w:color="auto" w:fill="E0E0E0"/>
          </w:tcPr>
          <w:p>
            <w:pPr>
              <w:spacing w:after="0"/>
              <w:rPr>
                <w:sz w:val="19"/>
                <w:szCs w:val="19"/>
                <w:color w:val="auto"/>
              </w:rPr>
            </w:pPr>
          </w:p>
        </w:tc>
        <w:tc>
          <w:tcPr>
            <w:tcW w:w="1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(597</w:t>
            </w:r>
          </w:p>
        </w:tc>
        <w:tc>
          <w:tcPr>
            <w:tcW w:w="20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1620" w:type="dxa"/>
            <w:vAlign w:val="bottom"/>
            <w:shd w:val="clear" w:color="auto" w:fill="E0E0E0"/>
          </w:tcPr>
          <w:p>
            <w:pPr>
              <w:ind w:left="1420"/>
              <w:spacing w:after="0"/>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shd w:val="clear" w:color="auto" w:fill="E0E0E0"/>
          </w:tcPr>
          <w:p>
            <w:pPr>
              <w:spacing w:after="0"/>
              <w:rPr>
                <w:sz w:val="19"/>
                <w:szCs w:val="19"/>
                <w:color w:val="auto"/>
              </w:rPr>
            </w:pPr>
          </w:p>
        </w:tc>
      </w:tr>
    </w:tbl>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13. Segment Information</w:t>
      </w:r>
    </w:p>
    <w:p>
      <w:pPr>
        <w:spacing w:after="0" w:line="112" w:lineRule="exact"/>
        <w:rPr>
          <w:sz w:val="20"/>
          <w:szCs w:val="20"/>
          <w:color w:val="auto"/>
        </w:rPr>
      </w:pPr>
    </w:p>
    <w:p>
      <w:pPr>
        <w:ind w:firstLine="619"/>
        <w:spacing w:after="0" w:line="236" w:lineRule="auto"/>
        <w:rPr>
          <w:sz w:val="20"/>
          <w:szCs w:val="20"/>
          <w:color w:val="auto"/>
        </w:rPr>
      </w:pPr>
      <w:r>
        <w:rPr>
          <w:rFonts w:ascii="Times New Roman" w:cs="Times New Roman" w:eastAsia="Times New Roman" w:hAnsi="Times New Roman"/>
          <w:sz w:val="20"/>
          <w:szCs w:val="20"/>
          <w:color w:val="auto"/>
        </w:rPr>
        <w:t>The Company has viewed its operations and manages its business as one operating and reporting segment. Operating segments are identified as components of an enterprise for which separate discrete financial information is available for evaluation by the Company’s CODM to make decisions with respect to resource allocation and assessment of performance. The Company’s CODM is its Chief Executive Officer, who reviews and evaluates consolidated net loss for purposes of assessing performance, making operating decisions, allocating resources, and planning and forecasting for future periods. The determination of a single segment is consistent with the financial information regularly reviewed by the CEO.</w:t>
      </w:r>
    </w:p>
    <w:p>
      <w:pPr>
        <w:spacing w:after="0" w:line="199" w:lineRule="exact"/>
        <w:rPr>
          <w:sz w:val="20"/>
          <w:szCs w:val="20"/>
          <w:color w:val="auto"/>
        </w:rPr>
      </w:pPr>
    </w:p>
    <w:p>
      <w:pPr>
        <w:ind w:right="100" w:firstLine="619"/>
        <w:spacing w:after="0" w:line="249" w:lineRule="auto"/>
        <w:rPr>
          <w:sz w:val="20"/>
          <w:szCs w:val="20"/>
          <w:color w:val="auto"/>
        </w:rPr>
      </w:pPr>
      <w:r>
        <w:rPr>
          <w:rFonts w:ascii="Times New Roman" w:cs="Times New Roman" w:eastAsia="Times New Roman" w:hAnsi="Times New Roman"/>
          <w:sz w:val="20"/>
          <w:szCs w:val="20"/>
          <w:color w:val="auto"/>
        </w:rPr>
        <w:t>The CEO regularly reviews the Consolidated Statement of Operations and a disaggregation of operating expenses, of which the significant expenses are related to research and development. The following table represents the significant segment expenses regularly provided to the CEO:</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490" w:type="dxa"/>
            <w:vAlign w:val="bottom"/>
          </w:tcPr>
          <w:p>
            <w:pPr>
              <w:spacing w:after="0"/>
              <w:rPr>
                <w:sz w:val="17"/>
                <w:szCs w:val="17"/>
                <w:color w:val="auto"/>
              </w:rPr>
            </w:pPr>
          </w:p>
        </w:tc>
        <w:tc>
          <w:tcPr>
            <w:tcW w:w="89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right"/>
              <w:ind w:right="465"/>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90" w:type="dxa"/>
            <w:vAlign w:val="bottom"/>
          </w:tcPr>
          <w:p>
            <w:pPr>
              <w:spacing w:after="0"/>
              <w:rPr>
                <w:sz w:val="17"/>
                <w:szCs w:val="17"/>
                <w:color w:val="auto"/>
              </w:rPr>
            </w:pPr>
          </w:p>
        </w:tc>
        <w:tc>
          <w:tcPr>
            <w:tcW w:w="89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100" w:type="dxa"/>
            <w:vAlign w:val="bottom"/>
          </w:tcPr>
          <w:p>
            <w:pPr>
              <w:spacing w:after="0"/>
              <w:rPr>
                <w:sz w:val="18"/>
                <w:szCs w:val="18"/>
                <w:color w:val="auto"/>
              </w:rPr>
            </w:pPr>
          </w:p>
        </w:tc>
        <w:tc>
          <w:tcPr>
            <w:tcW w:w="126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64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00" w:type="dxa"/>
            <w:vAlign w:val="bottom"/>
            <w:tcBorders>
              <w:bottom w:val="single" w:sz="8" w:color="DEDEDE"/>
            </w:tcBorders>
            <w:gridSpan w:val="3"/>
            <w:vMerge w:val="continue"/>
          </w:tcPr>
          <w:p>
            <w:pPr>
              <w:spacing w:after="0"/>
              <w:rPr>
                <w:sz w:val="19"/>
                <w:szCs w:val="19"/>
                <w:color w:val="auto"/>
              </w:rPr>
            </w:pPr>
          </w:p>
        </w:tc>
        <w:tc>
          <w:tcPr>
            <w:tcW w:w="100" w:type="dxa"/>
            <w:vAlign w:val="bottom"/>
            <w:tcBorders>
              <w:bottom w:val="single" w:sz="8" w:color="DEDEDE"/>
            </w:tcBorders>
          </w:tcPr>
          <w:p>
            <w:pPr>
              <w:spacing w:after="0"/>
              <w:rPr>
                <w:sz w:val="19"/>
                <w:szCs w:val="19"/>
                <w:color w:val="auto"/>
              </w:rPr>
            </w:pPr>
          </w:p>
        </w:tc>
        <w:tc>
          <w:tcPr>
            <w:tcW w:w="1260" w:type="dxa"/>
            <w:vAlign w:val="bottom"/>
            <w:tcBorders>
              <w:bottom w:val="single" w:sz="8" w:color="DEDEDE"/>
            </w:tcBorders>
          </w:tcPr>
          <w:p>
            <w:pPr>
              <w:spacing w:after="0"/>
              <w:rPr>
                <w:sz w:val="19"/>
                <w:szCs w:val="19"/>
                <w:color w:val="auto"/>
              </w:rPr>
            </w:pPr>
          </w:p>
        </w:tc>
        <w:tc>
          <w:tcPr>
            <w:tcW w:w="240" w:type="dxa"/>
            <w:vAlign w:val="bottom"/>
            <w:tcBorders>
              <w:bottom w:val="single" w:sz="8" w:color="DEDEDE"/>
            </w:tcBorders>
          </w:tcPr>
          <w:p>
            <w:pPr>
              <w:spacing w:after="0"/>
              <w:rPr>
                <w:sz w:val="19"/>
                <w:szCs w:val="19"/>
                <w:color w:val="auto"/>
              </w:rPr>
            </w:pPr>
          </w:p>
        </w:tc>
        <w:tc>
          <w:tcPr>
            <w:tcW w:w="20" w:type="dxa"/>
            <w:vAlign w:val="bottom"/>
            <w:tcBorders>
              <w:bottom w:val="single" w:sz="8" w:color="DEDEDE"/>
            </w:tcBorders>
          </w:tcPr>
          <w:p>
            <w:pPr>
              <w:spacing w:after="0"/>
              <w:rPr>
                <w:sz w:val="19"/>
                <w:szCs w:val="19"/>
                <w:color w:val="auto"/>
              </w:rPr>
            </w:pPr>
          </w:p>
        </w:tc>
        <w:tc>
          <w:tcPr>
            <w:tcW w:w="100" w:type="dxa"/>
            <w:vAlign w:val="bottom"/>
            <w:tcBorders>
              <w:bottom w:val="single" w:sz="8" w:color="DEDEDE"/>
            </w:tcBorders>
          </w:tcPr>
          <w:p>
            <w:pPr>
              <w:spacing w:after="0"/>
              <w:rPr>
                <w:sz w:val="19"/>
                <w:szCs w:val="19"/>
                <w:color w:val="auto"/>
              </w:rPr>
            </w:pPr>
          </w:p>
        </w:tc>
        <w:tc>
          <w:tcPr>
            <w:tcW w:w="1680" w:type="dxa"/>
            <w:vAlign w:val="bottom"/>
            <w:tcBorders>
              <w:bottom w:val="single" w:sz="8" w:color="DEDEDE"/>
            </w:tcBorders>
          </w:tcPr>
          <w:p>
            <w:pPr>
              <w:spacing w:after="0"/>
              <w:rPr>
                <w:sz w:val="19"/>
                <w:szCs w:val="19"/>
                <w:color w:val="auto"/>
              </w:rPr>
            </w:pPr>
          </w:p>
        </w:tc>
        <w:tc>
          <w:tcPr>
            <w:tcW w:w="240" w:type="dxa"/>
            <w:vAlign w:val="bottom"/>
            <w:tcBorders>
              <w:bottom w:val="single" w:sz="8" w:color="DEDEDE"/>
            </w:tcBorders>
          </w:tcPr>
          <w:p>
            <w:pPr>
              <w:spacing w:after="0"/>
              <w:rPr>
                <w:sz w:val="19"/>
                <w:szCs w:val="19"/>
                <w:color w:val="auto"/>
              </w:rPr>
            </w:pPr>
          </w:p>
        </w:tc>
        <w:tc>
          <w:tcPr>
            <w:tcW w:w="20" w:type="dxa"/>
            <w:vAlign w:val="bottom"/>
            <w:tcBorders>
              <w:bottom w:val="single" w:sz="8" w:color="DEDEDE"/>
            </w:tcBorders>
          </w:tcPr>
          <w:p>
            <w:pPr>
              <w:spacing w:after="0"/>
              <w:rPr>
                <w:sz w:val="19"/>
                <w:szCs w:val="19"/>
                <w:color w:val="auto"/>
              </w:rPr>
            </w:pPr>
          </w:p>
        </w:tc>
        <w:tc>
          <w:tcPr>
            <w:tcW w:w="100" w:type="dxa"/>
            <w:vAlign w:val="bottom"/>
            <w:tcBorders>
              <w:bottom w:val="single" w:sz="8" w:color="DEDEDE"/>
            </w:tcBorders>
          </w:tcPr>
          <w:p>
            <w:pPr>
              <w:spacing w:after="0"/>
              <w:rPr>
                <w:sz w:val="19"/>
                <w:szCs w:val="19"/>
                <w:color w:val="auto"/>
              </w:rPr>
            </w:pPr>
          </w:p>
        </w:tc>
        <w:tc>
          <w:tcPr>
            <w:tcW w:w="1120" w:type="dxa"/>
            <w:vAlign w:val="bottom"/>
            <w:tcBorders>
              <w:bottom w:val="single" w:sz="8" w:color="DEDEDE"/>
            </w:tcBorders>
          </w:tcPr>
          <w:p>
            <w:pPr>
              <w:spacing w:after="0"/>
              <w:rPr>
                <w:sz w:val="19"/>
                <w:szCs w:val="19"/>
                <w:color w:val="auto"/>
              </w:rPr>
            </w:pPr>
          </w:p>
        </w:tc>
        <w:tc>
          <w:tcPr>
            <w:tcW w:w="80" w:type="dxa"/>
            <w:vAlign w:val="bottom"/>
            <w:tcBorders>
              <w:bottom w:val="single" w:sz="8" w:color="DEDEDE"/>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90" w:type="dxa"/>
            <w:vAlign w:val="bottom"/>
            <w:shd w:val="clear" w:color="auto" w:fill="DEDEDE"/>
          </w:tcPr>
          <w:p>
            <w:pPr>
              <w:ind w:left="100"/>
              <w:spacing w:after="0" w:line="224" w:lineRule="exact"/>
              <w:rPr>
                <w:sz w:val="20"/>
                <w:szCs w:val="20"/>
                <w:color w:val="auto"/>
              </w:rPr>
            </w:pPr>
            <w:r>
              <w:rPr>
                <w:rFonts w:ascii="Times New Roman" w:cs="Times New Roman" w:eastAsia="Times New Roman" w:hAnsi="Times New Roman"/>
                <w:sz w:val="20"/>
                <w:szCs w:val="20"/>
                <w:color w:val="auto"/>
              </w:rPr>
              <w:t>Research</w:t>
            </w:r>
          </w:p>
        </w:tc>
        <w:tc>
          <w:tcPr>
            <w:tcW w:w="89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100" w:type="dxa"/>
            <w:vAlign w:val="bottom"/>
            <w:shd w:val="clear" w:color="auto" w:fill="DEDEDE"/>
          </w:tcPr>
          <w:p>
            <w:pPr>
              <w:jc w:val="right"/>
              <w:spacing w:after="0" w:line="224"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60" w:type="dxa"/>
            <w:vAlign w:val="bottom"/>
            <w:shd w:val="clear" w:color="auto" w:fill="DEDEDE"/>
          </w:tcPr>
          <w:p>
            <w:pPr>
              <w:jc w:val="right"/>
              <w:spacing w:after="0" w:line="224" w:lineRule="exact"/>
              <w:rPr>
                <w:sz w:val="20"/>
                <w:szCs w:val="20"/>
                <w:color w:val="auto"/>
              </w:rPr>
            </w:pPr>
            <w:r>
              <w:rPr>
                <w:rFonts w:ascii="Times New Roman" w:cs="Times New Roman" w:eastAsia="Times New Roman" w:hAnsi="Times New Roman"/>
                <w:sz w:val="20"/>
                <w:szCs w:val="20"/>
                <w:color w:val="auto"/>
              </w:rPr>
              <w:t>5,914</w:t>
            </w:r>
          </w:p>
        </w:tc>
        <w:tc>
          <w:tcPr>
            <w:tcW w:w="24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100" w:type="dxa"/>
            <w:vAlign w:val="bottom"/>
            <w:shd w:val="clear" w:color="auto" w:fill="DEDEDE"/>
          </w:tcPr>
          <w:p>
            <w:pPr>
              <w:jc w:val="right"/>
              <w:spacing w:after="0" w:line="224"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680" w:type="dxa"/>
            <w:vAlign w:val="bottom"/>
            <w:shd w:val="clear" w:color="auto" w:fill="DEDEDE"/>
          </w:tcPr>
          <w:p>
            <w:pPr>
              <w:jc w:val="right"/>
              <w:spacing w:after="0" w:line="224" w:lineRule="exact"/>
              <w:rPr>
                <w:sz w:val="20"/>
                <w:szCs w:val="20"/>
                <w:color w:val="auto"/>
              </w:rPr>
            </w:pPr>
            <w:r>
              <w:rPr>
                <w:rFonts w:ascii="Times New Roman" w:cs="Times New Roman" w:eastAsia="Times New Roman" w:hAnsi="Times New Roman"/>
                <w:sz w:val="20"/>
                <w:szCs w:val="20"/>
                <w:color w:val="auto"/>
              </w:rPr>
              <w:t>5,307</w:t>
            </w:r>
          </w:p>
        </w:tc>
        <w:tc>
          <w:tcPr>
            <w:tcW w:w="24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100" w:type="dxa"/>
            <w:vAlign w:val="bottom"/>
            <w:shd w:val="clear" w:color="auto" w:fill="DEDEDE"/>
          </w:tcPr>
          <w:p>
            <w:pPr>
              <w:jc w:val="right"/>
              <w:spacing w:after="0" w:line="224"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120" w:type="dxa"/>
            <w:vAlign w:val="bottom"/>
            <w:shd w:val="clear" w:color="auto" w:fill="DEDEDE"/>
          </w:tcPr>
          <w:p>
            <w:pPr>
              <w:jc w:val="right"/>
              <w:spacing w:after="0" w:line="224" w:lineRule="exact"/>
              <w:rPr>
                <w:sz w:val="20"/>
                <w:szCs w:val="20"/>
                <w:color w:val="auto"/>
              </w:rPr>
            </w:pPr>
            <w:r>
              <w:rPr>
                <w:rFonts w:ascii="Times New Roman" w:cs="Times New Roman" w:eastAsia="Times New Roman" w:hAnsi="Times New Roman"/>
                <w:sz w:val="20"/>
                <w:szCs w:val="20"/>
                <w:color w:val="auto"/>
              </w:rPr>
              <w:t>6,712</w:t>
            </w:r>
          </w:p>
        </w:tc>
        <w:tc>
          <w:tcPr>
            <w:tcW w:w="8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490" w:type="dxa"/>
            <w:vAlign w:val="bottom"/>
            <w:tcBorders>
              <w:bottom w:val="single" w:sz="8" w:color="DEDEDE"/>
            </w:tcBorders>
          </w:tcPr>
          <w:p>
            <w:pPr>
              <w:ind w:left="100"/>
              <w:spacing w:after="0"/>
              <w:rPr>
                <w:sz w:val="20"/>
                <w:szCs w:val="20"/>
                <w:color w:val="auto"/>
              </w:rPr>
            </w:pPr>
            <w:r>
              <w:rPr>
                <w:rFonts w:ascii="Times New Roman" w:cs="Times New Roman" w:eastAsia="Times New Roman" w:hAnsi="Times New Roman"/>
                <w:sz w:val="20"/>
                <w:szCs w:val="20"/>
                <w:color w:val="auto"/>
              </w:rPr>
              <w:t>Development</w:t>
            </w:r>
          </w:p>
        </w:tc>
        <w:tc>
          <w:tcPr>
            <w:tcW w:w="890" w:type="dxa"/>
            <w:vAlign w:val="bottom"/>
            <w:tcBorders>
              <w:bottom w:val="single" w:sz="8" w:color="DEDEDE"/>
            </w:tcBorders>
          </w:tcPr>
          <w:p>
            <w:pPr>
              <w:spacing w:after="0"/>
              <w:rPr>
                <w:sz w:val="21"/>
                <w:szCs w:val="21"/>
                <w:color w:val="auto"/>
              </w:rPr>
            </w:pPr>
          </w:p>
        </w:tc>
        <w:tc>
          <w:tcPr>
            <w:tcW w:w="20" w:type="dxa"/>
            <w:vAlign w:val="bottom"/>
            <w:tcBorders>
              <w:bottom w:val="single" w:sz="8" w:color="DEDEDE"/>
            </w:tcBorders>
          </w:tcPr>
          <w:p>
            <w:pPr>
              <w:spacing w:after="0"/>
              <w:rPr>
                <w:sz w:val="21"/>
                <w:szCs w:val="21"/>
                <w:color w:val="auto"/>
              </w:rPr>
            </w:pPr>
          </w:p>
        </w:tc>
        <w:tc>
          <w:tcPr>
            <w:tcW w:w="100" w:type="dxa"/>
            <w:vAlign w:val="bottom"/>
            <w:tcBorders>
              <w:bottom w:val="single" w:sz="8" w:color="DEDEDE"/>
            </w:tcBorders>
          </w:tcPr>
          <w:p>
            <w:pPr>
              <w:spacing w:after="0"/>
              <w:rPr>
                <w:sz w:val="21"/>
                <w:szCs w:val="21"/>
                <w:color w:val="auto"/>
              </w:rPr>
            </w:pPr>
          </w:p>
        </w:tc>
        <w:tc>
          <w:tcPr>
            <w:tcW w:w="1260" w:type="dxa"/>
            <w:vAlign w:val="bottom"/>
            <w:tcBorders>
              <w:bottom w:val="single" w:sz="8" w:color="DEDEDE"/>
            </w:tcBorders>
          </w:tcPr>
          <w:p>
            <w:pPr>
              <w:jc w:val="right"/>
              <w:spacing w:after="0"/>
              <w:rPr>
                <w:sz w:val="20"/>
                <w:szCs w:val="20"/>
                <w:color w:val="auto"/>
              </w:rPr>
            </w:pPr>
            <w:r>
              <w:rPr>
                <w:rFonts w:ascii="Times New Roman" w:cs="Times New Roman" w:eastAsia="Times New Roman" w:hAnsi="Times New Roman"/>
                <w:sz w:val="20"/>
                <w:szCs w:val="20"/>
                <w:color w:val="auto"/>
              </w:rPr>
              <w:t>35,295</w:t>
            </w:r>
          </w:p>
        </w:tc>
        <w:tc>
          <w:tcPr>
            <w:tcW w:w="240" w:type="dxa"/>
            <w:vAlign w:val="bottom"/>
            <w:tcBorders>
              <w:bottom w:val="single" w:sz="8" w:color="DEDEDE"/>
            </w:tcBorders>
          </w:tcPr>
          <w:p>
            <w:pPr>
              <w:spacing w:after="0"/>
              <w:rPr>
                <w:sz w:val="21"/>
                <w:szCs w:val="21"/>
                <w:color w:val="auto"/>
              </w:rPr>
            </w:pPr>
          </w:p>
        </w:tc>
        <w:tc>
          <w:tcPr>
            <w:tcW w:w="20" w:type="dxa"/>
            <w:vAlign w:val="bottom"/>
            <w:tcBorders>
              <w:bottom w:val="single" w:sz="8" w:color="DEDEDE"/>
            </w:tcBorders>
          </w:tcPr>
          <w:p>
            <w:pPr>
              <w:spacing w:after="0"/>
              <w:rPr>
                <w:sz w:val="21"/>
                <w:szCs w:val="21"/>
                <w:color w:val="auto"/>
              </w:rPr>
            </w:pPr>
          </w:p>
        </w:tc>
        <w:tc>
          <w:tcPr>
            <w:tcW w:w="100" w:type="dxa"/>
            <w:vAlign w:val="bottom"/>
            <w:tcBorders>
              <w:bottom w:val="single" w:sz="8" w:color="DEDEDE"/>
            </w:tcBorders>
          </w:tcPr>
          <w:p>
            <w:pPr>
              <w:spacing w:after="0"/>
              <w:rPr>
                <w:sz w:val="21"/>
                <w:szCs w:val="21"/>
                <w:color w:val="auto"/>
              </w:rPr>
            </w:pPr>
          </w:p>
        </w:tc>
        <w:tc>
          <w:tcPr>
            <w:tcW w:w="1680" w:type="dxa"/>
            <w:vAlign w:val="bottom"/>
            <w:tcBorders>
              <w:bottom w:val="single" w:sz="8" w:color="DEDEDE"/>
            </w:tcBorders>
          </w:tcPr>
          <w:p>
            <w:pPr>
              <w:jc w:val="right"/>
              <w:spacing w:after="0"/>
              <w:rPr>
                <w:sz w:val="20"/>
                <w:szCs w:val="20"/>
                <w:color w:val="auto"/>
              </w:rPr>
            </w:pPr>
            <w:r>
              <w:rPr>
                <w:rFonts w:ascii="Times New Roman" w:cs="Times New Roman" w:eastAsia="Times New Roman" w:hAnsi="Times New Roman"/>
                <w:sz w:val="20"/>
                <w:szCs w:val="20"/>
                <w:color w:val="auto"/>
              </w:rPr>
              <w:t>31,740</w:t>
            </w:r>
          </w:p>
        </w:tc>
        <w:tc>
          <w:tcPr>
            <w:tcW w:w="240" w:type="dxa"/>
            <w:vAlign w:val="bottom"/>
            <w:tcBorders>
              <w:bottom w:val="single" w:sz="8" w:color="DEDEDE"/>
            </w:tcBorders>
          </w:tcPr>
          <w:p>
            <w:pPr>
              <w:spacing w:after="0"/>
              <w:rPr>
                <w:sz w:val="21"/>
                <w:szCs w:val="21"/>
                <w:color w:val="auto"/>
              </w:rPr>
            </w:pPr>
          </w:p>
        </w:tc>
        <w:tc>
          <w:tcPr>
            <w:tcW w:w="20" w:type="dxa"/>
            <w:vAlign w:val="bottom"/>
            <w:tcBorders>
              <w:bottom w:val="single" w:sz="8" w:color="DEDEDE"/>
            </w:tcBorders>
          </w:tcPr>
          <w:p>
            <w:pPr>
              <w:spacing w:after="0"/>
              <w:rPr>
                <w:sz w:val="21"/>
                <w:szCs w:val="21"/>
                <w:color w:val="auto"/>
              </w:rPr>
            </w:pPr>
          </w:p>
        </w:tc>
        <w:tc>
          <w:tcPr>
            <w:tcW w:w="100" w:type="dxa"/>
            <w:vAlign w:val="bottom"/>
            <w:tcBorders>
              <w:bottom w:val="single" w:sz="8" w:color="DEDEDE"/>
            </w:tcBorders>
          </w:tcPr>
          <w:p>
            <w:pPr>
              <w:spacing w:after="0"/>
              <w:rPr>
                <w:sz w:val="21"/>
                <w:szCs w:val="21"/>
                <w:color w:val="auto"/>
              </w:rPr>
            </w:pPr>
          </w:p>
        </w:tc>
        <w:tc>
          <w:tcPr>
            <w:tcW w:w="1120" w:type="dxa"/>
            <w:vAlign w:val="bottom"/>
            <w:tcBorders>
              <w:bottom w:val="single" w:sz="8" w:color="DEDEDE"/>
            </w:tcBorders>
          </w:tcPr>
          <w:p>
            <w:pPr>
              <w:jc w:val="right"/>
              <w:spacing w:after="0"/>
              <w:rPr>
                <w:sz w:val="20"/>
                <w:szCs w:val="20"/>
                <w:color w:val="auto"/>
              </w:rPr>
            </w:pPr>
            <w:r>
              <w:rPr>
                <w:rFonts w:ascii="Times New Roman" w:cs="Times New Roman" w:eastAsia="Times New Roman" w:hAnsi="Times New Roman"/>
                <w:sz w:val="20"/>
                <w:szCs w:val="20"/>
                <w:color w:val="auto"/>
              </w:rPr>
              <w:t>32,470</w:t>
            </w:r>
          </w:p>
        </w:tc>
        <w:tc>
          <w:tcPr>
            <w:tcW w:w="80" w:type="dxa"/>
            <w:vAlign w:val="bottom"/>
            <w:tcBorders>
              <w:bottom w:val="single" w:sz="8" w:color="DEDEDE"/>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90" w:type="dxa"/>
            <w:vAlign w:val="bottom"/>
            <w:shd w:val="clear" w:color="auto" w:fill="DEDEDE"/>
          </w:tcPr>
          <w:p>
            <w:pPr>
              <w:ind w:left="100"/>
              <w:spacing w:after="0" w:line="224" w:lineRule="exact"/>
              <w:rPr>
                <w:sz w:val="20"/>
                <w:szCs w:val="20"/>
                <w:color w:val="auto"/>
              </w:rPr>
            </w:pPr>
            <w:r>
              <w:rPr>
                <w:rFonts w:ascii="Times New Roman" w:cs="Times New Roman" w:eastAsia="Times New Roman" w:hAnsi="Times New Roman"/>
                <w:sz w:val="20"/>
                <w:szCs w:val="20"/>
                <w:color w:val="auto"/>
              </w:rPr>
              <w:t>Personnel related</w:t>
            </w:r>
          </w:p>
        </w:tc>
        <w:tc>
          <w:tcPr>
            <w:tcW w:w="89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1260" w:type="dxa"/>
            <w:vAlign w:val="bottom"/>
            <w:shd w:val="clear" w:color="auto" w:fill="DEDEDE"/>
          </w:tcPr>
          <w:p>
            <w:pPr>
              <w:jc w:val="right"/>
              <w:spacing w:after="0" w:line="224" w:lineRule="exact"/>
              <w:rPr>
                <w:sz w:val="20"/>
                <w:szCs w:val="20"/>
                <w:color w:val="auto"/>
              </w:rPr>
            </w:pPr>
            <w:r>
              <w:rPr>
                <w:rFonts w:ascii="Times New Roman" w:cs="Times New Roman" w:eastAsia="Times New Roman" w:hAnsi="Times New Roman"/>
                <w:sz w:val="20"/>
                <w:szCs w:val="20"/>
                <w:color w:val="auto"/>
              </w:rPr>
              <w:t>13,662</w:t>
            </w:r>
          </w:p>
        </w:tc>
        <w:tc>
          <w:tcPr>
            <w:tcW w:w="24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1680" w:type="dxa"/>
            <w:vAlign w:val="bottom"/>
            <w:shd w:val="clear" w:color="auto" w:fill="DEDEDE"/>
          </w:tcPr>
          <w:p>
            <w:pPr>
              <w:jc w:val="right"/>
              <w:spacing w:after="0" w:line="224" w:lineRule="exact"/>
              <w:rPr>
                <w:sz w:val="20"/>
                <w:szCs w:val="20"/>
                <w:color w:val="auto"/>
              </w:rPr>
            </w:pPr>
            <w:r>
              <w:rPr>
                <w:rFonts w:ascii="Times New Roman" w:cs="Times New Roman" w:eastAsia="Times New Roman" w:hAnsi="Times New Roman"/>
                <w:sz w:val="20"/>
                <w:szCs w:val="20"/>
                <w:color w:val="auto"/>
              </w:rPr>
              <w:t>13,320</w:t>
            </w:r>
          </w:p>
        </w:tc>
        <w:tc>
          <w:tcPr>
            <w:tcW w:w="24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1120" w:type="dxa"/>
            <w:vAlign w:val="bottom"/>
            <w:shd w:val="clear" w:color="auto" w:fill="DEDEDE"/>
          </w:tcPr>
          <w:p>
            <w:pPr>
              <w:jc w:val="right"/>
              <w:spacing w:after="0" w:line="224" w:lineRule="exact"/>
              <w:rPr>
                <w:sz w:val="20"/>
                <w:szCs w:val="20"/>
                <w:color w:val="auto"/>
              </w:rPr>
            </w:pPr>
            <w:r>
              <w:rPr>
                <w:rFonts w:ascii="Times New Roman" w:cs="Times New Roman" w:eastAsia="Times New Roman" w:hAnsi="Times New Roman"/>
                <w:sz w:val="20"/>
                <w:szCs w:val="20"/>
                <w:color w:val="auto"/>
              </w:rPr>
              <w:t>9,341</w:t>
            </w:r>
          </w:p>
        </w:tc>
        <w:tc>
          <w:tcPr>
            <w:tcW w:w="8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400" w:type="dxa"/>
            <w:vAlign w:val="bottom"/>
            <w:tcBorders>
              <w:bottom w:val="single" w:sz="8" w:color="DEDEDE"/>
            </w:tcBorders>
            <w:gridSpan w:val="3"/>
          </w:tcPr>
          <w:p>
            <w:pPr>
              <w:ind w:left="100"/>
              <w:spacing w:after="0"/>
              <w:rPr>
                <w:sz w:val="20"/>
                <w:szCs w:val="20"/>
                <w:color w:val="auto"/>
              </w:rPr>
            </w:pPr>
            <w:r>
              <w:rPr>
                <w:rFonts w:ascii="Times New Roman" w:cs="Times New Roman" w:eastAsia="Times New Roman" w:hAnsi="Times New Roman"/>
                <w:sz w:val="20"/>
                <w:szCs w:val="20"/>
                <w:color w:val="auto"/>
              </w:rPr>
              <w:t>Stock-based compensation</w:t>
            </w: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3,656</w:t>
            </w:r>
          </w:p>
        </w:tc>
        <w:tc>
          <w:tcPr>
            <w:tcW w:w="240" w:type="dxa"/>
            <w:vAlign w:val="bottom"/>
            <w:tcBorders>
              <w:bottom w:val="single" w:sz="8" w:color="DEDEDE"/>
            </w:tcBorders>
          </w:tcPr>
          <w:p>
            <w:pPr>
              <w:spacing w:after="0"/>
              <w:rPr>
                <w:sz w:val="21"/>
                <w:szCs w:val="21"/>
                <w:color w:val="auto"/>
              </w:rPr>
            </w:pPr>
          </w:p>
        </w:tc>
        <w:tc>
          <w:tcPr>
            <w:tcW w:w="20" w:type="dxa"/>
            <w:vAlign w:val="bottom"/>
            <w:tcBorders>
              <w:bottom w:val="single" w:sz="8" w:color="DEDEDE"/>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5,518</w:t>
            </w:r>
          </w:p>
        </w:tc>
        <w:tc>
          <w:tcPr>
            <w:tcW w:w="240" w:type="dxa"/>
            <w:vAlign w:val="bottom"/>
            <w:tcBorders>
              <w:bottom w:val="single" w:sz="8" w:color="DEDEDE"/>
            </w:tcBorders>
          </w:tcPr>
          <w:p>
            <w:pPr>
              <w:spacing w:after="0"/>
              <w:rPr>
                <w:sz w:val="21"/>
                <w:szCs w:val="21"/>
                <w:color w:val="auto"/>
              </w:rPr>
            </w:pPr>
          </w:p>
        </w:tc>
        <w:tc>
          <w:tcPr>
            <w:tcW w:w="20" w:type="dxa"/>
            <w:vAlign w:val="bottom"/>
            <w:tcBorders>
              <w:bottom w:val="single" w:sz="8" w:color="DEDEDE"/>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3,465</w:t>
            </w:r>
          </w:p>
        </w:tc>
        <w:tc>
          <w:tcPr>
            <w:tcW w:w="80" w:type="dxa"/>
            <w:vAlign w:val="bottom"/>
            <w:tcBorders>
              <w:bottom w:val="single" w:sz="8" w:color="DEDEDE"/>
            </w:tcBorders>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49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Total research and development</w:t>
            </w:r>
          </w:p>
        </w:tc>
        <w:tc>
          <w:tcPr>
            <w:tcW w:w="89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100" w:type="dxa"/>
            <w:vAlign w:val="bottom"/>
            <w:shd w:val="clear" w:color="auto" w:fill="DEDEDE"/>
          </w:tcPr>
          <w:p>
            <w:pPr>
              <w:spacing w:after="0"/>
              <w:rPr>
                <w:sz w:val="20"/>
                <w:szCs w:val="20"/>
                <w:color w:val="auto"/>
              </w:rPr>
            </w:pPr>
          </w:p>
        </w:tc>
        <w:tc>
          <w:tcPr>
            <w:tcW w:w="12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58,527</w:t>
            </w:r>
          </w:p>
        </w:tc>
        <w:tc>
          <w:tcPr>
            <w:tcW w:w="24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100" w:type="dxa"/>
            <w:vAlign w:val="bottom"/>
            <w:shd w:val="clear" w:color="auto" w:fill="DEDEDE"/>
          </w:tcPr>
          <w:p>
            <w:pPr>
              <w:spacing w:after="0"/>
              <w:rPr>
                <w:sz w:val="20"/>
                <w:szCs w:val="20"/>
                <w:color w:val="auto"/>
              </w:rPr>
            </w:pPr>
          </w:p>
        </w:tc>
        <w:tc>
          <w:tcPr>
            <w:tcW w:w="16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55,885</w:t>
            </w:r>
          </w:p>
        </w:tc>
        <w:tc>
          <w:tcPr>
            <w:tcW w:w="24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100" w:type="dxa"/>
            <w:vAlign w:val="bottom"/>
            <w:shd w:val="clear" w:color="auto" w:fill="DEDEDE"/>
          </w:tcPr>
          <w:p>
            <w:pPr>
              <w:spacing w:after="0"/>
              <w:rPr>
                <w:sz w:val="20"/>
                <w:szCs w:val="20"/>
                <w:color w:val="auto"/>
              </w:rPr>
            </w:pPr>
          </w:p>
        </w:tc>
        <w:tc>
          <w:tcPr>
            <w:tcW w:w="11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51,988</w:t>
            </w:r>
          </w:p>
        </w:tc>
        <w:tc>
          <w:tcPr>
            <w:tcW w:w="8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400" w:type="dxa"/>
            <w:vAlign w:val="bottom"/>
            <w:tcBorders>
              <w:bottom w:val="single" w:sz="8" w:color="DEDEDE"/>
            </w:tcBorders>
            <w:gridSpan w:val="3"/>
          </w:tcPr>
          <w:p>
            <w:pPr>
              <w:spacing w:after="0"/>
              <w:rPr>
                <w:sz w:val="20"/>
                <w:szCs w:val="20"/>
                <w:color w:val="auto"/>
              </w:rPr>
            </w:pPr>
            <w:r>
              <w:rPr>
                <w:rFonts w:ascii="Times New Roman" w:cs="Times New Roman" w:eastAsia="Times New Roman" w:hAnsi="Times New Roman"/>
                <w:sz w:val="20"/>
                <w:szCs w:val="20"/>
                <w:color w:val="auto"/>
              </w:rPr>
              <w:t>General and administration</w:t>
            </w:r>
          </w:p>
        </w:tc>
        <w:tc>
          <w:tcPr>
            <w:tcW w:w="100" w:type="dxa"/>
            <w:vAlign w:val="bottom"/>
            <w:tcBorders>
              <w:bottom w:val="single" w:sz="8" w:color="DEDEDE"/>
            </w:tcBorders>
          </w:tcPr>
          <w:p>
            <w:pPr>
              <w:spacing w:after="0"/>
              <w:rPr>
                <w:sz w:val="21"/>
                <w:szCs w:val="21"/>
                <w:color w:val="auto"/>
              </w:rPr>
            </w:pPr>
          </w:p>
        </w:tc>
        <w:tc>
          <w:tcPr>
            <w:tcW w:w="1260" w:type="dxa"/>
            <w:vAlign w:val="bottom"/>
            <w:tcBorders>
              <w:bottom w:val="single" w:sz="8" w:color="DEDEDE"/>
            </w:tcBorders>
          </w:tcPr>
          <w:p>
            <w:pPr>
              <w:spacing w:after="0"/>
              <w:rPr>
                <w:sz w:val="21"/>
                <w:szCs w:val="21"/>
                <w:color w:val="auto"/>
              </w:rPr>
            </w:pPr>
          </w:p>
        </w:tc>
        <w:tc>
          <w:tcPr>
            <w:tcW w:w="240" w:type="dxa"/>
            <w:vAlign w:val="bottom"/>
            <w:tcBorders>
              <w:bottom w:val="single" w:sz="8" w:color="DEDEDE"/>
            </w:tcBorders>
          </w:tcPr>
          <w:p>
            <w:pPr>
              <w:spacing w:after="0"/>
              <w:rPr>
                <w:sz w:val="21"/>
                <w:szCs w:val="21"/>
                <w:color w:val="auto"/>
              </w:rPr>
            </w:pPr>
          </w:p>
        </w:tc>
        <w:tc>
          <w:tcPr>
            <w:tcW w:w="20" w:type="dxa"/>
            <w:vAlign w:val="bottom"/>
            <w:tcBorders>
              <w:bottom w:val="single" w:sz="8" w:color="DEDEDE"/>
            </w:tcBorders>
          </w:tcPr>
          <w:p>
            <w:pPr>
              <w:spacing w:after="0"/>
              <w:rPr>
                <w:sz w:val="21"/>
                <w:szCs w:val="21"/>
                <w:color w:val="auto"/>
              </w:rPr>
            </w:pPr>
          </w:p>
        </w:tc>
        <w:tc>
          <w:tcPr>
            <w:tcW w:w="100" w:type="dxa"/>
            <w:vAlign w:val="bottom"/>
            <w:tcBorders>
              <w:bottom w:val="single" w:sz="8" w:color="DEDEDE"/>
            </w:tcBorders>
          </w:tcPr>
          <w:p>
            <w:pPr>
              <w:spacing w:after="0"/>
              <w:rPr>
                <w:sz w:val="21"/>
                <w:szCs w:val="21"/>
                <w:color w:val="auto"/>
              </w:rPr>
            </w:pPr>
          </w:p>
        </w:tc>
        <w:tc>
          <w:tcPr>
            <w:tcW w:w="1680" w:type="dxa"/>
            <w:vAlign w:val="bottom"/>
            <w:tcBorders>
              <w:bottom w:val="single" w:sz="8" w:color="DEDEDE"/>
            </w:tcBorders>
          </w:tcPr>
          <w:p>
            <w:pPr>
              <w:spacing w:after="0"/>
              <w:rPr>
                <w:sz w:val="21"/>
                <w:szCs w:val="21"/>
                <w:color w:val="auto"/>
              </w:rPr>
            </w:pPr>
          </w:p>
        </w:tc>
        <w:tc>
          <w:tcPr>
            <w:tcW w:w="240" w:type="dxa"/>
            <w:vAlign w:val="bottom"/>
            <w:tcBorders>
              <w:bottom w:val="single" w:sz="8" w:color="DEDEDE"/>
            </w:tcBorders>
          </w:tcPr>
          <w:p>
            <w:pPr>
              <w:spacing w:after="0"/>
              <w:rPr>
                <w:sz w:val="21"/>
                <w:szCs w:val="21"/>
                <w:color w:val="auto"/>
              </w:rPr>
            </w:pPr>
          </w:p>
        </w:tc>
        <w:tc>
          <w:tcPr>
            <w:tcW w:w="20" w:type="dxa"/>
            <w:vAlign w:val="bottom"/>
            <w:tcBorders>
              <w:bottom w:val="single" w:sz="8" w:color="DEDEDE"/>
            </w:tcBorders>
          </w:tcPr>
          <w:p>
            <w:pPr>
              <w:spacing w:after="0"/>
              <w:rPr>
                <w:sz w:val="21"/>
                <w:szCs w:val="21"/>
                <w:color w:val="auto"/>
              </w:rPr>
            </w:pPr>
          </w:p>
        </w:tc>
        <w:tc>
          <w:tcPr>
            <w:tcW w:w="100" w:type="dxa"/>
            <w:vAlign w:val="bottom"/>
            <w:tcBorders>
              <w:bottom w:val="single" w:sz="8" w:color="DEDEDE"/>
            </w:tcBorders>
          </w:tcPr>
          <w:p>
            <w:pPr>
              <w:spacing w:after="0"/>
              <w:rPr>
                <w:sz w:val="21"/>
                <w:szCs w:val="21"/>
                <w:color w:val="auto"/>
              </w:rPr>
            </w:pPr>
          </w:p>
        </w:tc>
        <w:tc>
          <w:tcPr>
            <w:tcW w:w="1120" w:type="dxa"/>
            <w:vAlign w:val="bottom"/>
            <w:tcBorders>
              <w:bottom w:val="single" w:sz="8" w:color="DEDEDE"/>
            </w:tcBorders>
          </w:tcPr>
          <w:p>
            <w:pPr>
              <w:spacing w:after="0"/>
              <w:rPr>
                <w:sz w:val="21"/>
                <w:szCs w:val="21"/>
                <w:color w:val="auto"/>
              </w:rPr>
            </w:pPr>
          </w:p>
        </w:tc>
        <w:tc>
          <w:tcPr>
            <w:tcW w:w="80" w:type="dxa"/>
            <w:vAlign w:val="bottom"/>
            <w:tcBorders>
              <w:bottom w:val="single" w:sz="8" w:color="DEDEDE"/>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490" w:type="dxa"/>
            <w:vAlign w:val="bottom"/>
            <w:shd w:val="clear" w:color="auto" w:fill="DEDEDE"/>
          </w:tcPr>
          <w:p>
            <w:pPr>
              <w:ind w:left="100"/>
              <w:spacing w:after="0" w:line="225" w:lineRule="exact"/>
              <w:rPr>
                <w:sz w:val="20"/>
                <w:szCs w:val="20"/>
                <w:color w:val="auto"/>
              </w:rPr>
            </w:pPr>
            <w:r>
              <w:rPr>
                <w:rFonts w:ascii="Times New Roman" w:cs="Times New Roman" w:eastAsia="Times New Roman" w:hAnsi="Times New Roman"/>
                <w:sz w:val="20"/>
                <w:szCs w:val="20"/>
                <w:color w:val="auto"/>
              </w:rPr>
              <w:t>Personnel related</w:t>
            </w:r>
          </w:p>
        </w:tc>
        <w:tc>
          <w:tcPr>
            <w:tcW w:w="89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100" w:type="dxa"/>
            <w:vAlign w:val="bottom"/>
            <w:shd w:val="clear" w:color="auto" w:fill="DEDEDE"/>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60" w:type="dxa"/>
            <w:vAlign w:val="bottom"/>
            <w:shd w:val="clear" w:color="auto" w:fill="DEDEDE"/>
          </w:tcPr>
          <w:p>
            <w:pPr>
              <w:jc w:val="right"/>
              <w:spacing w:after="0" w:line="225" w:lineRule="exact"/>
              <w:rPr>
                <w:sz w:val="20"/>
                <w:szCs w:val="20"/>
                <w:color w:val="auto"/>
              </w:rPr>
            </w:pPr>
            <w:r>
              <w:rPr>
                <w:rFonts w:ascii="Times New Roman" w:cs="Times New Roman" w:eastAsia="Times New Roman" w:hAnsi="Times New Roman"/>
                <w:sz w:val="20"/>
                <w:szCs w:val="20"/>
                <w:color w:val="auto"/>
              </w:rPr>
              <w:t>5,849</w:t>
            </w:r>
          </w:p>
        </w:tc>
        <w:tc>
          <w:tcPr>
            <w:tcW w:w="24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100" w:type="dxa"/>
            <w:vAlign w:val="bottom"/>
            <w:shd w:val="clear" w:color="auto" w:fill="DEDEDE"/>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680" w:type="dxa"/>
            <w:vAlign w:val="bottom"/>
            <w:shd w:val="clear" w:color="auto" w:fill="DEDEDE"/>
          </w:tcPr>
          <w:p>
            <w:pPr>
              <w:jc w:val="right"/>
              <w:spacing w:after="0" w:line="225" w:lineRule="exact"/>
              <w:rPr>
                <w:sz w:val="20"/>
                <w:szCs w:val="20"/>
                <w:color w:val="auto"/>
              </w:rPr>
            </w:pPr>
            <w:r>
              <w:rPr>
                <w:rFonts w:ascii="Times New Roman" w:cs="Times New Roman" w:eastAsia="Times New Roman" w:hAnsi="Times New Roman"/>
                <w:sz w:val="20"/>
                <w:szCs w:val="20"/>
                <w:color w:val="auto"/>
              </w:rPr>
              <w:t>6,748</w:t>
            </w:r>
          </w:p>
        </w:tc>
        <w:tc>
          <w:tcPr>
            <w:tcW w:w="24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100" w:type="dxa"/>
            <w:vAlign w:val="bottom"/>
            <w:shd w:val="clear" w:color="auto" w:fill="DEDEDE"/>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120" w:type="dxa"/>
            <w:vAlign w:val="bottom"/>
            <w:shd w:val="clear" w:color="auto" w:fill="DEDEDE"/>
          </w:tcPr>
          <w:p>
            <w:pPr>
              <w:jc w:val="right"/>
              <w:spacing w:after="0" w:line="225" w:lineRule="exact"/>
              <w:rPr>
                <w:sz w:val="20"/>
                <w:szCs w:val="20"/>
                <w:color w:val="auto"/>
              </w:rPr>
            </w:pPr>
            <w:r>
              <w:rPr>
                <w:rFonts w:ascii="Times New Roman" w:cs="Times New Roman" w:eastAsia="Times New Roman" w:hAnsi="Times New Roman"/>
                <w:sz w:val="20"/>
                <w:szCs w:val="20"/>
                <w:color w:val="auto"/>
              </w:rPr>
              <w:t>6,649</w:t>
            </w:r>
          </w:p>
        </w:tc>
        <w:tc>
          <w:tcPr>
            <w:tcW w:w="8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400" w:type="dxa"/>
            <w:vAlign w:val="bottom"/>
            <w:tcBorders>
              <w:bottom w:val="single" w:sz="8" w:color="DEDEDE"/>
            </w:tcBorders>
            <w:gridSpan w:val="3"/>
          </w:tcPr>
          <w:p>
            <w:pPr>
              <w:ind w:left="100"/>
              <w:spacing w:after="0"/>
              <w:rPr>
                <w:sz w:val="20"/>
                <w:szCs w:val="20"/>
                <w:color w:val="auto"/>
              </w:rPr>
            </w:pPr>
            <w:r>
              <w:rPr>
                <w:rFonts w:ascii="Times New Roman" w:cs="Times New Roman" w:eastAsia="Times New Roman" w:hAnsi="Times New Roman"/>
                <w:sz w:val="20"/>
                <w:szCs w:val="20"/>
                <w:color w:val="auto"/>
              </w:rPr>
              <w:t>Stock-based compensation</w:t>
            </w:r>
          </w:p>
        </w:tc>
        <w:tc>
          <w:tcPr>
            <w:tcW w:w="100" w:type="dxa"/>
            <w:vAlign w:val="bottom"/>
            <w:tcBorders>
              <w:bottom w:val="single" w:sz="8" w:color="DEDEDE"/>
            </w:tcBorders>
          </w:tcPr>
          <w:p>
            <w:pPr>
              <w:spacing w:after="0"/>
              <w:rPr>
                <w:sz w:val="21"/>
                <w:szCs w:val="21"/>
                <w:color w:val="auto"/>
              </w:rPr>
            </w:pPr>
          </w:p>
        </w:tc>
        <w:tc>
          <w:tcPr>
            <w:tcW w:w="1260" w:type="dxa"/>
            <w:vAlign w:val="bottom"/>
            <w:tcBorders>
              <w:bottom w:val="single" w:sz="8" w:color="DEDEDE"/>
            </w:tcBorders>
          </w:tcPr>
          <w:p>
            <w:pPr>
              <w:jc w:val="right"/>
              <w:spacing w:after="0"/>
              <w:rPr>
                <w:sz w:val="20"/>
                <w:szCs w:val="20"/>
                <w:color w:val="auto"/>
              </w:rPr>
            </w:pPr>
            <w:r>
              <w:rPr>
                <w:rFonts w:ascii="Times New Roman" w:cs="Times New Roman" w:eastAsia="Times New Roman" w:hAnsi="Times New Roman"/>
                <w:sz w:val="20"/>
                <w:szCs w:val="20"/>
                <w:color w:val="auto"/>
              </w:rPr>
              <w:t>5,216</w:t>
            </w:r>
          </w:p>
        </w:tc>
        <w:tc>
          <w:tcPr>
            <w:tcW w:w="240" w:type="dxa"/>
            <w:vAlign w:val="bottom"/>
            <w:tcBorders>
              <w:bottom w:val="single" w:sz="8" w:color="DEDEDE"/>
            </w:tcBorders>
          </w:tcPr>
          <w:p>
            <w:pPr>
              <w:spacing w:after="0"/>
              <w:rPr>
                <w:sz w:val="21"/>
                <w:szCs w:val="21"/>
                <w:color w:val="auto"/>
              </w:rPr>
            </w:pPr>
          </w:p>
        </w:tc>
        <w:tc>
          <w:tcPr>
            <w:tcW w:w="20" w:type="dxa"/>
            <w:vAlign w:val="bottom"/>
            <w:tcBorders>
              <w:bottom w:val="single" w:sz="8" w:color="DEDEDE"/>
            </w:tcBorders>
          </w:tcPr>
          <w:p>
            <w:pPr>
              <w:spacing w:after="0"/>
              <w:rPr>
                <w:sz w:val="21"/>
                <w:szCs w:val="21"/>
                <w:color w:val="auto"/>
              </w:rPr>
            </w:pPr>
          </w:p>
        </w:tc>
        <w:tc>
          <w:tcPr>
            <w:tcW w:w="100" w:type="dxa"/>
            <w:vAlign w:val="bottom"/>
            <w:tcBorders>
              <w:bottom w:val="single" w:sz="8" w:color="DEDEDE"/>
            </w:tcBorders>
          </w:tcPr>
          <w:p>
            <w:pPr>
              <w:spacing w:after="0"/>
              <w:rPr>
                <w:sz w:val="21"/>
                <w:szCs w:val="21"/>
                <w:color w:val="auto"/>
              </w:rPr>
            </w:pPr>
          </w:p>
        </w:tc>
        <w:tc>
          <w:tcPr>
            <w:tcW w:w="1680" w:type="dxa"/>
            <w:vAlign w:val="bottom"/>
            <w:tcBorders>
              <w:bottom w:val="single" w:sz="8" w:color="DEDEDE"/>
            </w:tcBorders>
          </w:tcPr>
          <w:p>
            <w:pPr>
              <w:jc w:val="right"/>
              <w:spacing w:after="0"/>
              <w:rPr>
                <w:sz w:val="20"/>
                <w:szCs w:val="20"/>
                <w:color w:val="auto"/>
              </w:rPr>
            </w:pPr>
            <w:r>
              <w:rPr>
                <w:rFonts w:ascii="Times New Roman" w:cs="Times New Roman" w:eastAsia="Times New Roman" w:hAnsi="Times New Roman"/>
                <w:sz w:val="20"/>
                <w:szCs w:val="20"/>
                <w:color w:val="auto"/>
              </w:rPr>
              <w:t>6,857</w:t>
            </w:r>
          </w:p>
        </w:tc>
        <w:tc>
          <w:tcPr>
            <w:tcW w:w="240" w:type="dxa"/>
            <w:vAlign w:val="bottom"/>
            <w:tcBorders>
              <w:bottom w:val="single" w:sz="8" w:color="DEDEDE"/>
            </w:tcBorders>
          </w:tcPr>
          <w:p>
            <w:pPr>
              <w:spacing w:after="0"/>
              <w:rPr>
                <w:sz w:val="21"/>
                <w:szCs w:val="21"/>
                <w:color w:val="auto"/>
              </w:rPr>
            </w:pPr>
          </w:p>
        </w:tc>
        <w:tc>
          <w:tcPr>
            <w:tcW w:w="20" w:type="dxa"/>
            <w:vAlign w:val="bottom"/>
            <w:tcBorders>
              <w:bottom w:val="single" w:sz="8" w:color="DEDEDE"/>
            </w:tcBorders>
          </w:tcPr>
          <w:p>
            <w:pPr>
              <w:spacing w:after="0"/>
              <w:rPr>
                <w:sz w:val="21"/>
                <w:szCs w:val="21"/>
                <w:color w:val="auto"/>
              </w:rPr>
            </w:pPr>
          </w:p>
        </w:tc>
        <w:tc>
          <w:tcPr>
            <w:tcW w:w="100" w:type="dxa"/>
            <w:vAlign w:val="bottom"/>
            <w:tcBorders>
              <w:bottom w:val="single" w:sz="8" w:color="DEDEDE"/>
            </w:tcBorders>
          </w:tcPr>
          <w:p>
            <w:pPr>
              <w:spacing w:after="0"/>
              <w:rPr>
                <w:sz w:val="21"/>
                <w:szCs w:val="21"/>
                <w:color w:val="auto"/>
              </w:rPr>
            </w:pPr>
          </w:p>
        </w:tc>
        <w:tc>
          <w:tcPr>
            <w:tcW w:w="1120" w:type="dxa"/>
            <w:vAlign w:val="bottom"/>
            <w:tcBorders>
              <w:bottom w:val="single" w:sz="8" w:color="DEDEDE"/>
            </w:tcBorders>
          </w:tcPr>
          <w:p>
            <w:pPr>
              <w:jc w:val="right"/>
              <w:spacing w:after="0"/>
              <w:rPr>
                <w:sz w:val="20"/>
                <w:szCs w:val="20"/>
                <w:color w:val="auto"/>
              </w:rPr>
            </w:pPr>
            <w:r>
              <w:rPr>
                <w:rFonts w:ascii="Times New Roman" w:cs="Times New Roman" w:eastAsia="Times New Roman" w:hAnsi="Times New Roman"/>
                <w:sz w:val="20"/>
                <w:szCs w:val="20"/>
                <w:color w:val="auto"/>
              </w:rPr>
              <w:t>6,729</w:t>
            </w:r>
          </w:p>
        </w:tc>
        <w:tc>
          <w:tcPr>
            <w:tcW w:w="80" w:type="dxa"/>
            <w:vAlign w:val="bottom"/>
            <w:tcBorders>
              <w:bottom w:val="single" w:sz="8" w:color="DEDEDE"/>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490" w:type="dxa"/>
            <w:vAlign w:val="bottom"/>
            <w:shd w:val="clear" w:color="auto" w:fill="DEDEDE"/>
          </w:tcPr>
          <w:p>
            <w:pPr>
              <w:ind w:left="100"/>
              <w:spacing w:after="0" w:line="225" w:lineRule="exact"/>
              <w:rPr>
                <w:sz w:val="20"/>
                <w:szCs w:val="20"/>
                <w:color w:val="auto"/>
              </w:rPr>
            </w:pPr>
            <w:r>
              <w:rPr>
                <w:rFonts w:ascii="Times New Roman" w:cs="Times New Roman" w:eastAsia="Times New Roman" w:hAnsi="Times New Roman"/>
                <w:sz w:val="20"/>
                <w:szCs w:val="20"/>
                <w:color w:val="auto"/>
              </w:rPr>
              <w:t>External</w:t>
            </w:r>
          </w:p>
        </w:tc>
        <w:tc>
          <w:tcPr>
            <w:tcW w:w="89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100" w:type="dxa"/>
            <w:vAlign w:val="bottom"/>
            <w:tcBorders>
              <w:bottom w:val="single" w:sz="8" w:color="auto"/>
            </w:tcBorders>
            <w:shd w:val="clear" w:color="auto" w:fill="DEDEDE"/>
          </w:tcPr>
          <w:p>
            <w:pPr>
              <w:spacing w:after="0"/>
              <w:rPr>
                <w:sz w:val="19"/>
                <w:szCs w:val="19"/>
                <w:color w:val="auto"/>
              </w:rPr>
            </w:pPr>
          </w:p>
        </w:tc>
        <w:tc>
          <w:tcPr>
            <w:tcW w:w="1260" w:type="dxa"/>
            <w:vAlign w:val="bottom"/>
            <w:tcBorders>
              <w:bottom w:val="single" w:sz="8" w:color="auto"/>
            </w:tcBorders>
            <w:shd w:val="clear" w:color="auto" w:fill="DEDEDE"/>
          </w:tcPr>
          <w:p>
            <w:pPr>
              <w:jc w:val="right"/>
              <w:spacing w:after="0" w:line="225" w:lineRule="exact"/>
              <w:rPr>
                <w:sz w:val="20"/>
                <w:szCs w:val="20"/>
                <w:color w:val="auto"/>
              </w:rPr>
            </w:pPr>
            <w:r>
              <w:rPr>
                <w:rFonts w:ascii="Times New Roman" w:cs="Times New Roman" w:eastAsia="Times New Roman" w:hAnsi="Times New Roman"/>
                <w:sz w:val="20"/>
                <w:szCs w:val="20"/>
                <w:color w:val="auto"/>
              </w:rPr>
              <w:t>15,856</w:t>
            </w:r>
          </w:p>
        </w:tc>
        <w:tc>
          <w:tcPr>
            <w:tcW w:w="24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100" w:type="dxa"/>
            <w:vAlign w:val="bottom"/>
            <w:tcBorders>
              <w:bottom w:val="single" w:sz="8" w:color="auto"/>
            </w:tcBorders>
            <w:shd w:val="clear" w:color="auto" w:fill="DEDEDE"/>
          </w:tcPr>
          <w:p>
            <w:pPr>
              <w:spacing w:after="0"/>
              <w:rPr>
                <w:sz w:val="19"/>
                <w:szCs w:val="19"/>
                <w:color w:val="auto"/>
              </w:rPr>
            </w:pPr>
          </w:p>
        </w:tc>
        <w:tc>
          <w:tcPr>
            <w:tcW w:w="1680" w:type="dxa"/>
            <w:vAlign w:val="bottom"/>
            <w:tcBorders>
              <w:bottom w:val="single" w:sz="8" w:color="auto"/>
            </w:tcBorders>
            <w:shd w:val="clear" w:color="auto" w:fill="DEDEDE"/>
          </w:tcPr>
          <w:p>
            <w:pPr>
              <w:jc w:val="right"/>
              <w:spacing w:after="0" w:line="225" w:lineRule="exact"/>
              <w:rPr>
                <w:sz w:val="20"/>
                <w:szCs w:val="20"/>
                <w:color w:val="auto"/>
              </w:rPr>
            </w:pPr>
            <w:r>
              <w:rPr>
                <w:rFonts w:ascii="Times New Roman" w:cs="Times New Roman" w:eastAsia="Times New Roman" w:hAnsi="Times New Roman"/>
                <w:sz w:val="20"/>
                <w:szCs w:val="20"/>
                <w:color w:val="auto"/>
              </w:rPr>
              <w:t>10,642</w:t>
            </w:r>
          </w:p>
        </w:tc>
        <w:tc>
          <w:tcPr>
            <w:tcW w:w="24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100" w:type="dxa"/>
            <w:vAlign w:val="bottom"/>
            <w:tcBorders>
              <w:bottom w:val="single" w:sz="8" w:color="auto"/>
            </w:tcBorders>
            <w:shd w:val="clear" w:color="auto" w:fill="DEDEDE"/>
          </w:tcPr>
          <w:p>
            <w:pPr>
              <w:spacing w:after="0"/>
              <w:rPr>
                <w:sz w:val="19"/>
                <w:szCs w:val="19"/>
                <w:color w:val="auto"/>
              </w:rPr>
            </w:pPr>
          </w:p>
        </w:tc>
        <w:tc>
          <w:tcPr>
            <w:tcW w:w="1120" w:type="dxa"/>
            <w:vAlign w:val="bottom"/>
            <w:tcBorders>
              <w:bottom w:val="single" w:sz="8" w:color="auto"/>
            </w:tcBorders>
            <w:shd w:val="clear" w:color="auto" w:fill="DEDEDE"/>
          </w:tcPr>
          <w:p>
            <w:pPr>
              <w:jc w:val="right"/>
              <w:spacing w:after="0" w:line="225" w:lineRule="exact"/>
              <w:rPr>
                <w:sz w:val="20"/>
                <w:szCs w:val="20"/>
                <w:color w:val="auto"/>
              </w:rPr>
            </w:pPr>
            <w:r>
              <w:rPr>
                <w:rFonts w:ascii="Times New Roman" w:cs="Times New Roman" w:eastAsia="Times New Roman" w:hAnsi="Times New Roman"/>
                <w:sz w:val="20"/>
                <w:szCs w:val="20"/>
                <w:color w:val="auto"/>
              </w:rPr>
              <w:t>11,674</w:t>
            </w:r>
          </w:p>
        </w:tc>
        <w:tc>
          <w:tcPr>
            <w:tcW w:w="8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400" w:type="dxa"/>
            <w:vAlign w:val="bottom"/>
            <w:tcBorders>
              <w:bottom w:val="single" w:sz="8" w:color="DEDEDE"/>
            </w:tcBorders>
            <w:gridSpan w:val="3"/>
          </w:tcPr>
          <w:p>
            <w:pPr>
              <w:spacing w:after="0"/>
              <w:rPr>
                <w:sz w:val="20"/>
                <w:szCs w:val="20"/>
                <w:color w:val="auto"/>
              </w:rPr>
            </w:pPr>
            <w:r>
              <w:rPr>
                <w:rFonts w:ascii="Times New Roman" w:cs="Times New Roman" w:eastAsia="Times New Roman" w:hAnsi="Times New Roman"/>
                <w:sz w:val="20"/>
                <w:szCs w:val="20"/>
                <w:color w:val="auto"/>
              </w:rPr>
              <w:t>Total general and administrative</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26,921</w:t>
            </w:r>
          </w:p>
        </w:tc>
        <w:tc>
          <w:tcPr>
            <w:tcW w:w="24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24,247</w:t>
            </w:r>
          </w:p>
        </w:tc>
        <w:tc>
          <w:tcPr>
            <w:tcW w:w="24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25,052</w:t>
            </w:r>
          </w:p>
        </w:tc>
        <w:tc>
          <w:tcPr>
            <w:tcW w:w="80" w:type="dxa"/>
            <w:vAlign w:val="bottom"/>
            <w:tcBorders>
              <w:bottom w:val="single" w:sz="8" w:color="DEDEDE"/>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49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890" w:type="dxa"/>
            <w:vAlign w:val="bottom"/>
            <w:shd w:val="clear" w:color="auto" w:fill="DEDEDE"/>
          </w:tcPr>
          <w:p>
            <w:pPr>
              <w:spacing w:after="0"/>
              <w:rPr>
                <w:sz w:val="20"/>
                <w:szCs w:val="20"/>
                <w:color w:val="auto"/>
              </w:rPr>
            </w:pPr>
          </w:p>
        </w:tc>
        <w:tc>
          <w:tcPr>
            <w:tcW w:w="20" w:type="dxa"/>
            <w:vAlign w:val="bottom"/>
            <w:tcBorders>
              <w:bottom w:val="single" w:sz="8" w:color="auto"/>
            </w:tcBorders>
            <w:shd w:val="clear" w:color="auto" w:fill="DEDEDE"/>
          </w:tcPr>
          <w:p>
            <w:pPr>
              <w:spacing w:after="0"/>
              <w:rPr>
                <w:sz w:val="20"/>
                <w:szCs w:val="20"/>
                <w:color w:val="auto"/>
              </w:rPr>
            </w:pPr>
          </w:p>
        </w:tc>
        <w:tc>
          <w:tcPr>
            <w:tcW w:w="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12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85,448</w:t>
            </w:r>
          </w:p>
        </w:tc>
        <w:tc>
          <w:tcPr>
            <w:tcW w:w="240" w:type="dxa"/>
            <w:vAlign w:val="bottom"/>
            <w:shd w:val="clear" w:color="auto" w:fill="DEDEDE"/>
          </w:tcPr>
          <w:p>
            <w:pPr>
              <w:spacing w:after="0"/>
              <w:rPr>
                <w:sz w:val="20"/>
                <w:szCs w:val="20"/>
                <w:color w:val="auto"/>
              </w:rPr>
            </w:pPr>
          </w:p>
        </w:tc>
        <w:tc>
          <w:tcPr>
            <w:tcW w:w="20" w:type="dxa"/>
            <w:vAlign w:val="bottom"/>
            <w:tcBorders>
              <w:bottom w:val="single" w:sz="8" w:color="auto"/>
            </w:tcBorders>
            <w:shd w:val="clear" w:color="auto" w:fill="DEDEDE"/>
          </w:tcPr>
          <w:p>
            <w:pPr>
              <w:spacing w:after="0"/>
              <w:rPr>
                <w:sz w:val="20"/>
                <w:szCs w:val="20"/>
                <w:color w:val="auto"/>
              </w:rPr>
            </w:pPr>
          </w:p>
        </w:tc>
        <w:tc>
          <w:tcPr>
            <w:tcW w:w="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16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80,132</w:t>
            </w:r>
          </w:p>
        </w:tc>
        <w:tc>
          <w:tcPr>
            <w:tcW w:w="240" w:type="dxa"/>
            <w:vAlign w:val="bottom"/>
            <w:shd w:val="clear" w:color="auto" w:fill="DEDEDE"/>
          </w:tcPr>
          <w:p>
            <w:pPr>
              <w:spacing w:after="0"/>
              <w:rPr>
                <w:sz w:val="20"/>
                <w:szCs w:val="20"/>
                <w:color w:val="auto"/>
              </w:rPr>
            </w:pPr>
          </w:p>
        </w:tc>
        <w:tc>
          <w:tcPr>
            <w:tcW w:w="20" w:type="dxa"/>
            <w:vAlign w:val="bottom"/>
            <w:tcBorders>
              <w:bottom w:val="single" w:sz="8" w:color="auto"/>
            </w:tcBorders>
            <w:shd w:val="clear" w:color="auto" w:fill="DEDEDE"/>
          </w:tcPr>
          <w:p>
            <w:pPr>
              <w:spacing w:after="0"/>
              <w:rPr>
                <w:sz w:val="20"/>
                <w:szCs w:val="20"/>
                <w:color w:val="auto"/>
              </w:rPr>
            </w:pPr>
          </w:p>
        </w:tc>
        <w:tc>
          <w:tcPr>
            <w:tcW w:w="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11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77,040</w:t>
            </w:r>
          </w:p>
        </w:tc>
        <w:tc>
          <w:tcPr>
            <w:tcW w:w="8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90" w:type="dxa"/>
            <w:vAlign w:val="bottom"/>
          </w:tcPr>
          <w:p>
            <w:pPr>
              <w:spacing w:after="0" w:line="20" w:lineRule="exact"/>
              <w:rPr>
                <w:sz w:val="1"/>
                <w:szCs w:val="1"/>
                <w:color w:val="auto"/>
              </w:rPr>
            </w:pPr>
          </w:p>
        </w:tc>
        <w:tc>
          <w:tcPr>
            <w:tcW w:w="89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-1591310</wp:posOffset>
                </wp:positionV>
                <wp:extent cx="5943600"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5.2999pt" to="468pt,-125.2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-655955</wp:posOffset>
                </wp:positionV>
                <wp:extent cx="5943600"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6499pt" to="468pt,-51.6499pt" o:allowincell="f" strokecolor="#FFFFFF" strokeweight="0.72pt"/>
            </w:pict>
          </mc:Fallback>
        </mc:AlternateConten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14. Subsequent Events</w:t>
      </w:r>
    </w:p>
    <w:p>
      <w:pPr>
        <w:spacing w:after="0" w:line="120"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20"/>
          <w:szCs w:val="20"/>
          <w:color w:val="auto"/>
        </w:rPr>
        <w:t>The State of New Jersey’s Technology Business Tax Certificate Program allows certain high technology and biotechnology companies to sell NOL carryforwards and R&amp;D tax credits to other New Jersey-based corporate taxpayers. The Company has applied for and received preliminary confirmation for its sale of NOLs related to the tax years ended December 31, 2021 to 2023 in the amount of approximately $2,196, which the Company expects to recognize in the second quarter of 2025, upon receipt of the certificates for the refund. Subsequent to December 31, 2024, the Company received $1,415 of cash for the NOL tax credit sales.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ectPr>
          <w:pgSz w:w="12240" w:h="15840" w:orient="portrait"/>
          <w:cols w:equalWidth="0" w:num="1">
            <w:col w:w="9360"/>
          </w:cols>
          <w:pgMar w:left="1440" w:top="1420" w:right="1440" w:bottom="175" w:gutter="0" w:footer="0" w:header="0"/>
        </w:sectPr>
      </w:pPr>
    </w:p>
    <w:bookmarkStart w:id="130" w:name="page131"/>
    <w:bookmarkEnd w:id="130"/>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Changes in and Disagreements with Accountants on Accounting and Financial Disclosure.</w:t>
      </w:r>
    </w:p>
    <w:p>
      <w:pPr>
        <w:spacing w:after="0" w:line="1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None.</w:t>
      </w:r>
    </w:p>
    <w:p>
      <w:pPr>
        <w:spacing w:after="0" w:line="35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123" w:lineRule="exact"/>
        <w:rPr>
          <w:sz w:val="20"/>
          <w:szCs w:val="20"/>
          <w:color w:val="auto"/>
        </w:rPr>
      </w:pPr>
    </w:p>
    <w:p>
      <w:pPr>
        <w:ind w:right="140" w:firstLine="619"/>
        <w:spacing w:after="0" w:line="249" w:lineRule="auto"/>
        <w:rPr>
          <w:sz w:val="20"/>
          <w:szCs w:val="20"/>
          <w:color w:val="auto"/>
        </w:rPr>
      </w:pPr>
      <w:r>
        <w:rPr>
          <w:rFonts w:ascii="Times New Roman" w:cs="Times New Roman" w:eastAsia="Times New Roman" w:hAnsi="Times New Roman"/>
          <w:sz w:val="20"/>
          <w:szCs w:val="20"/>
          <w:color w:val="auto"/>
        </w:rPr>
        <w:t>Our management maintains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98" w:lineRule="exact"/>
        <w:rPr>
          <w:sz w:val="20"/>
          <w:szCs w:val="20"/>
          <w:color w:val="auto"/>
        </w:rPr>
      </w:pPr>
    </w:p>
    <w:p>
      <w:pPr>
        <w:ind w:right="40" w:firstLine="619"/>
        <w:spacing w:after="0" w:line="246" w:lineRule="auto"/>
        <w:rPr>
          <w:sz w:val="20"/>
          <w:szCs w:val="20"/>
          <w:color w:val="auto"/>
        </w:rPr>
      </w:pPr>
      <w:r>
        <w:rPr>
          <w:rFonts w:ascii="Times New Roman" w:cs="Times New Roman" w:eastAsia="Times New Roman" w:hAnsi="Times New Roman"/>
          <w:sz w:val="20"/>
          <w:szCs w:val="20"/>
          <w:color w:val="auto"/>
        </w:rPr>
        <w:t>As of December 31, 2024, the Company conducted an evaluation, under the supervision and with the participation of our management, including our Chief Executive Officer and Chief Financial Officer, of the effectiveness of the design and operation of our disclosure controls and procedures, as such term is defined under Rules 13a-15(e) and 15(d)-15(e) promulgated under the Securities Exchange Act of 1934, as amended, or the Exchange Act. Based on this evaluation, our Chief Executive Officer and Chief Financial Officer concluded that our disclosure controls and procedures were effective at the reasonable assurance level as of the end of the period covered by this Annual Report on Form 10-K.</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124"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such term is defined in Rule 13a-15(f) promulgated under the Exchange Act. Under the supervision and with the participation of our management, including our Chief Executive Officer and Chief Financial Officer, our management assessed and conducted an evaluation of the effectiveness of our internal control over financial reporting based on the Internal Control—Integrated Framework (2013 framework) issued by the Committee of Sponsoring Organizations of the Treadway Commission. Based on this assessment, our management concluded that our internal control over financial reporting was effective as of December 31, 2024.</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24"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20"/>
          <w:szCs w:val="20"/>
          <w:color w:val="auto"/>
        </w:rPr>
        <w:t>An evaluation was also performed under the supervision and with the participation of our management, including our Chief Executive Officer and Chief Financial Officer, of any changes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during the fourth quarter of the year ended December 31, 2024 that has materially affected, or is reasonably likely to materially affect, our internal control over financial reporting.</w:t>
      </w:r>
    </w:p>
    <w:p>
      <w:pPr>
        <w:spacing w:after="0" w:line="3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Securities Trading Plans of Directors and Executive Officers</w:t>
      </w:r>
    </w:p>
    <w:p>
      <w:pPr>
        <w:spacing w:after="0" w:line="120" w:lineRule="exact"/>
        <w:rPr>
          <w:sz w:val="20"/>
          <w:szCs w:val="20"/>
          <w:color w:val="auto"/>
        </w:rPr>
      </w:pPr>
    </w:p>
    <w:p>
      <w:pPr>
        <w:ind w:right="100" w:firstLine="619"/>
        <w:spacing w:after="0" w:line="258" w:lineRule="auto"/>
        <w:rPr>
          <w:sz w:val="20"/>
          <w:szCs w:val="20"/>
          <w:color w:val="auto"/>
        </w:rPr>
      </w:pPr>
      <w:r>
        <w:rPr>
          <w:rFonts w:ascii="Times New Roman" w:cs="Times New Roman" w:eastAsia="Times New Roman" w:hAnsi="Times New Roman"/>
          <w:sz w:val="20"/>
          <w:szCs w:val="20"/>
          <w:color w:val="auto"/>
        </w:rPr>
        <w:t>During the three months ended December 31, 2024, no director or officer, as defined in Rule 16a-1(f) under the Securities Exchange Act of 1934, adopted or terminated a “Rule 10b5-1 trading arrangement” or a “non-Rule 10b5-1 trading arrangement,” each as defined in Regulation S-K Item 408.</w:t>
      </w:r>
    </w:p>
    <w:p>
      <w:pPr>
        <w:spacing w:after="0" w:line="30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9"/>
          <w:szCs w:val="19"/>
          <w:b w:val="1"/>
          <w:bCs w:val="1"/>
          <w:color w:val="auto"/>
        </w:rPr>
        <w:t>Disclosure Regarding Foreign Jurisdictions that Prevent Inspections.</w:t>
      </w:r>
    </w:p>
    <w:p>
      <w:pPr>
        <w:spacing w:after="0" w:line="1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125</w:t>
      </w:r>
    </w:p>
    <w:p>
      <w:pPr>
        <w:sectPr>
          <w:pgSz w:w="12240" w:h="15840" w:orient="portrait"/>
          <w:cols w:equalWidth="0" w:num="1">
            <w:col w:w="9360"/>
          </w:cols>
          <w:pgMar w:left="1440" w:top="1416" w:right="1440" w:bottom="175"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3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10.</w:t>
        <w:tab/>
        <w:t>Directors, Executive Officers and Corporate Governance.</w:t>
      </w:r>
    </w:p>
    <w:p>
      <w:pPr>
        <w:spacing w:after="0" w:line="124" w:lineRule="exact"/>
        <w:rPr>
          <w:sz w:val="20"/>
          <w:szCs w:val="20"/>
          <w:color w:val="auto"/>
        </w:rPr>
      </w:pPr>
    </w:p>
    <w:p>
      <w:pPr>
        <w:ind w:right="60" w:firstLine="619"/>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will be included under the caption “Directors and Corporate Governance” and “Executive Compensation” in our definitive proxy statement to be filed with the SEC on or before April 30, 2025, or the Proxy Statement, and is incorporated herein by reference.</w:t>
      </w:r>
    </w:p>
    <w:p>
      <w:pPr>
        <w:spacing w:after="0" w:line="30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color w:val="auto"/>
        </w:rPr>
        <w:t>Executive Compensation.</w:t>
      </w:r>
    </w:p>
    <w:p>
      <w:pPr>
        <w:spacing w:after="0" w:line="124" w:lineRule="exact"/>
        <w:rPr>
          <w:sz w:val="20"/>
          <w:szCs w:val="20"/>
          <w:color w:val="auto"/>
        </w:rPr>
      </w:pPr>
    </w:p>
    <w:p>
      <w:pPr>
        <w:ind w:right="300" w:firstLine="619"/>
        <w:spacing w:after="0" w:line="277" w:lineRule="auto"/>
        <w:rPr>
          <w:sz w:val="20"/>
          <w:szCs w:val="20"/>
          <w:color w:val="auto"/>
        </w:rPr>
      </w:pPr>
      <w:r>
        <w:rPr>
          <w:rFonts w:ascii="Times New Roman" w:cs="Times New Roman" w:eastAsia="Times New Roman" w:hAnsi="Times New Roman"/>
          <w:sz w:val="20"/>
          <w:szCs w:val="20"/>
          <w:color w:val="auto"/>
        </w:rPr>
        <w:t>The information required by this item will be included under the captions “Executive Compensation” and “Directors and Corporate Governance” in the Proxy Statement and is incorporated herein by reference.</w:t>
      </w:r>
    </w:p>
    <w:p>
      <w:pPr>
        <w:spacing w:after="0" w:line="285"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34"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will be included under the captions “Beneficial Ownership of Shares of Common Stock” and “Executive Compensation—Equity Compensation Plan Information” in the Proxy Statement and is incorporated herein by reference.</w:t>
      </w:r>
    </w:p>
    <w:p>
      <w:pPr>
        <w:spacing w:after="0" w:line="30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19"/>
          <w:szCs w:val="19"/>
          <w:b w:val="1"/>
          <w:bCs w:val="1"/>
          <w:color w:val="auto"/>
        </w:rPr>
        <w:t>Certain Relationships and Related Transactions, and Director Independence.</w:t>
      </w:r>
    </w:p>
    <w:p>
      <w:pPr>
        <w:spacing w:after="0" w:line="124"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will be included under the captions “Certain Relationships and Related Person Transactions” and “Directors and Corporate Governance” in the Proxy Statement and is incorporated herein by reference.</w:t>
      </w:r>
    </w:p>
    <w:p>
      <w:pPr>
        <w:spacing w:after="0" w:line="30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14.</w:t>
        <w:tab/>
        <w:t>Principal Accounting Fees and Services.</w:t>
      </w:r>
    </w:p>
    <w:p>
      <w:pPr>
        <w:spacing w:after="0" w:line="123" w:lineRule="exact"/>
        <w:rPr>
          <w:sz w:val="20"/>
          <w:szCs w:val="20"/>
          <w:color w:val="auto"/>
        </w:rPr>
      </w:pPr>
    </w:p>
    <w:p>
      <w:pPr>
        <w:jc w:val="both"/>
        <w:ind w:right="240" w:firstLine="619"/>
        <w:spacing w:after="0" w:line="278" w:lineRule="auto"/>
        <w:rPr>
          <w:sz w:val="20"/>
          <w:szCs w:val="20"/>
          <w:color w:val="auto"/>
        </w:rPr>
      </w:pPr>
      <w:r>
        <w:rPr>
          <w:rFonts w:ascii="Times New Roman" w:cs="Times New Roman" w:eastAsia="Times New Roman" w:hAnsi="Times New Roman"/>
          <w:sz w:val="20"/>
          <w:szCs w:val="20"/>
          <w:color w:val="auto"/>
        </w:rPr>
        <w:t>The information required by this item will be included under the captions “Ratification of Appointment of Independent Registered Public Accounting Firm” in the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ectPr>
          <w:pgSz w:w="12240" w:h="15840" w:orient="portrait"/>
          <w:cols w:equalWidth="0" w:num="1">
            <w:col w:w="9360"/>
          </w:cols>
          <w:pgMar w:left="1440" w:top="1416" w:right="1440" w:bottom="175" w:gutter="0" w:footer="0" w:header="0"/>
        </w:sectPr>
      </w:pPr>
    </w:p>
    <w:bookmarkStart w:id="132" w:name="page133"/>
    <w:bookmarkEnd w:id="132"/>
    <w:p>
      <w:pPr>
        <w:ind w:left="428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3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15.</w:t>
        <w:tab/>
        <w:t>Exhibits and Financial Statement Schedules.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INDEX</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4"/>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0" w:type="dxa"/>
            <w:vAlign w:val="bottom"/>
          </w:tcPr>
          <w:p>
            <w:pPr>
              <w:spacing w:after="0"/>
              <w:rPr>
                <w:sz w:val="17"/>
                <w:szCs w:val="17"/>
                <w:color w:val="auto"/>
              </w:rPr>
            </w:pPr>
          </w:p>
        </w:tc>
        <w:tc>
          <w:tcPr>
            <w:tcW w:w="450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20" w:type="dxa"/>
            <w:vAlign w:val="bottom"/>
          </w:tcPr>
          <w:p>
            <w:pPr>
              <w:spacing w:after="0"/>
              <w:rPr>
                <w:sz w:val="17"/>
                <w:szCs w:val="17"/>
                <w:color w:val="auto"/>
              </w:rPr>
            </w:pPr>
          </w:p>
        </w:tc>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80" w:type="dxa"/>
            <w:vAlign w:val="bottom"/>
          </w:tcPr>
          <w:p>
            <w:pPr>
              <w:spacing w:after="0"/>
              <w:rPr>
                <w:sz w:val="17"/>
                <w:szCs w:val="17"/>
                <w:color w:val="auto"/>
              </w:rPr>
            </w:pPr>
          </w:p>
        </w:tc>
        <w:tc>
          <w:tcPr>
            <w:tcW w:w="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r>
      <w:tr>
        <w:trPr>
          <w:trHeight w:val="337"/>
        </w:trPr>
        <w:tc>
          <w:tcPr>
            <w:tcW w:w="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Certificate of Incorporation of</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001-</w:t>
            </w:r>
          </w:p>
        </w:tc>
        <w:tc>
          <w:tcPr>
            <w:tcW w:w="86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5"/>
              </w:rPr>
              <w:t>3.1</w:t>
            </w:r>
          </w:p>
        </w:tc>
        <w:tc>
          <w:tcPr>
            <w:tcW w:w="120" w:type="dxa"/>
            <w:vAlign w:val="bottom"/>
          </w:tcPr>
          <w:p>
            <w:pPr>
              <w:spacing w:after="0"/>
              <w:rPr>
                <w:sz w:val="24"/>
                <w:szCs w:val="24"/>
                <w:color w:val="auto"/>
              </w:rPr>
            </w:pPr>
          </w:p>
        </w:tc>
        <w:tc>
          <w:tcPr>
            <w:tcW w:w="12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8"/>
              </w:rPr>
              <w:t>September 29,</w:t>
            </w:r>
          </w:p>
        </w:tc>
      </w:tr>
      <w:tr>
        <w:trPr>
          <w:trHeight w:val="267"/>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the Registrant, as amended, as currently in effect.</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9"/>
              </w:rPr>
              <w:t>39539</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2020</w:t>
            </w:r>
          </w:p>
        </w:tc>
      </w:tr>
      <w:tr>
        <w:trPr>
          <w:trHeight w:val="331"/>
        </w:trPr>
        <w:tc>
          <w:tcPr>
            <w:tcW w:w="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3.2</w:t>
            </w:r>
          </w:p>
        </w:tc>
        <w:tc>
          <w:tcPr>
            <w:tcW w:w="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Bylaws of the Registrant, as</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001-</w:t>
            </w:r>
          </w:p>
        </w:tc>
        <w:tc>
          <w:tcPr>
            <w:tcW w:w="8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3.3</w:t>
            </w:r>
          </w:p>
        </w:tc>
        <w:tc>
          <w:tcPr>
            <w:tcW w:w="120" w:type="dxa"/>
            <w:vAlign w:val="bottom"/>
          </w:tcPr>
          <w:p>
            <w:pPr>
              <w:spacing w:after="0"/>
              <w:rPr>
                <w:sz w:val="24"/>
                <w:szCs w:val="24"/>
                <w:color w:val="auto"/>
              </w:rPr>
            </w:pPr>
          </w:p>
        </w:tc>
        <w:tc>
          <w:tcPr>
            <w:tcW w:w="12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8"/>
              </w:rPr>
              <w:t>May 10, 2023</w:t>
            </w:r>
          </w:p>
        </w:tc>
      </w:tr>
      <w:tr>
        <w:trPr>
          <w:trHeight w:val="267"/>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currently in effect.</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9"/>
              </w:rPr>
              <w:t>39539</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332"/>
        </w:trPr>
        <w:tc>
          <w:tcPr>
            <w:tcW w:w="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4.1</w:t>
            </w:r>
          </w:p>
        </w:tc>
        <w:tc>
          <w:tcPr>
            <w:tcW w:w="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Description of Securities of the Registrant.</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001-</w:t>
            </w:r>
          </w:p>
        </w:tc>
        <w:tc>
          <w:tcPr>
            <w:tcW w:w="8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4.1</w:t>
            </w:r>
          </w:p>
        </w:tc>
        <w:tc>
          <w:tcPr>
            <w:tcW w:w="120" w:type="dxa"/>
            <w:vAlign w:val="bottom"/>
          </w:tcPr>
          <w:p>
            <w:pPr>
              <w:spacing w:after="0"/>
              <w:rPr>
                <w:sz w:val="24"/>
                <w:szCs w:val="24"/>
                <w:color w:val="auto"/>
              </w:rPr>
            </w:pPr>
          </w:p>
        </w:tc>
        <w:tc>
          <w:tcPr>
            <w:tcW w:w="12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rPr>
              <w:t>March 3, 2021</w:t>
            </w:r>
          </w:p>
        </w:tc>
      </w:tr>
      <w:tr>
        <w:trPr>
          <w:trHeight w:val="267"/>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9"/>
              </w:rPr>
              <w:t>39539</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331"/>
        </w:trPr>
        <w:tc>
          <w:tcPr>
            <w:tcW w:w="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4.2</w:t>
            </w:r>
          </w:p>
        </w:tc>
        <w:tc>
          <w:tcPr>
            <w:tcW w:w="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Specimen common stock certificate of the Registrant.</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S-1/A</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333-</w:t>
            </w:r>
          </w:p>
        </w:tc>
        <w:tc>
          <w:tcPr>
            <w:tcW w:w="86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5"/>
              </w:rPr>
              <w:t>4.2</w:t>
            </w:r>
          </w:p>
        </w:tc>
        <w:tc>
          <w:tcPr>
            <w:tcW w:w="120" w:type="dxa"/>
            <w:vAlign w:val="bottom"/>
          </w:tcPr>
          <w:p>
            <w:pPr>
              <w:spacing w:after="0"/>
              <w:rPr>
                <w:sz w:val="24"/>
                <w:szCs w:val="24"/>
                <w:color w:val="auto"/>
              </w:rPr>
            </w:pPr>
          </w:p>
        </w:tc>
        <w:tc>
          <w:tcPr>
            <w:tcW w:w="12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8"/>
              </w:rPr>
              <w:t>September 21,</w:t>
            </w:r>
          </w:p>
        </w:tc>
      </w:tr>
      <w:tr>
        <w:trPr>
          <w:trHeight w:val="267"/>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248627</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2020</w:t>
            </w:r>
          </w:p>
        </w:tc>
      </w:tr>
      <w:tr>
        <w:trPr>
          <w:trHeight w:val="331"/>
        </w:trPr>
        <w:tc>
          <w:tcPr>
            <w:tcW w:w="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4.3</w:t>
            </w:r>
          </w:p>
        </w:tc>
        <w:tc>
          <w:tcPr>
            <w:tcW w:w="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Form of Indenture.</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S-3</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333-</w:t>
            </w:r>
          </w:p>
        </w:tc>
        <w:tc>
          <w:tcPr>
            <w:tcW w:w="8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4.5</w:t>
            </w:r>
          </w:p>
        </w:tc>
        <w:tc>
          <w:tcPr>
            <w:tcW w:w="120" w:type="dxa"/>
            <w:vAlign w:val="bottom"/>
          </w:tcPr>
          <w:p>
            <w:pPr>
              <w:spacing w:after="0"/>
              <w:rPr>
                <w:sz w:val="24"/>
                <w:szCs w:val="24"/>
                <w:color w:val="auto"/>
              </w:rPr>
            </w:pPr>
          </w:p>
        </w:tc>
        <w:tc>
          <w:tcPr>
            <w:tcW w:w="12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9"/>
              </w:rPr>
              <w:t>November 20,</w:t>
            </w:r>
          </w:p>
        </w:tc>
      </w:tr>
      <w:tr>
        <w:trPr>
          <w:trHeight w:val="267"/>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283349</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2024</w:t>
            </w:r>
          </w:p>
        </w:tc>
      </w:tr>
      <w:tr>
        <w:trPr>
          <w:trHeight w:val="33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Form of Indemnification Agreement between the</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333-</w:t>
            </w:r>
          </w:p>
        </w:tc>
        <w:tc>
          <w:tcPr>
            <w:tcW w:w="86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10.1</w:t>
            </w:r>
          </w:p>
        </w:tc>
        <w:tc>
          <w:tcPr>
            <w:tcW w:w="120" w:type="dxa"/>
            <w:vAlign w:val="bottom"/>
          </w:tcPr>
          <w:p>
            <w:pPr>
              <w:spacing w:after="0"/>
              <w:rPr>
                <w:sz w:val="24"/>
                <w:szCs w:val="24"/>
                <w:color w:val="auto"/>
              </w:rPr>
            </w:pPr>
          </w:p>
        </w:tc>
        <w:tc>
          <w:tcPr>
            <w:tcW w:w="12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rPr>
              <w:t>September 4,</w:t>
            </w:r>
          </w:p>
        </w:tc>
      </w:tr>
      <w:tr>
        <w:trPr>
          <w:trHeight w:val="229"/>
        </w:trPr>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Registrant and each of its directors and executive</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248627</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2020</w:t>
            </w:r>
          </w:p>
        </w:tc>
      </w:tr>
      <w:tr>
        <w:trPr>
          <w:trHeight w:val="267"/>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officers.</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33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2013 Equity Incentive Plan, as amended, and forms of</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S-1/A</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333-</w:t>
            </w:r>
          </w:p>
        </w:tc>
        <w:tc>
          <w:tcPr>
            <w:tcW w:w="86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10.2</w:t>
            </w:r>
          </w:p>
        </w:tc>
        <w:tc>
          <w:tcPr>
            <w:tcW w:w="120" w:type="dxa"/>
            <w:vAlign w:val="bottom"/>
          </w:tcPr>
          <w:p>
            <w:pPr>
              <w:spacing w:after="0"/>
              <w:rPr>
                <w:sz w:val="24"/>
                <w:szCs w:val="24"/>
                <w:color w:val="auto"/>
              </w:rPr>
            </w:pPr>
          </w:p>
        </w:tc>
        <w:tc>
          <w:tcPr>
            <w:tcW w:w="12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8"/>
              </w:rPr>
              <w:t>September 21,</w:t>
            </w:r>
          </w:p>
        </w:tc>
      </w:tr>
      <w:tr>
        <w:trPr>
          <w:trHeight w:val="267"/>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agreement thereunder.</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248627</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2020</w:t>
            </w:r>
          </w:p>
        </w:tc>
      </w:tr>
      <w:tr>
        <w:trPr>
          <w:trHeight w:val="331"/>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2020 Equity Incentive Plan and forms of agreements</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S-1/A</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333-</w:t>
            </w:r>
          </w:p>
        </w:tc>
        <w:tc>
          <w:tcPr>
            <w:tcW w:w="86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10.3</w:t>
            </w:r>
          </w:p>
        </w:tc>
        <w:tc>
          <w:tcPr>
            <w:tcW w:w="120" w:type="dxa"/>
            <w:vAlign w:val="bottom"/>
          </w:tcPr>
          <w:p>
            <w:pPr>
              <w:spacing w:after="0"/>
              <w:rPr>
                <w:sz w:val="24"/>
                <w:szCs w:val="24"/>
                <w:color w:val="auto"/>
              </w:rPr>
            </w:pPr>
          </w:p>
        </w:tc>
        <w:tc>
          <w:tcPr>
            <w:tcW w:w="12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8"/>
              </w:rPr>
              <w:t>September 21,</w:t>
            </w:r>
          </w:p>
        </w:tc>
      </w:tr>
      <w:tr>
        <w:trPr>
          <w:trHeight w:val="267"/>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thereunder.</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248627</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2020</w:t>
            </w:r>
          </w:p>
        </w:tc>
      </w:tr>
      <w:tr>
        <w:trPr>
          <w:trHeight w:val="331"/>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2020 Employee Stock Purchase Plan and forms of</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001-</w:t>
            </w:r>
          </w:p>
        </w:tc>
        <w:tc>
          <w:tcPr>
            <w:tcW w:w="86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10.4</w:t>
            </w:r>
          </w:p>
        </w:tc>
        <w:tc>
          <w:tcPr>
            <w:tcW w:w="120" w:type="dxa"/>
            <w:vAlign w:val="bottom"/>
          </w:tcPr>
          <w:p>
            <w:pPr>
              <w:spacing w:after="0"/>
              <w:rPr>
                <w:sz w:val="24"/>
                <w:szCs w:val="24"/>
                <w:color w:val="auto"/>
              </w:rPr>
            </w:pPr>
          </w:p>
        </w:tc>
        <w:tc>
          <w:tcPr>
            <w:tcW w:w="12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rPr>
              <w:t>May 9, 2024</w:t>
            </w:r>
          </w:p>
        </w:tc>
      </w:tr>
      <w:tr>
        <w:trPr>
          <w:trHeight w:val="267"/>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agreements thereunder.</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9"/>
              </w:rPr>
              <w:t>39539</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331"/>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Employment Offer Letter, dated August 17, 2020, by</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333-</w:t>
            </w:r>
          </w:p>
        </w:tc>
        <w:tc>
          <w:tcPr>
            <w:tcW w:w="86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10.5</w:t>
            </w:r>
          </w:p>
        </w:tc>
        <w:tc>
          <w:tcPr>
            <w:tcW w:w="120" w:type="dxa"/>
            <w:vAlign w:val="bottom"/>
          </w:tcPr>
          <w:p>
            <w:pPr>
              <w:spacing w:after="0"/>
              <w:rPr>
                <w:sz w:val="24"/>
                <w:szCs w:val="24"/>
                <w:color w:val="auto"/>
              </w:rPr>
            </w:pPr>
          </w:p>
        </w:tc>
        <w:tc>
          <w:tcPr>
            <w:tcW w:w="12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rPr>
              <w:t>September 4,</w:t>
            </w:r>
          </w:p>
        </w:tc>
      </w:tr>
      <w:tr>
        <w:trPr>
          <w:trHeight w:val="267"/>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and between the Registrant and David H. Mack, Ph.D.</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248627</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2020</w:t>
            </w:r>
          </w:p>
        </w:tc>
      </w:tr>
      <w:tr>
        <w:trPr>
          <w:trHeight w:val="33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Employment Offer Letter, dated February 22, 2021, by</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001-</w:t>
            </w:r>
          </w:p>
        </w:tc>
        <w:tc>
          <w:tcPr>
            <w:tcW w:w="86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10.8</w:t>
            </w:r>
          </w:p>
        </w:tc>
        <w:tc>
          <w:tcPr>
            <w:tcW w:w="120" w:type="dxa"/>
            <w:vAlign w:val="bottom"/>
          </w:tcPr>
          <w:p>
            <w:pPr>
              <w:spacing w:after="0"/>
              <w:rPr>
                <w:sz w:val="24"/>
                <w:szCs w:val="24"/>
                <w:color w:val="auto"/>
              </w:rPr>
            </w:pPr>
          </w:p>
        </w:tc>
        <w:tc>
          <w:tcPr>
            <w:tcW w:w="12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rPr>
              <w:t>March 1, 2022</w:t>
            </w:r>
          </w:p>
        </w:tc>
      </w:tr>
      <w:tr>
        <w:trPr>
          <w:trHeight w:val="229"/>
        </w:trPr>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and between the Registrant and Deepika Jalota,</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9"/>
              </w:rPr>
              <w:t>39539</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67"/>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Pharm.D.</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33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Employee Incentive Compensation Plan.</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333-</w:t>
            </w:r>
          </w:p>
        </w:tc>
        <w:tc>
          <w:tcPr>
            <w:tcW w:w="86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10.9</w:t>
            </w:r>
          </w:p>
        </w:tc>
        <w:tc>
          <w:tcPr>
            <w:tcW w:w="120" w:type="dxa"/>
            <w:vAlign w:val="bottom"/>
          </w:tcPr>
          <w:p>
            <w:pPr>
              <w:spacing w:after="0"/>
              <w:rPr>
                <w:sz w:val="24"/>
                <w:szCs w:val="24"/>
                <w:color w:val="auto"/>
              </w:rPr>
            </w:pPr>
          </w:p>
        </w:tc>
        <w:tc>
          <w:tcPr>
            <w:tcW w:w="12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rPr>
              <w:t>September 4,</w:t>
            </w:r>
          </w:p>
        </w:tc>
      </w:tr>
      <w:tr>
        <w:trPr>
          <w:trHeight w:val="267"/>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248627</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2020</w:t>
            </w:r>
          </w:p>
        </w:tc>
      </w:tr>
      <w:tr>
        <w:trPr>
          <w:trHeight w:val="331"/>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Change in Control and Severance Policy.</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333-</w:t>
            </w:r>
          </w:p>
        </w:tc>
        <w:tc>
          <w:tcPr>
            <w:tcW w:w="8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10.10</w:t>
            </w:r>
          </w:p>
        </w:tc>
        <w:tc>
          <w:tcPr>
            <w:tcW w:w="120" w:type="dxa"/>
            <w:vAlign w:val="bottom"/>
          </w:tcPr>
          <w:p>
            <w:pPr>
              <w:spacing w:after="0"/>
              <w:rPr>
                <w:sz w:val="24"/>
                <w:szCs w:val="24"/>
                <w:color w:val="auto"/>
              </w:rPr>
            </w:pPr>
          </w:p>
        </w:tc>
        <w:tc>
          <w:tcPr>
            <w:tcW w:w="12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rPr>
              <w:t>September 4,</w:t>
            </w:r>
          </w:p>
        </w:tc>
      </w:tr>
      <w:tr>
        <w:trPr>
          <w:trHeight w:val="267"/>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248627</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2020</w:t>
            </w:r>
          </w:p>
        </w:tc>
      </w:tr>
      <w:tr>
        <w:trPr>
          <w:trHeight w:val="331"/>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Change in Control and</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333-</w:t>
            </w:r>
          </w:p>
        </w:tc>
        <w:tc>
          <w:tcPr>
            <w:tcW w:w="8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10.11</w:t>
            </w:r>
          </w:p>
        </w:tc>
        <w:tc>
          <w:tcPr>
            <w:tcW w:w="120" w:type="dxa"/>
            <w:vAlign w:val="bottom"/>
          </w:tcPr>
          <w:p>
            <w:pPr>
              <w:spacing w:after="0"/>
              <w:rPr>
                <w:sz w:val="24"/>
                <w:szCs w:val="24"/>
                <w:color w:val="auto"/>
              </w:rPr>
            </w:pPr>
          </w:p>
        </w:tc>
        <w:tc>
          <w:tcPr>
            <w:tcW w:w="12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rPr>
              <w:t>September 4,</w:t>
            </w:r>
          </w:p>
        </w:tc>
      </w:tr>
      <w:tr>
        <w:trPr>
          <w:trHeight w:val="230"/>
        </w:trPr>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Severance Policy Participation Agreement, dated</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248627</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2020</w:t>
            </w:r>
          </w:p>
        </w:tc>
      </w:tr>
      <w:tr>
        <w:trPr>
          <w:trHeight w:val="230"/>
        </w:trPr>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August 17, 2020, by and between the Registrant and</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67"/>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David H. Mack, Ph.D.</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331"/>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Change in Control and</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001-</w:t>
            </w:r>
          </w:p>
        </w:tc>
        <w:tc>
          <w:tcPr>
            <w:tcW w:w="8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10.14</w:t>
            </w:r>
          </w:p>
        </w:tc>
        <w:tc>
          <w:tcPr>
            <w:tcW w:w="120" w:type="dxa"/>
            <w:vAlign w:val="bottom"/>
          </w:tcPr>
          <w:p>
            <w:pPr>
              <w:spacing w:after="0"/>
              <w:rPr>
                <w:sz w:val="24"/>
                <w:szCs w:val="24"/>
                <w:color w:val="auto"/>
              </w:rPr>
            </w:pPr>
          </w:p>
        </w:tc>
        <w:tc>
          <w:tcPr>
            <w:tcW w:w="12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8"/>
              </w:rPr>
              <w:t>May 10, 2022</w:t>
            </w:r>
          </w:p>
        </w:tc>
      </w:tr>
      <w:tr>
        <w:trPr>
          <w:trHeight w:val="230"/>
        </w:trPr>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Severance Policy Participation Agreement, dated</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9"/>
              </w:rPr>
              <w:t>39539</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9"/>
        </w:trPr>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March 23, 2022, by and between the Registrant and</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67"/>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Deepika Jalota, Pharm.D.</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331"/>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Amended Outside Director Compensation Policy.</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001-</w:t>
            </w:r>
          </w:p>
        </w:tc>
        <w:tc>
          <w:tcPr>
            <w:tcW w:w="8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10.15</w:t>
            </w:r>
          </w:p>
        </w:tc>
        <w:tc>
          <w:tcPr>
            <w:tcW w:w="120" w:type="dxa"/>
            <w:vAlign w:val="bottom"/>
          </w:tcPr>
          <w:p>
            <w:pPr>
              <w:spacing w:after="0"/>
              <w:rPr>
                <w:sz w:val="24"/>
                <w:szCs w:val="24"/>
                <w:color w:val="auto"/>
              </w:rPr>
            </w:pPr>
          </w:p>
        </w:tc>
        <w:tc>
          <w:tcPr>
            <w:tcW w:w="12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9"/>
              </w:rPr>
              <w:t>February 29,</w:t>
            </w:r>
          </w:p>
        </w:tc>
      </w:tr>
      <w:tr>
        <w:trPr>
          <w:trHeight w:val="267"/>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9"/>
              </w:rPr>
              <w:t>39539</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2024</w:t>
            </w:r>
          </w:p>
        </w:tc>
      </w:tr>
      <w:tr>
        <w:trPr>
          <w:trHeight w:val="790"/>
        </w:trPr>
        <w:tc>
          <w:tcPr>
            <w:tcW w:w="840" w:type="dxa"/>
            <w:vAlign w:val="bottom"/>
          </w:tcPr>
          <w:p>
            <w:pPr>
              <w:spacing w:after="0"/>
              <w:rPr>
                <w:sz w:val="24"/>
                <w:szCs w:val="24"/>
                <w:color w:val="auto"/>
              </w:rPr>
            </w:pPr>
          </w:p>
        </w:tc>
        <w:tc>
          <w:tcPr>
            <w:tcW w:w="458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color w:val="auto"/>
              </w:rPr>
              <w:t>127</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2240" w:h="15840" w:orient="portrait"/>
          <w:cols w:equalWidth="0" w:num="1">
            <w:col w:w="9360"/>
          </w:cols>
          <w:pgMar w:left="1440" w:top="1416" w:right="1440" w:bottom="139" w:gutter="0" w:footer="0" w:header="0"/>
        </w:sectPr>
      </w:pPr>
    </w:p>
    <w:bookmarkStart w:id="133" w:name="page134"/>
    <w:bookmarkEnd w:id="133"/>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Consulting Agreement, dated January 1, 2016, by and</w:t>
            </w:r>
          </w:p>
        </w:tc>
      </w:tr>
      <w:tr>
        <w:trPr>
          <w:trHeight w:val="267"/>
        </w:trPr>
        <w:tc>
          <w:tcPr>
            <w:tcW w:w="740" w:type="dxa"/>
            <w:vAlign w:val="bottom"/>
          </w:tcPr>
          <w:p>
            <w:pPr>
              <w:spacing w:after="0"/>
              <w:rPr>
                <w:sz w:val="23"/>
                <w:szCs w:val="23"/>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between the Registrant and Arnold Levine, Ph.D.</w:t>
            </w:r>
          </w:p>
        </w:tc>
      </w:tr>
      <w:tr>
        <w:trPr>
          <w:trHeight w:val="332"/>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Consulting Agreement, dated May 21, 2021, by and</w:t>
            </w:r>
          </w:p>
        </w:tc>
      </w:tr>
      <w:tr>
        <w:trPr>
          <w:trHeight w:val="229"/>
        </w:trPr>
        <w:tc>
          <w:tcPr>
            <w:tcW w:w="740" w:type="dxa"/>
            <w:vAlign w:val="bottom"/>
          </w:tcPr>
          <w:p>
            <w:pPr>
              <w:spacing w:after="0"/>
              <w:rPr>
                <w:sz w:val="19"/>
                <w:szCs w:val="19"/>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between the Registrant and Richard Heyman, Ph.D., as</w:t>
            </w:r>
          </w:p>
        </w:tc>
      </w:tr>
      <w:tr>
        <w:trPr>
          <w:trHeight w:val="267"/>
        </w:trPr>
        <w:tc>
          <w:tcPr>
            <w:tcW w:w="740" w:type="dxa"/>
            <w:vAlign w:val="bottom"/>
          </w:tcPr>
          <w:p>
            <w:pPr>
              <w:spacing w:after="0"/>
              <w:rPr>
                <w:sz w:val="23"/>
                <w:szCs w:val="23"/>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amended on July 16, 2021.</w:t>
            </w:r>
          </w:p>
        </w:tc>
      </w:tr>
      <w:tr>
        <w:trPr>
          <w:trHeight w:val="332"/>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Lease Termination Agreement, dated August 5, 2024,</w:t>
            </w:r>
          </w:p>
        </w:tc>
      </w:tr>
      <w:tr>
        <w:trPr>
          <w:trHeight w:val="229"/>
        </w:trPr>
        <w:tc>
          <w:tcPr>
            <w:tcW w:w="740" w:type="dxa"/>
            <w:vAlign w:val="bottom"/>
          </w:tcPr>
          <w:p>
            <w:pPr>
              <w:spacing w:after="0"/>
              <w:rPr>
                <w:sz w:val="19"/>
                <w:szCs w:val="19"/>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by and between BMR-One Research Way LLC and</w:t>
            </w:r>
          </w:p>
        </w:tc>
      </w:tr>
      <w:tr>
        <w:trPr>
          <w:trHeight w:val="267"/>
        </w:trPr>
        <w:tc>
          <w:tcPr>
            <w:tcW w:w="740" w:type="dxa"/>
            <w:vAlign w:val="bottom"/>
          </w:tcPr>
          <w:p>
            <w:pPr>
              <w:spacing w:after="0"/>
              <w:rPr>
                <w:sz w:val="23"/>
                <w:szCs w:val="23"/>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PMV Pharmaceuticals, Inc.</w:t>
            </w:r>
          </w:p>
        </w:tc>
      </w:tr>
      <w:tr>
        <w:trPr>
          <w:trHeight w:val="331"/>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Open Market Sale Agreement, dated as of October 4,</w:t>
            </w:r>
          </w:p>
        </w:tc>
      </w:tr>
      <w:tr>
        <w:trPr>
          <w:trHeight w:val="267"/>
        </w:trPr>
        <w:tc>
          <w:tcPr>
            <w:tcW w:w="740" w:type="dxa"/>
            <w:vAlign w:val="bottom"/>
          </w:tcPr>
          <w:p>
            <w:pPr>
              <w:spacing w:after="0"/>
              <w:rPr>
                <w:sz w:val="23"/>
                <w:szCs w:val="23"/>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2021, between the Registrant and Jefferies LLC.</w:t>
            </w:r>
          </w:p>
        </w:tc>
      </w:tr>
      <w:tr>
        <w:trPr>
          <w:trHeight w:val="332"/>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Amended and Restated Employment Letter, dated</w:t>
            </w:r>
          </w:p>
        </w:tc>
      </w:tr>
      <w:tr>
        <w:trPr>
          <w:trHeight w:val="229"/>
        </w:trPr>
        <w:tc>
          <w:tcPr>
            <w:tcW w:w="740" w:type="dxa"/>
            <w:vAlign w:val="bottom"/>
          </w:tcPr>
          <w:p>
            <w:pPr>
              <w:spacing w:after="0"/>
              <w:rPr>
                <w:sz w:val="19"/>
                <w:szCs w:val="19"/>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January 5, 2024, by and between the Registrant and</w:t>
            </w:r>
          </w:p>
        </w:tc>
      </w:tr>
      <w:tr>
        <w:trPr>
          <w:trHeight w:val="267"/>
        </w:trPr>
        <w:tc>
          <w:tcPr>
            <w:tcW w:w="740" w:type="dxa"/>
            <w:vAlign w:val="bottom"/>
          </w:tcPr>
          <w:p>
            <w:pPr>
              <w:spacing w:after="0"/>
              <w:rPr>
                <w:sz w:val="23"/>
                <w:szCs w:val="23"/>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Michael Carulli.</w:t>
            </w:r>
          </w:p>
        </w:tc>
      </w:tr>
      <w:tr>
        <w:trPr>
          <w:trHeight w:val="332"/>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Consulting Agreement, dated February 13, 2024, by</w:t>
            </w:r>
          </w:p>
        </w:tc>
      </w:tr>
      <w:tr>
        <w:trPr>
          <w:trHeight w:val="229"/>
        </w:trPr>
        <w:tc>
          <w:tcPr>
            <w:tcW w:w="740" w:type="dxa"/>
            <w:vAlign w:val="bottom"/>
          </w:tcPr>
          <w:p>
            <w:pPr>
              <w:spacing w:after="0"/>
              <w:rPr>
                <w:sz w:val="19"/>
                <w:szCs w:val="19"/>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and between the Registrant and Charles Baum, MD.,</w:t>
            </w:r>
          </w:p>
        </w:tc>
      </w:tr>
      <w:tr>
        <w:trPr>
          <w:trHeight w:val="267"/>
        </w:trPr>
        <w:tc>
          <w:tcPr>
            <w:tcW w:w="740" w:type="dxa"/>
            <w:vAlign w:val="bottom"/>
          </w:tcPr>
          <w:p>
            <w:pPr>
              <w:spacing w:after="0"/>
              <w:rPr>
                <w:sz w:val="23"/>
                <w:szCs w:val="23"/>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Ph.D.</w:t>
            </w:r>
          </w:p>
        </w:tc>
      </w:tr>
      <w:tr>
        <w:trPr>
          <w:trHeight w:val="332"/>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10.18+</w:t>
            </w: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Amended and Restated Change in Control and</w:t>
            </w:r>
          </w:p>
        </w:tc>
      </w:tr>
      <w:tr>
        <w:trPr>
          <w:trHeight w:val="229"/>
        </w:trPr>
        <w:tc>
          <w:tcPr>
            <w:tcW w:w="740" w:type="dxa"/>
            <w:vAlign w:val="bottom"/>
          </w:tcPr>
          <w:p>
            <w:pPr>
              <w:spacing w:after="0"/>
              <w:rPr>
                <w:sz w:val="19"/>
                <w:szCs w:val="19"/>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Severance Policy Participation Agreement, dated</w:t>
            </w:r>
          </w:p>
        </w:tc>
      </w:tr>
      <w:tr>
        <w:trPr>
          <w:trHeight w:val="230"/>
        </w:trPr>
        <w:tc>
          <w:tcPr>
            <w:tcW w:w="740" w:type="dxa"/>
            <w:vAlign w:val="bottom"/>
          </w:tcPr>
          <w:p>
            <w:pPr>
              <w:spacing w:after="0"/>
              <w:rPr>
                <w:sz w:val="20"/>
                <w:szCs w:val="20"/>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January 5, 2024, by and between the Registrant and</w:t>
            </w:r>
          </w:p>
        </w:tc>
      </w:tr>
      <w:tr>
        <w:trPr>
          <w:trHeight w:val="267"/>
        </w:trPr>
        <w:tc>
          <w:tcPr>
            <w:tcW w:w="740" w:type="dxa"/>
            <w:vAlign w:val="bottom"/>
          </w:tcPr>
          <w:p>
            <w:pPr>
              <w:spacing w:after="0"/>
              <w:rPr>
                <w:sz w:val="23"/>
                <w:szCs w:val="23"/>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Michael Carulli.</w:t>
            </w:r>
          </w:p>
        </w:tc>
      </w:tr>
      <w:tr>
        <w:trPr>
          <w:trHeight w:val="368"/>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Insider Trading Policy.</w:t>
            </w:r>
          </w:p>
        </w:tc>
      </w:tr>
      <w:tr>
        <w:trPr>
          <w:trHeight w:val="367"/>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List of Subsidiaries.</w:t>
            </w:r>
          </w:p>
        </w:tc>
      </w:tr>
      <w:tr>
        <w:trPr>
          <w:trHeight w:val="562"/>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Consent of Independent Registered Public Accounting</w:t>
            </w:r>
          </w:p>
        </w:tc>
      </w:tr>
      <w:tr>
        <w:trPr>
          <w:trHeight w:val="267"/>
        </w:trPr>
        <w:tc>
          <w:tcPr>
            <w:tcW w:w="740" w:type="dxa"/>
            <w:vAlign w:val="bottom"/>
          </w:tcPr>
          <w:p>
            <w:pPr>
              <w:spacing w:after="0"/>
              <w:rPr>
                <w:sz w:val="23"/>
                <w:szCs w:val="23"/>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Firm.</w:t>
            </w:r>
          </w:p>
        </w:tc>
      </w:tr>
      <w:tr>
        <w:trPr>
          <w:trHeight w:val="331"/>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24.1*</w:t>
            </w: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Power of Attorney (contained in the signature page to</w:t>
            </w:r>
          </w:p>
        </w:tc>
      </w:tr>
      <w:tr>
        <w:trPr>
          <w:trHeight w:val="267"/>
        </w:trPr>
        <w:tc>
          <w:tcPr>
            <w:tcW w:w="740" w:type="dxa"/>
            <w:vAlign w:val="bottom"/>
          </w:tcPr>
          <w:p>
            <w:pPr>
              <w:spacing w:after="0"/>
              <w:rPr>
                <w:sz w:val="23"/>
                <w:szCs w:val="23"/>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this Annual Report on Form 10-K).</w:t>
            </w:r>
          </w:p>
        </w:tc>
      </w:tr>
      <w:tr>
        <w:trPr>
          <w:trHeight w:val="332"/>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9"/>
              </w:rPr>
              <w:t>Certification of Principal Executive Officer Pursuant to</w:t>
            </w:r>
          </w:p>
        </w:tc>
      </w:tr>
      <w:tr>
        <w:trPr>
          <w:trHeight w:val="229"/>
        </w:trPr>
        <w:tc>
          <w:tcPr>
            <w:tcW w:w="740" w:type="dxa"/>
            <w:vAlign w:val="bottom"/>
          </w:tcPr>
          <w:p>
            <w:pPr>
              <w:spacing w:after="0"/>
              <w:rPr>
                <w:sz w:val="19"/>
                <w:szCs w:val="19"/>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Rules 13a-14(a) and 15d-14(a) under the Securities</w:t>
            </w:r>
          </w:p>
        </w:tc>
      </w:tr>
      <w:tr>
        <w:trPr>
          <w:trHeight w:val="230"/>
        </w:trPr>
        <w:tc>
          <w:tcPr>
            <w:tcW w:w="740" w:type="dxa"/>
            <w:vAlign w:val="bottom"/>
          </w:tcPr>
          <w:p>
            <w:pPr>
              <w:spacing w:after="0"/>
              <w:rPr>
                <w:sz w:val="20"/>
                <w:szCs w:val="20"/>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Exchange Act of 1934, as Adopted Pursuant to Section</w:t>
            </w:r>
          </w:p>
        </w:tc>
      </w:tr>
      <w:tr>
        <w:trPr>
          <w:trHeight w:val="267"/>
        </w:trPr>
        <w:tc>
          <w:tcPr>
            <w:tcW w:w="740" w:type="dxa"/>
            <w:vAlign w:val="bottom"/>
          </w:tcPr>
          <w:p>
            <w:pPr>
              <w:spacing w:after="0"/>
              <w:rPr>
                <w:sz w:val="23"/>
                <w:szCs w:val="23"/>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302 of the Sarbanes-Oxley Act of 2002.</w:t>
            </w:r>
          </w:p>
        </w:tc>
      </w:tr>
      <w:tr>
        <w:trPr>
          <w:trHeight w:val="331"/>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w:t>
            </w:r>
          </w:p>
        </w:tc>
      </w:tr>
      <w:tr>
        <w:trPr>
          <w:trHeight w:val="230"/>
        </w:trPr>
        <w:tc>
          <w:tcPr>
            <w:tcW w:w="740" w:type="dxa"/>
            <w:vAlign w:val="bottom"/>
          </w:tcPr>
          <w:p>
            <w:pPr>
              <w:spacing w:after="0"/>
              <w:rPr>
                <w:sz w:val="20"/>
                <w:szCs w:val="20"/>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Rules 13a-14(a) and 15d-14(a) under the Securities</w:t>
            </w:r>
          </w:p>
        </w:tc>
      </w:tr>
      <w:tr>
        <w:trPr>
          <w:trHeight w:val="230"/>
        </w:trPr>
        <w:tc>
          <w:tcPr>
            <w:tcW w:w="740" w:type="dxa"/>
            <w:vAlign w:val="bottom"/>
          </w:tcPr>
          <w:p>
            <w:pPr>
              <w:spacing w:after="0"/>
              <w:rPr>
                <w:sz w:val="20"/>
                <w:szCs w:val="20"/>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Exchange Act of 1934, as Adopted Pursuant to Section</w:t>
            </w:r>
          </w:p>
        </w:tc>
      </w:tr>
      <w:tr>
        <w:trPr>
          <w:trHeight w:val="267"/>
        </w:trPr>
        <w:tc>
          <w:tcPr>
            <w:tcW w:w="740" w:type="dxa"/>
            <w:vAlign w:val="bottom"/>
          </w:tcPr>
          <w:p>
            <w:pPr>
              <w:spacing w:after="0"/>
              <w:rPr>
                <w:sz w:val="23"/>
                <w:szCs w:val="23"/>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302 of the Sarbanes-Oxley Act of 2002.</w:t>
            </w:r>
          </w:p>
        </w:tc>
      </w:tr>
      <w:tr>
        <w:trPr>
          <w:trHeight w:val="331"/>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9"/>
              </w:rPr>
              <w:t>Certification of Principal Executive Officer Pursuant to</w:t>
            </w:r>
          </w:p>
        </w:tc>
      </w:tr>
      <w:tr>
        <w:trPr>
          <w:trHeight w:val="230"/>
        </w:trPr>
        <w:tc>
          <w:tcPr>
            <w:tcW w:w="740" w:type="dxa"/>
            <w:vAlign w:val="bottom"/>
          </w:tcPr>
          <w:p>
            <w:pPr>
              <w:spacing w:after="0"/>
              <w:rPr>
                <w:sz w:val="20"/>
                <w:szCs w:val="20"/>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18 U.S.C. Section 1350, as Adopted Pursuant to</w:t>
            </w:r>
          </w:p>
        </w:tc>
      </w:tr>
      <w:tr>
        <w:trPr>
          <w:trHeight w:val="267"/>
        </w:trPr>
        <w:tc>
          <w:tcPr>
            <w:tcW w:w="740" w:type="dxa"/>
            <w:vAlign w:val="bottom"/>
          </w:tcPr>
          <w:p>
            <w:pPr>
              <w:spacing w:after="0"/>
              <w:rPr>
                <w:sz w:val="23"/>
                <w:szCs w:val="23"/>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Section 906 of the Sarbanes-Oxley Act of 2002.</w:t>
            </w:r>
          </w:p>
        </w:tc>
      </w:tr>
      <w:tr>
        <w:trPr>
          <w:trHeight w:val="331"/>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w:t>
            </w:r>
          </w:p>
        </w:tc>
      </w:tr>
      <w:tr>
        <w:trPr>
          <w:trHeight w:val="230"/>
        </w:trPr>
        <w:tc>
          <w:tcPr>
            <w:tcW w:w="740" w:type="dxa"/>
            <w:vAlign w:val="bottom"/>
          </w:tcPr>
          <w:p>
            <w:pPr>
              <w:spacing w:after="0"/>
              <w:rPr>
                <w:sz w:val="20"/>
                <w:szCs w:val="20"/>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18 U.S.C. Section 1350, as Adopted Pursuant to</w:t>
            </w:r>
          </w:p>
        </w:tc>
      </w:tr>
      <w:tr>
        <w:trPr>
          <w:trHeight w:val="267"/>
        </w:trPr>
        <w:tc>
          <w:tcPr>
            <w:tcW w:w="740" w:type="dxa"/>
            <w:vAlign w:val="bottom"/>
          </w:tcPr>
          <w:p>
            <w:pPr>
              <w:spacing w:after="0"/>
              <w:rPr>
                <w:sz w:val="23"/>
                <w:szCs w:val="23"/>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Section 906 of the Sarbanes-Oxley Act of 2002.</w:t>
            </w:r>
          </w:p>
        </w:tc>
      </w:tr>
      <w:tr>
        <w:trPr>
          <w:trHeight w:val="367"/>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97.1+</w:t>
            </w:r>
          </w:p>
        </w:tc>
        <w:tc>
          <w:tcPr>
            <w:tcW w:w="4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Compensation Recovery Policy.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128</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rPr>
              <w:t>S-1</w:t>
            </w: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333-</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10.16</w:t>
            </w:r>
          </w:p>
        </w:tc>
        <w:tc>
          <w:tcPr>
            <w:tcW w:w="130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September 4,</w:t>
            </w:r>
          </w:p>
        </w:tc>
      </w:tr>
      <w:tr>
        <w:trPr>
          <w:trHeight w:val="267"/>
        </w:trPr>
        <w:tc>
          <w:tcPr>
            <w:tcW w:w="64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248627</w:t>
            </w:r>
          </w:p>
        </w:tc>
        <w:tc>
          <w:tcPr>
            <w:tcW w:w="760" w:type="dxa"/>
            <w:vAlign w:val="bottom"/>
          </w:tcPr>
          <w:p>
            <w:pPr>
              <w:spacing w:after="0"/>
              <w:rPr>
                <w:sz w:val="23"/>
                <w:szCs w:val="23"/>
                <w:color w:val="auto"/>
              </w:rPr>
            </w:pP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9"/>
              </w:rPr>
              <w:t>2020</w:t>
            </w:r>
          </w:p>
        </w:tc>
      </w:tr>
      <w:tr>
        <w:trPr>
          <w:trHeight w:val="332"/>
        </w:trPr>
        <w:tc>
          <w:tcPr>
            <w:tcW w:w="64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w w:val="97"/>
              </w:rPr>
              <w:t>10-K</w:t>
            </w: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001-</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10.17</w:t>
            </w:r>
          </w:p>
        </w:tc>
        <w:tc>
          <w:tcPr>
            <w:tcW w:w="130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March 1, 2022</w:t>
            </w:r>
          </w:p>
        </w:tc>
      </w:tr>
      <w:tr>
        <w:trPr>
          <w:trHeight w:val="267"/>
        </w:trPr>
        <w:tc>
          <w:tcPr>
            <w:tcW w:w="64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39539</w:t>
            </w: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62"/>
        </w:trPr>
        <w:tc>
          <w:tcPr>
            <w:tcW w:w="64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001-</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130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August 8,</w:t>
            </w:r>
          </w:p>
        </w:tc>
      </w:tr>
      <w:tr>
        <w:trPr>
          <w:trHeight w:val="267"/>
        </w:trPr>
        <w:tc>
          <w:tcPr>
            <w:tcW w:w="64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39539</w:t>
            </w:r>
          </w:p>
        </w:tc>
        <w:tc>
          <w:tcPr>
            <w:tcW w:w="760" w:type="dxa"/>
            <w:vAlign w:val="bottom"/>
          </w:tcPr>
          <w:p>
            <w:pPr>
              <w:spacing w:after="0"/>
              <w:rPr>
                <w:sz w:val="23"/>
                <w:szCs w:val="23"/>
                <w:color w:val="auto"/>
              </w:rPr>
            </w:pP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9"/>
              </w:rPr>
              <w:t>2024</w:t>
            </w:r>
          </w:p>
        </w:tc>
      </w:tr>
      <w:tr>
        <w:trPr>
          <w:trHeight w:val="560"/>
        </w:trPr>
        <w:tc>
          <w:tcPr>
            <w:tcW w:w="64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w w:val="78"/>
              </w:rPr>
              <w:t>S -</w:t>
            </w: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333-</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1.2</w:t>
            </w:r>
          </w:p>
        </w:tc>
        <w:tc>
          <w:tcPr>
            <w:tcW w:w="130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October 4,</w:t>
            </w:r>
          </w:p>
        </w:tc>
      </w:tr>
      <w:tr>
        <w:trPr>
          <w:trHeight w:val="267"/>
        </w:trPr>
        <w:tc>
          <w:tcPr>
            <w:tcW w:w="64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w w:val="98"/>
              </w:rPr>
              <w:t>3ASR</w:t>
            </w: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260012</w:t>
            </w:r>
          </w:p>
        </w:tc>
        <w:tc>
          <w:tcPr>
            <w:tcW w:w="760" w:type="dxa"/>
            <w:vAlign w:val="bottom"/>
          </w:tcPr>
          <w:p>
            <w:pPr>
              <w:spacing w:after="0"/>
              <w:rPr>
                <w:sz w:val="23"/>
                <w:szCs w:val="23"/>
                <w:color w:val="auto"/>
              </w:rPr>
            </w:pP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9"/>
              </w:rPr>
              <w:t>2021</w:t>
            </w:r>
          </w:p>
        </w:tc>
      </w:tr>
      <w:tr>
        <w:trPr>
          <w:trHeight w:val="333"/>
        </w:trPr>
        <w:tc>
          <w:tcPr>
            <w:tcW w:w="64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10-K</w:t>
            </w: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001-</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10.22</w:t>
            </w:r>
          </w:p>
        </w:tc>
        <w:tc>
          <w:tcPr>
            <w:tcW w:w="130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w w:val="99"/>
              </w:rPr>
              <w:t>February 29,</w:t>
            </w:r>
          </w:p>
        </w:tc>
      </w:tr>
      <w:tr>
        <w:trPr>
          <w:trHeight w:val="267"/>
        </w:trPr>
        <w:tc>
          <w:tcPr>
            <w:tcW w:w="64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39539</w:t>
            </w:r>
          </w:p>
        </w:tc>
        <w:tc>
          <w:tcPr>
            <w:tcW w:w="760" w:type="dxa"/>
            <w:vAlign w:val="bottom"/>
          </w:tcPr>
          <w:p>
            <w:pPr>
              <w:spacing w:after="0"/>
              <w:rPr>
                <w:sz w:val="23"/>
                <w:szCs w:val="23"/>
                <w:color w:val="auto"/>
              </w:rPr>
            </w:pP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9"/>
              </w:rPr>
              <w:t>2024</w:t>
            </w:r>
          </w:p>
        </w:tc>
      </w:tr>
      <w:tr>
        <w:trPr>
          <w:trHeight w:val="561"/>
        </w:trPr>
        <w:tc>
          <w:tcPr>
            <w:tcW w:w="64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10-K</w:t>
            </w: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001-</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10.23</w:t>
            </w:r>
          </w:p>
        </w:tc>
        <w:tc>
          <w:tcPr>
            <w:tcW w:w="130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w w:val="99"/>
              </w:rPr>
              <w:t>February 29,</w:t>
            </w:r>
          </w:p>
        </w:tc>
      </w:tr>
      <w:tr>
        <w:trPr>
          <w:trHeight w:val="267"/>
        </w:trPr>
        <w:tc>
          <w:tcPr>
            <w:tcW w:w="64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39539</w:t>
            </w:r>
          </w:p>
        </w:tc>
        <w:tc>
          <w:tcPr>
            <w:tcW w:w="760" w:type="dxa"/>
            <w:vAlign w:val="bottom"/>
          </w:tcPr>
          <w:p>
            <w:pPr>
              <w:spacing w:after="0"/>
              <w:rPr>
                <w:sz w:val="23"/>
                <w:szCs w:val="23"/>
                <w:color w:val="auto"/>
              </w:rPr>
            </w:pP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9"/>
              </w:rPr>
              <w:t>2024</w:t>
            </w:r>
          </w:p>
        </w:tc>
      </w:tr>
      <w:tr>
        <w:trPr>
          <w:trHeight w:val="561"/>
        </w:trPr>
        <w:tc>
          <w:tcPr>
            <w:tcW w:w="64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10-K</w:t>
            </w: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001-</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10.24</w:t>
            </w:r>
          </w:p>
        </w:tc>
        <w:tc>
          <w:tcPr>
            <w:tcW w:w="130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w w:val="99"/>
              </w:rPr>
              <w:t>February 29,</w:t>
            </w:r>
          </w:p>
        </w:tc>
      </w:tr>
      <w:tr>
        <w:trPr>
          <w:trHeight w:val="267"/>
        </w:trPr>
        <w:tc>
          <w:tcPr>
            <w:tcW w:w="64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39539</w:t>
            </w:r>
          </w:p>
        </w:tc>
        <w:tc>
          <w:tcPr>
            <w:tcW w:w="760" w:type="dxa"/>
            <w:vAlign w:val="bottom"/>
          </w:tcPr>
          <w:p>
            <w:pPr>
              <w:spacing w:after="0"/>
              <w:rPr>
                <w:sz w:val="23"/>
                <w:szCs w:val="23"/>
                <w:color w:val="auto"/>
              </w:rPr>
            </w:pP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9"/>
              </w:rPr>
              <w:t>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10-K</w:t>
            </w:r>
          </w:p>
        </w:tc>
        <w:tc>
          <w:tcPr>
            <w:tcW w:w="94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001-</w:t>
            </w:r>
          </w:p>
        </w:tc>
        <w:tc>
          <w:tcPr>
            <w:tcW w:w="20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21.1   March 1, 2022</w:t>
            </w:r>
          </w:p>
        </w:tc>
      </w:tr>
      <w:tr>
        <w:trPr>
          <w:trHeight w:val="267"/>
        </w:trPr>
        <w:tc>
          <w:tcPr>
            <w:tcW w:w="62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39539</w:t>
            </w:r>
          </w:p>
        </w:tc>
        <w:tc>
          <w:tcPr>
            <w:tcW w:w="20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10-K</w:t>
            </w:r>
          </w:p>
        </w:tc>
        <w:tc>
          <w:tcPr>
            <w:tcW w:w="94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001-</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97.1</w:t>
            </w:r>
          </w:p>
        </w:tc>
        <w:tc>
          <w:tcPr>
            <w:tcW w:w="120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auto"/>
                <w:w w:val="99"/>
              </w:rPr>
              <w:t>February 29,</w:t>
            </w:r>
          </w:p>
        </w:tc>
      </w:tr>
      <w:tr>
        <w:trPr>
          <w:trHeight w:val="267"/>
        </w:trPr>
        <w:tc>
          <w:tcPr>
            <w:tcW w:w="62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39539</w:t>
            </w:r>
          </w:p>
        </w:tc>
        <w:tc>
          <w:tcPr>
            <w:tcW w:w="780" w:type="dxa"/>
            <w:vAlign w:val="bottom"/>
          </w:tcPr>
          <w:p>
            <w:pPr>
              <w:spacing w:after="0"/>
              <w:rPr>
                <w:sz w:val="23"/>
                <w:szCs w:val="23"/>
                <w:color w:val="auto"/>
              </w:rPr>
            </w:pPr>
          </w:p>
        </w:tc>
        <w:tc>
          <w:tcPr>
            <w:tcW w:w="12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2024</w:t>
            </w:r>
          </w:p>
        </w:tc>
      </w:tr>
    </w:tbl>
    <w:p>
      <w:pPr>
        <w:sectPr>
          <w:pgSz w:w="12240" w:h="15840" w:orient="portrait"/>
          <w:cols w:equalWidth="0" w:num="2">
            <w:col w:w="5360" w:space="240"/>
            <w:col w:w="3760"/>
          </w:cols>
          <w:pgMar w:left="1440" w:top="1440" w:right="1440" w:bottom="175" w:gutter="0" w:footer="0" w:header="0"/>
        </w:sectPr>
      </w:pPr>
    </w:p>
    <w:bookmarkStart w:id="134" w:name="page135"/>
    <w:bookmarkEnd w:id="1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44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Inline XBRL Instance Document-the Instance</w:t>
            </w:r>
          </w:p>
        </w:tc>
      </w:tr>
      <w:tr>
        <w:trPr>
          <w:trHeight w:val="230"/>
        </w:trPr>
        <w:tc>
          <w:tcPr>
            <w:tcW w:w="840" w:type="dxa"/>
            <w:vAlign w:val="bottom"/>
          </w:tcPr>
          <w:p>
            <w:pPr>
              <w:spacing w:after="0"/>
              <w:rPr>
                <w:sz w:val="20"/>
                <w:szCs w:val="20"/>
                <w:color w:val="auto"/>
              </w:rPr>
            </w:pPr>
          </w:p>
        </w:tc>
        <w:tc>
          <w:tcPr>
            <w:tcW w:w="44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Document does not appear in the Interactive Data File</w:t>
            </w:r>
          </w:p>
        </w:tc>
      </w:tr>
      <w:tr>
        <w:trPr>
          <w:trHeight w:val="230"/>
        </w:trPr>
        <w:tc>
          <w:tcPr>
            <w:tcW w:w="840" w:type="dxa"/>
            <w:vAlign w:val="bottom"/>
          </w:tcPr>
          <w:p>
            <w:pPr>
              <w:spacing w:after="0"/>
              <w:rPr>
                <w:sz w:val="20"/>
                <w:szCs w:val="20"/>
                <w:color w:val="auto"/>
              </w:rPr>
            </w:pPr>
          </w:p>
        </w:tc>
        <w:tc>
          <w:tcPr>
            <w:tcW w:w="44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because XBRL tags are embedded within the Inline</w:t>
            </w:r>
          </w:p>
        </w:tc>
      </w:tr>
      <w:tr>
        <w:trPr>
          <w:trHeight w:val="267"/>
        </w:trPr>
        <w:tc>
          <w:tcPr>
            <w:tcW w:w="840" w:type="dxa"/>
            <w:vAlign w:val="bottom"/>
          </w:tcPr>
          <w:p>
            <w:pPr>
              <w:spacing w:after="0"/>
              <w:rPr>
                <w:sz w:val="23"/>
                <w:szCs w:val="23"/>
                <w:color w:val="auto"/>
              </w:rPr>
            </w:pPr>
          </w:p>
        </w:tc>
        <w:tc>
          <w:tcPr>
            <w:tcW w:w="44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XBRL document.</w:t>
            </w:r>
          </w:p>
        </w:tc>
      </w:tr>
      <w:tr>
        <w:trPr>
          <w:trHeight w:val="36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448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Inline XBRL Taxonomy Extension Schema Document</w:t>
            </w:r>
          </w:p>
        </w:tc>
      </w:tr>
    </w:tbl>
    <w:p>
      <w:pPr>
        <w:spacing w:after="0" w:line="102" w:lineRule="exact"/>
        <w:rPr>
          <w:sz w:val="20"/>
          <w:szCs w:val="20"/>
          <w:color w:val="auto"/>
        </w:rPr>
      </w:pPr>
    </w:p>
    <w:p>
      <w:pPr>
        <w:ind w:left="920" w:right="3960" w:hanging="920"/>
        <w:spacing w:after="0" w:line="258" w:lineRule="auto"/>
        <w:tabs>
          <w:tab w:leader="none" w:pos="9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72390</wp:posOffset>
                </wp:positionV>
                <wp:extent cx="952500"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5.7pt" to="73.5pt,5.7pt" o:allowincell="f" strokecolor="#000000" strokeweight="0.72pt"/>
            </w:pict>
          </mc:Fallback>
        </mc:AlternateConten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Filed herewith.</w:t>
      </w:r>
    </w:p>
    <w:p>
      <w:pPr>
        <w:spacing w:after="0" w:line="148" w:lineRule="exact"/>
        <w:rPr>
          <w:sz w:val="20"/>
          <w:szCs w:val="20"/>
          <w:color w:val="auto"/>
        </w:rPr>
      </w:pPr>
    </w:p>
    <w:p>
      <w:pPr>
        <w:ind w:left="200" w:hanging="200"/>
        <w:spacing w:after="0"/>
        <w:tabs>
          <w:tab w:leader="none" w:pos="200" w:val="left"/>
        </w:tabs>
        <w:numPr>
          <w:ilvl w:val="0"/>
          <w:numId w:val="64"/>
        </w:numPr>
        <w:rPr>
          <w:rFonts w:ascii="Times New Roman" w:cs="Times New Roman" w:eastAsia="Times New Roman" w:hAnsi="Times New Roman"/>
          <w:sz w:val="24"/>
          <w:szCs w:val="24"/>
          <w:color w:val="auto"/>
        </w:rPr>
      </w:pPr>
      <w:r>
        <w:rPr>
          <w:rFonts w:ascii="Times New Roman" w:cs="Times New Roman" w:eastAsia="Times New Roman" w:hAnsi="Times New Roman"/>
          <w:sz w:val="20"/>
          <w:szCs w:val="20"/>
          <w:color w:val="auto"/>
        </w:rPr>
        <w:t>Indicated management contract or compensatory plan.</w:t>
      </w:r>
    </w:p>
    <w:p>
      <w:pPr>
        <w:spacing w:after="0" w:line="91" w:lineRule="exact"/>
        <w:rPr>
          <w:sz w:val="20"/>
          <w:szCs w:val="20"/>
          <w:color w:val="auto"/>
        </w:rPr>
      </w:pPr>
    </w:p>
    <w:p>
      <w:pPr>
        <w:jc w:val="both"/>
        <w:ind w:right="320"/>
        <w:spacing w:after="0" w:line="249" w:lineRule="auto"/>
        <w:tabs>
          <w:tab w:leader="none" w:pos="151"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certifications attached as Exhibits 32.1 and 32.2 that accompany this Annual Report on Form 10-K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31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color w:val="auto"/>
        </w:rPr>
        <w:t>Form 10-K Summary</w:t>
      </w:r>
    </w:p>
    <w:p>
      <w:pPr>
        <w:spacing w:after="0" w:line="1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Company has elected not to include summary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129</w:t>
      </w:r>
    </w:p>
    <w:p>
      <w:pPr>
        <w:sectPr>
          <w:pgSz w:w="12240" w:h="15840" w:orient="portrait"/>
          <w:cols w:equalWidth="0" w:num="1">
            <w:col w:w="9360"/>
          </w:cols>
          <w:pgMar w:left="1440" w:top="1419" w:right="1440" w:bottom="175"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3" w:lineRule="exact"/>
        <w:rPr>
          <w:sz w:val="20"/>
          <w:szCs w:val="20"/>
          <w:color w:val="auto"/>
        </w:rPr>
      </w:pPr>
    </w:p>
    <w:p>
      <w:pPr>
        <w:ind w:right="60" w:firstLine="619"/>
        <w:spacing w:after="0" w:line="259"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as amended, the Registrant has duly caused this Annual Report to be signed on its behalf by the undersigned, thereunto duly authorized.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160" w:type="dxa"/>
            <w:vAlign w:val="bottom"/>
          </w:tcPr>
          <w:p>
            <w:pPr>
              <w:spacing w:after="0"/>
              <w:rPr>
                <w:sz w:val="23"/>
                <w:szCs w:val="23"/>
                <w:color w:val="auto"/>
              </w:rPr>
            </w:pPr>
          </w:p>
        </w:tc>
        <w:tc>
          <w:tcPr>
            <w:tcW w:w="6200" w:type="dxa"/>
            <w:vAlign w:val="bottom"/>
            <w:gridSpan w:val="2"/>
          </w:tcPr>
          <w:p>
            <w:pPr>
              <w:ind w:left="1520"/>
              <w:spacing w:after="0"/>
              <w:rPr>
                <w:sz w:val="20"/>
                <w:szCs w:val="20"/>
                <w:color w:val="auto"/>
              </w:rPr>
            </w:pPr>
            <w:r>
              <w:rPr>
                <w:rFonts w:ascii="Times New Roman" w:cs="Times New Roman" w:eastAsia="Times New Roman" w:hAnsi="Times New Roman"/>
                <w:sz w:val="20"/>
                <w:szCs w:val="20"/>
                <w:b w:val="1"/>
                <w:bCs w:val="1"/>
                <w:color w:val="auto"/>
              </w:rPr>
              <w:t>PMV PHARMACEUTICALS, INC.</w:t>
            </w:r>
          </w:p>
        </w:tc>
        <w:tc>
          <w:tcPr>
            <w:tcW w:w="0" w:type="dxa"/>
            <w:vAlign w:val="bottom"/>
          </w:tcPr>
          <w:p>
            <w:pPr>
              <w:spacing w:after="0"/>
              <w:rPr>
                <w:sz w:val="1"/>
                <w:szCs w:val="1"/>
                <w:color w:val="auto"/>
              </w:rPr>
            </w:pPr>
          </w:p>
        </w:tc>
      </w:tr>
      <w:tr>
        <w:trPr>
          <w:trHeight w:val="458"/>
        </w:trPr>
        <w:tc>
          <w:tcPr>
            <w:tcW w:w="3160" w:type="dxa"/>
            <w:vAlign w:val="bottom"/>
          </w:tcPr>
          <w:p>
            <w:pPr>
              <w:spacing w:after="0"/>
              <w:rPr>
                <w:sz w:val="24"/>
                <w:szCs w:val="24"/>
                <w:color w:val="auto"/>
              </w:rPr>
            </w:pPr>
          </w:p>
        </w:tc>
        <w:tc>
          <w:tcPr>
            <w:tcW w:w="6200" w:type="dxa"/>
            <w:vAlign w:val="bottom"/>
            <w:gridSpan w:val="2"/>
          </w:tcPr>
          <w:p>
            <w:pPr>
              <w:ind w:left="1520"/>
              <w:spacing w:after="0"/>
              <w:rPr>
                <w:sz w:val="20"/>
                <w:szCs w:val="20"/>
                <w:color w:val="auto"/>
              </w:rPr>
            </w:pPr>
            <w:r>
              <w:rPr>
                <w:rFonts w:ascii="Times New Roman" w:cs="Times New Roman" w:eastAsia="Times New Roman" w:hAnsi="Times New Roman"/>
                <w:sz w:val="20"/>
                <w:szCs w:val="20"/>
                <w:color w:val="auto"/>
              </w:rPr>
              <w:t>By:  /s/ David H. Mack</w:t>
            </w:r>
          </w:p>
        </w:tc>
        <w:tc>
          <w:tcPr>
            <w:tcW w:w="0" w:type="dxa"/>
            <w:vAlign w:val="bottom"/>
          </w:tcPr>
          <w:p>
            <w:pPr>
              <w:spacing w:after="0"/>
              <w:rPr>
                <w:sz w:val="1"/>
                <w:szCs w:val="1"/>
                <w:color w:val="auto"/>
              </w:rPr>
            </w:pPr>
          </w:p>
        </w:tc>
      </w:tr>
      <w:tr>
        <w:trPr>
          <w:trHeight w:val="224"/>
        </w:trPr>
        <w:tc>
          <w:tcPr>
            <w:tcW w:w="31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Date: March 3, 2025</w:t>
            </w:r>
          </w:p>
        </w:tc>
        <w:tc>
          <w:tcPr>
            <w:tcW w:w="1980" w:type="dxa"/>
            <w:vAlign w:val="bottom"/>
          </w:tcPr>
          <w:p>
            <w:pPr>
              <w:spacing w:after="0"/>
              <w:rPr>
                <w:sz w:val="19"/>
                <w:szCs w:val="19"/>
                <w:color w:val="auto"/>
              </w:rPr>
            </w:pPr>
          </w:p>
        </w:tc>
        <w:tc>
          <w:tcPr>
            <w:tcW w:w="4220" w:type="dxa"/>
            <w:vAlign w:val="bottom"/>
            <w:tcBorders>
              <w:top w:val="single" w:sz="8" w:color="auto"/>
            </w:tcBorders>
          </w:tcPr>
          <w:p>
            <w:pPr>
              <w:spacing w:after="0" w:line="224" w:lineRule="exact"/>
              <w:rPr>
                <w:sz w:val="20"/>
                <w:szCs w:val="20"/>
                <w:color w:val="auto"/>
              </w:rPr>
            </w:pPr>
            <w:r>
              <w:rPr>
                <w:rFonts w:ascii="Times New Roman" w:cs="Times New Roman" w:eastAsia="Times New Roman" w:hAnsi="Times New Roman"/>
                <w:sz w:val="20"/>
                <w:szCs w:val="20"/>
                <w:color w:val="auto"/>
              </w:rPr>
              <w:t>David H. Mack, Ph.D.</w:t>
            </w:r>
          </w:p>
        </w:tc>
        <w:tc>
          <w:tcPr>
            <w:tcW w:w="0" w:type="dxa"/>
            <w:vAlign w:val="bottom"/>
          </w:tcPr>
          <w:p>
            <w:pPr>
              <w:spacing w:after="0"/>
              <w:rPr>
                <w:sz w:val="1"/>
                <w:szCs w:val="1"/>
                <w:color w:val="auto"/>
              </w:rPr>
            </w:pPr>
          </w:p>
        </w:tc>
      </w:tr>
      <w:tr>
        <w:trPr>
          <w:trHeight w:val="265"/>
        </w:trPr>
        <w:tc>
          <w:tcPr>
            <w:tcW w:w="3160" w:type="dxa"/>
            <w:vAlign w:val="bottom"/>
            <w:vMerge w:val="continue"/>
          </w:tcPr>
          <w:p>
            <w:pPr>
              <w:spacing w:after="0"/>
              <w:rPr>
                <w:sz w:val="23"/>
                <w:szCs w:val="23"/>
                <w:color w:val="auto"/>
              </w:rPr>
            </w:pPr>
          </w:p>
        </w:tc>
        <w:tc>
          <w:tcPr>
            <w:tcW w:w="6200" w:type="dxa"/>
            <w:vAlign w:val="bottom"/>
            <w:gridSpan w:val="2"/>
          </w:tcPr>
          <w:p>
            <w:pPr>
              <w:ind w:left="1980"/>
              <w:spacing w:after="0"/>
              <w:rPr>
                <w:sz w:val="20"/>
                <w:szCs w:val="20"/>
                <w:color w:val="auto"/>
              </w:rPr>
            </w:pPr>
            <w:r>
              <w:rPr>
                <w:rFonts w:ascii="Times New Roman" w:cs="Times New Roman" w:eastAsia="Times New Roman" w:hAnsi="Times New Roman"/>
                <w:sz w:val="20"/>
                <w:szCs w:val="20"/>
                <w:i w:val="1"/>
                <w:iCs w:val="1"/>
                <w:color w:val="auto"/>
              </w:rPr>
              <w:t>President and Chief Executive Officer</w:t>
            </w:r>
          </w:p>
        </w:tc>
        <w:tc>
          <w:tcPr>
            <w:tcW w:w="0" w:type="dxa"/>
            <w:vAlign w:val="bottom"/>
          </w:tcPr>
          <w:p>
            <w:pPr>
              <w:spacing w:after="0"/>
              <w:rPr>
                <w:sz w:val="1"/>
                <w:szCs w:val="1"/>
                <w:color w:val="auto"/>
              </w:rPr>
            </w:pPr>
          </w:p>
        </w:tc>
      </w:tr>
    </w:tbl>
    <w:p>
      <w:pPr>
        <w:spacing w:after="0" w:line="35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44"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0"/>
          <w:szCs w:val="20"/>
          <w:color w:val="auto"/>
        </w:rPr>
        <w:t>KNOW ALL PERSONS BY THESE PRESENTS, that each person whose signature appears below constitutes and appoints David H. Mack, Ph.D. and Michael Carulli, jointly and each one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that all said attorneys-in-fact and agents, or his or her substitute or substitutes, may lawfully do or cause to be done by virtue hereof.</w:t>
      </w:r>
    </w:p>
    <w:p>
      <w:pPr>
        <w:spacing w:after="0" w:line="237" w:lineRule="exact"/>
        <w:rPr>
          <w:sz w:val="20"/>
          <w:szCs w:val="20"/>
          <w:color w:val="auto"/>
        </w:rPr>
      </w:pPr>
    </w:p>
    <w:p>
      <w:pPr>
        <w:ind w:right="120" w:firstLine="619"/>
        <w:spacing w:after="0" w:line="25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00" w:type="dxa"/>
            <w:vAlign w:val="bottom"/>
          </w:tcPr>
          <w:p>
            <w:pPr>
              <w:spacing w:after="0"/>
              <w:rPr>
                <w:sz w:val="17"/>
                <w:szCs w:val="17"/>
                <w:color w:val="auto"/>
              </w:rPr>
            </w:pPr>
          </w:p>
        </w:tc>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100" w:type="dxa"/>
            <w:vAlign w:val="bottom"/>
          </w:tcPr>
          <w:p>
            <w:pPr>
              <w:spacing w:after="0"/>
              <w:rPr>
                <w:sz w:val="17"/>
                <w:szCs w:val="17"/>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36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David H. Mack</w:t>
            </w:r>
          </w:p>
        </w:tc>
        <w:tc>
          <w:tcPr>
            <w:tcW w:w="10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President, Chief Executive Officer and</w:t>
            </w:r>
          </w:p>
        </w:tc>
        <w:tc>
          <w:tcPr>
            <w:tcW w:w="10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3, 2025</w:t>
            </w:r>
          </w:p>
        </w:tc>
      </w:tr>
      <w:tr>
        <w:trPr>
          <w:trHeight w:val="190"/>
        </w:trPr>
        <w:tc>
          <w:tcPr>
            <w:tcW w:w="2720" w:type="dxa"/>
            <w:vAlign w:val="bottom"/>
          </w:tcPr>
          <w:p>
            <w:pPr>
              <w:jc w:val="center"/>
              <w:spacing w:after="0" w:line="190" w:lineRule="exact"/>
              <w:rPr>
                <w:sz w:val="20"/>
                <w:szCs w:val="20"/>
                <w:color w:val="auto"/>
              </w:rPr>
            </w:pPr>
            <w:r>
              <w:rPr>
                <w:rFonts w:ascii="Times New Roman" w:cs="Times New Roman" w:eastAsia="Times New Roman" w:hAnsi="Times New Roman"/>
                <w:sz w:val="20"/>
                <w:szCs w:val="20"/>
                <w:color w:val="auto"/>
              </w:rPr>
              <w:t>David H. Mack, Ph.D.</w:t>
            </w:r>
          </w:p>
        </w:tc>
        <w:tc>
          <w:tcPr>
            <w:tcW w:w="100" w:type="dxa"/>
            <w:vAlign w:val="bottom"/>
          </w:tcPr>
          <w:p>
            <w:pPr>
              <w:spacing w:after="0"/>
              <w:rPr>
                <w:sz w:val="16"/>
                <w:szCs w:val="16"/>
                <w:color w:val="auto"/>
              </w:rPr>
            </w:pPr>
          </w:p>
        </w:tc>
        <w:tc>
          <w:tcPr>
            <w:tcW w:w="3720" w:type="dxa"/>
            <w:vAlign w:val="bottom"/>
          </w:tcPr>
          <w:p>
            <w:pPr>
              <w:jc w:val="center"/>
              <w:spacing w:after="0" w:line="190" w:lineRule="exact"/>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Pr>
          <w:p>
            <w:pPr>
              <w:spacing w:after="0"/>
              <w:rPr>
                <w:sz w:val="16"/>
                <w:szCs w:val="16"/>
                <w:color w:val="auto"/>
              </w:rPr>
            </w:pPr>
          </w:p>
        </w:tc>
        <w:tc>
          <w:tcPr>
            <w:tcW w:w="2720" w:type="dxa"/>
            <w:vAlign w:val="bottom"/>
          </w:tcPr>
          <w:p>
            <w:pPr>
              <w:spacing w:after="0"/>
              <w:rPr>
                <w:sz w:val="16"/>
                <w:szCs w:val="16"/>
                <w:color w:val="auto"/>
              </w:rPr>
            </w:pPr>
          </w:p>
        </w:tc>
      </w:tr>
      <w:tr>
        <w:trPr>
          <w:trHeight w:val="267"/>
        </w:trPr>
        <w:tc>
          <w:tcPr>
            <w:tcW w:w="2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(Principal Executive Officer)</w:t>
            </w:r>
          </w:p>
        </w:tc>
        <w:tc>
          <w:tcPr>
            <w:tcW w:w="100" w:type="dxa"/>
            <w:vAlign w:val="bottom"/>
          </w:tcPr>
          <w:p>
            <w:pPr>
              <w:spacing w:after="0"/>
              <w:rPr>
                <w:sz w:val="23"/>
                <w:szCs w:val="23"/>
                <w:color w:val="auto"/>
              </w:rPr>
            </w:pPr>
          </w:p>
        </w:tc>
        <w:tc>
          <w:tcPr>
            <w:tcW w:w="2720" w:type="dxa"/>
            <w:vAlign w:val="bottom"/>
          </w:tcPr>
          <w:p>
            <w:pPr>
              <w:spacing w:after="0"/>
              <w:rPr>
                <w:sz w:val="23"/>
                <w:szCs w:val="23"/>
                <w:color w:val="auto"/>
              </w:rPr>
            </w:pPr>
          </w:p>
        </w:tc>
      </w:tr>
      <w:tr>
        <w:trPr>
          <w:trHeight w:val="371"/>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Michael Carulli</w:t>
            </w:r>
          </w:p>
        </w:tc>
        <w:tc>
          <w:tcPr>
            <w:tcW w:w="10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Chief Financial Officer</w:t>
            </w:r>
          </w:p>
        </w:tc>
        <w:tc>
          <w:tcPr>
            <w:tcW w:w="10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3, 2025</w:t>
            </w:r>
          </w:p>
        </w:tc>
      </w:tr>
      <w:tr>
        <w:trPr>
          <w:trHeight w:val="261"/>
        </w:trPr>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Michael Carulli</w:t>
            </w:r>
          </w:p>
        </w:tc>
        <w:tc>
          <w:tcPr>
            <w:tcW w:w="100" w:type="dxa"/>
            <w:vAlign w:val="bottom"/>
          </w:tcPr>
          <w:p>
            <w:pPr>
              <w:spacing w:after="0"/>
              <w:rPr>
                <w:sz w:val="22"/>
                <w:szCs w:val="22"/>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c>
          <w:tcPr>
            <w:tcW w:w="10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353"/>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Richard Heyman</w:t>
            </w:r>
          </w:p>
        </w:tc>
        <w:tc>
          <w:tcPr>
            <w:tcW w:w="10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 and Chairman of the Board of</w:t>
            </w:r>
          </w:p>
        </w:tc>
        <w:tc>
          <w:tcPr>
            <w:tcW w:w="10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3, 2025</w:t>
            </w:r>
          </w:p>
        </w:tc>
      </w:tr>
      <w:tr>
        <w:trPr>
          <w:trHeight w:val="261"/>
        </w:trPr>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Richard Heyman, Ph.D.</w:t>
            </w:r>
          </w:p>
        </w:tc>
        <w:tc>
          <w:tcPr>
            <w:tcW w:w="100" w:type="dxa"/>
            <w:vAlign w:val="bottom"/>
          </w:tcPr>
          <w:p>
            <w:pPr>
              <w:spacing w:after="0"/>
              <w:rPr>
                <w:sz w:val="22"/>
                <w:szCs w:val="22"/>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Directors</w:t>
            </w:r>
          </w:p>
        </w:tc>
        <w:tc>
          <w:tcPr>
            <w:tcW w:w="10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351"/>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Arnold Levine</w:t>
            </w:r>
          </w:p>
        </w:tc>
        <w:tc>
          <w:tcPr>
            <w:tcW w:w="10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3, 2025</w:t>
            </w:r>
          </w:p>
        </w:tc>
      </w:tr>
      <w:tr>
        <w:trPr>
          <w:trHeight w:val="261"/>
        </w:trPr>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Arnold Levine, Ph.D.</w:t>
            </w:r>
          </w:p>
        </w:tc>
        <w:tc>
          <w:tcPr>
            <w:tcW w:w="1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353"/>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Carol Gallagher</w:t>
            </w:r>
          </w:p>
        </w:tc>
        <w:tc>
          <w:tcPr>
            <w:tcW w:w="10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3, 2025</w:t>
            </w:r>
          </w:p>
        </w:tc>
      </w:tr>
      <w:tr>
        <w:trPr>
          <w:trHeight w:val="261"/>
        </w:trPr>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Carol Gallagher, Ph.D.</w:t>
            </w:r>
          </w:p>
        </w:tc>
        <w:tc>
          <w:tcPr>
            <w:tcW w:w="1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351"/>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Laurie Stelzer</w:t>
            </w:r>
          </w:p>
        </w:tc>
        <w:tc>
          <w:tcPr>
            <w:tcW w:w="10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3, 2025</w:t>
            </w:r>
          </w:p>
        </w:tc>
      </w:tr>
      <w:tr>
        <w:trPr>
          <w:trHeight w:val="261"/>
        </w:trPr>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Laurie Stelzer</w:t>
            </w:r>
          </w:p>
        </w:tc>
        <w:tc>
          <w:tcPr>
            <w:tcW w:w="1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353"/>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Charles M. Baum</w:t>
            </w:r>
          </w:p>
        </w:tc>
        <w:tc>
          <w:tcPr>
            <w:tcW w:w="10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3, 2025</w:t>
            </w:r>
          </w:p>
        </w:tc>
      </w:tr>
      <w:tr>
        <w:trPr>
          <w:trHeight w:val="261"/>
        </w:trPr>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Charles M. Baum, MD., Ph.D.</w:t>
            </w:r>
          </w:p>
        </w:tc>
        <w:tc>
          <w:tcPr>
            <w:tcW w:w="1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444"/>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Kirsten Flowers</w:t>
            </w:r>
          </w:p>
        </w:tc>
        <w:tc>
          <w:tcPr>
            <w:tcW w:w="10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3, 2025</w:t>
            </w:r>
          </w:p>
        </w:tc>
      </w:tr>
      <w:tr>
        <w:trPr>
          <w:trHeight w:val="261"/>
        </w:trPr>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Kirsten Flowers</w:t>
            </w:r>
          </w:p>
        </w:tc>
        <w:tc>
          <w:tcPr>
            <w:tcW w:w="1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72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130</w:t>
      </w:r>
    </w:p>
    <w:p>
      <w:pPr>
        <w:sectPr>
          <w:pgSz w:w="12240" w:h="15840" w:orient="portrait"/>
          <w:cols w:equalWidth="0" w:num="1">
            <w:col w:w="9360"/>
          </w:cols>
          <w:pgMar w:left="1440" w:top="1416" w:right="1440" w:bottom="175" w:gutter="0" w:footer="0" w:header="0"/>
        </w:sectPr>
      </w:pPr>
    </w:p>
    <w:bookmarkStart w:id="136" w:name="page137"/>
    <w:bookmarkEnd w:id="1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137" w:name="page138"/>
    <w:bookmarkEnd w:id="1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138" w:name="page139"/>
    <w:bookmarkEnd w:id="138"/>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139" w:name="page140"/>
    <w:bookmarkEnd w:id="139"/>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200001F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4516DDE9"/>
    <w:multiLevelType w:val="hybridMultilevel"/>
    <w:lvl w:ilvl="0">
      <w:lvlJc w:val="left"/>
      <w:lvlText w:val="ց"/>
      <w:numFmt w:val="bullet"/>
      <w:start w:val="1"/>
    </w:lvl>
  </w:abstractNum>
  <w:abstractNum w:abstractNumId="1">
    <w:nsid w:val="3006C83E"/>
    <w:multiLevelType w:val="hybridMultilevel"/>
    <w:lvl w:ilvl="0">
      <w:lvlJc w:val="left"/>
      <w:lvlText w:val="տ"/>
      <w:numFmt w:val="bullet"/>
      <w:start w:val="1"/>
    </w:lvl>
  </w:abstractNum>
  <w:abstractNum w:abstractNumId="2">
    <w:nsid w:val="614FD4A1"/>
    <w:multiLevelType w:val="hybridMultilevel"/>
    <w:lvl w:ilvl="0">
      <w:lvlJc w:val="left"/>
      <w:lvlText w:val="x"/>
      <w:numFmt w:val="bullet"/>
      <w:start w:val="1"/>
    </w:lvl>
  </w:abstractNum>
  <w:abstractNum w:abstractNumId="3">
    <w:nsid w:val="419AC241"/>
    <w:multiLevelType w:val="hybridMultilevel"/>
    <w:lvl w:ilvl="0">
      <w:lvlJc w:val="left"/>
      <w:lvlText w:val="x"/>
      <w:numFmt w:val="bullet"/>
      <w:start w:val="1"/>
    </w:lvl>
  </w:abstractNum>
  <w:abstractNum w:abstractNumId="4">
    <w:nsid w:val="5577F8E1"/>
    <w:multiLevelType w:val="hybridMultilevel"/>
    <w:lvl w:ilvl="0">
      <w:lvlJc w:val="left"/>
      <w:lvlText w:val="(%1)"/>
      <w:numFmt w:val="decimal"/>
      <w:start w:val="1"/>
    </w:lvl>
  </w:abstractNum>
  <w:abstractNum w:abstractNumId="5">
    <w:nsid w:val="440BADFC"/>
    <w:multiLevelType w:val="hybridMultilevel"/>
    <w:lvl w:ilvl="0">
      <w:lvlJc w:val="left"/>
      <w:lvlText w:val="x"/>
      <w:numFmt w:val="bullet"/>
      <w:start w:val="1"/>
    </w:lvl>
  </w:abstractNum>
  <w:abstractNum w:abstractNumId="6">
    <w:nsid w:val="5072367"/>
    <w:multiLevelType w:val="hybridMultilevel"/>
    <w:lvl w:ilvl="0">
      <w:lvlJc w:val="left"/>
      <w:lvlText w:val="(%1)"/>
      <w:numFmt w:val="decimal"/>
      <w:start w:val="1"/>
    </w:lvl>
  </w:abstractNum>
  <w:abstractNum w:abstractNumId="7">
    <w:nsid w:val="3804823E"/>
    <w:multiLevelType w:val="hybridMultilevel"/>
    <w:lvl w:ilvl="0">
      <w:lvlJc w:val="left"/>
      <w:lvlText w:val="x"/>
      <w:numFmt w:val="bullet"/>
      <w:start w:val="1"/>
    </w:lvl>
  </w:abstractNum>
  <w:abstractNum w:abstractNumId="8">
    <w:nsid w:val="77465F01"/>
    <w:multiLevelType w:val="hybridMultilevel"/>
    <w:lvl w:ilvl="0">
      <w:lvlJc w:val="left"/>
      <w:lvlText w:val="x"/>
      <w:numFmt w:val="bullet"/>
      <w:start w:val="1"/>
    </w:lvl>
  </w:abstractNum>
  <w:abstractNum w:abstractNumId="9">
    <w:nsid w:val="7724C67E"/>
    <w:multiLevelType w:val="hybridMultilevel"/>
    <w:lvl w:ilvl="0">
      <w:lvlJc w:val="left"/>
      <w:lvlText w:val="x"/>
      <w:numFmt w:val="bullet"/>
      <w:start w:val="1"/>
    </w:lvl>
  </w:abstractNum>
  <w:abstractNum w:abstractNumId="10">
    <w:nsid w:val="5C482A97"/>
    <w:multiLevelType w:val="hybridMultilevel"/>
    <w:lvl w:ilvl="0">
      <w:lvlJc w:val="left"/>
      <w:lvlText w:val="x"/>
      <w:numFmt w:val="bullet"/>
      <w:start w:val="1"/>
    </w:lvl>
  </w:abstractNum>
  <w:abstractNum w:abstractNumId="11">
    <w:nsid w:val="2463B9EA"/>
    <w:multiLevelType w:val="hybridMultilevel"/>
    <w:lvl w:ilvl="0">
      <w:lvlJc w:val="left"/>
      <w:lvlText w:val="x"/>
      <w:numFmt w:val="bullet"/>
      <w:start w:val="1"/>
    </w:lvl>
  </w:abstractNum>
  <w:abstractNum w:abstractNumId="12">
    <w:nsid w:val="5E884ADC"/>
    <w:multiLevelType w:val="hybridMultilevel"/>
    <w:lvl w:ilvl="0">
      <w:lvlJc w:val="left"/>
      <w:lvlText w:val="x"/>
      <w:numFmt w:val="bullet"/>
      <w:start w:val="1"/>
    </w:lvl>
  </w:abstractNum>
  <w:abstractNum w:abstractNumId="13">
    <w:nsid w:val="51EAD36B"/>
    <w:multiLevelType w:val="hybridMultilevel"/>
    <w:lvl w:ilvl="0">
      <w:lvlJc w:val="left"/>
      <w:lvlText w:val="x"/>
      <w:numFmt w:val="bullet"/>
      <w:start w:val="1"/>
    </w:lvl>
  </w:abstractNum>
  <w:abstractNum w:abstractNumId="14">
    <w:nsid w:val="2D517796"/>
    <w:multiLevelType w:val="hybridMultilevel"/>
    <w:lvl w:ilvl="0">
      <w:lvlJc w:val="left"/>
      <w:lvlText w:val="x"/>
      <w:numFmt w:val="bullet"/>
      <w:start w:val="1"/>
    </w:lvl>
  </w:abstractNum>
  <w:abstractNum w:abstractNumId="15">
    <w:nsid w:val="580BD78F"/>
    <w:multiLevelType w:val="hybridMultilevel"/>
    <w:lvl w:ilvl="0">
      <w:lvlJc w:val="left"/>
      <w:lvlText w:val="x"/>
      <w:numFmt w:val="bullet"/>
      <w:start w:val="1"/>
    </w:lvl>
  </w:abstractNum>
  <w:abstractNum w:abstractNumId="16">
    <w:nsid w:val="153EA438"/>
    <w:multiLevelType w:val="hybridMultilevel"/>
    <w:lvl w:ilvl="0">
      <w:lvlJc w:val="left"/>
      <w:lvlText w:val="x"/>
      <w:numFmt w:val="bullet"/>
      <w:start w:val="1"/>
    </w:lvl>
  </w:abstractNum>
  <w:abstractNum w:abstractNumId="17">
    <w:nsid w:val="3855585C"/>
    <w:multiLevelType w:val="hybridMultilevel"/>
    <w:lvl w:ilvl="0">
      <w:lvlJc w:val="left"/>
      <w:lvlText w:val="x"/>
      <w:numFmt w:val="bullet"/>
      <w:start w:val="1"/>
    </w:lvl>
  </w:abstractNum>
  <w:abstractNum w:abstractNumId="18">
    <w:nsid w:val="70A64E2A"/>
    <w:multiLevelType w:val="hybridMultilevel"/>
    <w:lvl w:ilvl="0">
      <w:lvlJc w:val="left"/>
      <w:lvlText w:val="x"/>
      <w:numFmt w:val="bullet"/>
      <w:start w:val="1"/>
    </w:lvl>
  </w:abstractNum>
  <w:abstractNum w:abstractNumId="19">
    <w:nsid w:val="6A2342EC"/>
    <w:multiLevelType w:val="hybridMultilevel"/>
    <w:lvl w:ilvl="0">
      <w:lvlJc w:val="left"/>
      <w:lvlText w:val="x"/>
      <w:numFmt w:val="bullet"/>
      <w:start w:val="1"/>
    </w:lvl>
  </w:abstractNum>
  <w:abstractNum w:abstractNumId="20">
    <w:nsid w:val="2A487CB0"/>
    <w:multiLevelType w:val="hybridMultilevel"/>
    <w:lvl w:ilvl="0">
      <w:lvlJc w:val="left"/>
      <w:lvlText w:val="x"/>
      <w:numFmt w:val="bullet"/>
      <w:start w:val="1"/>
    </w:lvl>
  </w:abstractNum>
  <w:abstractNum w:abstractNumId="21">
    <w:nsid w:val="1D4ED43B"/>
    <w:multiLevelType w:val="hybridMultilevel"/>
    <w:lvl w:ilvl="0">
      <w:lvlJc w:val="left"/>
      <w:lvlText w:val="x"/>
      <w:numFmt w:val="bullet"/>
      <w:start w:val="1"/>
    </w:lvl>
  </w:abstractNum>
  <w:abstractNum w:abstractNumId="22">
    <w:nsid w:val="725A06FB"/>
    <w:multiLevelType w:val="hybridMultilevel"/>
    <w:lvl w:ilvl="0">
      <w:lvlJc w:val="left"/>
      <w:lvlText w:val="x"/>
      <w:numFmt w:val="bullet"/>
      <w:start w:val="1"/>
    </w:lvl>
  </w:abstractNum>
  <w:abstractNum w:abstractNumId="23">
    <w:nsid w:val="2CD89A32"/>
    <w:multiLevelType w:val="hybridMultilevel"/>
    <w:lvl w:ilvl="0">
      <w:lvlJc w:val="left"/>
      <w:lvlText w:val="x"/>
      <w:numFmt w:val="bullet"/>
      <w:start w:val="1"/>
    </w:lvl>
  </w:abstractNum>
  <w:abstractNum w:abstractNumId="24">
    <w:nsid w:val="57E4CCAF"/>
    <w:multiLevelType w:val="hybridMultilevel"/>
    <w:lvl w:ilvl="0">
      <w:lvlJc w:val="left"/>
      <w:lvlText w:val="x"/>
      <w:numFmt w:val="bullet"/>
      <w:start w:val="1"/>
    </w:lvl>
  </w:abstractNum>
  <w:abstractNum w:abstractNumId="25">
    <w:nsid w:val="7A6D8D3C"/>
    <w:multiLevelType w:val="hybridMultilevel"/>
    <w:lvl w:ilvl="0">
      <w:lvlJc w:val="left"/>
      <w:lvlText w:val="x"/>
      <w:numFmt w:val="bullet"/>
      <w:start w:val="1"/>
    </w:lvl>
  </w:abstractNum>
  <w:abstractNum w:abstractNumId="26">
    <w:nsid w:val="4B588F54"/>
    <w:multiLevelType w:val="hybridMultilevel"/>
    <w:lvl w:ilvl="0">
      <w:lvlJc w:val="left"/>
      <w:lvlText w:val="x"/>
      <w:numFmt w:val="bullet"/>
      <w:start w:val="1"/>
    </w:lvl>
  </w:abstractNum>
  <w:abstractNum w:abstractNumId="27">
    <w:nsid w:val="542289EC"/>
    <w:multiLevelType w:val="hybridMultilevel"/>
    <w:lvl w:ilvl="0">
      <w:lvlJc w:val="left"/>
      <w:lvlText w:val="x"/>
      <w:numFmt w:val="bullet"/>
      <w:start w:val="1"/>
    </w:lvl>
  </w:abstractNum>
  <w:abstractNum w:abstractNumId="28">
    <w:nsid w:val="6DE91B18"/>
    <w:multiLevelType w:val="hybridMultilevel"/>
    <w:lvl w:ilvl="0">
      <w:lvlJc w:val="left"/>
      <w:lvlText w:val="x"/>
      <w:numFmt w:val="bullet"/>
      <w:start w:val="1"/>
    </w:lvl>
  </w:abstractNum>
  <w:abstractNum w:abstractNumId="29">
    <w:nsid w:val="38437FDB"/>
    <w:multiLevelType w:val="hybridMultilevel"/>
    <w:lvl w:ilvl="0">
      <w:lvlJc w:val="left"/>
      <w:lvlText w:val="x"/>
      <w:numFmt w:val="bullet"/>
      <w:start w:val="1"/>
    </w:lvl>
  </w:abstractNum>
  <w:abstractNum w:abstractNumId="30">
    <w:nsid w:val="7644A45C"/>
    <w:multiLevelType w:val="hybridMultilevel"/>
    <w:lvl w:ilvl="0">
      <w:lvlJc w:val="left"/>
      <w:lvlText w:val="x"/>
      <w:numFmt w:val="bullet"/>
      <w:start w:val="1"/>
    </w:lvl>
  </w:abstractNum>
  <w:abstractNum w:abstractNumId="31">
    <w:nsid w:val="32FFF902"/>
    <w:multiLevelType w:val="hybridMultilevel"/>
    <w:lvl w:ilvl="0">
      <w:lvlJc w:val="left"/>
      <w:lvlText w:val="x"/>
      <w:numFmt w:val="bullet"/>
      <w:start w:val="1"/>
    </w:lvl>
  </w:abstractNum>
  <w:abstractNum w:abstractNumId="32">
    <w:nsid w:val="684A481A"/>
    <w:multiLevelType w:val="hybridMultilevel"/>
    <w:lvl w:ilvl="0">
      <w:lvlJc w:val="left"/>
      <w:lvlText w:val="x"/>
      <w:numFmt w:val="bullet"/>
      <w:start w:val="1"/>
    </w:lvl>
  </w:abstractNum>
  <w:abstractNum w:abstractNumId="33">
    <w:nsid w:val="579478FE"/>
    <w:multiLevelType w:val="hybridMultilevel"/>
    <w:lvl w:ilvl="0">
      <w:lvlJc w:val="left"/>
      <w:lvlText w:val="x"/>
      <w:numFmt w:val="bullet"/>
      <w:start w:val="1"/>
    </w:lvl>
  </w:abstractNum>
  <w:abstractNum w:abstractNumId="34">
    <w:nsid w:val="749ABB43"/>
    <w:multiLevelType w:val="hybridMultilevel"/>
    <w:lvl w:ilvl="0">
      <w:lvlJc w:val="left"/>
      <w:lvlText w:val="x"/>
      <w:numFmt w:val="bullet"/>
      <w:start w:val="1"/>
    </w:lvl>
  </w:abstractNum>
  <w:abstractNum w:abstractNumId="35">
    <w:nsid w:val="3DC240FB"/>
    <w:multiLevelType w:val="hybridMultilevel"/>
    <w:lvl w:ilvl="0">
      <w:lvlJc w:val="left"/>
      <w:lvlText w:val="x"/>
      <w:numFmt w:val="bullet"/>
      <w:start w:val="1"/>
    </w:lvl>
  </w:abstractNum>
  <w:abstractNum w:abstractNumId="36">
    <w:nsid w:val="1BA026FA"/>
    <w:multiLevelType w:val="hybridMultilevel"/>
    <w:lvl w:ilvl="0">
      <w:lvlJc w:val="left"/>
      <w:lvlText w:val="x"/>
      <w:numFmt w:val="bullet"/>
      <w:start w:val="1"/>
    </w:lvl>
  </w:abstractNum>
  <w:abstractNum w:abstractNumId="37">
    <w:nsid w:val="79A1DEAA"/>
    <w:multiLevelType w:val="hybridMultilevel"/>
    <w:lvl w:ilvl="0">
      <w:lvlJc w:val="left"/>
      <w:lvlText w:val="x"/>
      <w:numFmt w:val="bullet"/>
      <w:start w:val="1"/>
    </w:lvl>
  </w:abstractNum>
  <w:abstractNum w:abstractNumId="38">
    <w:nsid w:val="75C6C33A"/>
    <w:multiLevelType w:val="hybridMultilevel"/>
    <w:lvl w:ilvl="0">
      <w:lvlJc w:val="left"/>
      <w:lvlText w:val="x"/>
      <w:numFmt w:val="bullet"/>
      <w:start w:val="1"/>
    </w:lvl>
  </w:abstractNum>
  <w:abstractNum w:abstractNumId="39">
    <w:nsid w:val="12E685FB"/>
    <w:multiLevelType w:val="hybridMultilevel"/>
    <w:lvl w:ilvl="0">
      <w:lvlJc w:val="left"/>
      <w:lvlText w:val="x"/>
      <w:numFmt w:val="bullet"/>
      <w:start w:val="1"/>
    </w:lvl>
  </w:abstractNum>
  <w:abstractNum w:abstractNumId="40">
    <w:nsid w:val="70C6A529"/>
    <w:multiLevelType w:val="hybridMultilevel"/>
    <w:lvl w:ilvl="0">
      <w:lvlJc w:val="left"/>
      <w:lvlText w:val="x"/>
      <w:numFmt w:val="bullet"/>
      <w:start w:val="1"/>
    </w:lvl>
  </w:abstractNum>
  <w:abstractNum w:abstractNumId="41">
    <w:nsid w:val="520EEDD1"/>
    <w:multiLevelType w:val="hybridMultilevel"/>
    <w:lvl w:ilvl="0">
      <w:lvlJc w:val="left"/>
      <w:lvlText w:val="x"/>
      <w:numFmt w:val="bullet"/>
      <w:start w:val="1"/>
    </w:lvl>
  </w:abstractNum>
  <w:abstractNum w:abstractNumId="42">
    <w:nsid w:val="374A3FE6"/>
    <w:multiLevelType w:val="hybridMultilevel"/>
    <w:lvl w:ilvl="0">
      <w:lvlJc w:val="left"/>
      <w:lvlText w:val="x"/>
      <w:numFmt w:val="bullet"/>
      <w:start w:val="1"/>
    </w:lvl>
  </w:abstractNum>
  <w:abstractNum w:abstractNumId="43">
    <w:nsid w:val="4F4EF005"/>
    <w:multiLevelType w:val="hybridMultilevel"/>
    <w:lvl w:ilvl="0">
      <w:lvlJc w:val="left"/>
      <w:lvlText w:val="x"/>
      <w:numFmt w:val="bullet"/>
      <w:start w:val="1"/>
    </w:lvl>
  </w:abstractNum>
  <w:abstractNum w:abstractNumId="44">
    <w:nsid w:val="23F9C13C"/>
    <w:multiLevelType w:val="hybridMultilevel"/>
    <w:lvl w:ilvl="0">
      <w:lvlJc w:val="left"/>
      <w:lvlText w:val="x"/>
      <w:numFmt w:val="bullet"/>
      <w:start w:val="1"/>
    </w:lvl>
  </w:abstractNum>
  <w:abstractNum w:abstractNumId="45">
    <w:nsid w:val="649BB77C"/>
    <w:multiLevelType w:val="hybridMultilevel"/>
    <w:lvl w:ilvl="0">
      <w:lvlJc w:val="left"/>
      <w:lvlText w:val="x"/>
      <w:numFmt w:val="bullet"/>
      <w:start w:val="1"/>
    </w:lvl>
  </w:abstractNum>
  <w:abstractNum w:abstractNumId="46">
    <w:nsid w:val="275AC794"/>
    <w:multiLevelType w:val="hybridMultilevel"/>
    <w:lvl w:ilvl="0">
      <w:lvlJc w:val="left"/>
      <w:lvlText w:val="x"/>
      <w:numFmt w:val="bullet"/>
      <w:start w:val="1"/>
    </w:lvl>
  </w:abstractNum>
  <w:abstractNum w:abstractNumId="47">
    <w:nsid w:val="39386575"/>
    <w:multiLevelType w:val="hybridMultilevel"/>
    <w:lvl w:ilvl="0">
      <w:lvlJc w:val="left"/>
      <w:lvlText w:val="x"/>
      <w:numFmt w:val="bullet"/>
      <w:start w:val="1"/>
    </w:lvl>
  </w:abstractNum>
  <w:abstractNum w:abstractNumId="48">
    <w:nsid w:val="1CF10FD8"/>
    <w:multiLevelType w:val="hybridMultilevel"/>
    <w:lvl w:ilvl="0">
      <w:lvlJc w:val="left"/>
      <w:lvlText w:val="x"/>
      <w:numFmt w:val="bullet"/>
      <w:start w:val="1"/>
    </w:lvl>
  </w:abstractNum>
  <w:abstractNum w:abstractNumId="49">
    <w:nsid w:val="180115BE"/>
    <w:multiLevelType w:val="hybridMultilevel"/>
    <w:lvl w:ilvl="0">
      <w:lvlJc w:val="left"/>
      <w:lvlText w:val="x"/>
      <w:numFmt w:val="bullet"/>
      <w:start w:val="1"/>
    </w:lvl>
  </w:abstractNum>
  <w:abstractNum w:abstractNumId="50">
    <w:nsid w:val="235BA861"/>
    <w:multiLevelType w:val="hybridMultilevel"/>
    <w:lvl w:ilvl="0">
      <w:lvlJc w:val="left"/>
      <w:lvlText w:val="x"/>
      <w:numFmt w:val="bullet"/>
      <w:start w:val="1"/>
    </w:lvl>
  </w:abstractNum>
  <w:abstractNum w:abstractNumId="51">
    <w:nsid w:val="47398C89"/>
    <w:multiLevelType w:val="hybridMultilevel"/>
    <w:lvl w:ilvl="0">
      <w:lvlJc w:val="left"/>
      <w:lvlText w:val="x"/>
      <w:numFmt w:val="bullet"/>
      <w:start w:val="1"/>
    </w:lvl>
  </w:abstractNum>
  <w:abstractNum w:abstractNumId="52">
    <w:nsid w:val="354FE9F9"/>
    <w:multiLevelType w:val="hybridMultilevel"/>
    <w:lvl w:ilvl="0">
      <w:lvlJc w:val="left"/>
      <w:lvlText w:val="x"/>
      <w:numFmt w:val="bullet"/>
      <w:start w:val="1"/>
    </w:lvl>
  </w:abstractNum>
  <w:abstractNum w:abstractNumId="53">
    <w:nsid w:val="15B5AF5C"/>
    <w:multiLevelType w:val="hybridMultilevel"/>
    <w:lvl w:ilvl="0">
      <w:lvlJc w:val="left"/>
      <w:lvlText w:val="x"/>
      <w:numFmt w:val="bullet"/>
      <w:start w:val="1"/>
    </w:lvl>
  </w:abstractNum>
  <w:abstractNum w:abstractNumId="54">
    <w:nsid w:val="741226BB"/>
    <w:multiLevelType w:val="hybridMultilevel"/>
    <w:lvl w:ilvl="0">
      <w:lvlJc w:val="left"/>
      <w:lvlText w:val="x"/>
      <w:numFmt w:val="bullet"/>
      <w:start w:val="1"/>
    </w:lvl>
  </w:abstractNum>
  <w:abstractNum w:abstractNumId="55">
    <w:nsid w:val="D34B6A8"/>
    <w:multiLevelType w:val="hybridMultilevel"/>
    <w:lvl w:ilvl="0">
      <w:lvlJc w:val="left"/>
      <w:lvlText w:val="x"/>
      <w:numFmt w:val="bullet"/>
      <w:start w:val="1"/>
    </w:lvl>
  </w:abstractNum>
  <w:abstractNum w:abstractNumId="56">
    <w:nsid w:val="10233C99"/>
    <w:multiLevelType w:val="hybridMultilevel"/>
    <w:lvl w:ilvl="0">
      <w:lvlJc w:val="left"/>
      <w:lvlText w:val="x"/>
      <w:numFmt w:val="bullet"/>
      <w:start w:val="1"/>
    </w:lvl>
  </w:abstractNum>
  <w:abstractNum w:abstractNumId="57">
    <w:nsid w:val="3F6AB60F"/>
    <w:multiLevelType w:val="hybridMultilevel"/>
    <w:lvl w:ilvl="0">
      <w:lvlJc w:val="left"/>
      <w:lvlText w:val="%1."/>
      <w:numFmt w:val="decimal"/>
      <w:start w:val="2"/>
    </w:lvl>
  </w:abstractNum>
  <w:abstractNum w:abstractNumId="58">
    <w:nsid w:val="61574095"/>
    <w:multiLevelType w:val="hybridMultilevel"/>
    <w:lvl w:ilvl="0">
      <w:lvlJc w:val="left"/>
      <w:lvlText w:val="x"/>
      <w:numFmt w:val="bullet"/>
      <w:start w:val="1"/>
    </w:lvl>
  </w:abstractNum>
  <w:abstractNum w:abstractNumId="59">
    <w:nsid w:val="7E0C57B1"/>
    <w:multiLevelType w:val="hybridMultilevel"/>
    <w:lvl w:ilvl="0">
      <w:lvlJc w:val="left"/>
      <w:lvlText w:val="(%1)"/>
      <w:numFmt w:val="lowerRoman"/>
      <w:start w:val="1"/>
    </w:lvl>
  </w:abstractNum>
  <w:abstractNum w:abstractNumId="60">
    <w:nsid w:val="77AE35EB"/>
    <w:multiLevelType w:val="hybridMultilevel"/>
    <w:lvl w:ilvl="0">
      <w:lvlJc w:val="left"/>
      <w:lvlText w:val="%1."/>
      <w:numFmt w:val="decimal"/>
      <w:start w:val="6"/>
    </w:lvl>
  </w:abstractNum>
  <w:abstractNum w:abstractNumId="61">
    <w:nsid w:val="579BE4F1"/>
    <w:multiLevelType w:val="hybridMultilevel"/>
    <w:lvl w:ilvl="0">
      <w:lvlJc w:val="left"/>
      <w:lvlText w:val="(%1)"/>
      <w:numFmt w:val="lowerRoman"/>
      <w:start w:val="2"/>
    </w:lvl>
  </w:abstractNum>
  <w:abstractNum w:abstractNumId="62">
    <w:nsid w:val="310C50B3"/>
    <w:multiLevelType w:val="hybridMultilevel"/>
    <w:lvl w:ilvl="0">
      <w:lvlJc w:val="left"/>
      <w:lvlText w:val="%1"/>
      <w:numFmt w:val="decimal"/>
      <w:start w:val="104"/>
    </w:lvl>
  </w:abstractNum>
  <w:abstractNum w:abstractNumId="63">
    <w:nsid w:val="5FF87E05"/>
    <w:multiLevelType w:val="hybridMultilevel"/>
    <w:lvl w:ilvl="0">
      <w:lvlJc w:val="left"/>
      <w:lvlText w:val="+"/>
      <w:numFmt w:val="bullet"/>
      <w:start w:val="1"/>
    </w:lvl>
  </w:abstractNum>
  <w:abstractNum w:abstractNumId="64">
    <w:nsid w:val="2F305DE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2025-04-25T08:10:52Z</dcterms:created>
  <dcterms:modified xsi:type="dcterms:W3CDTF">2025-04-25T08:10:52Z</dcterms:modified>
</cp:coreProperties>
</file>