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ORBIMED ADVISORS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601 LEXINGTON AVENUE, 54TH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PMV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PMVP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7" w:lineRule="exact"/>
        <w:rPr>
          <w:sz w:val="24"/>
          <w:szCs w:val="24"/>
          <w:color w:val="auto"/>
        </w:rPr>
      </w:pPr>
    </w:p>
    <w:p>
      <w:pPr>
        <w:sectPr>
          <w:pgSz w:w="11900" w:h="16838" w:orient="portrait"/>
          <w:cols w:equalWidth="0" w:num="3">
            <w:col w:w="3260" w:space="660"/>
            <w:col w:w="3100" w:space="715"/>
            <w:col w:w="3345"/>
          </w:cols>
          <w:pgMar w:left="460" w:top="225" w:right="359" w:bottom="0" w:gutter="0" w:footer="0" w:header="0"/>
          <w:type w:val="continuous"/>
        </w:sectPr>
      </w:pP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10022-4629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38"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4"/>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3"/>
                <w:szCs w:val="13"/>
                <w:color w:val="auto"/>
              </w:rPr>
            </w:pP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20" w:type="dxa"/>
            <w:vAlign w:val="bottom"/>
            <w:gridSpan w:val="3"/>
          </w:tcPr>
          <w:p>
            <w:pPr>
              <w:ind w:left="3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5"/>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3"/>
          </w:tcPr>
          <w:p>
            <w:pPr>
              <w:ind w:left="380"/>
              <w:spacing w:after="0" w:line="131"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 or</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2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Indirect (I)</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4"/>
                <w:szCs w:val="14"/>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78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0"/>
                <w:szCs w:val="10"/>
                <w:color w:val="auto"/>
              </w:rPr>
            </w:pPr>
          </w:p>
        </w:tc>
        <w:tc>
          <w:tcPr>
            <w:tcW w:w="152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0000FF"/>
              </w:rPr>
              <w:t>05/26/2022</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vMerge w:val="restart"/>
          </w:tcPr>
          <w:p>
            <w:pPr>
              <w:ind w:left="1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460" w:type="dxa"/>
            <w:vAlign w:val="bottom"/>
          </w:tcPr>
          <w:p>
            <w:pPr>
              <w:spacing w:after="0"/>
              <w:rPr>
                <w:sz w:val="22"/>
                <w:szCs w:val="22"/>
                <w:color w:val="auto"/>
              </w:rPr>
            </w:pPr>
          </w:p>
        </w:tc>
        <w:tc>
          <w:tcPr>
            <w:tcW w:w="740" w:type="dxa"/>
            <w:vAlign w:val="bottom"/>
            <w:vMerge w:val="restart"/>
          </w:tcPr>
          <w:p>
            <w:pPr>
              <w:ind w:left="160"/>
              <w:spacing w:after="0"/>
              <w:rPr>
                <w:sz w:val="20"/>
                <w:szCs w:val="20"/>
                <w:color w:val="auto"/>
              </w:rPr>
            </w:pPr>
            <w:r>
              <w:rPr>
                <w:rFonts w:ascii="Arial" w:cs="Arial" w:eastAsia="Arial" w:hAnsi="Arial"/>
                <w:sz w:val="17"/>
                <w:szCs w:val="17"/>
                <w:color w:val="0000FF"/>
              </w:rPr>
              <w:t>26,253</w:t>
            </w:r>
          </w:p>
        </w:tc>
        <w:tc>
          <w:tcPr>
            <w:tcW w:w="360" w:type="dxa"/>
            <w:vAlign w:val="bottom"/>
            <w:vMerge w:val="restart"/>
          </w:tcPr>
          <w:p>
            <w:pPr>
              <w:ind w:left="220"/>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15.93</w:t>
            </w:r>
            <w:r>
              <w:rPr>
                <w:rFonts w:ascii="Arial" w:cs="Arial" w:eastAsia="Arial" w:hAnsi="Arial"/>
                <w:sz w:val="22"/>
                <w:szCs w:val="22"/>
                <w:color w:val="008000"/>
                <w:w w:val="97"/>
                <w:vertAlign w:val="superscript"/>
              </w:rPr>
              <w:t>(2)</w:t>
            </w:r>
          </w:p>
        </w:tc>
        <w:tc>
          <w:tcPr>
            <w:tcW w:w="800" w:type="dxa"/>
            <w:vAlign w:val="bottom"/>
            <w:gridSpan w:val="2"/>
            <w:vMerge w:val="restart"/>
          </w:tcPr>
          <w:p>
            <w:pPr>
              <w:jc w:val="right"/>
              <w:spacing w:after="0"/>
              <w:rPr>
                <w:sz w:val="20"/>
                <w:szCs w:val="20"/>
                <w:color w:val="auto"/>
              </w:rPr>
            </w:pPr>
            <w:r>
              <w:rPr>
                <w:rFonts w:ascii="Arial" w:cs="Arial" w:eastAsia="Arial" w:hAnsi="Arial"/>
                <w:sz w:val="17"/>
                <w:szCs w:val="17"/>
                <w:color w:val="0000FF"/>
              </w:rPr>
              <w:t>87,786</w:t>
            </w:r>
          </w:p>
        </w:tc>
        <w:tc>
          <w:tcPr>
            <w:tcW w:w="740" w:type="dxa"/>
            <w:vAlign w:val="bottom"/>
          </w:tcPr>
          <w:p>
            <w:pPr>
              <w:spacing w:after="0"/>
              <w:rPr>
                <w:sz w:val="22"/>
                <w:szCs w:val="22"/>
                <w:color w:val="auto"/>
              </w:rPr>
            </w:pPr>
          </w:p>
        </w:tc>
        <w:tc>
          <w:tcPr>
            <w:tcW w:w="16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2"/>
                <w:szCs w:val="22"/>
                <w:color w:val="auto"/>
              </w:rPr>
            </w:pPr>
          </w:p>
        </w:tc>
        <w:tc>
          <w:tcPr>
            <w:tcW w:w="420" w:type="dxa"/>
            <w:vAlign w:val="bottom"/>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(3)(5)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9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1540" w:type="dxa"/>
            <w:vAlign w:val="bottom"/>
            <w:tcBorders>
              <w:top w:val="single" w:sz="8" w:color="2C2C2C"/>
            </w:tcBorders>
            <w:gridSpan w:val="3"/>
            <w:vMerge w:val="restart"/>
          </w:tcPr>
          <w:p>
            <w:pPr>
              <w:jc w:val="right"/>
              <w:ind w:right="580"/>
              <w:spacing w:after="0"/>
              <w:rPr>
                <w:sz w:val="20"/>
                <w:szCs w:val="20"/>
                <w:color w:val="auto"/>
              </w:rPr>
            </w:pPr>
            <w:r>
              <w:rPr>
                <w:rFonts w:ascii="Arial" w:cs="Arial" w:eastAsia="Arial" w:hAnsi="Arial"/>
                <w:sz w:val="17"/>
                <w:szCs w:val="17"/>
                <w:color w:val="0000FF"/>
              </w:rPr>
              <w:t>6,475,291</w:t>
            </w:r>
          </w:p>
        </w:tc>
        <w:tc>
          <w:tcPr>
            <w:tcW w:w="16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(4)(5)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8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8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40" w:type="dxa"/>
            <w:vAlign w:val="bottom"/>
          </w:tcPr>
          <w:p>
            <w:pPr>
              <w:spacing w:after="0"/>
              <w:rPr>
                <w:sz w:val="20"/>
                <w:szCs w:val="20"/>
                <w:color w:val="auto"/>
              </w:rPr>
            </w:pPr>
            <w:r>
              <w:rPr>
                <w:rFonts w:ascii="Arial" w:cs="Arial" w:eastAsia="Arial" w:hAnsi="Arial"/>
                <w:sz w:val="12"/>
                <w:szCs w:val="12"/>
                <w:b w:val="1"/>
                <w:bCs w:val="1"/>
                <w:color w:val="auto"/>
                <w:w w:val="98"/>
              </w:rPr>
              <w:t>9. Number of</w:t>
            </w:r>
          </w:p>
        </w:tc>
        <w:tc>
          <w:tcPr>
            <w:tcW w:w="160" w:type="dxa"/>
            <w:vAlign w:val="bottom"/>
          </w:tcPr>
          <w:p>
            <w:pPr>
              <w:spacing w:after="0"/>
              <w:rPr>
                <w:sz w:val="14"/>
                <w:szCs w:val="14"/>
                <w:color w:val="auto"/>
              </w:rPr>
            </w:pP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7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bottom w:val="single" w:sz="8" w:color="0000EE"/>
            </w:tcBorders>
            <w:gridSpan w:val="5"/>
          </w:tcPr>
          <w:p>
            <w:pPr>
              <w:spacing w:after="0" w:line="221" w:lineRule="exact"/>
              <w:rPr>
                <w:rFonts w:ascii="Arial" w:cs="Arial" w:eastAsia="Arial" w:hAnsi="Arial"/>
                <w:sz w:val="21"/>
                <w:szCs w:val="21"/>
                <w:color w:val="0000EE"/>
                <w:w w:val="98"/>
              </w:rPr>
            </w:pPr>
            <w:hyperlink r:id="rId12">
              <w:r>
                <w:rPr>
                  <w:rFonts w:ascii="Arial" w:cs="Arial" w:eastAsia="Arial" w:hAnsi="Arial"/>
                  <w:sz w:val="21"/>
                  <w:szCs w:val="21"/>
                  <w:color w:val="0000EE"/>
                  <w:w w:val="98"/>
                </w:rPr>
                <w:t>ORBIMED ADVISORS LLC</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601 LEXINGTON AVENUE, 54TH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jc w:val="right"/>
              <w:spacing w:after="0"/>
              <w:rPr>
                <w:sz w:val="20"/>
                <w:szCs w:val="20"/>
                <w:color w:val="auto"/>
              </w:rPr>
            </w:pPr>
            <w:r>
              <w:rPr>
                <w:rFonts w:ascii="Arial" w:cs="Arial" w:eastAsia="Arial" w:hAnsi="Arial"/>
                <w:sz w:val="17"/>
                <w:szCs w:val="17"/>
                <w:color w:val="0000FF"/>
              </w:rPr>
              <w:t>10022-4629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OrbiMed Capital GP V LLC</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601 LEXINGTON AVENUE, 54TH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jc w:val="right"/>
              <w:spacing w:after="0"/>
              <w:rPr>
                <w:sz w:val="20"/>
                <w:szCs w:val="20"/>
                <w:color w:val="auto"/>
              </w:rPr>
            </w:pPr>
            <w:r>
              <w:rPr>
                <w:rFonts w:ascii="Arial" w:cs="Arial" w:eastAsia="Arial" w:hAnsi="Arial"/>
                <w:sz w:val="17"/>
                <w:szCs w:val="17"/>
                <w:color w:val="0000FF"/>
              </w:rPr>
              <w:t>10022-4629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OrbiMed Genesis GP LLC</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601 LEXINGTON AVENUE, 54TH FLOOR</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10022-4629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23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7232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sale of shares of the Issuer's common stock ("Shares"), which was effected after market close on May 26, 2022.</w:t>
      </w:r>
    </w:p>
    <w:p>
      <w:pPr>
        <w:spacing w:after="0" w:line="50" w:lineRule="exact"/>
        <w:rPr>
          <w:rFonts w:ascii="Arial" w:cs="Arial" w:eastAsia="Arial" w:hAnsi="Arial"/>
          <w:sz w:val="13"/>
          <w:szCs w:val="13"/>
          <w:color w:val="008000"/>
        </w:rPr>
      </w:pPr>
    </w:p>
    <w:p>
      <w:pPr>
        <w:jc w:val="both"/>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in multiple transactions at prices ranging from $15.55 to $16.09. The price reported reflects the weighted average sale price.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5" w:lineRule="exact"/>
        <w:rPr>
          <w:rFonts w:ascii="Arial" w:cs="Arial" w:eastAsia="Arial" w:hAnsi="Arial"/>
          <w:sz w:val="13"/>
          <w:szCs w:val="13"/>
          <w:color w:val="008000"/>
        </w:rPr>
      </w:pPr>
    </w:p>
    <w:p>
      <w:pPr>
        <w:ind w:right="100" w:firstLine="7"/>
        <w:spacing w:after="0" w:line="272"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held of record by OrbiMed Genesis Master Fund, L.P. ("Genesis Master Fund"). OrbiMed Genesis GP LLC ("Genesis GP") is the general partner of Genesis Master Fund and OrbiMed Advisors LLC ("OrbiMed Advisors"), a registered investment advisor under the Investment Advisors Act of 1940, as amended, is the managing member of Genesis GP. By virtue of such relationships, Genesis GP and OrbiMed Advisors may be deemed to have voting and investment power with respect to the securities held by Genesis Master Fund. OrbiMed Advisors exercises voting and investment power through a management committee comprised of Carl L. Gordon, Sven H. Borho, and W. Carter Neild, each of whom disclaims beneficial ownership of the shares held by Genesis Master Fund.</w:t>
      </w:r>
    </w:p>
    <w:p>
      <w:pPr>
        <w:spacing w:after="0" w:line="14" w:lineRule="exact"/>
        <w:rPr>
          <w:rFonts w:ascii="Arial" w:cs="Arial" w:eastAsia="Arial" w:hAnsi="Arial"/>
          <w:sz w:val="12"/>
          <w:szCs w:val="12"/>
          <w:color w:val="008000"/>
        </w:rPr>
      </w:pPr>
    </w:p>
    <w:p>
      <w:pPr>
        <w:jc w:val="both"/>
        <w:ind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OrbiMed Private Investments V, LP ("OPI V"). OrbiMed Capital GP V LLC ("GP V") is the general partner of OPI V, and OrbiMed Advisors is the managing member of GP V. By virtue of such relationships, GP V and OrbiMed Advisors may be deemed to have voting and investment power with respect to the securities held by OPI V. OrbiMed Advisors exercises this investment and voting power through a management committee comprised of Carl L. Gordon, Sven H. Borho, and W. Carter Neild, each of whom disclaims beneficial ownership of the shares held by OPI V.4.</w:t>
      </w:r>
    </w:p>
    <w:p>
      <w:pPr>
        <w:spacing w:after="0" w:line="29" w:lineRule="exact"/>
        <w:rPr>
          <w:rFonts w:ascii="Arial" w:cs="Arial" w:eastAsia="Arial" w:hAnsi="Arial"/>
          <w:sz w:val="13"/>
          <w:szCs w:val="13"/>
          <w:color w:val="008000"/>
        </w:rPr>
      </w:pPr>
    </w:p>
    <w:p>
      <w:pPr>
        <w:jc w:val="both"/>
        <w:ind w:right="12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report on Form 4 is jointly filed by OrbiMed Advisors, GP V and Genesis GP. Each of the Reporting Persons disclaims beneficial ownership of the securities reported herein for purposes of Rule 16a-1(a) under the Securities Exchange Act of 1943, as amended (the "Exchange Act"), except to the extent of its pecuniary interest therein, if any. This report shall not be deemed an admission that any such entity is a beneficial owner of such securities for purpose of Section 16 of the Exchange Act, or for any other purpose.</w:t>
      </w:r>
    </w:p>
    <w:p>
      <w:pPr>
        <w:sectPr>
          <w:pgSz w:w="11900" w:h="16838" w:orient="portrait"/>
          <w:cols w:equalWidth="0" w:num="1">
            <w:col w:w="10880"/>
          </w:cols>
          <w:pgMar w:left="500" w:top="272" w:right="519" w:bottom="1440" w:gutter="0" w:footer="0" w:header="0"/>
        </w:sectPr>
      </w:pPr>
    </w:p>
    <w:p>
      <w:pPr>
        <w:spacing w:after="0" w:line="53"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Carl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31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2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Carl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312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OrbiMed Capital GP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585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5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Carl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312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OrbiMed Genesis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2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0000FF"/>
        </w:rPr>
        <w:t>05/31/2022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8540" w:space="200"/>
            <w:col w:w="2140"/>
          </w:cols>
          <w:pgMar w:left="500" w:top="272" w:right="5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272"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12" Type="http://schemas.openxmlformats.org/officeDocument/2006/relationships/hyperlink" Target="http://www.sec.gov/cgi-bin/browse-edgar?action=getcompany&amp;CIK=0001055951" TargetMode="External"/><Relationship Id="rId13" Type="http://schemas.openxmlformats.org/officeDocument/2006/relationships/hyperlink" Target="http://www.sec.gov/cgi-bin/browse-edgar?action=getcompany&amp;CIK=0001699382" TargetMode="External"/><Relationship Id="rId14" Type="http://schemas.openxmlformats.org/officeDocument/2006/relationships/hyperlink" Target="http://www.sec.gov/cgi-bin/browse-edgar?action=getcompany&amp;CIK=0001615374" TargetMode="External"/><Relationship Id="rId15" Type="http://schemas.openxmlformats.org/officeDocument/2006/relationships/hyperlink" Target="http://www.sec.gov/cgi-bin/browse-edgar?action=getcompany&amp;CIK=0001808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2022-05-31T15:44:46Z</dcterms:created>
  <dcterms:modified xsi:type="dcterms:W3CDTF">2022-05-31T15:44:46Z</dcterms:modified>
</cp:coreProperties>
</file>