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7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191135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178435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tbl>
      <w:tblPr>
        <w:tblLayout w:type="fixed"/>
        <w:tblInd w:w="1100" w:type="dxa"/>
        <w:tblCellMar>
          <w:top w:w="0" w:type="dxa"/>
          <w:left w:w="0" w:type="dxa"/>
          <w:bottom w:w="0" w:type="dxa"/>
          <w:right w:w="0" w:type="dxa"/>
        </w:tblCellMar>
      </w:tblPr>
      <w:tr>
        <w:trPr>
          <w:trHeight w:val="222"/>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001-39539</w:t>
            </w:r>
          </w:p>
        </w:tc>
        <w:tc>
          <w:tcPr>
            <w:tcW w:w="228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52"/>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920" w:type="dxa"/>
            <w:vAlign w:val="bottom"/>
          </w:tcPr>
          <w:p>
            <w:pPr>
              <w:ind w:left="940"/>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92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53"/>
        </w:trPr>
        <w:tc>
          <w:tcPr>
            <w:tcW w:w="3220" w:type="dxa"/>
            <w:vAlign w:val="bottom"/>
          </w:tcPr>
          <w:p>
            <w:pPr>
              <w:jc w:val="center"/>
              <w:ind w:right="841"/>
              <w:spacing w:after="0"/>
              <w:rPr>
                <w:sz w:val="20"/>
                <w:szCs w:val="20"/>
                <w:color w:val="auto"/>
              </w:rPr>
            </w:pPr>
            <w:r>
              <w:rPr>
                <w:rFonts w:ascii="Times New Roman" w:cs="Times New Roman" w:eastAsia="Times New Roman" w:hAnsi="Times New Roman"/>
                <w:sz w:val="18"/>
                <w:szCs w:val="18"/>
                <w:b w:val="1"/>
                <w:bCs w:val="1"/>
                <w:color w:val="auto"/>
                <w:w w:val="99"/>
              </w:rPr>
              <w:t>Clarke Drive, Suite 3,</w:t>
            </w:r>
          </w:p>
        </w:tc>
        <w:tc>
          <w:tcPr>
            <w:tcW w:w="29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5"/>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9"/>
              </w:rPr>
              <w:t>Cranbury, NJ</w:t>
            </w:r>
          </w:p>
        </w:tc>
        <w:tc>
          <w:tcPr>
            <w:tcW w:w="2920" w:type="dxa"/>
            <w:vAlign w:val="bottom"/>
          </w:tcPr>
          <w:p>
            <w:pPr>
              <w:spacing w:after="0"/>
              <w:rPr>
                <w:sz w:val="20"/>
                <w:szCs w:val="20"/>
                <w:color w:val="auto"/>
              </w:rPr>
            </w:pPr>
          </w:p>
        </w:tc>
        <w:tc>
          <w:tcPr>
            <w:tcW w:w="22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08512</w:t>
            </w:r>
          </w:p>
        </w:tc>
      </w:tr>
      <w:tr>
        <w:trPr>
          <w:trHeight w:val="178"/>
        </w:trPr>
        <w:tc>
          <w:tcPr>
            <w:tcW w:w="32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920" w:type="dxa"/>
            <w:vAlign w:val="bottom"/>
          </w:tcPr>
          <w:p>
            <w:pPr>
              <w:spacing w:after="0"/>
              <w:rPr>
                <w:sz w:val="15"/>
                <w:szCs w:val="15"/>
                <w:color w:val="auto"/>
              </w:rPr>
            </w:pP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1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179705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02"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On August 9, 2022, PMV Pharmaceuticals, Inc. issued a press release announcing its financial results for the second quarter ended June 30, 2022. The full text of the press release is attached as Exhibit 99.1 to this Current Report on Form 8-K and is incorporated herein by reference.</w:t>
      </w:r>
    </w:p>
    <w:p>
      <w:pPr>
        <w:spacing w:after="0" w:line="135" w:lineRule="exact"/>
        <w:rPr>
          <w:sz w:val="20"/>
          <w:szCs w:val="20"/>
          <w:color w:val="auto"/>
        </w:rPr>
      </w:pPr>
    </w:p>
    <w:p>
      <w:pPr>
        <w:ind w:right="180" w:firstLine="749"/>
        <w:spacing w:after="0" w:line="250" w:lineRule="auto"/>
        <w:rPr>
          <w:sz w:val="20"/>
          <w:szCs w:val="20"/>
          <w:color w:val="auto"/>
        </w:rPr>
      </w:pPr>
      <w:r>
        <w:rPr>
          <w:rFonts w:ascii="Times New Roman" w:cs="Times New Roman" w:eastAsia="Times New Roman" w:hAnsi="Times New Roman"/>
          <w:sz w:val="18"/>
          <w:szCs w:val="18"/>
          <w:color w:val="auto"/>
        </w:rPr>
        <w:t>The information in this Item 2.02 of this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20" w:type="dxa"/>
            <w:vAlign w:val="bottom"/>
            <w:gridSpan w:val="3"/>
            <w:vMerge w:val="restart"/>
          </w:tcPr>
          <w:p>
            <w:pPr>
              <w:ind w:left="4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42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PMV Pharmaceuticals, Inc., dated August 9, 2022.</w:t>
            </w:r>
          </w:p>
        </w:tc>
        <w:tc>
          <w:tcPr>
            <w:tcW w:w="20" w:type="dxa"/>
            <w:vAlign w:val="bottom"/>
            <w:tcBorders>
              <w:bottom w:val="single" w:sz="8" w:color="0000EE"/>
            </w:tcBorders>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533"/>
        </w:trPr>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198" w:lineRule="exact"/>
        <w:rPr>
          <w:sz w:val="20"/>
          <w:szCs w:val="20"/>
          <w:color w:val="auto"/>
        </w:rPr>
      </w:pPr>
    </w:p>
    <w:p>
      <w:pPr>
        <w:ind w:left="20"/>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August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Winston Kung</w:t>
      </w:r>
    </w:p>
    <w:p>
      <w:pPr>
        <w:ind w:left="7520"/>
        <w:spacing w:after="0" w:line="219" w:lineRule="auto"/>
        <w:rPr>
          <w:sz w:val="20"/>
          <w:szCs w:val="20"/>
          <w:color w:val="auto"/>
        </w:rPr>
      </w:pPr>
      <w:r>
        <w:rPr>
          <w:rFonts w:ascii="Times New Roman" w:cs="Times New Roman" w:eastAsia="Times New Roman" w:hAnsi="Times New Roman"/>
          <w:sz w:val="18"/>
          <w:szCs w:val="18"/>
          <w:b w:val="1"/>
          <w:bCs w:val="1"/>
          <w:color w:val="auto"/>
        </w:rPr>
        <w:t>Chief Operating Officer, and</w:t>
      </w:r>
    </w:p>
    <w:p>
      <w:pPr>
        <w:jc w:val="center"/>
        <w:ind w:left="6000"/>
        <w:spacing w:after="0" w:line="219" w:lineRule="auto"/>
        <w:rPr>
          <w:sz w:val="20"/>
          <w:szCs w:val="20"/>
          <w:color w:val="auto"/>
        </w:rPr>
      </w:pPr>
      <w:r>
        <w:rPr>
          <w:rFonts w:ascii="Times New Roman" w:cs="Times New Roman" w:eastAsia="Times New Roman" w:hAnsi="Times New Roman"/>
          <w:sz w:val="18"/>
          <w:szCs w:val="18"/>
          <w:b w:val="1"/>
          <w:bCs w:val="1"/>
          <w:color w:val="auto"/>
        </w:rPr>
        <w:t>Chief Financial Officer</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PMV Pharmaceuticals Reports Second Quarter 2022 Financial Results and Corporate Highlights</w:t>
      </w:r>
    </w:p>
    <w:p>
      <w:pPr>
        <w:spacing w:after="0" w:line="209" w:lineRule="exact"/>
        <w:rPr>
          <w:sz w:val="20"/>
          <w:szCs w:val="20"/>
          <w:color w:val="auto"/>
        </w:rPr>
      </w:pPr>
    </w:p>
    <w:p>
      <w:pPr>
        <w:ind w:left="760" w:right="58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Initial PC14586 Phase 1 data presented at the American Society of Clinical Oncology Annual Meeting (ASCO) demonstrated responses in patients across multiple solid tumor types with a p53 Y220C mutation</w:t>
      </w:r>
    </w:p>
    <w:p>
      <w:pPr>
        <w:spacing w:after="0" w:line="5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Entered into a clinical collaboration with Merck to evaluate PC14586 in combination with KEYTRUDA</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study to initiate in Q4 2022</w:t>
      </w:r>
    </w:p>
    <w:p>
      <w:pPr>
        <w:spacing w:after="0" w:line="2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CRANBURY, N.J., August 9, 2022 (GLOBE NEWSWIRE) – PMV Pharmaceuticals, Inc. (“PMV Pharma” Nasdaq: PMVP), a precision oncology company pioneering the discovery and development of small molecule, tumor-agnostic therapies targeting p53, today reported financial results for the second quarter ended June 30, 2022, and provided a corporate update.</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highlight of the second quarter was the oral presentation at ASCO of positive initial data from the ongoing PYNNACLE study of PC14586, our investigational first-in-class p53 Y220C reactivator, in patients with solid tumors,” said David Mack, Ph.D., President and Chief</w:t>
      </w:r>
    </w:p>
    <w:p>
      <w:pPr>
        <w:spacing w:after="0" w:line="1"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Executive Officer of PMV Pharma. “The data provide clinical proof of concept for PC14586 as monotherapy, with meaningful clinical activity observed across multiple tumor types.”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Highlights:</w:t>
      </w:r>
    </w:p>
    <w:p>
      <w:pPr>
        <w:spacing w:after="0" w:line="14" w:lineRule="exact"/>
        <w:rPr>
          <w:sz w:val="20"/>
          <w:szCs w:val="20"/>
          <w:color w:val="auto"/>
        </w:rPr>
      </w:pPr>
    </w:p>
    <w:p>
      <w:pPr>
        <w:ind w:left="380" w:right="20" w:hanging="372"/>
        <w:spacing w:after="0" w:line="234" w:lineRule="auto"/>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Initial data from the dose-escalation portion of the Phase 1/2 PYNNACLE study were featured in an oral presentation at the 2022 ASCO annual meeting. Enrollment is ongoing to support the determination of a recommended Phase 2 dose.</w:t>
      </w:r>
    </w:p>
    <w:p>
      <w:pPr>
        <w:jc w:val="both"/>
        <w:ind w:left="380" w:hanging="372"/>
        <w:spacing w:after="0" w:line="225" w:lineRule="auto"/>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PMV Pharma announced a clinical trial collaboration and supply agreement with Merck (known as MSD outside the U.S. and Canada) to evaluate the combination of PC14586 with KEYTRUDA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(pembrolizumab), Merck’s anti-PD-1 therapy. The combination trial is anticipated to begin in Q4 2022.</w:t>
      </w:r>
    </w:p>
    <w:p>
      <w:pPr>
        <w:jc w:val="both"/>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Appointed Marc Fellous, M.D. as Vice President, Clinical Development and Medical Affairs. Prior to joining PMV Pharma, Dr. Fellous was Global Medical Affairs Head on larotrectinib, the first tumor-agnostic drug approved in the U.S. and Europe, and selitrectinib programs at Bayer. He held leadership roles at Bayer and Roche for more than 13 years, contributing to the strategy and launch of multiple successful oncology products. Dr. Fellous completed his doctorate in general medicine at the University Paris V along with a specialized master’s degree in medical management from ESCP-Europe Business School.</w:t>
      </w:r>
    </w:p>
    <w:p>
      <w:pPr>
        <w:spacing w:after="0" w:line="3" w:lineRule="exact"/>
        <w:rPr>
          <w:rFonts w:ascii="Times New Roman" w:cs="Times New Roman" w:eastAsia="Times New Roman" w:hAnsi="Times New Roman"/>
          <w:sz w:val="18"/>
          <w:szCs w:val="18"/>
          <w:color w:val="auto"/>
        </w:rPr>
      </w:pPr>
    </w:p>
    <w:p>
      <w:pPr>
        <w:ind w:left="380" w:right="20" w:hanging="372"/>
        <w:spacing w:after="0" w:line="249" w:lineRule="auto"/>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Continued progress on the Company’s research pipeline of its Wild-Type p53-Induced Phosphatase 1 (WIP1) inhibitor and p53 mutant programs.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2022 Financial Results</w:t>
      </w:r>
    </w:p>
    <w:p>
      <w:pPr>
        <w:spacing w:after="0" w:line="14" w:lineRule="exact"/>
        <w:rPr>
          <w:sz w:val="20"/>
          <w:szCs w:val="20"/>
          <w:color w:val="auto"/>
        </w:rPr>
      </w:pPr>
    </w:p>
    <w:p>
      <w:pPr>
        <w:jc w:val="both"/>
        <w:ind w:left="380" w:right="20" w:hanging="372"/>
        <w:spacing w:after="0" w:line="239"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As of June 30, 2022, PMV Pharma had $277.4 million in cash, cash equivalents, and marketable securities, compared to $339.0 million as of June 30, 2021. Net cash used in operations was $31.7 million for the six months ended June 30, 2022, compared to $22.1 million for the six months ended June 30, 2021.</w:t>
      </w:r>
    </w:p>
    <w:p>
      <w:pPr>
        <w:spacing w:after="0" w:line="1" w:lineRule="exact"/>
        <w:rPr>
          <w:rFonts w:ascii="Times New Roman" w:cs="Times New Roman" w:eastAsia="Times New Roman" w:hAnsi="Times New Roman"/>
          <w:sz w:val="18"/>
          <w:szCs w:val="18"/>
          <w:color w:val="auto"/>
        </w:rPr>
      </w:pPr>
    </w:p>
    <w:p>
      <w:pPr>
        <w:ind w:left="380" w:hanging="372"/>
        <w:spacing w:after="0" w:line="233"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Net loss for the six months ended June 30, 2022, was $35.7 million compared to $24.5 million for the quarter ended June 30, 2021.</w:t>
      </w:r>
    </w:p>
    <w:p>
      <w:pPr>
        <w:jc w:val="both"/>
        <w:ind w:left="380" w:hanging="372"/>
        <w:spacing w:after="0" w:line="239"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(R&amp;D) expenses were $23.3 million for the six months ended June 30, 2022 compared to $15.2 million for the six months ended June 30, 2021. The increase in R&amp;D expenses was primarily due to increased headcount and clinical trial expenses associated with advancing our lead product candidate, PC14586, through the Phase 1/2 clinical trial.</w:t>
      </w:r>
    </w:p>
    <w:p>
      <w:pPr>
        <w:spacing w:after="0" w:line="1" w:lineRule="exact"/>
        <w:rPr>
          <w:rFonts w:ascii="Times New Roman" w:cs="Times New Roman" w:eastAsia="Times New Roman" w:hAnsi="Times New Roman"/>
          <w:sz w:val="18"/>
          <w:szCs w:val="18"/>
          <w:color w:val="auto"/>
        </w:rPr>
      </w:pPr>
    </w:p>
    <w:p>
      <w:pPr>
        <w:ind w:left="380" w:hanging="372"/>
        <w:spacing w:after="0" w:line="265"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General and administrative (G&amp;A) expenses were $13.2 million for the six months ended June 30, 2022, compared to $9.6 million for the six months ended June 30, 2021. The increase in G&amp;A expenses was primarily due to costs relating to operating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PC14586</w:t>
      </w:r>
    </w:p>
    <w:p>
      <w:pPr>
        <w:spacing w:after="0" w:line="2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PC14586 is a first-in-class, small molecule, p53 reactivator designed to selectively bind to the crevice present in the p53 Y220C mutant protein, hence, restoring the wild-type, or normal, p53 protein structure and tumor-suppressing function. The U.S. Food and Drug Administration (FDA) granted Fast Track designation to PC14586 for the treatment of patients with locally advanced or metastatic solid tumors that have a p53 Y220C mutation. For more information about the Phase 1/2 PYNNACLE trial (PMV-586-101), refer to www.clinicaltrials.gov (NCT study identifier NCT04585750).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PMV Pharma</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PMV Pharma is a precision oncology company pioneering the discovery and development of small molecule, tumor-agnostic therapies targeting p53. p53 mutations are found in approximately half of all cancers. The field of p53 biology was established by our co-founder Arnold Levine, Ph.D., when he discovered the p53 protein in 1979. Bringing together leaders in the field to utilize more than four decades of p53 biology, PMV Pharma combines unique biological understanding with pharmaceutical development focus. PMV Pharma is headquartered in Cranbury, New Jersey. For more information, please visit www.pmvpharma.com.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 w:lineRule="exact"/>
        <w:rPr>
          <w:sz w:val="20"/>
          <w:szCs w:val="20"/>
          <w:color w:val="auto"/>
        </w:rPr>
      </w:pPr>
    </w:p>
    <w:p>
      <w:pPr>
        <w:jc w:val="both"/>
        <w:spacing w:after="0"/>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PC14586, including expectations regarding timing for completion of the current Phase 1 portion of the PYNNACLE study, initiation of the potentially pivotal Phase 2 portion of the study and the combination study with KEYTRUDA, as well as the overall success of its current clinical trial for PC14586 and any future commercialization plans for the product candidate; and the future plans or expectations for the Company’s discovery platform for its other early-stage and clinical candidates.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an early clinical stage company, the potential for clinical trials of PC14586 or any future clinical trials of other product candidates to differ from preclinical, preliminary or expected results, the Company’s ability to fund operations, and the impact that the current COVID-19 pandemic will have on the Company’s clinical trials, supply chain, and operations, as well as those risks and uncertainties set forth in the section entitled “Risk Factors” in the Company’s Annual Report on Form 10-K filed with the Securities and Exchange Commission (the “SEC”) on March 1, 2022, the Company’s Quarterly Report on Form 10-Q filed with the SEC on August 9, 2022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KEYTRUDA is a registered trademark of Merck Sharp &amp; Dohme LLC., a subsidiary of Merck &amp; Co., Inc., Rahway, NJ,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 w:name="page6"/>
    <w:bookmarkEnd w:id="5"/>
    <w:p>
      <w:pPr>
        <w:ind w:left="4480"/>
        <w:spacing w:after="0"/>
        <w:rPr>
          <w:sz w:val="20"/>
          <w:szCs w:val="20"/>
          <w:color w:val="auto"/>
        </w:rPr>
      </w:pPr>
      <w:r>
        <w:rPr>
          <w:rFonts w:ascii="Arial" w:cs="Arial" w:eastAsia="Arial" w:hAnsi="Arial"/>
          <w:sz w:val="18"/>
          <w:szCs w:val="18"/>
          <w:b w:val="1"/>
          <w:bCs w:val="1"/>
          <w:color w:val="auto"/>
        </w:rPr>
        <w:t>PMV Pharmaceuticals, Inc.</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Condensed Balance Sheets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8"/>
        </w:trPr>
        <w:tc>
          <w:tcPr>
            <w:tcW w:w="7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ind w:right="495"/>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r>
      <w:tr>
        <w:trPr>
          <w:trHeight w:val="194"/>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8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260" w:type="dxa"/>
            <w:vAlign w:val="bottom"/>
            <w:tcBorders>
              <w:top w:val="single" w:sz="8" w:color="auto"/>
            </w:tcBorders>
            <w:shd w:val="clear" w:color="auto" w:fill="CFF0FC"/>
          </w:tcPr>
          <w:p>
            <w:pPr>
              <w:spacing w:after="0"/>
              <w:rPr>
                <w:sz w:val="24"/>
                <w:szCs w:val="24"/>
                <w:color w:val="auto"/>
              </w:rPr>
            </w:pPr>
          </w:p>
        </w:tc>
        <w:tc>
          <w:tcPr>
            <w:tcW w:w="1260" w:type="dxa"/>
            <w:vAlign w:val="bottom"/>
            <w:tcBorders>
              <w:top w:val="single" w:sz="8" w:color="auto"/>
            </w:tcBorders>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240" w:type="dxa"/>
            <w:vAlign w:val="bottom"/>
            <w:tcBorders>
              <w:top w:val="single" w:sz="8" w:color="auto"/>
            </w:tcBorders>
            <w:shd w:val="clear" w:color="auto" w:fill="CFF0FC"/>
          </w:tcPr>
          <w:p>
            <w:pPr>
              <w:spacing w:after="0"/>
              <w:rPr>
                <w:sz w:val="24"/>
                <w:szCs w:val="24"/>
                <w:color w:val="auto"/>
              </w:rPr>
            </w:pPr>
          </w:p>
        </w:tc>
        <w:tc>
          <w:tcPr>
            <w:tcW w:w="1260" w:type="dxa"/>
            <w:vAlign w:val="bottom"/>
            <w:tcBorders>
              <w:top w:val="single" w:sz="8" w:color="auto"/>
            </w:tcBorders>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r>
      <w:tr>
        <w:trPr>
          <w:trHeight w:val="200"/>
        </w:trPr>
        <w:tc>
          <w:tcPr>
            <w:tcW w:w="7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82"/>
        </w:trPr>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Current assets: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4"/>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82"/>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87,090</w:t>
            </w:r>
          </w:p>
        </w:tc>
        <w:tc>
          <w:tcPr>
            <w:tcW w:w="32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172,467</w:t>
            </w:r>
          </w:p>
        </w:tc>
        <w:tc>
          <w:tcPr>
            <w:tcW w:w="220" w:type="dxa"/>
            <w:vAlign w:val="bottom"/>
            <w:shd w:val="clear" w:color="auto" w:fill="CFF0FC"/>
          </w:tcPr>
          <w:p>
            <w:pPr>
              <w:spacing w:after="0"/>
              <w:rPr>
                <w:sz w:val="24"/>
                <w:szCs w:val="24"/>
                <w:color w:val="auto"/>
              </w:rPr>
            </w:pPr>
          </w:p>
        </w:tc>
      </w:tr>
      <w:tr>
        <w:trPr>
          <w:trHeight w:val="204"/>
        </w:trPr>
        <w:tc>
          <w:tcPr>
            <w:tcW w:w="7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82"/>
        </w:trPr>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cash</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822</w:t>
            </w:r>
          </w:p>
        </w:tc>
        <w:tc>
          <w:tcPr>
            <w:tcW w:w="220" w:type="dxa"/>
            <w:vAlign w:val="bottom"/>
          </w:tcPr>
          <w:p>
            <w:pPr>
              <w:spacing w:after="0"/>
              <w:rPr>
                <w:sz w:val="24"/>
                <w:szCs w:val="24"/>
                <w:color w:val="auto"/>
              </w:rPr>
            </w:pPr>
          </w:p>
        </w:tc>
      </w:tr>
      <w:tr>
        <w:trPr>
          <w:trHeight w:val="204"/>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82"/>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2"/>
                <w:szCs w:val="22"/>
                <w:color w:val="auto"/>
              </w:rPr>
              <w:t>Marketable securities, current</w:t>
            </w:r>
          </w:p>
        </w:tc>
        <w:tc>
          <w:tcPr>
            <w:tcW w:w="26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190,344</w:t>
            </w:r>
          </w:p>
        </w:tc>
        <w:tc>
          <w:tcPr>
            <w:tcW w:w="3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124,696</w:t>
            </w:r>
          </w:p>
        </w:tc>
        <w:tc>
          <w:tcPr>
            <w:tcW w:w="220" w:type="dxa"/>
            <w:vAlign w:val="bottom"/>
            <w:shd w:val="clear" w:color="auto" w:fill="CFF0FC"/>
          </w:tcPr>
          <w:p>
            <w:pPr>
              <w:spacing w:after="0"/>
              <w:rPr>
                <w:sz w:val="24"/>
                <w:szCs w:val="24"/>
                <w:color w:val="auto"/>
              </w:rPr>
            </w:pPr>
          </w:p>
        </w:tc>
      </w:tr>
      <w:tr>
        <w:trPr>
          <w:trHeight w:val="204"/>
        </w:trPr>
        <w:tc>
          <w:tcPr>
            <w:tcW w:w="7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82"/>
        </w:trPr>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Prepaid expenses and other current assets</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3,609</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3,301</w:t>
            </w:r>
          </w:p>
        </w:tc>
        <w:tc>
          <w:tcPr>
            <w:tcW w:w="220" w:type="dxa"/>
            <w:vAlign w:val="bottom"/>
          </w:tcPr>
          <w:p>
            <w:pPr>
              <w:spacing w:after="0"/>
              <w:rPr>
                <w:sz w:val="24"/>
                <w:szCs w:val="24"/>
                <w:color w:val="auto"/>
              </w:rPr>
            </w:pPr>
          </w:p>
        </w:tc>
      </w:tr>
      <w:tr>
        <w:trPr>
          <w:trHeight w:val="190"/>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7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2"/>
                <w:szCs w:val="22"/>
                <w:color w:val="auto"/>
              </w:rPr>
              <w:t>Total current assets</w:t>
            </w:r>
          </w:p>
        </w:tc>
        <w:tc>
          <w:tcPr>
            <w:tcW w:w="260" w:type="dxa"/>
            <w:vAlign w:val="bottom"/>
            <w:shd w:val="clear" w:color="auto" w:fill="CFF0FC"/>
          </w:tcPr>
          <w:p>
            <w:pPr>
              <w:spacing w:after="0"/>
              <w:rPr>
                <w:sz w:val="23"/>
                <w:szCs w:val="2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281,865</w:t>
            </w:r>
          </w:p>
        </w:tc>
        <w:tc>
          <w:tcPr>
            <w:tcW w:w="3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301,286</w:t>
            </w:r>
          </w:p>
        </w:tc>
        <w:tc>
          <w:tcPr>
            <w:tcW w:w="220" w:type="dxa"/>
            <w:vAlign w:val="bottom"/>
            <w:shd w:val="clear" w:color="auto" w:fill="CFF0FC"/>
          </w:tcPr>
          <w:p>
            <w:pPr>
              <w:spacing w:after="0"/>
              <w:rPr>
                <w:sz w:val="23"/>
                <w:szCs w:val="23"/>
                <w:color w:val="auto"/>
              </w:rPr>
            </w:pPr>
          </w:p>
        </w:tc>
      </w:tr>
      <w:tr>
        <w:trPr>
          <w:trHeight w:val="204"/>
        </w:trPr>
        <w:tc>
          <w:tcPr>
            <w:tcW w:w="7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82"/>
        </w:trPr>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Property and equipment, net</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8,721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3,090</w:t>
            </w:r>
          </w:p>
        </w:tc>
        <w:tc>
          <w:tcPr>
            <w:tcW w:w="220" w:type="dxa"/>
            <w:vAlign w:val="bottom"/>
          </w:tcPr>
          <w:p>
            <w:pPr>
              <w:spacing w:after="0"/>
              <w:rPr>
                <w:sz w:val="24"/>
                <w:szCs w:val="24"/>
                <w:color w:val="auto"/>
              </w:rPr>
            </w:pPr>
          </w:p>
        </w:tc>
      </w:tr>
      <w:tr>
        <w:trPr>
          <w:trHeight w:val="204"/>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82"/>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2"/>
                <w:szCs w:val="22"/>
                <w:color w:val="auto"/>
              </w:rPr>
              <w:t>Marketable securities, noncurrent</w:t>
            </w:r>
          </w:p>
        </w:tc>
        <w:tc>
          <w:tcPr>
            <w:tcW w:w="260" w:type="dxa"/>
            <w:vAlign w:val="bottom"/>
            <w:shd w:val="clear" w:color="auto" w:fill="CFF0FC"/>
          </w:tcPr>
          <w:p>
            <w:pPr>
              <w:spacing w:after="0"/>
              <w:rPr>
                <w:sz w:val="24"/>
                <w:szCs w:val="24"/>
                <w:color w:val="auto"/>
              </w:rPr>
            </w:pPr>
          </w:p>
        </w:tc>
        <w:tc>
          <w:tcPr>
            <w:tcW w:w="15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16,911</w:t>
            </w:r>
          </w:p>
        </w:tc>
        <w:tc>
          <w:tcPr>
            <w:tcW w:w="220" w:type="dxa"/>
            <w:vAlign w:val="bottom"/>
            <w:shd w:val="clear" w:color="auto" w:fill="CFF0FC"/>
          </w:tcPr>
          <w:p>
            <w:pPr>
              <w:spacing w:after="0"/>
              <w:rPr>
                <w:sz w:val="24"/>
                <w:szCs w:val="24"/>
                <w:color w:val="auto"/>
              </w:rPr>
            </w:pPr>
          </w:p>
        </w:tc>
      </w:tr>
      <w:tr>
        <w:trPr>
          <w:trHeight w:val="204"/>
        </w:trPr>
        <w:tc>
          <w:tcPr>
            <w:tcW w:w="7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82"/>
        </w:trPr>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Right-of-use assets, operating leases</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9,670</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10,060</w:t>
            </w:r>
          </w:p>
        </w:tc>
        <w:tc>
          <w:tcPr>
            <w:tcW w:w="220" w:type="dxa"/>
            <w:vAlign w:val="bottom"/>
          </w:tcPr>
          <w:p>
            <w:pPr>
              <w:spacing w:after="0"/>
              <w:rPr>
                <w:sz w:val="24"/>
                <w:szCs w:val="24"/>
                <w:color w:val="auto"/>
              </w:rPr>
            </w:pPr>
          </w:p>
        </w:tc>
      </w:tr>
      <w:tr>
        <w:trPr>
          <w:trHeight w:val="204"/>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82"/>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2"/>
                <w:szCs w:val="22"/>
                <w:color w:val="auto"/>
              </w:rPr>
              <w:t>Other assets</w:t>
            </w:r>
          </w:p>
        </w:tc>
        <w:tc>
          <w:tcPr>
            <w:tcW w:w="26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308</w:t>
            </w:r>
          </w:p>
        </w:tc>
        <w:tc>
          <w:tcPr>
            <w:tcW w:w="3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221</w:t>
            </w:r>
          </w:p>
        </w:tc>
        <w:tc>
          <w:tcPr>
            <w:tcW w:w="220" w:type="dxa"/>
            <w:vAlign w:val="bottom"/>
            <w:shd w:val="clear" w:color="auto" w:fill="CFF0FC"/>
          </w:tcPr>
          <w:p>
            <w:pPr>
              <w:spacing w:after="0"/>
              <w:rPr>
                <w:sz w:val="24"/>
                <w:szCs w:val="24"/>
                <w:color w:val="auto"/>
              </w:rPr>
            </w:pPr>
          </w:p>
        </w:tc>
      </w:tr>
      <w:tr>
        <w:trPr>
          <w:trHeight w:val="190"/>
        </w:trPr>
        <w:tc>
          <w:tcPr>
            <w:tcW w:w="76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r>
      <w:tr>
        <w:trPr>
          <w:trHeight w:val="276"/>
        </w:trPr>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assets</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300,564</w:t>
            </w:r>
          </w:p>
        </w:tc>
        <w:tc>
          <w:tcPr>
            <w:tcW w:w="320" w:type="dxa"/>
            <w:vAlign w:val="bottom"/>
          </w:tcPr>
          <w:p>
            <w:pPr>
              <w:spacing w:after="0"/>
              <w:rPr>
                <w:sz w:val="23"/>
                <w:szCs w:val="23"/>
                <w:color w:val="auto"/>
              </w:rPr>
            </w:pP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331,568</w:t>
            </w:r>
          </w:p>
        </w:tc>
        <w:tc>
          <w:tcPr>
            <w:tcW w:w="220" w:type="dxa"/>
            <w:vAlign w:val="bottom"/>
          </w:tcPr>
          <w:p>
            <w:pPr>
              <w:spacing w:after="0"/>
              <w:rPr>
                <w:sz w:val="23"/>
                <w:szCs w:val="23"/>
                <w:color w:val="auto"/>
              </w:rPr>
            </w:pPr>
          </w:p>
        </w:tc>
      </w:tr>
      <w:tr>
        <w:trPr>
          <w:trHeight w:val="163"/>
        </w:trPr>
        <w:tc>
          <w:tcPr>
            <w:tcW w:w="7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2"/>
                <w:szCs w:val="22"/>
                <w:b w:val="1"/>
                <w:bCs w:val="1"/>
                <w:color w:val="auto"/>
              </w:rPr>
              <w:t>Liabilities and Stockholders’ Equity</w:t>
            </w:r>
          </w:p>
        </w:tc>
        <w:tc>
          <w:tcPr>
            <w:tcW w:w="26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r>
      <w:tr>
        <w:trPr>
          <w:trHeight w:val="240"/>
        </w:trPr>
        <w:tc>
          <w:tcPr>
            <w:tcW w:w="7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82"/>
        </w:trPr>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Current liabilities: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4"/>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82"/>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2"/>
                <w:szCs w:val="22"/>
                <w:color w:val="auto"/>
              </w:rPr>
              <w:t>Accounts payable</w:t>
            </w:r>
          </w:p>
        </w:tc>
        <w:tc>
          <w:tcPr>
            <w:tcW w:w="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3,348</w:t>
            </w:r>
          </w:p>
        </w:tc>
        <w:tc>
          <w:tcPr>
            <w:tcW w:w="32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3,189</w:t>
            </w:r>
          </w:p>
        </w:tc>
        <w:tc>
          <w:tcPr>
            <w:tcW w:w="220" w:type="dxa"/>
            <w:vAlign w:val="bottom"/>
            <w:shd w:val="clear" w:color="auto" w:fill="CFF0FC"/>
          </w:tcPr>
          <w:p>
            <w:pPr>
              <w:spacing w:after="0"/>
              <w:rPr>
                <w:sz w:val="24"/>
                <w:szCs w:val="24"/>
                <w:color w:val="auto"/>
              </w:rPr>
            </w:pPr>
          </w:p>
        </w:tc>
      </w:tr>
      <w:tr>
        <w:trPr>
          <w:trHeight w:val="204"/>
        </w:trPr>
        <w:tc>
          <w:tcPr>
            <w:tcW w:w="7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82"/>
        </w:trPr>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Accrued expenses</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7,652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8,627</w:t>
            </w:r>
          </w:p>
        </w:tc>
        <w:tc>
          <w:tcPr>
            <w:tcW w:w="220" w:type="dxa"/>
            <w:vAlign w:val="bottom"/>
          </w:tcPr>
          <w:p>
            <w:pPr>
              <w:spacing w:after="0"/>
              <w:rPr>
                <w:sz w:val="24"/>
                <w:szCs w:val="24"/>
                <w:color w:val="auto"/>
              </w:rPr>
            </w:pPr>
          </w:p>
        </w:tc>
      </w:tr>
      <w:tr>
        <w:trPr>
          <w:trHeight w:val="204"/>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82"/>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2"/>
                <w:szCs w:val="22"/>
                <w:color w:val="auto"/>
              </w:rPr>
              <w:t>Operating lease liability, current</w:t>
            </w:r>
          </w:p>
        </w:tc>
        <w:tc>
          <w:tcPr>
            <w:tcW w:w="26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383</w:t>
            </w:r>
          </w:p>
        </w:tc>
        <w:tc>
          <w:tcPr>
            <w:tcW w:w="3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403</w:t>
            </w:r>
          </w:p>
        </w:tc>
        <w:tc>
          <w:tcPr>
            <w:tcW w:w="220" w:type="dxa"/>
            <w:vAlign w:val="bottom"/>
            <w:shd w:val="clear" w:color="auto" w:fill="CFF0FC"/>
          </w:tcPr>
          <w:p>
            <w:pPr>
              <w:spacing w:after="0"/>
              <w:rPr>
                <w:sz w:val="24"/>
                <w:szCs w:val="24"/>
                <w:color w:val="auto"/>
              </w:rPr>
            </w:pPr>
          </w:p>
        </w:tc>
      </w:tr>
      <w:tr>
        <w:trPr>
          <w:trHeight w:val="190"/>
        </w:trPr>
        <w:tc>
          <w:tcPr>
            <w:tcW w:w="76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r>
      <w:tr>
        <w:trPr>
          <w:trHeight w:val="276"/>
        </w:trPr>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current liabilities</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11,383</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12,219</w:t>
            </w:r>
          </w:p>
        </w:tc>
        <w:tc>
          <w:tcPr>
            <w:tcW w:w="220" w:type="dxa"/>
            <w:vAlign w:val="bottom"/>
          </w:tcPr>
          <w:p>
            <w:pPr>
              <w:spacing w:after="0"/>
              <w:rPr>
                <w:sz w:val="23"/>
                <w:szCs w:val="23"/>
                <w:color w:val="auto"/>
              </w:rPr>
            </w:pPr>
          </w:p>
        </w:tc>
      </w:tr>
      <w:tr>
        <w:trPr>
          <w:trHeight w:val="204"/>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82"/>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2"/>
                <w:szCs w:val="22"/>
                <w:color w:val="auto"/>
              </w:rPr>
              <w:t>Operating lease liability, noncurrent</w:t>
            </w:r>
          </w:p>
        </w:tc>
        <w:tc>
          <w:tcPr>
            <w:tcW w:w="26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12,211</w:t>
            </w:r>
          </w:p>
        </w:tc>
        <w:tc>
          <w:tcPr>
            <w:tcW w:w="3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10,790</w:t>
            </w:r>
          </w:p>
        </w:tc>
        <w:tc>
          <w:tcPr>
            <w:tcW w:w="220" w:type="dxa"/>
            <w:vAlign w:val="bottom"/>
            <w:shd w:val="clear" w:color="auto" w:fill="CFF0FC"/>
          </w:tcPr>
          <w:p>
            <w:pPr>
              <w:spacing w:after="0"/>
              <w:rPr>
                <w:sz w:val="24"/>
                <w:szCs w:val="24"/>
                <w:color w:val="auto"/>
              </w:rPr>
            </w:pPr>
          </w:p>
        </w:tc>
      </w:tr>
      <w:tr>
        <w:trPr>
          <w:trHeight w:val="190"/>
        </w:trPr>
        <w:tc>
          <w:tcPr>
            <w:tcW w:w="76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r>
      <w:tr>
        <w:trPr>
          <w:trHeight w:val="276"/>
        </w:trPr>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liabilities</w:t>
            </w:r>
          </w:p>
        </w:tc>
        <w:tc>
          <w:tcPr>
            <w:tcW w:w="2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23,594</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23,009</w:t>
            </w:r>
          </w:p>
        </w:tc>
        <w:tc>
          <w:tcPr>
            <w:tcW w:w="220" w:type="dxa"/>
            <w:vAlign w:val="bottom"/>
          </w:tcPr>
          <w:p>
            <w:pPr>
              <w:spacing w:after="0"/>
              <w:rPr>
                <w:sz w:val="23"/>
                <w:szCs w:val="23"/>
                <w:color w:val="auto"/>
              </w:rPr>
            </w:pPr>
          </w:p>
        </w:tc>
      </w:tr>
      <w:tr>
        <w:trPr>
          <w:trHeight w:val="190"/>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7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2"/>
                <w:szCs w:val="22"/>
                <w:color w:val="auto"/>
              </w:rPr>
              <w:t>Stockholders’ equity:</w:t>
            </w:r>
          </w:p>
        </w:tc>
        <w:tc>
          <w:tcPr>
            <w:tcW w:w="26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r>
      <w:tr>
        <w:trPr>
          <w:trHeight w:val="472"/>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2"/>
                <w:szCs w:val="22"/>
                <w:color w:val="auto"/>
              </w:rPr>
              <w:t>Common stock</w:t>
            </w:r>
          </w:p>
        </w:tc>
        <w:tc>
          <w:tcPr>
            <w:tcW w:w="260" w:type="dxa"/>
            <w:vAlign w:val="bottom"/>
            <w:shd w:val="clear" w:color="auto" w:fill="CFF0FC"/>
          </w:tcPr>
          <w:p>
            <w:pPr>
              <w:spacing w:after="0"/>
              <w:rPr>
                <w:sz w:val="24"/>
                <w:szCs w:val="24"/>
                <w:color w:val="auto"/>
              </w:rPr>
            </w:pPr>
          </w:p>
        </w:tc>
        <w:tc>
          <w:tcPr>
            <w:tcW w:w="15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shd w:val="clear" w:color="auto" w:fill="CFF0FC"/>
          </w:tcPr>
          <w:p>
            <w:pPr>
              <w:spacing w:after="0"/>
              <w:rPr>
                <w:sz w:val="24"/>
                <w:szCs w:val="24"/>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r>
      <w:tr>
        <w:trPr>
          <w:trHeight w:val="231"/>
        </w:trPr>
        <w:tc>
          <w:tcPr>
            <w:tcW w:w="7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82"/>
        </w:trPr>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Additional paid-in capital</w:t>
            </w:r>
          </w:p>
        </w:tc>
        <w:tc>
          <w:tcPr>
            <w:tcW w:w="2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481,462</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476,363</w:t>
            </w:r>
          </w:p>
        </w:tc>
        <w:tc>
          <w:tcPr>
            <w:tcW w:w="220" w:type="dxa"/>
            <w:vAlign w:val="bottom"/>
          </w:tcPr>
          <w:p>
            <w:pPr>
              <w:spacing w:after="0"/>
              <w:rPr>
                <w:sz w:val="24"/>
                <w:szCs w:val="24"/>
                <w:color w:val="auto"/>
              </w:rPr>
            </w:pPr>
          </w:p>
        </w:tc>
      </w:tr>
      <w:tr>
        <w:trPr>
          <w:trHeight w:val="204"/>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spacing w:after="0"/>
              <w:rPr>
                <w:sz w:val="17"/>
                <w:szCs w:val="17"/>
                <w:color w:val="auto"/>
              </w:rPr>
            </w:pPr>
          </w:p>
        </w:tc>
      </w:tr>
      <w:tr>
        <w:trPr>
          <w:trHeight w:val="282"/>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2"/>
                <w:szCs w:val="22"/>
                <w:color w:val="auto"/>
              </w:rPr>
              <w:t>Accumulated deficit</w:t>
            </w:r>
          </w:p>
        </w:tc>
        <w:tc>
          <w:tcPr>
            <w:tcW w:w="260" w:type="dxa"/>
            <w:vAlign w:val="bottom"/>
            <w:shd w:val="clear" w:color="auto" w:fill="CFF0FC"/>
          </w:tcPr>
          <w:p>
            <w:pPr>
              <w:spacing w:after="0"/>
              <w:rPr>
                <w:sz w:val="24"/>
                <w:szCs w:val="24"/>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22"/>
                <w:szCs w:val="22"/>
                <w:color w:val="auto"/>
              </w:rPr>
              <w:t>(203,469)</w:t>
            </w:r>
          </w:p>
        </w:tc>
        <w:tc>
          <w:tcPr>
            <w:tcW w:w="240" w:type="dxa"/>
            <w:vAlign w:val="bottom"/>
            <w:shd w:val="clear" w:color="auto" w:fill="CFF0FC"/>
          </w:tcPr>
          <w:p>
            <w:pPr>
              <w:spacing w:after="0"/>
              <w:rPr>
                <w:sz w:val="24"/>
                <w:szCs w:val="24"/>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22"/>
                <w:szCs w:val="22"/>
                <w:color w:val="auto"/>
              </w:rPr>
              <w:t>(167,726)</w:t>
            </w:r>
          </w:p>
        </w:tc>
      </w:tr>
      <w:tr>
        <w:trPr>
          <w:trHeight w:val="204"/>
        </w:trPr>
        <w:tc>
          <w:tcPr>
            <w:tcW w:w="7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spacing w:after="0"/>
              <w:rPr>
                <w:sz w:val="17"/>
                <w:szCs w:val="17"/>
                <w:color w:val="auto"/>
              </w:rPr>
            </w:pPr>
          </w:p>
        </w:tc>
      </w:tr>
      <w:tr>
        <w:trPr>
          <w:trHeight w:val="282"/>
        </w:trPr>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Accumulated other comprehensive loss</w:t>
            </w:r>
          </w:p>
        </w:tc>
        <w:tc>
          <w:tcPr>
            <w:tcW w:w="260" w:type="dxa"/>
            <w:vAlign w:val="bottom"/>
          </w:tcPr>
          <w:p>
            <w:pPr>
              <w:spacing w:after="0"/>
              <w:rPr>
                <w:sz w:val="24"/>
                <w:szCs w:val="24"/>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(1,023)</w:t>
            </w:r>
          </w:p>
        </w:tc>
        <w:tc>
          <w:tcPr>
            <w:tcW w:w="240" w:type="dxa"/>
            <w:vAlign w:val="bottom"/>
          </w:tcPr>
          <w:p>
            <w:pPr>
              <w:spacing w:after="0"/>
              <w:rPr>
                <w:sz w:val="24"/>
                <w:szCs w:val="2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(78)</w:t>
            </w:r>
          </w:p>
        </w:tc>
      </w:tr>
      <w:tr>
        <w:trPr>
          <w:trHeight w:val="190"/>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7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2"/>
                <w:szCs w:val="22"/>
                <w:color w:val="auto"/>
              </w:rPr>
              <w:t>Total stockholders’ equity</w:t>
            </w:r>
          </w:p>
        </w:tc>
        <w:tc>
          <w:tcPr>
            <w:tcW w:w="260" w:type="dxa"/>
            <w:vAlign w:val="bottom"/>
            <w:shd w:val="clear" w:color="auto" w:fill="CFF0FC"/>
          </w:tcPr>
          <w:p>
            <w:pPr>
              <w:spacing w:after="0"/>
              <w:rPr>
                <w:sz w:val="23"/>
                <w:szCs w:val="2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276,970</w:t>
            </w:r>
          </w:p>
        </w:tc>
        <w:tc>
          <w:tcPr>
            <w:tcW w:w="3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308,559</w:t>
            </w:r>
          </w:p>
        </w:tc>
        <w:tc>
          <w:tcPr>
            <w:tcW w:w="220" w:type="dxa"/>
            <w:vAlign w:val="bottom"/>
            <w:shd w:val="clear" w:color="auto" w:fill="CFF0FC"/>
          </w:tcPr>
          <w:p>
            <w:pPr>
              <w:spacing w:after="0"/>
              <w:rPr>
                <w:sz w:val="23"/>
                <w:szCs w:val="23"/>
                <w:color w:val="auto"/>
              </w:rPr>
            </w:pPr>
          </w:p>
        </w:tc>
      </w:tr>
      <w:tr>
        <w:trPr>
          <w:trHeight w:val="190"/>
        </w:trPr>
        <w:tc>
          <w:tcPr>
            <w:tcW w:w="76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r>
      <w:tr>
        <w:trPr>
          <w:trHeight w:val="276"/>
        </w:trPr>
        <w:tc>
          <w:tcPr>
            <w:tcW w:w="7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liabilities and stockholders’ equity</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300,564</w:t>
            </w:r>
          </w:p>
        </w:tc>
        <w:tc>
          <w:tcPr>
            <w:tcW w:w="320" w:type="dxa"/>
            <w:vAlign w:val="bottom"/>
          </w:tcPr>
          <w:p>
            <w:pPr>
              <w:spacing w:after="0"/>
              <w:rPr>
                <w:sz w:val="23"/>
                <w:szCs w:val="23"/>
                <w:color w:val="auto"/>
              </w:rPr>
            </w:pP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331,568</w:t>
            </w:r>
          </w:p>
        </w:tc>
        <w:tc>
          <w:tcPr>
            <w:tcW w:w="220" w:type="dxa"/>
            <w:vAlign w:val="bottom"/>
          </w:tcPr>
          <w:p>
            <w:pPr>
              <w:spacing w:after="0"/>
              <w:rPr>
                <w:sz w:val="23"/>
                <w:szCs w:val="23"/>
                <w:color w:val="auto"/>
              </w:rPr>
            </w:pPr>
          </w:p>
        </w:tc>
      </w:tr>
      <w:tr>
        <w:trPr>
          <w:trHeight w:val="163"/>
        </w:trPr>
        <w:tc>
          <w:tcPr>
            <w:tcW w:w="7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14"/>
        </w:trPr>
        <w:tc>
          <w:tcPr>
            <w:tcW w:w="7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-5331460</wp:posOffset>
            </wp:positionV>
            <wp:extent cx="137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-5331460</wp:posOffset>
            </wp:positionV>
            <wp:extent cx="137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-5013960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-4996815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-3453765</wp:posOffset>
            </wp:positionV>
            <wp:extent cx="137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-3453765</wp:posOffset>
            </wp:positionV>
            <wp:extent cx="137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-2836545</wp:posOffset>
            </wp:positionV>
            <wp:extent cx="137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-2836545</wp:posOffset>
            </wp:positionV>
            <wp:extent cx="137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-2519680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-668020</wp:posOffset>
            </wp:positionV>
            <wp:extent cx="137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-668020</wp:posOffset>
            </wp:positionV>
            <wp:extent cx="137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3" w:right="339" w:bottom="663" w:gutter="0" w:footer="0" w:header="0"/>
        </w:sectPr>
      </w:pPr>
    </w:p>
    <w:bookmarkStart w:id="6" w:name="page7"/>
    <w:bookmarkEnd w:id="6"/>
    <w:p>
      <w:pPr>
        <w:ind w:left="4480"/>
        <w:spacing w:after="0"/>
        <w:rPr>
          <w:sz w:val="20"/>
          <w:szCs w:val="20"/>
          <w:color w:val="auto"/>
        </w:rPr>
      </w:pPr>
      <w:r>
        <w:rPr>
          <w:rFonts w:ascii="Arial" w:cs="Arial" w:eastAsia="Arial" w:hAnsi="Arial"/>
          <w:sz w:val="18"/>
          <w:szCs w:val="18"/>
          <w:b w:val="1"/>
          <w:bCs w:val="1"/>
          <w:color w:val="auto"/>
        </w:rPr>
        <w:t>PMV Pharmaceuticals, Inc.</w:t>
      </w:r>
    </w:p>
    <w:p>
      <w:pPr>
        <w:spacing w:after="0" w:line="23"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88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31"/>
        </w:trPr>
        <w:tc>
          <w:tcPr>
            <w:tcW w:w="47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84"/>
        </w:trPr>
        <w:tc>
          <w:tcPr>
            <w:tcW w:w="4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120"/>
        </w:trPr>
        <w:tc>
          <w:tcPr>
            <w:tcW w:w="47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7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2"/>
                <w:szCs w:val="22"/>
                <w:color w:val="auto"/>
              </w:rPr>
              <w:t>Operating expenses:</w:t>
            </w:r>
          </w:p>
        </w:tc>
        <w:tc>
          <w:tcPr>
            <w:tcW w:w="30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1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04"/>
        </w:trPr>
        <w:tc>
          <w:tcPr>
            <w:tcW w:w="4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82"/>
        </w:trPr>
        <w:tc>
          <w:tcPr>
            <w:tcW w:w="4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Research and development</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11,462</w:t>
            </w:r>
          </w:p>
        </w:tc>
        <w:tc>
          <w:tcPr>
            <w:tcW w:w="24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7,664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23,297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15,163</w:t>
            </w:r>
          </w:p>
        </w:tc>
        <w:tc>
          <w:tcPr>
            <w:tcW w:w="100" w:type="dxa"/>
            <w:vAlign w:val="bottom"/>
          </w:tcPr>
          <w:p>
            <w:pPr>
              <w:spacing w:after="0"/>
              <w:rPr>
                <w:sz w:val="24"/>
                <w:szCs w:val="24"/>
                <w:color w:val="auto"/>
              </w:rPr>
            </w:pPr>
          </w:p>
        </w:tc>
      </w:tr>
      <w:tr>
        <w:trPr>
          <w:trHeight w:val="204"/>
        </w:trPr>
        <w:tc>
          <w:tcPr>
            <w:tcW w:w="4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82"/>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2"/>
                <w:szCs w:val="22"/>
                <w:color w:val="auto"/>
              </w:rPr>
              <w:t>General and administrative</w:t>
            </w:r>
          </w:p>
        </w:tc>
        <w:tc>
          <w:tcPr>
            <w:tcW w:w="300" w:type="dxa"/>
            <w:vAlign w:val="bottom"/>
            <w:shd w:val="clear" w:color="auto" w:fill="CFF0FC"/>
          </w:tcPr>
          <w:p>
            <w:pPr>
              <w:spacing w:after="0"/>
              <w:rPr>
                <w:sz w:val="24"/>
                <w:szCs w:val="2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6,423</w:t>
            </w:r>
          </w:p>
        </w:tc>
        <w:tc>
          <w:tcPr>
            <w:tcW w:w="2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5,386</w:t>
            </w:r>
          </w:p>
        </w:tc>
        <w:tc>
          <w:tcPr>
            <w:tcW w:w="1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13,206</w:t>
            </w:r>
          </w:p>
        </w:tc>
        <w:tc>
          <w:tcPr>
            <w:tcW w:w="1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9,560</w:t>
            </w:r>
          </w:p>
        </w:tc>
        <w:tc>
          <w:tcPr>
            <w:tcW w:w="100" w:type="dxa"/>
            <w:vAlign w:val="bottom"/>
            <w:shd w:val="clear" w:color="auto" w:fill="CFF0FC"/>
          </w:tcPr>
          <w:p>
            <w:pPr>
              <w:spacing w:after="0"/>
              <w:rPr>
                <w:sz w:val="24"/>
                <w:szCs w:val="24"/>
                <w:color w:val="auto"/>
              </w:rPr>
            </w:pPr>
          </w:p>
        </w:tc>
      </w:tr>
      <w:tr>
        <w:trPr>
          <w:trHeight w:val="204"/>
        </w:trPr>
        <w:tc>
          <w:tcPr>
            <w:tcW w:w="47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76"/>
        </w:trPr>
        <w:tc>
          <w:tcPr>
            <w:tcW w:w="4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Total operating expenses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17,885</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13,050</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36,503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24,723</w:t>
            </w:r>
          </w:p>
        </w:tc>
        <w:tc>
          <w:tcPr>
            <w:tcW w:w="100" w:type="dxa"/>
            <w:vAlign w:val="bottom"/>
          </w:tcPr>
          <w:p>
            <w:pPr>
              <w:spacing w:after="0"/>
              <w:rPr>
                <w:sz w:val="23"/>
                <w:szCs w:val="23"/>
                <w:color w:val="auto"/>
              </w:rPr>
            </w:pPr>
          </w:p>
        </w:tc>
      </w:tr>
      <w:tr>
        <w:trPr>
          <w:trHeight w:val="204"/>
        </w:trPr>
        <w:tc>
          <w:tcPr>
            <w:tcW w:w="4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7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2"/>
                <w:szCs w:val="22"/>
                <w:color w:val="auto"/>
              </w:rPr>
              <w:t>Loss from operations</w:t>
            </w:r>
          </w:p>
        </w:tc>
        <w:tc>
          <w:tcPr>
            <w:tcW w:w="300" w:type="dxa"/>
            <w:vAlign w:val="bottom"/>
            <w:shd w:val="clear" w:color="auto" w:fill="CFF0FC"/>
          </w:tcPr>
          <w:p>
            <w:pPr>
              <w:spacing w:after="0"/>
              <w:rPr>
                <w:sz w:val="23"/>
                <w:szCs w:val="2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(17,885)</w:t>
            </w:r>
          </w:p>
        </w:tc>
        <w:tc>
          <w:tcPr>
            <w:tcW w:w="24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(13,050)</w:t>
            </w:r>
          </w:p>
        </w:tc>
        <w:tc>
          <w:tcPr>
            <w:tcW w:w="12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(36,503)</w:t>
            </w:r>
          </w:p>
        </w:tc>
        <w:tc>
          <w:tcPr>
            <w:tcW w:w="1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(24,723)</w:t>
            </w:r>
          </w:p>
        </w:tc>
        <w:tc>
          <w:tcPr>
            <w:tcW w:w="100" w:type="dxa"/>
            <w:vAlign w:val="bottom"/>
            <w:shd w:val="clear" w:color="auto" w:fill="CFF0FC"/>
          </w:tcPr>
          <w:p>
            <w:pPr>
              <w:spacing w:after="0"/>
              <w:rPr>
                <w:sz w:val="23"/>
                <w:szCs w:val="23"/>
                <w:color w:val="auto"/>
              </w:rPr>
            </w:pPr>
          </w:p>
        </w:tc>
      </w:tr>
      <w:tr>
        <w:trPr>
          <w:trHeight w:val="204"/>
        </w:trPr>
        <w:tc>
          <w:tcPr>
            <w:tcW w:w="4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82"/>
        </w:trPr>
        <w:tc>
          <w:tcPr>
            <w:tcW w:w="4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income (expense):</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4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82"/>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2"/>
                <w:szCs w:val="22"/>
                <w:color w:val="auto"/>
              </w:rPr>
              <w:t>Interest income, net</w:t>
            </w:r>
          </w:p>
        </w:tc>
        <w:tc>
          <w:tcPr>
            <w:tcW w:w="300" w:type="dxa"/>
            <w:vAlign w:val="bottom"/>
            <w:shd w:val="clear" w:color="auto" w:fill="CFF0FC"/>
          </w:tcPr>
          <w:p>
            <w:pPr>
              <w:spacing w:after="0"/>
              <w:rPr>
                <w:sz w:val="24"/>
                <w:szCs w:val="2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604</w:t>
            </w:r>
          </w:p>
        </w:tc>
        <w:tc>
          <w:tcPr>
            <w:tcW w:w="2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113</w:t>
            </w:r>
          </w:p>
        </w:tc>
        <w:tc>
          <w:tcPr>
            <w:tcW w:w="1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832</w:t>
            </w:r>
          </w:p>
        </w:tc>
        <w:tc>
          <w:tcPr>
            <w:tcW w:w="1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241</w:t>
            </w:r>
          </w:p>
        </w:tc>
        <w:tc>
          <w:tcPr>
            <w:tcW w:w="100" w:type="dxa"/>
            <w:vAlign w:val="bottom"/>
            <w:shd w:val="clear" w:color="auto" w:fill="CFF0FC"/>
          </w:tcPr>
          <w:p>
            <w:pPr>
              <w:spacing w:after="0"/>
              <w:rPr>
                <w:sz w:val="24"/>
                <w:szCs w:val="24"/>
                <w:color w:val="auto"/>
              </w:rPr>
            </w:pPr>
          </w:p>
        </w:tc>
      </w:tr>
      <w:tr>
        <w:trPr>
          <w:trHeight w:val="204"/>
        </w:trPr>
        <w:tc>
          <w:tcPr>
            <w:tcW w:w="4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82"/>
        </w:trPr>
        <w:tc>
          <w:tcPr>
            <w:tcW w:w="4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expense</w:t>
            </w:r>
          </w:p>
        </w:tc>
        <w:tc>
          <w:tcPr>
            <w:tcW w:w="30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(31)</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100" w:type="dxa"/>
            <w:vAlign w:val="bottom"/>
          </w:tcPr>
          <w:p>
            <w:pPr>
              <w:spacing w:after="0"/>
              <w:rPr>
                <w:sz w:val="24"/>
                <w:szCs w:val="24"/>
                <w:color w:val="auto"/>
              </w:rPr>
            </w:pPr>
          </w:p>
        </w:tc>
      </w:tr>
      <w:tr>
        <w:trPr>
          <w:trHeight w:val="204"/>
        </w:trPr>
        <w:tc>
          <w:tcPr>
            <w:tcW w:w="4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7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2"/>
                <w:szCs w:val="22"/>
                <w:color w:val="auto"/>
              </w:rPr>
              <w:t>Total other income (expense)</w:t>
            </w:r>
          </w:p>
        </w:tc>
        <w:tc>
          <w:tcPr>
            <w:tcW w:w="300" w:type="dxa"/>
            <w:vAlign w:val="bottom"/>
            <w:shd w:val="clear" w:color="auto" w:fill="CFF0FC"/>
          </w:tcPr>
          <w:p>
            <w:pPr>
              <w:spacing w:after="0"/>
              <w:rPr>
                <w:sz w:val="23"/>
                <w:szCs w:val="2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573</w:t>
            </w:r>
          </w:p>
        </w:tc>
        <w:tc>
          <w:tcPr>
            <w:tcW w:w="24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176</w:t>
            </w:r>
          </w:p>
        </w:tc>
        <w:tc>
          <w:tcPr>
            <w:tcW w:w="12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760</w:t>
            </w:r>
          </w:p>
        </w:tc>
        <w:tc>
          <w:tcPr>
            <w:tcW w:w="1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252</w:t>
            </w:r>
          </w:p>
        </w:tc>
        <w:tc>
          <w:tcPr>
            <w:tcW w:w="100" w:type="dxa"/>
            <w:vAlign w:val="bottom"/>
            <w:shd w:val="clear" w:color="auto" w:fill="CFF0FC"/>
          </w:tcPr>
          <w:p>
            <w:pPr>
              <w:spacing w:after="0"/>
              <w:rPr>
                <w:sz w:val="23"/>
                <w:szCs w:val="23"/>
                <w:color w:val="auto"/>
              </w:rPr>
            </w:pPr>
          </w:p>
        </w:tc>
      </w:tr>
      <w:tr>
        <w:trPr>
          <w:trHeight w:val="204"/>
        </w:trPr>
        <w:tc>
          <w:tcPr>
            <w:tcW w:w="47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76"/>
        </w:trPr>
        <w:tc>
          <w:tcPr>
            <w:tcW w:w="4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Loss before provision for income taxes</w:t>
            </w:r>
          </w:p>
        </w:tc>
        <w:tc>
          <w:tcPr>
            <w:tcW w:w="300" w:type="dxa"/>
            <w:vAlign w:val="bottom"/>
          </w:tcPr>
          <w:p>
            <w:pPr>
              <w:spacing w:after="0"/>
              <w:rPr>
                <w:sz w:val="23"/>
                <w:szCs w:val="23"/>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(17,312)</w:t>
            </w:r>
          </w:p>
        </w:tc>
        <w:tc>
          <w:tcPr>
            <w:tcW w:w="280" w:type="dxa"/>
            <w:vAlign w:val="bottom"/>
          </w:tcPr>
          <w:p>
            <w:pPr>
              <w:spacing w:after="0"/>
              <w:rPr>
                <w:sz w:val="23"/>
                <w:szCs w:val="23"/>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(12,874)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(35,743)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(24,472)</w:t>
            </w:r>
          </w:p>
        </w:tc>
      </w:tr>
      <w:tr>
        <w:trPr>
          <w:trHeight w:val="204"/>
        </w:trPr>
        <w:tc>
          <w:tcPr>
            <w:tcW w:w="4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82"/>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2"/>
                <w:szCs w:val="22"/>
                <w:color w:val="auto"/>
              </w:rPr>
              <w:t>Provision for income taxes</w:t>
            </w:r>
          </w:p>
        </w:tc>
        <w:tc>
          <w:tcPr>
            <w:tcW w:w="30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22"/>
                <w:szCs w:val="22"/>
                <w:color w:val="auto"/>
              </w:rPr>
              <w:t>(2)</w:t>
            </w:r>
          </w:p>
        </w:tc>
        <w:tc>
          <w:tcPr>
            <w:tcW w:w="280" w:type="dxa"/>
            <w:vAlign w:val="bottom"/>
            <w:shd w:val="clear" w:color="auto" w:fill="CFF0FC"/>
          </w:tcPr>
          <w:p>
            <w:pPr>
              <w:spacing w:after="0"/>
              <w:rPr>
                <w:sz w:val="24"/>
                <w:szCs w:val="24"/>
                <w:color w:val="auto"/>
              </w:rPr>
            </w:pPr>
          </w:p>
        </w:tc>
        <w:tc>
          <w:tcPr>
            <w:tcW w:w="13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shd w:val="clear" w:color="auto" w:fill="CFF0FC"/>
          </w:tcPr>
          <w:p>
            <w:pPr>
              <w:spacing w:after="0"/>
              <w:rPr>
                <w:sz w:val="24"/>
                <w:szCs w:val="24"/>
                <w:color w:val="auto"/>
              </w:rPr>
            </w:pPr>
          </w:p>
        </w:tc>
        <w:tc>
          <w:tcPr>
            <w:tcW w:w="13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shd w:val="clear" w:color="auto" w:fill="CFF0FC"/>
          </w:tcPr>
          <w:p>
            <w:pPr>
              <w:spacing w:after="0"/>
              <w:rPr>
                <w:sz w:val="24"/>
                <w:szCs w:val="2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100" w:type="dxa"/>
            <w:vAlign w:val="bottom"/>
            <w:shd w:val="clear" w:color="auto" w:fill="CFF0FC"/>
          </w:tcPr>
          <w:p>
            <w:pPr>
              <w:spacing w:after="0"/>
              <w:rPr>
                <w:sz w:val="24"/>
                <w:szCs w:val="24"/>
                <w:color w:val="auto"/>
              </w:rPr>
            </w:pPr>
          </w:p>
        </w:tc>
      </w:tr>
      <w:tr>
        <w:trPr>
          <w:trHeight w:val="204"/>
        </w:trPr>
        <w:tc>
          <w:tcPr>
            <w:tcW w:w="47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76"/>
        </w:trPr>
        <w:tc>
          <w:tcPr>
            <w:tcW w:w="4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Net loss</w:t>
            </w:r>
          </w:p>
        </w:tc>
        <w:tc>
          <w:tcPr>
            <w:tcW w:w="300" w:type="dxa"/>
            <w:vAlign w:val="bottom"/>
          </w:tcPr>
          <w:p>
            <w:pPr>
              <w:spacing w:after="0"/>
              <w:rPr>
                <w:sz w:val="23"/>
                <w:szCs w:val="23"/>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(17,310)</w:t>
            </w:r>
          </w:p>
        </w:tc>
        <w:tc>
          <w:tcPr>
            <w:tcW w:w="280" w:type="dxa"/>
            <w:vAlign w:val="bottom"/>
          </w:tcPr>
          <w:p>
            <w:pPr>
              <w:spacing w:after="0"/>
              <w:rPr>
                <w:sz w:val="23"/>
                <w:szCs w:val="23"/>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(12,874)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(35,743)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(24,476)</w:t>
            </w:r>
          </w:p>
        </w:tc>
      </w:tr>
      <w:tr>
        <w:trPr>
          <w:trHeight w:val="204"/>
        </w:trPr>
        <w:tc>
          <w:tcPr>
            <w:tcW w:w="4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82"/>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2"/>
                <w:szCs w:val="22"/>
                <w:color w:val="auto"/>
              </w:rPr>
              <w:t>Unrealized loss on marketable securities, net of tax</w:t>
            </w:r>
          </w:p>
        </w:tc>
        <w:tc>
          <w:tcPr>
            <w:tcW w:w="300" w:type="dxa"/>
            <w:vAlign w:val="bottom"/>
            <w:shd w:val="clear" w:color="auto" w:fill="CFF0FC"/>
          </w:tcPr>
          <w:p>
            <w:pPr>
              <w:spacing w:after="0"/>
              <w:rPr>
                <w:sz w:val="24"/>
                <w:szCs w:val="24"/>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22"/>
                <w:szCs w:val="22"/>
                <w:color w:val="auto"/>
              </w:rPr>
              <w:t>(357)</w:t>
            </w:r>
          </w:p>
        </w:tc>
        <w:tc>
          <w:tcPr>
            <w:tcW w:w="28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1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2"/>
                <w:szCs w:val="22"/>
                <w:color w:val="auto"/>
              </w:rPr>
              <w:t>(945)</w:t>
            </w:r>
          </w:p>
        </w:tc>
        <w:tc>
          <w:tcPr>
            <w:tcW w:w="1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100" w:type="dxa"/>
            <w:vAlign w:val="bottom"/>
            <w:shd w:val="clear" w:color="auto" w:fill="CFF0FC"/>
          </w:tcPr>
          <w:p>
            <w:pPr>
              <w:spacing w:after="0"/>
              <w:rPr>
                <w:sz w:val="24"/>
                <w:szCs w:val="24"/>
                <w:color w:val="auto"/>
              </w:rPr>
            </w:pPr>
          </w:p>
        </w:tc>
      </w:tr>
      <w:tr>
        <w:trPr>
          <w:trHeight w:val="204"/>
        </w:trPr>
        <w:tc>
          <w:tcPr>
            <w:tcW w:w="47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76"/>
        </w:trPr>
        <w:tc>
          <w:tcPr>
            <w:tcW w:w="4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Comprehensive loss</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(17,667)</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(12,854)</w:t>
            </w:r>
          </w:p>
        </w:tc>
        <w:tc>
          <w:tcPr>
            <w:tcW w:w="80" w:type="dxa"/>
            <w:vAlign w:val="bottom"/>
          </w:tcPr>
          <w:p>
            <w:pPr>
              <w:spacing w:after="0"/>
              <w:rPr>
                <w:sz w:val="23"/>
                <w:szCs w:val="23"/>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(36,688)</w:t>
            </w:r>
          </w:p>
        </w:tc>
        <w:tc>
          <w:tcPr>
            <w:tcW w:w="100" w:type="dxa"/>
            <w:vAlign w:val="bottom"/>
          </w:tcPr>
          <w:p>
            <w:pPr>
              <w:spacing w:after="0"/>
              <w:rPr>
                <w:sz w:val="23"/>
                <w:szCs w:val="23"/>
                <w:color w:val="auto"/>
              </w:rPr>
            </w:pP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(24,469)</w:t>
            </w:r>
          </w:p>
        </w:tc>
      </w:tr>
      <w:tr>
        <w:trPr>
          <w:trHeight w:val="163"/>
        </w:trPr>
        <w:tc>
          <w:tcPr>
            <w:tcW w:w="4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80"/>
        </w:trPr>
        <w:tc>
          <w:tcPr>
            <w:tcW w:w="47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447"/>
        </w:trPr>
        <w:tc>
          <w:tcPr>
            <w:tcW w:w="4740" w:type="dxa"/>
            <w:vAlign w:val="bottom"/>
            <w:tcBorders>
              <w:top w:val="single" w:sz="8" w:color="CFF0FC"/>
            </w:tcBorders>
            <w:shd w:val="clear" w:color="auto" w:fill="CFF0FC"/>
          </w:tcPr>
          <w:p>
            <w:pPr>
              <w:spacing w:after="0"/>
              <w:rPr>
                <w:sz w:val="24"/>
                <w:szCs w:val="24"/>
                <w:color w:val="auto"/>
              </w:rPr>
            </w:pPr>
          </w:p>
        </w:tc>
        <w:tc>
          <w:tcPr>
            <w:tcW w:w="300" w:type="dxa"/>
            <w:vAlign w:val="bottom"/>
            <w:tcBorders>
              <w:top w:val="single" w:sz="8" w:color="CFF0FC"/>
            </w:tcBorders>
            <w:shd w:val="clear" w:color="auto" w:fill="CFF0FC"/>
          </w:tcPr>
          <w:p>
            <w:pPr>
              <w:spacing w:after="0"/>
              <w:rPr>
                <w:sz w:val="24"/>
                <w:szCs w:val="24"/>
                <w:color w:val="auto"/>
              </w:rPr>
            </w:pPr>
          </w:p>
        </w:tc>
        <w:tc>
          <w:tcPr>
            <w:tcW w:w="1160" w:type="dxa"/>
            <w:vAlign w:val="bottom"/>
            <w:tcBorders>
              <w:top w:val="single" w:sz="8" w:color="CFF0FC"/>
            </w:tcBorders>
            <w:shd w:val="clear" w:color="auto" w:fill="CFF0FC"/>
          </w:tcPr>
          <w:p>
            <w:pPr>
              <w:spacing w:after="0"/>
              <w:rPr>
                <w:sz w:val="24"/>
                <w:szCs w:val="24"/>
                <w:color w:val="auto"/>
              </w:rPr>
            </w:pPr>
          </w:p>
        </w:tc>
        <w:tc>
          <w:tcPr>
            <w:tcW w:w="240" w:type="dxa"/>
            <w:vAlign w:val="bottom"/>
            <w:tcBorders>
              <w:top w:val="single" w:sz="8" w:color="CFF0FC"/>
            </w:tcBorders>
            <w:shd w:val="clear" w:color="auto" w:fill="CFF0FC"/>
          </w:tcPr>
          <w:p>
            <w:pPr>
              <w:spacing w:after="0"/>
              <w:rPr>
                <w:sz w:val="24"/>
                <w:szCs w:val="24"/>
                <w:color w:val="auto"/>
              </w:rPr>
            </w:pPr>
          </w:p>
        </w:tc>
        <w:tc>
          <w:tcPr>
            <w:tcW w:w="280" w:type="dxa"/>
            <w:vAlign w:val="bottom"/>
            <w:tcBorders>
              <w:top w:val="single" w:sz="8" w:color="CFF0FC"/>
            </w:tcBorders>
            <w:shd w:val="clear" w:color="auto" w:fill="CFF0FC"/>
          </w:tcPr>
          <w:p>
            <w:pPr>
              <w:spacing w:after="0"/>
              <w:rPr>
                <w:sz w:val="24"/>
                <w:szCs w:val="24"/>
                <w:color w:val="auto"/>
              </w:rPr>
            </w:pPr>
          </w:p>
        </w:tc>
        <w:tc>
          <w:tcPr>
            <w:tcW w:w="1140" w:type="dxa"/>
            <w:vAlign w:val="bottom"/>
            <w:tcBorders>
              <w:top w:val="single" w:sz="8" w:color="CFF0FC"/>
            </w:tcBorders>
            <w:shd w:val="clear" w:color="auto" w:fill="CFF0FC"/>
          </w:tcPr>
          <w:p>
            <w:pPr>
              <w:spacing w:after="0"/>
              <w:rPr>
                <w:sz w:val="24"/>
                <w:szCs w:val="24"/>
                <w:color w:val="auto"/>
              </w:rPr>
            </w:pPr>
          </w:p>
        </w:tc>
        <w:tc>
          <w:tcPr>
            <w:tcW w:w="120" w:type="dxa"/>
            <w:vAlign w:val="bottom"/>
            <w:tcBorders>
              <w:top w:val="single" w:sz="8" w:color="CFF0FC"/>
            </w:tcBorders>
            <w:shd w:val="clear" w:color="auto" w:fill="CFF0FC"/>
          </w:tcPr>
          <w:p>
            <w:pPr>
              <w:spacing w:after="0"/>
              <w:rPr>
                <w:sz w:val="24"/>
                <w:szCs w:val="24"/>
                <w:color w:val="auto"/>
              </w:rPr>
            </w:pPr>
          </w:p>
        </w:tc>
        <w:tc>
          <w:tcPr>
            <w:tcW w:w="80" w:type="dxa"/>
            <w:vAlign w:val="bottom"/>
            <w:tcBorders>
              <w:top w:val="single" w:sz="8" w:color="auto"/>
            </w:tcBorders>
            <w:shd w:val="clear" w:color="auto" w:fill="CFF0FC"/>
          </w:tcPr>
          <w:p>
            <w:pPr>
              <w:spacing w:after="0"/>
              <w:rPr>
                <w:sz w:val="24"/>
                <w:szCs w:val="24"/>
                <w:color w:val="auto"/>
              </w:rPr>
            </w:pPr>
          </w:p>
        </w:tc>
        <w:tc>
          <w:tcPr>
            <w:tcW w:w="300" w:type="dxa"/>
            <w:vAlign w:val="bottom"/>
            <w:tcBorders>
              <w:top w:val="single" w:sz="8" w:color="CFF0FC"/>
            </w:tcBorders>
            <w:shd w:val="clear" w:color="auto" w:fill="CFF0FC"/>
          </w:tcPr>
          <w:p>
            <w:pPr>
              <w:spacing w:after="0"/>
              <w:rPr>
                <w:sz w:val="24"/>
                <w:szCs w:val="24"/>
                <w:color w:val="auto"/>
              </w:rPr>
            </w:pPr>
          </w:p>
        </w:tc>
        <w:tc>
          <w:tcPr>
            <w:tcW w:w="1140" w:type="dxa"/>
            <w:vAlign w:val="bottom"/>
            <w:tcBorders>
              <w:top w:val="single" w:sz="8" w:color="CFF0FC"/>
            </w:tcBorders>
            <w:shd w:val="clear" w:color="auto" w:fill="CFF0FC"/>
          </w:tcPr>
          <w:p>
            <w:pPr>
              <w:spacing w:after="0"/>
              <w:rPr>
                <w:sz w:val="24"/>
                <w:szCs w:val="24"/>
                <w:color w:val="auto"/>
              </w:rPr>
            </w:pPr>
          </w:p>
        </w:tc>
        <w:tc>
          <w:tcPr>
            <w:tcW w:w="100" w:type="dxa"/>
            <w:vAlign w:val="bottom"/>
            <w:tcBorders>
              <w:top w:val="single" w:sz="8" w:color="CFF0FC"/>
            </w:tcBorders>
            <w:shd w:val="clear" w:color="auto" w:fill="CFF0FC"/>
          </w:tcPr>
          <w:p>
            <w:pPr>
              <w:spacing w:after="0"/>
              <w:rPr>
                <w:sz w:val="24"/>
                <w:szCs w:val="24"/>
                <w:color w:val="auto"/>
              </w:rPr>
            </w:pPr>
          </w:p>
        </w:tc>
        <w:tc>
          <w:tcPr>
            <w:tcW w:w="100" w:type="dxa"/>
            <w:vAlign w:val="bottom"/>
            <w:tcBorders>
              <w:top w:val="single" w:sz="8" w:color="auto"/>
            </w:tcBorders>
            <w:shd w:val="clear" w:color="auto" w:fill="CFF0FC"/>
          </w:tcPr>
          <w:p>
            <w:pPr>
              <w:spacing w:after="0"/>
              <w:rPr>
                <w:sz w:val="24"/>
                <w:szCs w:val="24"/>
                <w:color w:val="auto"/>
              </w:rPr>
            </w:pPr>
          </w:p>
        </w:tc>
        <w:tc>
          <w:tcPr>
            <w:tcW w:w="280" w:type="dxa"/>
            <w:vAlign w:val="bottom"/>
            <w:tcBorders>
              <w:top w:val="single" w:sz="8" w:color="CFF0FC"/>
            </w:tcBorders>
            <w:shd w:val="clear" w:color="auto" w:fill="CFF0FC"/>
          </w:tcPr>
          <w:p>
            <w:pPr>
              <w:spacing w:after="0"/>
              <w:rPr>
                <w:sz w:val="24"/>
                <w:szCs w:val="24"/>
                <w:color w:val="auto"/>
              </w:rPr>
            </w:pPr>
          </w:p>
        </w:tc>
        <w:tc>
          <w:tcPr>
            <w:tcW w:w="1160" w:type="dxa"/>
            <w:vAlign w:val="bottom"/>
            <w:tcBorders>
              <w:top w:val="single" w:sz="8" w:color="CFF0FC"/>
            </w:tcBorders>
            <w:shd w:val="clear" w:color="auto" w:fill="CFF0FC"/>
          </w:tcPr>
          <w:p>
            <w:pPr>
              <w:spacing w:after="0"/>
              <w:rPr>
                <w:sz w:val="24"/>
                <w:szCs w:val="24"/>
                <w:color w:val="auto"/>
              </w:rPr>
            </w:pPr>
          </w:p>
        </w:tc>
        <w:tc>
          <w:tcPr>
            <w:tcW w:w="100" w:type="dxa"/>
            <w:vAlign w:val="bottom"/>
            <w:tcBorders>
              <w:top w:val="single" w:sz="8" w:color="CFF0FC"/>
            </w:tcBorders>
            <w:shd w:val="clear" w:color="auto" w:fill="CFF0FC"/>
          </w:tcPr>
          <w:p>
            <w:pPr>
              <w:spacing w:after="0"/>
              <w:rPr>
                <w:sz w:val="24"/>
                <w:szCs w:val="24"/>
                <w:color w:val="auto"/>
              </w:rPr>
            </w:pPr>
          </w:p>
        </w:tc>
      </w:tr>
      <w:tr>
        <w:trPr>
          <w:trHeight w:val="282"/>
        </w:trPr>
        <w:tc>
          <w:tcPr>
            <w:tcW w:w="47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Net loss per share -- basic and diluted</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(0.38)</w:t>
            </w: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(0.29)</w:t>
            </w:r>
          </w:p>
        </w:tc>
        <w:tc>
          <w:tcPr>
            <w:tcW w:w="80" w:type="dxa"/>
            <w:vAlign w:val="bottom"/>
          </w:tcPr>
          <w:p>
            <w:pPr>
              <w:spacing w:after="0"/>
              <w:rPr>
                <w:sz w:val="24"/>
                <w:szCs w:val="24"/>
                <w:color w:val="auto"/>
              </w:rPr>
            </w:pP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(0.79)</w:t>
            </w:r>
          </w:p>
        </w:tc>
        <w:tc>
          <w:tcPr>
            <w:tcW w:w="10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(0.54)</w:t>
            </w:r>
          </w:p>
        </w:tc>
      </w:tr>
      <w:tr>
        <w:trPr>
          <w:trHeight w:val="163"/>
        </w:trPr>
        <w:tc>
          <w:tcPr>
            <w:tcW w:w="4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2"/>
                <w:szCs w:val="22"/>
                <w:color w:val="auto"/>
              </w:rPr>
              <w:t>Weighted-average common shares outstanding</w:t>
            </w:r>
          </w:p>
        </w:tc>
        <w:tc>
          <w:tcPr>
            <w:tcW w:w="3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45,571,067</w:t>
            </w:r>
          </w:p>
        </w:tc>
        <w:tc>
          <w:tcPr>
            <w:tcW w:w="2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45,070,104</w:t>
            </w:r>
          </w:p>
        </w:tc>
        <w:tc>
          <w:tcPr>
            <w:tcW w:w="1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45,518,845</w:t>
            </w: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2"/>
                <w:szCs w:val="22"/>
                <w:color w:val="auto"/>
              </w:rPr>
              <w:t>44,928,518</w:t>
            </w:r>
          </w:p>
        </w:tc>
        <w:tc>
          <w:tcPr>
            <w:tcW w:w="100" w:type="dxa"/>
            <w:vAlign w:val="bottom"/>
            <w:shd w:val="clear" w:color="auto" w:fill="CFF0FC"/>
          </w:tcPr>
          <w:p>
            <w:pPr>
              <w:spacing w:after="0"/>
              <w:rPr>
                <w:sz w:val="22"/>
                <w:szCs w:val="22"/>
                <w:color w:val="auto"/>
              </w:rPr>
            </w:pPr>
          </w:p>
        </w:tc>
      </w:tr>
      <w:tr>
        <w:trPr>
          <w:trHeight w:val="244"/>
        </w:trPr>
        <w:tc>
          <w:tcPr>
            <w:tcW w:w="47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-4422775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-4422775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-4422775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-4422775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-2545715</wp:posOffset>
            </wp:positionV>
            <wp:extent cx="768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-2545715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-2545715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-2545715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-1919605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-1919605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-1919605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-1293495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-1293495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-1293495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-976630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-959485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-25400</wp:posOffset>
            </wp:positionV>
            <wp:extent cx="76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Winston Kung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PMV Pharmaceuticals, Inc.</w:t>
      </w:r>
    </w:p>
    <w:p>
      <w:pPr>
        <w:spacing w:after="0"/>
        <w:rPr>
          <w:sz w:val="20"/>
          <w:szCs w:val="20"/>
          <w:color w:val="auto"/>
        </w:rPr>
      </w:pPr>
      <w:r>
        <w:rPr>
          <w:rFonts w:ascii="Arial" w:cs="Arial" w:eastAsia="Arial" w:hAnsi="Arial"/>
          <w:sz w:val="18"/>
          <w:szCs w:val="18"/>
          <w:color w:val="auto"/>
        </w:rPr>
        <w:t>investors@pmvpharma.com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Kathy Vincent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Greig Communications</w:t>
      </w:r>
    </w:p>
    <w:p>
      <w:pPr>
        <w:spacing w:after="0"/>
        <w:rPr>
          <w:sz w:val="20"/>
          <w:szCs w:val="20"/>
          <w:color w:val="auto"/>
        </w:rPr>
      </w:pPr>
      <w:r>
        <w:rPr>
          <w:rFonts w:ascii="Arial" w:cs="Arial" w:eastAsia="Arial" w:hAnsi="Arial"/>
          <w:sz w:val="18"/>
          <w:szCs w:val="18"/>
          <w:color w:val="auto"/>
        </w:rPr>
        <w:t>kathy@greigcommunications.com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2022-08-09T07:04:41Z</dcterms:created>
  <dcterms:modified xsi:type="dcterms:W3CDTF">2022-08-09T07:04:41Z</dcterms:modified>
</cp:coreProperties>
</file>