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5"/>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202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980" w:type="dxa"/>
            <w:vAlign w:val="bottom"/>
            <w:tcBorders>
              <w:top w:val="single" w:sz="8" w:color="2C2C2C"/>
            </w:tcBorders>
            <w:gridSpan w:val="2"/>
          </w:tcPr>
          <w:p>
            <w:pPr>
              <w:ind w:left="220"/>
              <w:spacing w:after="0" w:line="190" w:lineRule="exact"/>
              <w:rPr>
                <w:sz w:val="20"/>
                <w:szCs w:val="20"/>
                <w:color w:val="auto"/>
              </w:rPr>
            </w:pPr>
            <w:r>
              <w:rPr>
                <w:rFonts w:ascii="Arial" w:cs="Arial" w:eastAsia="Arial" w:hAnsi="Arial"/>
                <w:sz w:val="20"/>
                <w:szCs w:val="20"/>
                <w:color w:val="auto"/>
              </w:rPr>
              <w:t>OMB APPROVAL</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7"/>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2000" w:type="dxa"/>
            <w:vAlign w:val="bottom"/>
          </w:tcPr>
          <w:p>
            <w:pPr>
              <w:spacing w:after="0"/>
              <w:rPr>
                <w:sz w:val="9"/>
                <w:szCs w:val="9"/>
                <w:color w:val="auto"/>
              </w:rPr>
            </w:pPr>
          </w:p>
        </w:tc>
        <w:tc>
          <w:tcPr>
            <w:tcW w:w="68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00" w:type="dxa"/>
            <w:vAlign w:val="bottom"/>
          </w:tcPr>
          <w:p>
            <w:pPr>
              <w:spacing w:after="0"/>
              <w:rPr>
                <w:sz w:val="9"/>
                <w:szCs w:val="9"/>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tcPr>
          <w:p>
            <w:pPr>
              <w:jc w:val="center"/>
              <w:ind w:left="45"/>
              <w:spacing w:after="0" w:line="69" w:lineRule="exact"/>
              <w:rPr>
                <w:sz w:val="20"/>
                <w:szCs w:val="20"/>
                <w:color w:val="auto"/>
              </w:rPr>
            </w:pPr>
            <w:r>
              <w:rPr>
                <w:rFonts w:ascii="Arial" w:cs="Arial" w:eastAsia="Arial" w:hAnsi="Arial"/>
                <w:sz w:val="8"/>
                <w:szCs w:val="8"/>
                <w:b w:val="1"/>
                <w:bCs w:val="1"/>
                <w:color w:val="auto"/>
              </w:rPr>
              <w:t>SECURITIES</w:t>
            </w:r>
          </w:p>
        </w:tc>
        <w:tc>
          <w:tcPr>
            <w:tcW w:w="40" w:type="dxa"/>
            <w:vAlign w:val="bottom"/>
          </w:tcPr>
          <w:p>
            <w:pPr>
              <w:spacing w:after="0"/>
              <w:rPr>
                <w:sz w:val="6"/>
                <w:szCs w:val="6"/>
                <w:color w:val="auto"/>
              </w:rPr>
            </w:pPr>
          </w:p>
        </w:tc>
        <w:tc>
          <w:tcPr>
            <w:tcW w:w="1260" w:type="dxa"/>
            <w:vAlign w:val="bottom"/>
          </w:tcPr>
          <w:p>
            <w:pPr>
              <w:ind w:left="80"/>
              <w:spacing w:after="0" w:line="69" w:lineRule="exact"/>
              <w:rPr>
                <w:sz w:val="20"/>
                <w:szCs w:val="20"/>
                <w:color w:val="auto"/>
              </w:rPr>
            </w:pPr>
            <w:r>
              <w:rPr>
                <w:rFonts w:ascii="Arial" w:cs="Arial" w:eastAsia="Arial" w:hAnsi="Arial"/>
                <w:sz w:val="8"/>
                <w:szCs w:val="8"/>
                <w:color w:val="auto"/>
              </w:rPr>
              <w:t>response:</w:t>
            </w:r>
          </w:p>
        </w:tc>
        <w:tc>
          <w:tcPr>
            <w:tcW w:w="720" w:type="dxa"/>
            <w:vAlign w:val="bottom"/>
          </w:tcPr>
          <w:p>
            <w:pPr>
              <w:jc w:val="right"/>
              <w:ind w:right="22"/>
              <w:spacing w:after="0" w:line="69" w:lineRule="exact"/>
              <w:rPr>
                <w:sz w:val="20"/>
                <w:szCs w:val="20"/>
                <w:color w:val="auto"/>
              </w:rPr>
            </w:pPr>
            <w:r>
              <w:rPr>
                <w:rFonts w:ascii="Arial" w:cs="Arial" w:eastAsia="Arial" w:hAnsi="Arial"/>
                <w:sz w:val="8"/>
                <w:szCs w:val="8"/>
                <w:color w:val="auto"/>
              </w:rPr>
              <w:t>0.5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-751205</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182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18249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1"/>
        </w:trPr>
        <w:tc>
          <w:tcPr>
            <w:tcW w:w="3100" w:type="dxa"/>
            <w:vAlign w:val="bottom"/>
            <w:vMerge w:val="restart"/>
          </w:tcPr>
          <w:p>
            <w:pPr>
              <w:ind w:left="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ORONSKY ARNOLD L</w:t>
              </w:r>
            </w:hyperlink>
          </w:p>
        </w:tc>
        <w:tc>
          <w:tcPr>
            <w:tcW w:w="1520" w:type="dxa"/>
            <w:vAlign w:val="bottom"/>
          </w:tcPr>
          <w:p>
            <w:pPr>
              <w:ind w:left="160"/>
              <w:spacing w:after="0" w:line="131"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8"/>
        </w:trPr>
        <w:tc>
          <w:tcPr>
            <w:tcW w:w="3100" w:type="dxa"/>
            <w:vAlign w:val="bottom"/>
            <w:vMerge w:val="continue"/>
          </w:tcPr>
          <w:p>
            <w:pPr>
              <w:spacing w:after="0"/>
              <w:rPr>
                <w:sz w:val="14"/>
                <w:szCs w:val="14"/>
                <w:color w:val="auto"/>
              </w:rPr>
            </w:pPr>
          </w:p>
        </w:tc>
        <w:tc>
          <w:tcPr>
            <w:tcW w:w="1520" w:type="dxa"/>
            <w:vAlign w:val="bottom"/>
          </w:tcPr>
          <w:p>
            <w:pPr>
              <w:ind w:left="160"/>
              <w:spacing w:after="0" w:line="168"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21"/>
        </w:trPr>
        <w:tc>
          <w:tcPr>
            <w:tcW w:w="3100" w:type="dxa"/>
            <w:vAlign w:val="bottom"/>
            <w:tcBorders>
              <w:bottom w:val="single" w:sz="8" w:color="9A9A9A"/>
            </w:tcBorders>
          </w:tcPr>
          <w:p>
            <w:pPr>
              <w:spacing w:after="0"/>
              <w:rPr>
                <w:sz w:val="19"/>
                <w:szCs w:val="19"/>
                <w:color w:val="auto"/>
              </w:rPr>
            </w:pPr>
          </w:p>
        </w:tc>
        <w:tc>
          <w:tcPr>
            <w:tcW w:w="1520" w:type="dxa"/>
            <w:vAlign w:val="bottom"/>
          </w:tcPr>
          <w:p>
            <w:pPr>
              <w:ind w:left="160"/>
              <w:spacing w:after="0" w:line="211" w:lineRule="exact"/>
              <w:rPr>
                <w:sz w:val="20"/>
                <w:szCs w:val="20"/>
                <w:color w:val="auto"/>
              </w:rPr>
            </w:pPr>
            <w:r>
              <w:rPr>
                <w:rFonts w:ascii="Times New Roman" w:cs="Times New Roman" w:eastAsia="Times New Roman" w:hAnsi="Times New Roman"/>
                <w:sz w:val="20"/>
                <w:szCs w:val="20"/>
                <w:color w:val="0000FF"/>
              </w:rPr>
              <w:t>09/24/2020</w:t>
            </w:r>
          </w:p>
        </w:tc>
        <w:tc>
          <w:tcPr>
            <w:tcW w:w="0" w:type="dxa"/>
            <w:vAlign w:val="bottom"/>
          </w:tcPr>
          <w:p>
            <w:pPr>
              <w:spacing w:after="0"/>
              <w:rPr>
                <w:sz w:val="1"/>
                <w:szCs w:val="1"/>
                <w:color w:val="auto"/>
              </w:rPr>
            </w:pPr>
          </w:p>
        </w:tc>
      </w:tr>
    </w:tbl>
    <w:p>
      <w:pPr>
        <w:spacing w:after="0" w:line="14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6" w:lineRule="exact"/>
        <w:rPr>
          <w:sz w:val="24"/>
          <w:szCs w:val="24"/>
          <w:color w:val="auto"/>
        </w:rPr>
      </w:pPr>
    </w:p>
    <w:p>
      <w:pPr>
        <w:ind w:left="140" w:right="1780"/>
        <w:spacing w:after="0" w:line="275" w:lineRule="auto"/>
        <w:rPr>
          <w:sz w:val="20"/>
          <w:szCs w:val="20"/>
          <w:color w:val="auto"/>
        </w:rPr>
      </w:pPr>
      <w:r>
        <w:rPr>
          <w:rFonts w:ascii="Times New Roman" w:cs="Times New Roman" w:eastAsia="Times New Roman" w:hAnsi="Times New Roman"/>
          <w:sz w:val="20"/>
          <w:szCs w:val="20"/>
          <w:color w:val="0000FF"/>
        </w:rPr>
        <w:t>C/O PMV PHARMACEUTICALS, INC.</w:t>
      </w:r>
    </w:p>
    <w:p>
      <w:pPr>
        <w:spacing w:after="0" w:line="1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8 CLARKE DRIVE, SUITE 3</w:t>
      </w:r>
    </w:p>
    <w:p>
      <w:pPr>
        <w:spacing w:after="0" w:line="322" w:lineRule="exact"/>
        <w:rPr>
          <w:sz w:val="24"/>
          <w:szCs w:val="24"/>
          <w:color w:val="auto"/>
        </w:rPr>
      </w:pPr>
    </w:p>
    <w:tbl>
      <w:tblPr>
        <w:tblLayout w:type="fixed"/>
        <w:tblInd w:w="100" w:type="dxa"/>
        <w:tblCellMar>
          <w:top w:w="0" w:type="dxa"/>
          <w:left w:w="0" w:type="dxa"/>
          <w:bottom w:w="0" w:type="dxa"/>
          <w:right w:w="0" w:type="dxa"/>
        </w:tblCellMar>
      </w:tblPr>
      <w:tr>
        <w:trPr>
          <w:trHeight w:val="202"/>
        </w:trPr>
        <w:tc>
          <w:tcPr>
            <w:tcW w:w="1760" w:type="dxa"/>
            <w:vAlign w:val="bottom"/>
          </w:tcPr>
          <w:p>
            <w:pPr>
              <w:spacing w:after="0"/>
              <w:rPr>
                <w:sz w:val="20"/>
                <w:szCs w:val="20"/>
                <w:color w:val="auto"/>
              </w:rPr>
            </w:pPr>
            <w:r>
              <w:rPr>
                <w:rFonts w:ascii="Arial" w:cs="Arial" w:eastAsia="Arial" w:hAnsi="Arial"/>
                <w:sz w:val="15"/>
                <w:szCs w:val="15"/>
                <w:color w:val="auto"/>
              </w:rPr>
              <w:t>(Street)</w:t>
            </w:r>
          </w:p>
        </w:tc>
        <w:tc>
          <w:tcPr>
            <w:tcW w:w="860" w:type="dxa"/>
            <w:vAlign w:val="bottom"/>
          </w:tcPr>
          <w:p>
            <w:pPr>
              <w:spacing w:after="0"/>
              <w:rPr>
                <w:sz w:val="17"/>
                <w:szCs w:val="17"/>
                <w:color w:val="auto"/>
              </w:rPr>
            </w:pPr>
          </w:p>
        </w:tc>
      </w:tr>
      <w:tr>
        <w:trPr>
          <w:trHeight w:val="265"/>
        </w:trPr>
        <w:tc>
          <w:tcPr>
            <w:tcW w:w="17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CRANBURY NJ</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08512</w:t>
            </w:r>
          </w:p>
        </w:tc>
      </w:tr>
    </w:tbl>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9"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PMV Pharmaceuticals,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PMVP</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77"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58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62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202"/>
        </w:trPr>
        <w:tc>
          <w:tcPr>
            <w:tcW w:w="1580" w:type="dxa"/>
            <w:vAlign w:val="bottom"/>
          </w:tcPr>
          <w:p>
            <w:pPr>
              <w:spacing w:after="0"/>
              <w:rPr>
                <w:sz w:val="20"/>
                <w:szCs w:val="20"/>
                <w:color w:val="auto"/>
              </w:rPr>
            </w:pPr>
            <w:r>
              <w:rPr>
                <w:rFonts w:ascii="Arial" w:cs="Arial" w:eastAsia="Arial" w:hAnsi="Arial"/>
                <w:sz w:val="15"/>
                <w:szCs w:val="15"/>
                <w:color w:val="auto"/>
              </w:rPr>
              <w:t>(Check all applicable)</w:t>
            </w:r>
          </w:p>
        </w:tc>
        <w:tc>
          <w:tcPr>
            <w:tcW w:w="1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158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0000FF"/>
              </w:rPr>
              <w:t xml:space="preserve">X  </w:t>
            </w:r>
            <w:r>
              <w:rPr>
                <w:rFonts w:ascii="Arial" w:cs="Arial" w:eastAsia="Arial" w:hAnsi="Arial"/>
                <w:sz w:val="15"/>
                <w:szCs w:val="15"/>
                <w:color w:val="000000"/>
              </w:rPr>
              <w:t>Director</w:t>
            </w:r>
          </w:p>
        </w:tc>
        <w:tc>
          <w:tcPr>
            <w:tcW w:w="1620" w:type="dxa"/>
            <w:vAlign w:val="bottom"/>
            <w:vMerge w:val="restart"/>
          </w:tcPr>
          <w:p>
            <w:pPr>
              <w:ind w:left="160"/>
              <w:spacing w:after="0"/>
              <w:rPr>
                <w:sz w:val="20"/>
                <w:szCs w:val="20"/>
                <w:color w:val="auto"/>
              </w:rPr>
            </w:pPr>
            <w:r>
              <w:rPr>
                <w:rFonts w:ascii="Times New Roman" w:cs="Times New Roman" w:eastAsia="Times New Roman" w:hAnsi="Times New Roman"/>
                <w:sz w:val="20"/>
                <w:szCs w:val="20"/>
                <w:color w:val="0000FF"/>
              </w:rPr>
              <w:t xml:space="preserve">X  </w:t>
            </w:r>
            <w:r>
              <w:rPr>
                <w:rFonts w:ascii="Arial" w:cs="Arial" w:eastAsia="Arial" w:hAnsi="Arial"/>
                <w:sz w:val="15"/>
                <w:szCs w:val="15"/>
                <w:color w:val="000000"/>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580" w:type="dxa"/>
            <w:vAlign w:val="bottom"/>
            <w:vMerge w:val="continue"/>
          </w:tcPr>
          <w:p>
            <w:pPr>
              <w:spacing w:after="0"/>
              <w:rPr>
                <w:sz w:val="12"/>
                <w:szCs w:val="12"/>
                <w:color w:val="auto"/>
              </w:rPr>
            </w:pPr>
          </w:p>
        </w:tc>
        <w:tc>
          <w:tcPr>
            <w:tcW w:w="162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58"/>
        </w:trPr>
        <w:tc>
          <w:tcPr>
            <w:tcW w:w="158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620" w:type="dxa"/>
            <w:vAlign w:val="bottom"/>
            <w:vMerge w:val="restart"/>
          </w:tcPr>
          <w:p>
            <w:pPr>
              <w:ind w:left="48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5"/>
                <w:szCs w:val="5"/>
                <w:color w:val="auto"/>
              </w:rPr>
            </w:pPr>
          </w:p>
        </w:tc>
        <w:tc>
          <w:tcPr>
            <w:tcW w:w="25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4"/>
        </w:trPr>
        <w:tc>
          <w:tcPr>
            <w:tcW w:w="1580" w:type="dxa"/>
            <w:vAlign w:val="bottom"/>
            <w:vMerge w:val="continue"/>
          </w:tcPr>
          <w:p>
            <w:pPr>
              <w:spacing w:after="0"/>
              <w:rPr>
                <w:sz w:val="13"/>
                <w:szCs w:val="13"/>
                <w:color w:val="auto"/>
              </w:rPr>
            </w:pPr>
          </w:p>
        </w:tc>
        <w:tc>
          <w:tcPr>
            <w:tcW w:w="1620" w:type="dxa"/>
            <w:vAlign w:val="bottom"/>
            <w:vMerge w:val="continue"/>
          </w:tcPr>
          <w:p>
            <w:pPr>
              <w:spacing w:after="0"/>
              <w:rPr>
                <w:sz w:val="13"/>
                <w:szCs w:val="13"/>
                <w:color w:val="auto"/>
              </w:rPr>
            </w:pPr>
          </w:p>
        </w:tc>
        <w:tc>
          <w:tcPr>
            <w:tcW w:w="2720" w:type="dxa"/>
            <w:vAlign w:val="bottom"/>
            <w:gridSpan w:val="3"/>
          </w:tcPr>
          <w:p>
            <w:pPr>
              <w:ind w:left="60"/>
              <w:spacing w:after="0" w:line="154"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202"/>
        </w:trPr>
        <w:tc>
          <w:tcPr>
            <w:tcW w:w="158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620" w:type="dxa"/>
            <w:vAlign w:val="bottom"/>
          </w:tcPr>
          <w:p>
            <w:pPr>
              <w:ind w:left="48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7"/>
                <w:szCs w:val="17"/>
                <w:color w:val="auto"/>
              </w:rPr>
            </w:pP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38"/>
        </w:trPr>
        <w:tc>
          <w:tcPr>
            <w:tcW w:w="1580" w:type="dxa"/>
            <w:vAlign w:val="bottom"/>
          </w:tcPr>
          <w:p>
            <w:pPr>
              <w:spacing w:after="0"/>
              <w:rPr>
                <w:sz w:val="3"/>
                <w:szCs w:val="3"/>
                <w:color w:val="auto"/>
              </w:rPr>
            </w:pPr>
          </w:p>
        </w:tc>
        <w:tc>
          <w:tcPr>
            <w:tcW w:w="1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15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5"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spacing w:after="0" w:line="11"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Reporting Person</w:t>
      </w:r>
    </w:p>
    <w:p>
      <w:pPr>
        <w:spacing w:after="0" w:line="251"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43"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2"/>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22110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2211070"/>
                    </a:xfrm>
                    <a:prstGeom prst="rect">
                      <a:avLst/>
                    </a:prstGeom>
                    <a:noFill/>
                  </pic:spPr>
                </pic:pic>
              </a:graphicData>
            </a:graphic>
          </wp:anchor>
        </w:drawing>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42545</wp:posOffset>
            </wp:positionV>
            <wp:extent cx="6927850" cy="8197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27850" cy="819785"/>
                    </a:xfrm>
                    <a:prstGeom prst="rect">
                      <a:avLst/>
                    </a:prstGeom>
                    <a:noFill/>
                  </pic:spPr>
                </pic:pic>
              </a:graphicData>
            </a:graphic>
          </wp:anchor>
        </w:drawing>
      </w:r>
    </w:p>
    <w:p>
      <w:pPr>
        <w:spacing w:after="0" w:line="94"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294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72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72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6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9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68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9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04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 or</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9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900" w:type="dxa"/>
            <w:vAlign w:val="bottom"/>
            <w:vMerge w:val="restart"/>
          </w:tcPr>
          <w:p>
            <w:pPr>
              <w:jc w:val="center"/>
              <w:spacing w:after="0"/>
              <w:rPr>
                <w:sz w:val="20"/>
                <w:szCs w:val="20"/>
                <w:color w:val="auto"/>
              </w:rPr>
            </w:pPr>
            <w:r>
              <w:rPr>
                <w:rFonts w:ascii="Arial" w:cs="Arial" w:eastAsia="Arial" w:hAnsi="Arial"/>
                <w:sz w:val="15"/>
                <w:szCs w:val="15"/>
                <w:b w:val="1"/>
                <w:bCs w:val="1"/>
                <w:color w:val="auto"/>
              </w:rPr>
              <w:t>Expiration</w:t>
            </w:r>
          </w:p>
        </w:tc>
        <w:tc>
          <w:tcPr>
            <w:tcW w:w="168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98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or Indirect</w:t>
            </w:r>
          </w:p>
        </w:tc>
        <w:tc>
          <w:tcPr>
            <w:tcW w:w="144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68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10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680" w:type="dxa"/>
            <w:vAlign w:val="bottom"/>
            <w:vMerge w:val="continue"/>
          </w:tcPr>
          <w:p>
            <w:pPr>
              <w:spacing w:after="0"/>
              <w:rPr>
                <w:sz w:val="18"/>
                <w:szCs w:val="18"/>
                <w:color w:val="auto"/>
              </w:rPr>
            </w:pPr>
          </w:p>
        </w:tc>
        <w:tc>
          <w:tcPr>
            <w:tcW w:w="104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9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9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Series Seed Preferred Stock</w:t>
            </w:r>
          </w:p>
        </w:tc>
        <w:tc>
          <w:tcPr>
            <w:tcW w:w="98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3"/>
                <w:szCs w:val="13"/>
                <w:color w:val="008000"/>
              </w:rPr>
              <w:t>(1)</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8000"/>
                <w:w w:val="92"/>
              </w:rPr>
              <w:t>(1)</w:t>
            </w:r>
          </w:p>
        </w:tc>
        <w:tc>
          <w:tcPr>
            <w:tcW w:w="168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20"/>
                <w:szCs w:val="20"/>
                <w:color w:val="0000FF"/>
              </w:rPr>
              <w:t>Common Stock</w:t>
            </w:r>
          </w:p>
        </w:tc>
        <w:tc>
          <w:tcPr>
            <w:tcW w:w="1040" w:type="dxa"/>
            <w:vAlign w:val="bottom"/>
            <w:tcBorders>
              <w:bottom w:val="single" w:sz="8" w:color="2C2C2C"/>
            </w:tcBorders>
          </w:tcPr>
          <w:p>
            <w:pPr>
              <w:jc w:val="center"/>
              <w:ind w:left="12"/>
              <w:spacing w:after="0"/>
              <w:rPr>
                <w:sz w:val="20"/>
                <w:szCs w:val="20"/>
                <w:color w:val="auto"/>
              </w:rPr>
            </w:pPr>
            <w:r>
              <w:rPr>
                <w:rFonts w:ascii="Times New Roman" w:cs="Times New Roman" w:eastAsia="Times New Roman" w:hAnsi="Times New Roman"/>
                <w:sz w:val="20"/>
                <w:szCs w:val="20"/>
                <w:color w:val="0000FF"/>
                <w:w w:val="97"/>
              </w:rPr>
              <w:t>1,620,101</w:t>
            </w:r>
          </w:p>
        </w:tc>
        <w:tc>
          <w:tcPr>
            <w:tcW w:w="98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20"/>
                <w:szCs w:val="20"/>
                <w:color w:val="0000FF"/>
              </w:rPr>
              <w:t>0.00</w:t>
            </w:r>
          </w:p>
        </w:tc>
        <w:tc>
          <w:tcPr>
            <w:tcW w:w="94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4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9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Series A Preferred Stock</w:t>
            </w:r>
          </w:p>
        </w:tc>
        <w:tc>
          <w:tcPr>
            <w:tcW w:w="98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3"/>
                <w:szCs w:val="13"/>
                <w:color w:val="008000"/>
              </w:rPr>
              <w:t>(1)</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8000"/>
                <w:w w:val="92"/>
              </w:rPr>
              <w:t>(1)</w:t>
            </w:r>
          </w:p>
        </w:tc>
        <w:tc>
          <w:tcPr>
            <w:tcW w:w="168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20"/>
                <w:szCs w:val="20"/>
                <w:color w:val="0000FF"/>
              </w:rPr>
              <w:t>Common Stock</w:t>
            </w:r>
          </w:p>
        </w:tc>
        <w:tc>
          <w:tcPr>
            <w:tcW w:w="1040" w:type="dxa"/>
            <w:vAlign w:val="bottom"/>
            <w:tcBorders>
              <w:bottom w:val="single" w:sz="8" w:color="2C2C2C"/>
            </w:tcBorders>
          </w:tcPr>
          <w:p>
            <w:pPr>
              <w:jc w:val="center"/>
              <w:ind w:left="12"/>
              <w:spacing w:after="0"/>
              <w:rPr>
                <w:sz w:val="20"/>
                <w:szCs w:val="20"/>
                <w:color w:val="auto"/>
              </w:rPr>
            </w:pPr>
            <w:r>
              <w:rPr>
                <w:rFonts w:ascii="Times New Roman" w:cs="Times New Roman" w:eastAsia="Times New Roman" w:hAnsi="Times New Roman"/>
                <w:sz w:val="20"/>
                <w:szCs w:val="20"/>
                <w:color w:val="0000FF"/>
                <w:w w:val="97"/>
              </w:rPr>
              <w:t>3,488,398</w:t>
            </w:r>
          </w:p>
        </w:tc>
        <w:tc>
          <w:tcPr>
            <w:tcW w:w="98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20"/>
                <w:szCs w:val="20"/>
                <w:color w:val="0000FF"/>
              </w:rPr>
              <w:t>0.00</w:t>
            </w:r>
          </w:p>
        </w:tc>
        <w:tc>
          <w:tcPr>
            <w:tcW w:w="94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4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9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Series B Preferred Stock</w:t>
            </w:r>
          </w:p>
        </w:tc>
        <w:tc>
          <w:tcPr>
            <w:tcW w:w="98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3"/>
                <w:szCs w:val="13"/>
                <w:color w:val="008000"/>
              </w:rPr>
              <w:t>(1)</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8000"/>
                <w:w w:val="92"/>
              </w:rPr>
              <w:t>(1)</w:t>
            </w:r>
          </w:p>
        </w:tc>
        <w:tc>
          <w:tcPr>
            <w:tcW w:w="168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20"/>
                <w:szCs w:val="20"/>
                <w:color w:val="0000FF"/>
              </w:rPr>
              <w:t>Common Stock</w:t>
            </w:r>
          </w:p>
        </w:tc>
        <w:tc>
          <w:tcPr>
            <w:tcW w:w="1040" w:type="dxa"/>
            <w:vAlign w:val="bottom"/>
            <w:tcBorders>
              <w:bottom w:val="single" w:sz="8" w:color="2C2C2C"/>
            </w:tcBorders>
          </w:tcPr>
          <w:p>
            <w:pPr>
              <w:jc w:val="center"/>
              <w:ind w:left="12"/>
              <w:spacing w:after="0"/>
              <w:rPr>
                <w:sz w:val="20"/>
                <w:szCs w:val="20"/>
                <w:color w:val="auto"/>
              </w:rPr>
            </w:pPr>
            <w:r>
              <w:rPr>
                <w:rFonts w:ascii="Times New Roman" w:cs="Times New Roman" w:eastAsia="Times New Roman" w:hAnsi="Times New Roman"/>
                <w:sz w:val="20"/>
                <w:szCs w:val="20"/>
                <w:color w:val="0000FF"/>
                <w:w w:val="97"/>
              </w:rPr>
              <w:t>1,040,654</w:t>
            </w:r>
          </w:p>
        </w:tc>
        <w:tc>
          <w:tcPr>
            <w:tcW w:w="98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20"/>
                <w:szCs w:val="20"/>
                <w:color w:val="0000FF"/>
              </w:rPr>
              <w:t>0.00</w:t>
            </w:r>
          </w:p>
        </w:tc>
        <w:tc>
          <w:tcPr>
            <w:tcW w:w="94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4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Series C Preferred Stock</w:t>
            </w:r>
          </w:p>
        </w:tc>
        <w:tc>
          <w:tcPr>
            <w:tcW w:w="98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3"/>
                <w:szCs w:val="13"/>
                <w:color w:val="008000"/>
              </w:rPr>
              <w:t>(1)</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8000"/>
                <w:w w:val="92"/>
              </w:rPr>
              <w:t>(1)</w:t>
            </w:r>
          </w:p>
        </w:tc>
        <w:tc>
          <w:tcPr>
            <w:tcW w:w="168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20"/>
                <w:szCs w:val="20"/>
                <w:color w:val="0000FF"/>
              </w:rPr>
              <w:t>Common Stock</w:t>
            </w:r>
          </w:p>
        </w:tc>
        <w:tc>
          <w:tcPr>
            <w:tcW w:w="1040" w:type="dxa"/>
            <w:vAlign w:val="bottom"/>
            <w:tcBorders>
              <w:bottom w:val="single" w:sz="8" w:color="2C2C2C"/>
            </w:tcBorders>
          </w:tcPr>
          <w:p>
            <w:pPr>
              <w:jc w:val="center"/>
              <w:ind w:left="32"/>
              <w:spacing w:after="0"/>
              <w:rPr>
                <w:sz w:val="20"/>
                <w:szCs w:val="20"/>
                <w:color w:val="auto"/>
              </w:rPr>
            </w:pPr>
            <w:r>
              <w:rPr>
                <w:rFonts w:ascii="Times New Roman" w:cs="Times New Roman" w:eastAsia="Times New Roman" w:hAnsi="Times New Roman"/>
                <w:sz w:val="20"/>
                <w:szCs w:val="20"/>
                <w:color w:val="0000FF"/>
                <w:w w:val="98"/>
              </w:rPr>
              <w:t>265,203</w:t>
            </w:r>
          </w:p>
        </w:tc>
        <w:tc>
          <w:tcPr>
            <w:tcW w:w="98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20"/>
                <w:szCs w:val="20"/>
                <w:color w:val="0000FF"/>
              </w:rPr>
              <w:t>0.00</w:t>
            </w:r>
          </w:p>
        </w:tc>
        <w:tc>
          <w:tcPr>
            <w:tcW w:w="94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460" w:type="dxa"/>
            <w:vAlign w:val="bottom"/>
            <w:tcBorders>
              <w:bottom w:val="single" w:sz="8" w:color="2C2C2C"/>
            </w:tcBorders>
            <w:gridSpan w:val="2"/>
          </w:tcPr>
          <w:p>
            <w:pPr>
              <w:ind w:left="80"/>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(2)</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94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-1149985</wp:posOffset>
            </wp:positionV>
            <wp:extent cx="6927850" cy="9912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27850" cy="991235"/>
                    </a:xfrm>
                    <a:prstGeom prst="rect">
                      <a:avLst/>
                    </a:prstGeom>
                    <a:noFill/>
                  </pic:spPr>
                </pic:pic>
              </a:graphicData>
            </a:graphic>
          </wp:anchor>
        </w:drawing>
      </w:r>
    </w:p>
    <w:p>
      <w:pPr>
        <w:ind w:left="40" w:right="140" w:firstLine="5"/>
        <w:spacing w:after="0" w:line="259" w:lineRule="auto"/>
        <w:tabs>
          <w:tab w:leader="none" w:pos="190" w:val="left"/>
        </w:tabs>
        <w:numPr>
          <w:ilvl w:val="0"/>
          <w:numId w:val="1"/>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shares of each of the Series Seed Preferred Stock, Series A Preferred Stock, Series B Preferred Stock and Series C Preferred Stock shall automatically convert into shares of Common Stock on a one to one basis immediately prior to the completion of the Issuer's initial public offering of Common Stock and have no expiration date.</w:t>
      </w:r>
    </w:p>
    <w:p>
      <w:pPr>
        <w:spacing w:after="0" w:line="17" w:lineRule="exact"/>
        <w:rPr>
          <w:rFonts w:ascii="Times New Roman" w:cs="Times New Roman" w:eastAsia="Times New Roman" w:hAnsi="Times New Roman"/>
          <w:sz w:val="15"/>
          <w:szCs w:val="15"/>
          <w:color w:val="008000"/>
        </w:rPr>
      </w:pPr>
    </w:p>
    <w:p>
      <w:pPr>
        <w:ind w:left="40" w:right="100" w:firstLine="5"/>
        <w:spacing w:after="0" w:line="244" w:lineRule="auto"/>
        <w:tabs>
          <w:tab w:leader="none" w:pos="190" w:val="left"/>
        </w:tabs>
        <w:numPr>
          <w:ilvl w:val="0"/>
          <w:numId w:val="1"/>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shares are directly held by InterWest Partners X, LP ("InterWest X"). InterWest Management Partners X, LLC ("IMP X"), as the general partner of InterWest X, may be deemed to beneficially own the shares held by InterWest X. The Reporting Person is a managing director of IMP X, and as such may be deemed to beneficially own the shares held by InterWest X. The Reporting Person disclaims beneficial ownership of such shares except to the extent of any pecuniary interest therein.</w:t>
      </w:r>
    </w:p>
    <w:p>
      <w:pPr>
        <w:spacing w:after="0" w:line="2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33"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0000FF"/>
                <w:w w:val="95"/>
              </w:rPr>
              <w:t>/s/ Karen Wilson,</w:t>
            </w:r>
          </w:p>
        </w:tc>
        <w:tc>
          <w:tcPr>
            <w:tcW w:w="820" w:type="dxa"/>
            <w:vAlign w:val="bottom"/>
            <w:gridSpan w:val="3"/>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2180" w:type="dxa"/>
            <w:vAlign w:val="bottom"/>
            <w:gridSpan w:val="4"/>
          </w:tcPr>
          <w:p>
            <w:pPr>
              <w:spacing w:after="0" w:line="220" w:lineRule="exact"/>
              <w:rPr>
                <w:sz w:val="20"/>
                <w:szCs w:val="20"/>
                <w:color w:val="auto"/>
              </w:rPr>
            </w:pPr>
            <w:r>
              <w:rPr>
                <w:rFonts w:ascii="Times New Roman" w:cs="Times New Roman" w:eastAsia="Times New Roman" w:hAnsi="Times New Roman"/>
                <w:sz w:val="20"/>
                <w:szCs w:val="20"/>
                <w:color w:val="0000FF"/>
              </w:rPr>
              <w:t>Attorney-in-Fact for</w:t>
            </w:r>
          </w:p>
        </w:tc>
        <w:tc>
          <w:tcPr>
            <w:tcW w:w="900" w:type="dxa"/>
            <w:vAlign w:val="bottom"/>
          </w:tcPr>
          <w:p>
            <w:pPr>
              <w:spacing w:after="0" w:line="220" w:lineRule="exact"/>
              <w:rPr>
                <w:sz w:val="20"/>
                <w:szCs w:val="20"/>
                <w:color w:val="auto"/>
              </w:rPr>
            </w:pPr>
            <w:r>
              <w:rPr>
                <w:rFonts w:ascii="Times New Roman" w:cs="Times New Roman" w:eastAsia="Times New Roman" w:hAnsi="Times New Roman"/>
                <w:sz w:val="20"/>
                <w:szCs w:val="20"/>
                <w:color w:val="0000FF"/>
                <w:w w:val="96"/>
              </w:rPr>
              <w:t>09/24/2020</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580" w:type="dxa"/>
            <w:vAlign w:val="bottom"/>
            <w:tcBorders>
              <w:top w:val="single" w:sz="8" w:color="auto"/>
            </w:tcBorders>
            <w:gridSpan w:val="3"/>
          </w:tcPr>
          <w:p>
            <w:pPr>
              <w:spacing w:after="0" w:line="220" w:lineRule="exact"/>
              <w:rPr>
                <w:sz w:val="20"/>
                <w:szCs w:val="20"/>
                <w:color w:val="auto"/>
              </w:rPr>
            </w:pPr>
            <w:r>
              <w:rPr>
                <w:rFonts w:ascii="Times New Roman" w:cs="Times New Roman" w:eastAsia="Times New Roman" w:hAnsi="Times New Roman"/>
                <w:sz w:val="20"/>
                <w:szCs w:val="20"/>
                <w:color w:val="0000FF"/>
              </w:rPr>
              <w:t>Arnold L. Oronsky</w:t>
            </w:r>
          </w:p>
        </w:tc>
        <w:tc>
          <w:tcPr>
            <w:tcW w:w="60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480" w:type="dxa"/>
            <w:vAlign w:val="bottom"/>
            <w:gridSpan w:val="2"/>
            <w:shd w:val="clear" w:color="auto" w:fill="000000"/>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6540" w:type="dxa"/>
            <w:vAlign w:val="bottom"/>
          </w:tcPr>
          <w:p>
            <w:pPr>
              <w:spacing w:after="0"/>
              <w:rPr>
                <w:sz w:val="20"/>
                <w:szCs w:val="20"/>
                <w:color w:val="auto"/>
              </w:rPr>
            </w:pPr>
          </w:p>
        </w:tc>
        <w:tc>
          <w:tcPr>
            <w:tcW w:w="2180" w:type="dxa"/>
            <w:vAlign w:val="bottom"/>
            <w:gridSpan w:val="4"/>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12"/>
        </w:trPr>
        <w:tc>
          <w:tcPr>
            <w:tcW w:w="6540" w:type="dxa"/>
            <w:vAlign w:val="bottom"/>
          </w:tcPr>
          <w:p>
            <w:pPr>
              <w:spacing w:after="0"/>
              <w:rPr>
                <w:sz w:val="9"/>
                <w:szCs w:val="9"/>
                <w:color w:val="auto"/>
              </w:rPr>
            </w:pPr>
          </w:p>
        </w:tc>
        <w:tc>
          <w:tcPr>
            <w:tcW w:w="2180" w:type="dxa"/>
            <w:vAlign w:val="bottom"/>
            <w:gridSpan w:val="4"/>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4"/>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jc w:val="both"/>
        <w:ind w:left="40" w:right="2240" w:firstLine="5"/>
        <w:spacing w:after="0" w:line="334" w:lineRule="auto"/>
        <w:tabs>
          <w:tab w:leader="none" w:pos="199" w:val="left"/>
        </w:tabs>
        <w:numPr>
          <w:ilvl w:val="0"/>
          <w:numId w:val="2"/>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8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KNOW ALL BY THESE PRESENTS:</w:t>
      </w:r>
    </w:p>
    <w:p>
      <w:pPr>
        <w:spacing w:after="0" w:line="224" w:lineRule="exact"/>
        <w:rPr>
          <w:sz w:val="20"/>
          <w:szCs w:val="20"/>
          <w:color w:val="auto"/>
        </w:rPr>
      </w:pPr>
    </w:p>
    <w:p>
      <w:pPr>
        <w:ind w:right="739"/>
        <w:spacing w:after="0" w:line="260" w:lineRule="auto"/>
        <w:rPr>
          <w:sz w:val="20"/>
          <w:szCs w:val="20"/>
          <w:color w:val="auto"/>
        </w:rPr>
      </w:pPr>
      <w:r>
        <w:rPr>
          <w:rFonts w:ascii="Courier New" w:cs="Courier New" w:eastAsia="Courier New" w:hAnsi="Courier New"/>
          <w:sz w:val="20"/>
          <w:szCs w:val="20"/>
          <w:color w:val="auto"/>
        </w:rPr>
        <w:t>The undersigned, Arnold L. Oronsky, hereby constitutes and appoints Karen A. Wilson as his true and lawful Attorney-in-Fact, with full power in his name and on his behalf, to take all actions and do all things necessary with respect to all matters arising in connection with the ownership reporting requirements of the securities laws of the United States, including the execution and delivery of all documents in connection therewith.</w:t>
      </w:r>
    </w:p>
    <w:p>
      <w:pPr>
        <w:spacing w:after="0" w:line="103" w:lineRule="exact"/>
        <w:rPr>
          <w:sz w:val="20"/>
          <w:szCs w:val="20"/>
          <w:color w:val="auto"/>
        </w:rPr>
      </w:pPr>
    </w:p>
    <w:p>
      <w:pPr>
        <w:ind w:right="739"/>
        <w:spacing w:after="0" w:line="275" w:lineRule="auto"/>
        <w:rPr>
          <w:sz w:val="20"/>
          <w:szCs w:val="20"/>
          <w:color w:val="auto"/>
        </w:rPr>
      </w:pPr>
      <w:r>
        <w:rPr>
          <w:rFonts w:ascii="Courier New" w:cs="Courier New" w:eastAsia="Courier New" w:hAnsi="Courier New"/>
          <w:sz w:val="20"/>
          <w:szCs w:val="20"/>
          <w:color w:val="auto"/>
        </w:rPr>
        <w:t>The undersigned agrees to indemnify said Attorney-in-Fact against, and hold her free and harmless from, and all loss, cost, expense, damage or liability which she may incur or sustain as a result of any action taken by her in good faith pursuant to this Power of Attorney.</w:t>
      </w:r>
    </w:p>
    <w:p>
      <w:pPr>
        <w:spacing w:after="0" w:line="87" w:lineRule="exact"/>
        <w:rPr>
          <w:sz w:val="20"/>
          <w:szCs w:val="20"/>
          <w:color w:val="auto"/>
        </w:rPr>
      </w:pPr>
    </w:p>
    <w:p>
      <w:pPr>
        <w:ind w:right="839"/>
        <w:spacing w:after="0" w:line="275" w:lineRule="auto"/>
        <w:rPr>
          <w:sz w:val="20"/>
          <w:szCs w:val="20"/>
          <w:color w:val="auto"/>
        </w:rPr>
      </w:pPr>
      <w:r>
        <w:rPr>
          <w:rFonts w:ascii="Courier New" w:cs="Courier New" w:eastAsia="Courier New" w:hAnsi="Courier New"/>
          <w:sz w:val="20"/>
          <w:szCs w:val="20"/>
          <w:color w:val="auto"/>
        </w:rPr>
        <w:t>This Power of Attorney shall remain in full force and effect until revoked in writing by the undersigned and the authority granted herein may be relied upon by any person until such person has actually received written notice of revocation.</w:t>
      </w:r>
    </w:p>
    <w:p>
      <w:pPr>
        <w:spacing w:after="0" w:line="87" w:lineRule="exact"/>
        <w:rPr>
          <w:sz w:val="20"/>
          <w:szCs w:val="20"/>
          <w:color w:val="auto"/>
        </w:rPr>
      </w:pPr>
    </w:p>
    <w:p>
      <w:pPr>
        <w:ind w:right="1079"/>
        <w:spacing w:after="0" w:line="348" w:lineRule="auto"/>
        <w:rPr>
          <w:sz w:val="20"/>
          <w:szCs w:val="20"/>
          <w:color w:val="auto"/>
        </w:rPr>
      </w:pPr>
      <w:r>
        <w:rPr>
          <w:rFonts w:ascii="Courier New" w:cs="Courier New" w:eastAsia="Courier New" w:hAnsi="Courier New"/>
          <w:sz w:val="20"/>
          <w:szCs w:val="20"/>
          <w:color w:val="auto"/>
        </w:rPr>
        <w:t>IN WITNESS WHEREOF, the undersigned has executed this Power of Attorney this 28th day of May, 1996.</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ARNOLD L. ORONSKY</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Arnold L. Oronsky</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0" Type="http://schemas.openxmlformats.org/officeDocument/2006/relationships/hyperlink" Target="http://www.sec.gov/cgi-bin/browse-edgar?action=getcompany&amp;CIK=0001207833" TargetMode="External"/><Relationship Id="rId11" Type="http://schemas.openxmlformats.org/officeDocument/2006/relationships/hyperlink" Target="http://www.sec.gov/cgi-bin/browse-edgar?action=getcompany&amp;CIK=00016993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2020-09-24T18:17:27Z</dcterms:created>
  <dcterms:modified xsi:type="dcterms:W3CDTF">2020-09-24T18:17:27Z</dcterms:modified>
</cp:coreProperties>
</file>