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June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46-3218129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 Research Way</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Princeton, New Jersey</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08540</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6, 2024, PMV Pharmaceuticals, Inc. (the “Company”) held its virtual 2024 Annual Meeting of Stockholders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exclusively online via live webcast. The stockholders voted on the following proposals at the Annual Meeting: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two persons listed below as Class I Directors, each to serve until the Company’s 2027 Annual Meeting of Stockholders and until their respective successors has been duly elected and qualified, or until the earlier of the respective director’s death, resignation or removal. The final voting results are as follows:</w:t>
      </w:r>
    </w:p>
    <w:p>
      <w:pPr>
        <w:spacing w:after="0" w:line="186"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60" w:type="dxa"/>
            <w:vAlign w:val="bottom"/>
          </w:tcPr>
          <w:p>
            <w:pPr>
              <w:spacing w:after="0"/>
              <w:rPr>
                <w:sz w:val="13"/>
                <w:szCs w:val="13"/>
                <w:color w:val="auto"/>
              </w:rPr>
            </w:pPr>
          </w:p>
        </w:tc>
        <w:tc>
          <w:tcPr>
            <w:tcW w:w="19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WITHHELD</w:t>
            </w:r>
          </w:p>
        </w:tc>
        <w:tc>
          <w:tcPr>
            <w:tcW w:w="8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88"/>
        </w:trPr>
        <w:tc>
          <w:tcPr>
            <w:tcW w:w="200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NON-VOTE</w:t>
            </w:r>
          </w:p>
        </w:tc>
        <w:tc>
          <w:tcPr>
            <w:tcW w:w="0" w:type="dxa"/>
            <w:vAlign w:val="bottom"/>
          </w:tcPr>
          <w:p>
            <w:pPr>
              <w:spacing w:after="0"/>
              <w:rPr>
                <w:sz w:val="1"/>
                <w:szCs w:val="1"/>
                <w:color w:val="auto"/>
              </w:rPr>
            </w:pPr>
          </w:p>
        </w:tc>
      </w:tr>
      <w:tr>
        <w:trPr>
          <w:trHeight w:val="307"/>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Kirsten Flowers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35,683,498</w:t>
            </w:r>
          </w:p>
        </w:tc>
        <w:tc>
          <w:tcPr>
            <w:tcW w:w="1960" w:type="dxa"/>
            <w:vAlign w:val="bottom"/>
            <w:gridSpan w:val="2"/>
          </w:tcPr>
          <w:p>
            <w:pPr>
              <w:jc w:val="right"/>
              <w:ind w:right="579"/>
              <w:spacing w:after="0"/>
              <w:rPr>
                <w:sz w:val="20"/>
                <w:szCs w:val="20"/>
                <w:color w:val="auto"/>
              </w:rPr>
            </w:pPr>
            <w:r>
              <w:rPr>
                <w:rFonts w:ascii="Times New Roman" w:cs="Times New Roman" w:eastAsia="Times New Roman" w:hAnsi="Times New Roman"/>
                <w:sz w:val="18"/>
                <w:szCs w:val="18"/>
                <w:color w:val="auto"/>
              </w:rPr>
              <w:t>656,260</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7,211,791</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Carol Gallagher, Pharm.D.</w:t>
            </w:r>
          </w:p>
        </w:tc>
        <w:tc>
          <w:tcPr>
            <w:tcW w:w="1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27,082,825</w:t>
            </w:r>
          </w:p>
        </w:tc>
        <w:tc>
          <w:tcPr>
            <w:tcW w:w="6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rPr>
              <w:t>9,256,933</w:t>
            </w:r>
          </w:p>
        </w:tc>
        <w:tc>
          <w:tcPr>
            <w:tcW w:w="80" w:type="dxa"/>
            <w:vAlign w:val="bottom"/>
          </w:tcPr>
          <w:p>
            <w:pPr>
              <w:spacing w:after="0"/>
              <w:rPr>
                <w:sz w:val="19"/>
                <w:szCs w:val="19"/>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7,211,791</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Non-Binding Advisory Vote to Approve the Compensation of the Company’s Named Executive Officers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paid to its named executive officers as described in the Company’s definitive proxy statement on Schedule 14A, filed with the U.S. Securities and Exchange Commission (the “SEC”) on April 24, 2024 (the “Proxy Statement”). The final voting results are as follows:</w:t>
      </w:r>
    </w:p>
    <w:p>
      <w:pPr>
        <w:spacing w:after="0" w:line="186"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12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60" w:type="dxa"/>
            <w:vAlign w:val="bottom"/>
          </w:tcPr>
          <w:p>
            <w:pPr>
              <w:spacing w:after="0"/>
              <w:rPr>
                <w:sz w:val="13"/>
                <w:szCs w:val="13"/>
                <w:color w:val="auto"/>
              </w:rPr>
            </w:pPr>
          </w:p>
        </w:tc>
        <w:tc>
          <w:tcPr>
            <w:tcW w:w="16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ABSTAIN</w:t>
            </w:r>
          </w:p>
        </w:tc>
        <w:tc>
          <w:tcPr>
            <w:tcW w:w="6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88"/>
        </w:trPr>
        <w:tc>
          <w:tcPr>
            <w:tcW w:w="1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NON-VOTE</w:t>
            </w:r>
          </w:p>
        </w:tc>
        <w:tc>
          <w:tcPr>
            <w:tcW w:w="0" w:type="dxa"/>
            <w:vAlign w:val="bottom"/>
          </w:tcPr>
          <w:p>
            <w:pPr>
              <w:spacing w:after="0"/>
              <w:rPr>
                <w:sz w:val="1"/>
                <w:szCs w:val="1"/>
                <w:color w:val="auto"/>
              </w:rPr>
            </w:pPr>
          </w:p>
        </w:tc>
      </w:tr>
      <w:tr>
        <w:trPr>
          <w:trHeight w:val="307"/>
        </w:trPr>
        <w:tc>
          <w:tcPr>
            <w:tcW w:w="15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rPr>
              <w:t>34,452,101</w:t>
            </w:r>
          </w:p>
        </w:tc>
        <w:tc>
          <w:tcPr>
            <w:tcW w:w="120" w:type="dxa"/>
            <w:vAlign w:val="bottom"/>
          </w:tcPr>
          <w:p>
            <w:pPr>
              <w:spacing w:after="0"/>
              <w:rPr>
                <w:sz w:val="24"/>
                <w:szCs w:val="24"/>
                <w:color w:val="auto"/>
              </w:rPr>
            </w:pPr>
          </w:p>
        </w:tc>
        <w:tc>
          <w:tcPr>
            <w:tcW w:w="15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color w:val="auto"/>
              </w:rPr>
              <w:t>1,079,423</w:t>
            </w:r>
          </w:p>
        </w:tc>
        <w:tc>
          <w:tcPr>
            <w:tcW w:w="60" w:type="dxa"/>
            <w:vAlign w:val="bottom"/>
          </w:tcPr>
          <w:p>
            <w:pPr>
              <w:spacing w:after="0"/>
              <w:rPr>
                <w:sz w:val="24"/>
                <w:szCs w:val="24"/>
                <w:color w:val="auto"/>
              </w:rPr>
            </w:pPr>
          </w:p>
        </w:tc>
        <w:tc>
          <w:tcPr>
            <w:tcW w:w="16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808,234</w:t>
            </w:r>
          </w:p>
        </w:tc>
        <w:tc>
          <w:tcPr>
            <w:tcW w:w="6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7,211,791</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Consistent with the recommendation of the Company’s Board of Directors and based on the Company’s stockholders’ approval at the Company’s 2022 annual meeting of stockholders, held on June 2, 2022, the Company conducts non-binding advisory votes on the compensation of its named executive officers every year. This policy will remain in effect until the next non-binding advisory stockholder vote on the frequency of future stockholder advisory votes on the compensation of the Company’s named executive officers, expected to be held at the Company’s 2028 annual meeting of stockholders.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Ratification of Independent Registered Public Accounting Firm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Company’s Board of Directors of Ernst &amp; Young LLP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2024. The final voting results are as follows:</w:t>
      </w:r>
    </w:p>
    <w:p>
      <w:pPr>
        <w:spacing w:after="0" w:line="229" w:lineRule="exact"/>
        <w:rPr>
          <w:sz w:val="20"/>
          <w:szCs w:val="20"/>
          <w:color w:val="auto"/>
        </w:rPr>
      </w:pPr>
    </w:p>
    <w:tbl>
      <w:tblPr>
        <w:tblLayout w:type="fixed"/>
        <w:tblInd w:w="2740" w:type="dxa"/>
        <w:tblCellMar>
          <w:top w:w="0" w:type="dxa"/>
          <w:left w:w="0" w:type="dxa"/>
          <w:bottom w:w="0" w:type="dxa"/>
          <w:right w:w="0" w:type="dxa"/>
        </w:tblCellMar>
      </w:tblPr>
      <w:tr>
        <w:trPr>
          <w:trHeight w:val="188"/>
        </w:trPr>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ABSTAIN</w:t>
            </w:r>
          </w:p>
        </w:tc>
      </w:tr>
      <w:tr>
        <w:trPr>
          <w:trHeight w:val="307"/>
        </w:trPr>
        <w:tc>
          <w:tcPr>
            <w:tcW w:w="18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8"/>
                <w:szCs w:val="18"/>
                <w:color w:val="auto"/>
              </w:rPr>
              <w:t>43,460,392</w:t>
            </w:r>
          </w:p>
        </w:tc>
        <w:tc>
          <w:tcPr>
            <w:tcW w:w="80" w:type="dxa"/>
            <w:vAlign w:val="bottom"/>
          </w:tcPr>
          <w:p>
            <w:pPr>
              <w:spacing w:after="0"/>
              <w:rPr>
                <w:sz w:val="24"/>
                <w:szCs w:val="24"/>
                <w:color w:val="auto"/>
              </w:rPr>
            </w:pPr>
          </w:p>
        </w:tc>
        <w:tc>
          <w:tcPr>
            <w:tcW w:w="17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90,902</w:t>
            </w:r>
          </w:p>
        </w:tc>
        <w:tc>
          <w:tcPr>
            <w:tcW w:w="60" w:type="dxa"/>
            <w:vAlign w:val="bottom"/>
          </w:tcPr>
          <w:p>
            <w:pPr>
              <w:spacing w:after="0"/>
              <w:rPr>
                <w:sz w:val="24"/>
                <w:szCs w:val="24"/>
                <w:color w:val="auto"/>
              </w:rPr>
            </w:pPr>
          </w:p>
        </w:tc>
        <w:tc>
          <w:tcPr>
            <w:tcW w:w="17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255</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the foregoing proposals, see the Proxy Statement as filed with the SEC.</w:t>
      </w:r>
    </w:p>
    <w:p>
      <w:pPr>
        <w:sectPr>
          <w:pgSz w:w="11900" w:h="16838" w:orient="portrait"/>
          <w:cols w:equalWidth="0" w:num="1">
            <w:col w:w="10860"/>
          </w:cols>
          <w:pgMar w:left="440" w:top="293" w:right="5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Carulli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7, 2024</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2024-06-07T07:38:54Z</dcterms:created>
  <dcterms:modified xsi:type="dcterms:W3CDTF">2024-06-07T07:38:54Z</dcterms:modified>
</cp:coreProperties>
</file>