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-94615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820" w:right="1620" w:hanging="3812"/>
        <w:spacing w:after="0" w:line="329"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71120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64770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1"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9"/>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c>
          <w:tcPr>
            <w:tcW w:w="3060" w:type="dxa"/>
            <w:vAlign w:val="bottom"/>
          </w:tcPr>
          <w:p>
            <w:pPr>
              <w:spacing w:after="0"/>
              <w:rPr>
                <w:sz w:val="24"/>
                <w:szCs w:val="24"/>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71120</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8"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3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380" w:firstLine="53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260" w:firstLine="538"/>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3"/>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0" w:lineRule="exact"/>
        <w:rPr>
          <w:sz w:val="24"/>
          <w:szCs w:val="24"/>
          <w:color w:val="auto"/>
        </w:rPr>
      </w:pPr>
    </w:p>
    <w:p>
      <w:pPr>
        <w:ind w:firstLine="538"/>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40"/>
        <w:spacing w:after="0" w:line="196" w:lineRule="exact"/>
        <w:tabs>
          <w:tab w:leader="none" w:pos="900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9" w:lineRule="exact"/>
        <w:rPr>
          <w:sz w:val="24"/>
          <w:szCs w:val="24"/>
          <w:color w:val="auto"/>
        </w:rPr>
      </w:pPr>
    </w:p>
    <w:p>
      <w:pPr>
        <w:ind w:right="20" w:firstLine="538"/>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As of May 8, 2022, the registrant had 45,574,075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Financial Statements (Unaudited)</w:t>
            </w:r>
          </w:p>
        </w:tc>
        <w:tc>
          <w:tcPr>
            <w:tcW w:w="6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Balance Sheets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Statements of Operations and Comprehensive Loss (Unaudited)</w:t>
            </w:r>
          </w:p>
        </w:tc>
        <w:tc>
          <w:tcPr>
            <w:tcW w:w="38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Statements of Stockholders’ Equity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Condensed Statements of Cash Flows (Unaudited)</w:t>
            </w:r>
          </w:p>
        </w:tc>
        <w:tc>
          <w:tcPr>
            <w:tcW w:w="50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3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0" w:lineRule="exact"/>
        <w:rPr>
          <w:sz w:val="20"/>
          <w:szCs w:val="20"/>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60" w:right="8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1060" w:right="14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1060" w:right="18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060" w:right="12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1060" w:right="12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60" w:right="22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53" w:lineRule="exact"/>
        <w:rPr>
          <w:rFonts w:ascii="Times New Roman" w:cs="Times New Roman" w:eastAsia="Times New Roman" w:hAnsi="Times New Roman"/>
          <w:sz w:val="18"/>
          <w:szCs w:val="18"/>
          <w:color w:val="auto"/>
        </w:rPr>
      </w:pPr>
    </w:p>
    <w:p>
      <w:pPr>
        <w:ind w:left="1060" w:right="80" w:hanging="526"/>
        <w:spacing w:after="0" w:line="282"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ind w:left="1060" w:hanging="52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1060" w:right="100" w:hanging="52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disease 2019, or COVID-19, pandemic, or other potential global disruptions on our business, such as the recent conflict between Russia and Ukraine and the trade sanctions imposed in response thereto</w:t>
      </w:r>
    </w:p>
    <w:p>
      <w:pPr>
        <w:spacing w:after="0" w:line="162" w:lineRule="exact"/>
        <w:rPr>
          <w:sz w:val="20"/>
          <w:szCs w:val="20"/>
          <w:color w:val="auto"/>
        </w:rPr>
      </w:pPr>
    </w:p>
    <w:p>
      <w:pPr>
        <w:ind w:right="80" w:firstLine="53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2021,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firstLine="53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5"/>
                <w:szCs w:val="15"/>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115,772</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288,040</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315,008</w:t>
            </w:r>
          </w:p>
        </w:tc>
        <w:tc>
          <w:tcPr>
            <w:tcW w:w="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at March 31,</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 (unaudited) and December 31, 2021. No shares issued or outstanding at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2022 (unaudited) and December 31, 2021.</w:t>
            </w:r>
          </w:p>
        </w:tc>
        <w:tc>
          <w:tcPr>
            <w:tcW w:w="24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45,532,392 and 45,433,684 shares issued and outstanding at March 31, 2022</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(unaudited) and December 31, 2021, respectively.</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(186,159)</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(167,726)</w:t>
            </w: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291,843</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315,008</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60" w:type="dxa"/>
            <w:vAlign w:val="bottom"/>
          </w:tcPr>
          <w:p>
            <w:pPr>
              <w:spacing w:after="0"/>
              <w:rPr>
                <w:sz w:val="19"/>
                <w:szCs w:val="19"/>
                <w:color w:val="auto"/>
              </w:rPr>
            </w:pP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r>
      <w:tr>
        <w:trPr>
          <w:trHeight w:val="210"/>
        </w:trPr>
        <w:tc>
          <w:tcPr>
            <w:tcW w:w="7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45,466,044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44,785,226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92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8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96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32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44,777,818</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469,001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103,351</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(11,602)</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44,881,169</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469,790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92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8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96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32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45,433,684</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(167,726)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common stock issued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under the 2020 ESPP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98,708</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(18,433)</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(18,433)</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45,532,392</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478,668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(17,998)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(93,705)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(139,777)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(38,825)</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(56,695)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173,289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116,594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Formation and Business of the Company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Liquidity</w:t>
      </w:r>
    </w:p>
    <w:p>
      <w:pPr>
        <w:spacing w:after="0" w:line="121" w:lineRule="exact"/>
        <w:rPr>
          <w:sz w:val="20"/>
          <w:szCs w:val="20"/>
          <w:color w:val="auto"/>
        </w:rPr>
      </w:pPr>
    </w:p>
    <w:p>
      <w:pPr>
        <w:jc w:val="both"/>
        <w:ind w:right="40" w:firstLine="538"/>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8 Clarke Drive, Suite 3, Cranbury, New Jersey.</w:t>
      </w:r>
    </w:p>
    <w:p>
      <w:pPr>
        <w:spacing w:after="0" w:line="180" w:lineRule="exact"/>
        <w:rPr>
          <w:sz w:val="20"/>
          <w:szCs w:val="20"/>
          <w:color w:val="auto"/>
        </w:rPr>
      </w:pPr>
    </w:p>
    <w:p>
      <w:pPr>
        <w:ind w:right="80" w:firstLine="538"/>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9" w:lineRule="exact"/>
        <w:rPr>
          <w:sz w:val="20"/>
          <w:szCs w:val="20"/>
          <w:color w:val="auto"/>
        </w:rPr>
      </w:pPr>
    </w:p>
    <w:p>
      <w:pPr>
        <w:ind w:right="140" w:firstLine="538"/>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months ended March 31, 2022, the Company incurred a net loss of $18,433 and used $17,998 of cash for operations. As of March 31, 2022, the Company had an accumulated deficit of $186,159. Cash, cash equivalents, and marketable securities were $294,766 as of March 31, 2022.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twelve months from the date of issuance of these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jc w:val="both"/>
        <w:ind w:right="120" w:firstLine="53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 ended December 31, 2021, included in the Company’s Annual Report on Form 10-K filed with the United States Securities and Exchange Commission (the “SEC”) on March 1, 2022. Since the date of those financial statements, there have been no changes to its significant accounting policies except as noted below.</w:t>
      </w:r>
    </w:p>
    <w:p>
      <w:pPr>
        <w:spacing w:after="0" w:line="2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3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March 31, 2022, the condensed statements of operations and comprehensive loss, and condensed statements of stockholders’ equity for the three months ended March 31, 2022 and 2021, and the condensed statements of cash flows for the three months ended March 31, 2022 and 2021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condensed balance sheet as of December 31, 2021, has been derived from our audited financial statements.</w:t>
      </w:r>
    </w:p>
    <w:p>
      <w:pPr>
        <w:spacing w:after="0" w:line="2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3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are not limited to, research and development costs, accrued research and development costs and related prepaid expenses and stock-based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w:t>
      </w:r>
    </w:p>
    <w:p>
      <w:pPr>
        <w:spacing w:after="0" w:line="207" w:lineRule="exact"/>
        <w:rPr>
          <w:sz w:val="20"/>
          <w:szCs w:val="20"/>
          <w:color w:val="auto"/>
        </w:rPr>
      </w:pPr>
    </w:p>
    <w:p>
      <w:pPr>
        <w:ind w:firstLine="538"/>
        <w:spacing w:after="0" w:line="261" w:lineRule="auto"/>
        <w:rPr>
          <w:sz w:val="20"/>
          <w:szCs w:val="20"/>
          <w:color w:val="auto"/>
        </w:rPr>
      </w:pPr>
      <w:r>
        <w:rPr>
          <w:rFonts w:ascii="Times New Roman" w:cs="Times New Roman" w:eastAsia="Times New Roman" w:hAnsi="Times New Roman"/>
          <w:sz w:val="18"/>
          <w:szCs w:val="18"/>
          <w:color w:val="auto"/>
        </w:rPr>
        <w:t>The length of time and full extent to which the COVID-19 pandemic directly or indirectly impacts our business, results of operations and financial condition, including expense, the supply chain,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2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ind w:right="80" w:firstLine="538"/>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As of March 31, 2022, the company’s long-term marketable debt securities have maturity dates no more than 2 years.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For the three months ended March 31, 2022, and 2021, the Company recorded $54 and $167 of amortization, respectively.</w:t>
      </w:r>
    </w:p>
    <w:p>
      <w:pPr>
        <w:spacing w:after="0" w:line="189" w:lineRule="exact"/>
        <w:rPr>
          <w:sz w:val="20"/>
          <w:szCs w:val="20"/>
          <w:color w:val="auto"/>
        </w:rPr>
      </w:pPr>
    </w:p>
    <w:p>
      <w:pPr>
        <w:ind w:right="260" w:firstLine="538"/>
        <w:spacing w:after="0" w:line="282" w:lineRule="auto"/>
        <w:rPr>
          <w:sz w:val="20"/>
          <w:szCs w:val="20"/>
          <w:color w:val="auto"/>
        </w:rPr>
      </w:pPr>
      <w:r>
        <w:rPr>
          <w:rFonts w:ascii="Times New Roman" w:cs="Times New Roman" w:eastAsia="Times New Roman" w:hAnsi="Times New Roman"/>
          <w:sz w:val="18"/>
          <w:szCs w:val="18"/>
          <w:color w:val="auto"/>
        </w:rPr>
        <w:t>Restricted cash as of March 31, 2022,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538"/>
        <w:spacing w:after="0" w:line="282" w:lineRule="auto"/>
        <w:rPr>
          <w:sz w:val="20"/>
          <w:szCs w:val="20"/>
          <w:color w:val="auto"/>
        </w:rPr>
      </w:pPr>
      <w:r>
        <w:rPr>
          <w:rFonts w:ascii="Times New Roman" w:cs="Times New Roman" w:eastAsia="Times New Roman" w:hAnsi="Times New Roman"/>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80" w:firstLine="538"/>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w:t>
      </w:r>
    </w:p>
    <w:p>
      <w:pPr>
        <w:spacing w:after="0" w:line="187" w:lineRule="exact"/>
        <w:rPr>
          <w:sz w:val="20"/>
          <w:szCs w:val="20"/>
          <w:color w:val="auto"/>
        </w:rPr>
      </w:pPr>
    </w:p>
    <w:p>
      <w:pPr>
        <w:ind w:right="240" w:firstLine="538"/>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6" w:lineRule="exact"/>
        <w:rPr>
          <w:sz w:val="20"/>
          <w:szCs w:val="20"/>
          <w:color w:val="auto"/>
        </w:rPr>
      </w:pPr>
    </w:p>
    <w:p>
      <w:pPr>
        <w:ind w:right="260" w:firstLine="538"/>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62" w:lineRule="exact"/>
        <w:rPr>
          <w:sz w:val="20"/>
          <w:szCs w:val="20"/>
          <w:color w:val="auto"/>
        </w:rPr>
      </w:pPr>
    </w:p>
    <w:p>
      <w:pPr>
        <w:ind w:right="360" w:firstLine="538"/>
        <w:spacing w:after="0" w:line="266" w:lineRule="auto"/>
        <w:rPr>
          <w:sz w:val="20"/>
          <w:szCs w:val="20"/>
          <w:color w:val="auto"/>
        </w:rPr>
      </w:pPr>
      <w:r>
        <w:rPr>
          <w:rFonts w:ascii="Times New Roman" w:cs="Times New Roman" w:eastAsia="Times New Roman" w:hAnsi="Times New Roman"/>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Neither of the Company’s leases contain residual value guarantees.</w:t>
      </w:r>
    </w:p>
    <w:p>
      <w:pPr>
        <w:spacing w:after="0" w:line="176" w:lineRule="exact"/>
        <w:rPr>
          <w:sz w:val="20"/>
          <w:szCs w:val="20"/>
          <w:color w:val="auto"/>
        </w:rPr>
      </w:pPr>
    </w:p>
    <w:p>
      <w:pPr>
        <w:ind w:right="20" w:firstLine="538"/>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40" w:firstLine="53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83" w:lineRule="exact"/>
        <w:rPr>
          <w:sz w:val="20"/>
          <w:szCs w:val="20"/>
          <w:color w:val="auto"/>
        </w:rPr>
      </w:pPr>
    </w:p>
    <w:p>
      <w:pPr>
        <w:ind w:right="260" w:firstLine="538"/>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0" w:lineRule="exact"/>
        <w:rPr>
          <w:sz w:val="20"/>
          <w:szCs w:val="20"/>
          <w:color w:val="auto"/>
        </w:rPr>
      </w:pPr>
    </w:p>
    <w:p>
      <w:pPr>
        <w:ind w:right="300" w:firstLine="538"/>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6" w:lineRule="exact"/>
        <w:rPr>
          <w:sz w:val="20"/>
          <w:szCs w:val="20"/>
          <w:color w:val="auto"/>
        </w:rPr>
      </w:pPr>
    </w:p>
    <w:p>
      <w:pPr>
        <w:ind w:right="60" w:firstLine="538"/>
        <w:spacing w:after="0" w:line="256" w:lineRule="auto"/>
        <w:rPr>
          <w:sz w:val="20"/>
          <w:szCs w:val="20"/>
          <w:color w:val="auto"/>
        </w:rPr>
      </w:pPr>
      <w:r>
        <w:rPr>
          <w:rFonts w:ascii="Times New Roman" w:cs="Times New Roman" w:eastAsia="Times New Roman" w:hAnsi="Times New Roman"/>
          <w:sz w:val="18"/>
          <w:szCs w:val="18"/>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COVID-19 outbreak and government responses are creating disruption in global supply chains and adversely impacting many industries. The outbreak could have a continued material adverse impact on economic and market conditions. The Company continues to monitor the impact of the COVID-19 outbreak closely. The full extent to which the COVID-10 outbreak will impact its operations or financial results remains uncertain.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60" w:firstLine="538"/>
        <w:spacing w:after="0" w:line="312" w:lineRule="auto"/>
        <w:rPr>
          <w:sz w:val="20"/>
          <w:szCs w:val="20"/>
          <w:color w:val="auto"/>
        </w:rPr>
      </w:pPr>
      <w:r>
        <w:rPr>
          <w:rFonts w:ascii="Times New Roman" w:cs="Times New Roman" w:eastAsia="Times New Roman" w:hAnsi="Times New Roman"/>
          <w:sz w:val="17"/>
          <w:szCs w:val="17"/>
          <w:color w:val="auto"/>
        </w:rPr>
        <w:t>The Company’s financial assets consist of money market funds, U.S. government debt securities and corporate debt securities. The following tables show the Company’s cash equivalents and available-for-sale securities’ carrying amounts and fair values as of March 31, 2022, and 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28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202,320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202,320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293,268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216,016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280" w:type="dxa"/>
            <w:vAlign w:val="bottom"/>
            <w:tcBorders>
              <w:top w:val="single" w:sz="8" w:color="CCECFF"/>
            </w:tcBorders>
            <w:gridSpan w:val="2"/>
            <w:shd w:val="clear" w:color="auto" w:fill="CCECFF"/>
          </w:tcPr>
          <w:p>
            <w:pPr>
              <w:spacing w:after="0" w:line="182" w:lineRule="exact"/>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auto"/>
            </w:tcBorders>
            <w:shd w:val="clear" w:color="auto" w:fill="CCECFF"/>
          </w:tcPr>
          <w:p>
            <w:pPr>
              <w:spacing w:after="0"/>
              <w:rPr>
                <w:sz w:val="15"/>
                <w:szCs w:val="15"/>
                <w:color w:val="auto"/>
              </w:rPr>
            </w:pPr>
          </w:p>
        </w:tc>
        <w:tc>
          <w:tcPr>
            <w:tcW w:w="700" w:type="dxa"/>
            <w:vAlign w:val="bottom"/>
            <w:tcBorders>
              <w:top w:val="single" w:sz="8" w:color="auto"/>
            </w:tcBorders>
            <w:shd w:val="clear" w:color="auto" w:fill="CCECFF"/>
          </w:tcPr>
          <w:p>
            <w:pPr>
              <w:spacing w:after="0"/>
              <w:rPr>
                <w:sz w:val="15"/>
                <w:szCs w:val="15"/>
                <w:color w:val="auto"/>
              </w:rPr>
            </w:pPr>
          </w:p>
        </w:tc>
        <w:tc>
          <w:tcPr>
            <w:tcW w:w="240" w:type="dxa"/>
            <w:vAlign w:val="bottom"/>
            <w:tcBorders>
              <w:top w:val="single" w:sz="8" w:color="CCECFF"/>
            </w:tcBorders>
            <w:shd w:val="clear" w:color="auto" w:fill="CCECFF"/>
          </w:tcPr>
          <w:p>
            <w:pPr>
              <w:spacing w:after="0"/>
              <w:rPr>
                <w:sz w:val="15"/>
                <w:szCs w:val="15"/>
                <w:color w:val="auto"/>
              </w:rPr>
            </w:pPr>
          </w:p>
        </w:tc>
        <w:tc>
          <w:tcPr>
            <w:tcW w:w="160" w:type="dxa"/>
            <w:vAlign w:val="bottom"/>
            <w:tcBorders>
              <w:top w:val="single" w:sz="8" w:color="auto"/>
            </w:tcBorders>
            <w:shd w:val="clear" w:color="auto" w:fill="CCECFF"/>
          </w:tcPr>
          <w:p>
            <w:pPr>
              <w:spacing w:after="0"/>
              <w:rPr>
                <w:sz w:val="15"/>
                <w:szCs w:val="15"/>
                <w:color w:val="auto"/>
              </w:rPr>
            </w:pPr>
          </w:p>
        </w:tc>
        <w:tc>
          <w:tcPr>
            <w:tcW w:w="6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40" w:type="dxa"/>
            <w:vAlign w:val="bottom"/>
            <w:tcBorders>
              <w:top w:val="single" w:sz="8" w:color="auto"/>
            </w:tcBorders>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6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40" w:type="dxa"/>
            <w:vAlign w:val="bottom"/>
            <w:tcBorders>
              <w:top w:val="single" w:sz="8" w:color="auto"/>
            </w:tcBorders>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6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4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auto"/>
            </w:tcBorders>
            <w:shd w:val="clear" w:color="auto" w:fill="CCECFF"/>
          </w:tcPr>
          <w:p>
            <w:pPr>
              <w:spacing w:after="0"/>
              <w:rPr>
                <w:sz w:val="15"/>
                <w:szCs w:val="15"/>
                <w:color w:val="auto"/>
              </w:rPr>
            </w:pPr>
          </w:p>
        </w:tc>
        <w:tc>
          <w:tcPr>
            <w:tcW w:w="66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20" w:type="dxa"/>
            <w:vAlign w:val="bottom"/>
            <w:tcBorders>
              <w:top w:val="single" w:sz="8" w:color="auto"/>
            </w:tcBorders>
            <w:shd w:val="clear" w:color="auto" w:fill="CCECFF"/>
          </w:tcPr>
          <w:p>
            <w:pPr>
              <w:spacing w:after="0"/>
              <w:rPr>
                <w:sz w:val="15"/>
                <w:szCs w:val="15"/>
                <w:color w:val="auto"/>
              </w:rPr>
            </w:pPr>
          </w:p>
        </w:tc>
        <w:tc>
          <w:tcPr>
            <w:tcW w:w="100" w:type="dxa"/>
            <w:vAlign w:val="bottom"/>
            <w:tcBorders>
              <w:top w:val="single" w:sz="8" w:color="auto"/>
            </w:tcBorders>
            <w:shd w:val="clear" w:color="auto" w:fill="CCECFF"/>
          </w:tcPr>
          <w:p>
            <w:pPr>
              <w:spacing w:after="0"/>
              <w:rPr>
                <w:sz w:val="15"/>
                <w:szCs w:val="15"/>
                <w:color w:val="auto"/>
              </w:rPr>
            </w:pPr>
          </w:p>
        </w:tc>
        <w:tc>
          <w:tcPr>
            <w:tcW w:w="66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20" w:type="dxa"/>
            <w:vAlign w:val="bottom"/>
            <w:tcBorders>
              <w:top w:val="single" w:sz="8" w:color="auto"/>
            </w:tcBorders>
            <w:shd w:val="clear" w:color="auto" w:fill="CCECFF"/>
          </w:tcPr>
          <w:p>
            <w:pPr>
              <w:spacing w:after="0"/>
              <w:rPr>
                <w:sz w:val="15"/>
                <w:szCs w:val="15"/>
                <w:color w:val="auto"/>
              </w:rPr>
            </w:pPr>
          </w:p>
        </w:tc>
        <w:tc>
          <w:tcPr>
            <w:tcW w:w="120" w:type="dxa"/>
            <w:vAlign w:val="bottom"/>
            <w:tcBorders>
              <w:top w:val="single" w:sz="8" w:color="auto"/>
            </w:tcBorders>
            <w:shd w:val="clear" w:color="auto" w:fill="CCECFF"/>
          </w:tcPr>
          <w:p>
            <w:pPr>
              <w:spacing w:after="0"/>
              <w:rPr>
                <w:sz w:val="15"/>
                <w:szCs w:val="15"/>
                <w:color w:val="auto"/>
              </w:rPr>
            </w:pPr>
          </w:p>
        </w:tc>
        <w:tc>
          <w:tcPr>
            <w:tcW w:w="72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CECFF"/>
          </w:tcPr>
          <w:p>
            <w:pPr>
              <w:spacing w:after="0" w:line="20" w:lineRule="exact"/>
              <w:rPr>
                <w:sz w:val="1"/>
                <w:szCs w:val="1"/>
                <w:color w:val="auto"/>
              </w:rPr>
            </w:pPr>
          </w:p>
        </w:tc>
        <w:tc>
          <w:tcPr>
            <w:tcW w:w="31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7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CFF"/>
          </w:tcPr>
          <w:p>
            <w:pPr>
              <w:spacing w:after="0"/>
              <w:rPr>
                <w:sz w:val="19"/>
                <w:szCs w:val="19"/>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227,378</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4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227,362</w:t>
            </w:r>
          </w:p>
        </w:tc>
        <w:tc>
          <w:tcPr>
            <w:tcW w:w="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227,362</w:t>
            </w:r>
          </w:p>
        </w:tc>
        <w:tc>
          <w:tcPr>
            <w:tcW w:w="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80" w:type="dxa"/>
            <w:vAlign w:val="bottom"/>
            <w:gridSpan w:val="2"/>
            <w:shd w:val="clear" w:color="auto" w:fill="CCEC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CFF"/>
              <w:bottom w:val="single" w:sz="8" w:color="CCECFF"/>
            </w:tcBorders>
            <w:gridSpan w:val="2"/>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310,645</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CECFF"/>
              <w:bottom w:val="single" w:sz="8" w:color="CCECFF"/>
            </w:tcBorders>
            <w:gridSpan w:val="2"/>
            <w:shd w:val="clear" w:color="auto" w:fill="CCEC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310,567</w:t>
            </w:r>
          </w:p>
        </w:tc>
        <w:tc>
          <w:tcPr>
            <w:tcW w:w="4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4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269,607</w:t>
            </w:r>
          </w:p>
        </w:tc>
        <w:tc>
          <w:tcPr>
            <w:tcW w:w="4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CFF"/>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60" w:firstLine="53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March 31, 2022, the Company had cash of $1,498 and cash equivalents of $114,274. Cash equivalents consisted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funds of $38,484 and corporate debt securities of $75,790. As of December 31, 2021, the Company had cash of $3,508 and cash equivalents of $168,960. Cash equivalents consisted of money market funds of $40,960 and corporate debt securities of $128,000. Money market funds are classified within level 1 of the fair value hierarchy because they are valued using quoted market prices in active markets, whereas corporate debt securities are classified within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level 2 of the fair value hierarchy because they are valued using inputs other than quoted prices that are observable for the asset or liability either directly or indirectly.</w:t>
      </w:r>
    </w:p>
    <w:p>
      <w:pPr>
        <w:spacing w:after="0" w:line="158" w:lineRule="exact"/>
        <w:rPr>
          <w:sz w:val="20"/>
          <w:szCs w:val="20"/>
          <w:color w:val="auto"/>
        </w:rPr>
      </w:pPr>
    </w:p>
    <w:p>
      <w:pPr>
        <w:ind w:right="220" w:firstLine="53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$178,994 as of March 31, 2022, consisted of corporate debt securities of $126,530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$52,464. There were $167,221 current marketable securities and $11,773 noncurrent marketable securities as of March 31, 2022. Marketable securities of $141,607 as of December 31, 2021, consisted of corporate debt securities of $99,362 and government debt securities of $42,245. There were $124,696 current marketable securities and $16,911 noncurrent marketable securities as of December 31, 2021.</w:t>
      </w:r>
    </w:p>
    <w:p>
      <w:pPr>
        <w:spacing w:after="0" w:line="180" w:lineRule="exact"/>
        <w:rPr>
          <w:sz w:val="20"/>
          <w:szCs w:val="20"/>
          <w:color w:val="auto"/>
        </w:rPr>
      </w:pPr>
    </w:p>
    <w:p>
      <w:pPr>
        <w:ind w:right="680" w:firstLine="53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aggregated gross unrealized losses of available-for-sale investments were not material, and accordingly, no allowance for credit losses was recorded.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(1,868)</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$84 and $79,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1,759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4,471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6,563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31"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38"/>
        <w:spacing w:after="0" w:line="312" w:lineRule="auto"/>
        <w:rPr>
          <w:sz w:val="20"/>
          <w:szCs w:val="20"/>
          <w:color w:val="auto"/>
        </w:rPr>
      </w:pPr>
      <w:r>
        <w:rPr>
          <w:rFonts w:ascii="Times New Roman" w:cs="Times New Roman" w:eastAsia="Times New Roman" w:hAnsi="Times New Roman"/>
          <w:sz w:val="17"/>
          <w:szCs w:val="17"/>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140" w:lineRule="exact"/>
        <w:rPr>
          <w:sz w:val="20"/>
          <w:szCs w:val="20"/>
          <w:color w:val="auto"/>
        </w:rPr>
      </w:pPr>
    </w:p>
    <w:p>
      <w:pPr>
        <w:ind w:right="60" w:firstLine="538"/>
        <w:spacing w:after="0" w:line="258"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will expire June 2022, with an option to renew on a month-to-month basis, with an increase in base rent as per the lease, for up to an additional year.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 w:name="page13"/>
    <w:bookmarkEnd w:id="12"/>
    <w:p>
      <w:pPr>
        <w:ind w:right="60" w:firstLine="538"/>
        <w:spacing w:after="0" w:line="256"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expires in July 2022, with an option to renew on a month-to-month basis, with an increase in base rent as per the lease, for up to an additional year.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187" w:lineRule="exact"/>
        <w:rPr>
          <w:sz w:val="20"/>
          <w:szCs w:val="20"/>
          <w:color w:val="auto"/>
        </w:rPr>
      </w:pPr>
    </w:p>
    <w:p>
      <w:pPr>
        <w:ind w:right="200" w:firstLine="538"/>
        <w:spacing w:after="0" w:line="261" w:lineRule="auto"/>
        <w:rPr>
          <w:sz w:val="20"/>
          <w:szCs w:val="20"/>
          <w:color w:val="auto"/>
        </w:rPr>
      </w:pPr>
      <w:r>
        <w:rPr>
          <w:rFonts w:ascii="Times New Roman" w:cs="Times New Roman" w:eastAsia="Times New Roman" w:hAnsi="Times New Roman"/>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March 31, 2022, the remaining rent incentive pertaining to the Lexington, MA lease totaled $54.</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complete the relocation of their headquarters from Cranbury, NJ to One Research Way in Princeton NJ in early 2022. That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extends through 2032, has a five-year extension option, and is intended to replace the Company’s two existing facilities and the space is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the Company’s future headquarters. Payment under this lease will total $19,889 through May 2032. The Company received a lease incentive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$4,046 from the lessor for a buildout of laboratory, vivarium, and office space, to be reimbursed to the Company in 2021 and 2022. Management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amounts of reimbursements and included them as a reduction of lease payments when initially measuring the lease liability and right-of-use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upon commencement. As of March 31, 2022, $786 of reimbursements were received.</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components of lease cost for the three months ended March 31, 2022, and 2021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36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6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380" w:type="dxa"/>
            <w:vAlign w:val="bottom"/>
            <w:tcBorders>
              <w:bottom w:val="single" w:sz="8" w:color="CFF0FC"/>
            </w:tcBorders>
            <w:vMerge w:val="continue"/>
          </w:tcPr>
          <w:p>
            <w:pPr>
              <w:spacing w:after="0"/>
              <w:rPr>
                <w:sz w:val="15"/>
                <w:szCs w:val="15"/>
                <w:color w:val="auto"/>
              </w:rPr>
            </w:pPr>
          </w:p>
        </w:tc>
        <w:tc>
          <w:tcPr>
            <w:tcW w:w="13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shd w:val="clear" w:color="auto" w:fill="CFF0FC"/>
          </w:tcPr>
          <w:p>
            <w:pPr>
              <w:jc w:val="right"/>
              <w:ind w:right="120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tcBorders>
              <w:bottom w:val="single" w:sz="8" w:color="auto"/>
            </w:tcBorders>
            <w:shd w:val="clear" w:color="auto" w:fill="CFF0FC"/>
          </w:tcPr>
          <w:p>
            <w:pPr>
              <w:jc w:val="right"/>
              <w:ind w:right="120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538"/>
        <w:spacing w:after="0" w:line="282" w:lineRule="auto"/>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March 31, 2022, and December 31, 2021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60" w:type="dxa"/>
            <w:vAlign w:val="bottom"/>
            <w:tcBorders>
              <w:bottom w:val="single" w:sz="8" w:color="CFF0FC"/>
            </w:tcBorders>
            <w:vMerge w:val="continue"/>
          </w:tcPr>
          <w:p>
            <w:pPr>
              <w:spacing w:after="0"/>
              <w:rPr>
                <w:sz w:val="15"/>
                <w:szCs w:val="15"/>
                <w:color w:val="auto"/>
              </w:rPr>
            </w:pPr>
          </w:p>
        </w:tc>
        <w:tc>
          <w:tcPr>
            <w:tcW w:w="18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454"/>
        </w:trPr>
        <w:tc>
          <w:tcPr>
            <w:tcW w:w="934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Other information related to leases for the three months ended March 31, 2022, and 2021 is as follows, in thousands: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460" w:type="dxa"/>
            <w:vAlign w:val="bottom"/>
            <w:tcBorders>
              <w:bottom w:val="single" w:sz="8" w:color="CFF0FC"/>
            </w:tcBorders>
          </w:tcPr>
          <w:p>
            <w:pPr>
              <w:spacing w:after="0"/>
              <w:rPr>
                <w:sz w:val="15"/>
                <w:szCs w:val="15"/>
                <w:color w:val="auto"/>
              </w:rPr>
            </w:pPr>
          </w:p>
        </w:tc>
        <w:tc>
          <w:tcPr>
            <w:tcW w:w="18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92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5460" w:type="dxa"/>
            <w:vAlign w:val="bottom"/>
          </w:tcPr>
          <w:p>
            <w:pPr>
              <w:spacing w:after="0"/>
              <w:rPr>
                <w:sz w:val="24"/>
                <w:szCs w:val="24"/>
                <w:color w:val="auto"/>
              </w:rPr>
            </w:pPr>
          </w:p>
        </w:tc>
        <w:tc>
          <w:tcPr>
            <w:tcW w:w="18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120" w:firstLine="538"/>
        <w:spacing w:after="0" w:line="282" w:lineRule="auto"/>
        <w:rPr>
          <w:sz w:val="20"/>
          <w:szCs w:val="20"/>
          <w:color w:val="auto"/>
        </w:rPr>
      </w:pPr>
      <w:r>
        <w:rPr>
          <w:rFonts w:ascii="Times New Roman" w:cs="Times New Roman" w:eastAsia="Times New Roman" w:hAnsi="Times New Roman"/>
          <w:sz w:val="18"/>
          <w:szCs w:val="18"/>
          <w:color w:val="auto"/>
        </w:rPr>
        <w:t>Future minimum lease payments, net of reimbursements, remaining as of March 31, 2022, under operating leases by fiscal year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7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(2,251)</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2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2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(4,929)</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Rent expense recorded during the three months ended March 31, 2022, and 2021 was $511 and $137, respectively.</w:t>
      </w:r>
    </w:p>
    <w:p>
      <w:pPr>
        <w:spacing w:after="0" w:line="252" w:lineRule="exact"/>
        <w:rPr>
          <w:sz w:val="20"/>
          <w:szCs w:val="20"/>
          <w:color w:val="auto"/>
        </w:rPr>
      </w:pPr>
    </w:p>
    <w:p>
      <w:pPr>
        <w:jc w:val="both"/>
        <w:ind w:right="80" w:firstLine="538"/>
        <w:spacing w:after="0" w:line="282" w:lineRule="auto"/>
        <w:rPr>
          <w:sz w:val="20"/>
          <w:szCs w:val="20"/>
          <w:color w:val="auto"/>
        </w:rPr>
      </w:pPr>
      <w:r>
        <w:rPr>
          <w:rFonts w:ascii="Times New Roman" w:cs="Times New Roman" w:eastAsia="Times New Roman" w:hAnsi="Times New Roman"/>
          <w:sz w:val="18"/>
          <w:szCs w:val="18"/>
          <w:color w:val="auto"/>
        </w:rPr>
        <w:t>The Company currently subleases the office space at 420 Bedford Street in Lexington, MA to another company. This sublease agreement expires in August, 2023. As of March 31, sublease income for the Company was $29 and $25 for the three months ended 2022 and 2021, respectively.</w:t>
      </w:r>
    </w:p>
    <w:p>
      <w:pPr>
        <w:spacing w:after="0" w:line="3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60" w:firstLine="538"/>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60" w:firstLine="53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March 31, 2022 and December 31, 2021, there were 45,532,392 and 45,433,684 shares of common stock issued and outstanding, respectively.</w:t>
      </w:r>
    </w:p>
    <w:p>
      <w:pPr>
        <w:spacing w:after="0" w:line="176" w:lineRule="exact"/>
        <w:rPr>
          <w:sz w:val="20"/>
          <w:szCs w:val="20"/>
          <w:color w:val="auto"/>
        </w:rPr>
      </w:pPr>
    </w:p>
    <w:p>
      <w:pPr>
        <w:ind w:right="700" w:firstLine="538"/>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March 31, 2022, no dividends on common stock had been declared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38"/>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 of directors exercised its discretion under clause (iii) to increase the number of shares of common stock reserved for issuance under the 2020 Plan by a lesser amount of 1,363,084 shares, effective as of January 1, 2022. As of March 31, 2022, there were 5,321,975 shares available for issuance under the 2020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 w:name="page15"/>
    <w:bookmarkEnd w:id="14"/>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00" w:firstLine="538"/>
        <w:spacing w:after="0" w:line="256"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increase to the shares reserved under the 2020 ESPP. As of March 31, 2022, 47,066 shares are issued or outstanding, and there were 801,464 shares available for issuance, under the 2020 ESPP.</w:t>
      </w:r>
    </w:p>
    <w:p>
      <w:pPr>
        <w:spacing w:after="0" w:line="2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three month period ended March 31,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73"/>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000s)</w:t>
            </w: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1,363,084</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(1,091,497)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1,091,497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98,708</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(98,708)</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45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March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5,321,975</w:t>
            </w:r>
          </w:p>
        </w:tc>
        <w:tc>
          <w:tcPr>
            <w:tcW w:w="240" w:type="dxa"/>
            <w:vAlign w:val="bottom"/>
            <w:tcBorders>
              <w:bottom w:val="single" w:sz="8" w:color="CFF0FC"/>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5,238,796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380" w:type="dxa"/>
            <w:vAlign w:val="bottom"/>
            <w:tcBorders>
              <w:bottom w:val="single" w:sz="8" w:color="CFF0FC"/>
            </w:tcBorders>
            <w:gridSpan w:val="2"/>
          </w:tcPr>
          <w:p>
            <w:pPr>
              <w:jc w:val="right"/>
              <w:ind w:right="285"/>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100" w:type="dxa"/>
            <w:vAlign w:val="bottom"/>
            <w:tcBorders>
              <w:bottom w:val="single" w:sz="8" w:color="CFF0FC"/>
            </w:tcBorders>
          </w:tcPr>
          <w:p>
            <w:pPr>
              <w:spacing w:after="0"/>
              <w:rPr>
                <w:sz w:val="22"/>
                <w:szCs w:val="22"/>
                <w:color w:val="auto"/>
              </w:rPr>
            </w:pPr>
          </w:p>
        </w:tc>
      </w:tr>
      <w:tr>
        <w:trPr>
          <w:trHeight w:val="21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2022</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45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5,238,796</w:t>
            </w: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380" w:type="dxa"/>
            <w:vAlign w:val="bottom"/>
            <w:tcBorders>
              <w:bottom w:val="single" w:sz="8" w:color="CFF0FC"/>
            </w:tcBorders>
            <w:gridSpan w:val="2"/>
          </w:tcPr>
          <w:p>
            <w:pPr>
              <w:jc w:val="right"/>
              <w:ind w:right="285"/>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100" w:type="dxa"/>
            <w:vAlign w:val="bottom"/>
            <w:tcBorders>
              <w:bottom w:val="single" w:sz="8" w:color="CFF0FC"/>
            </w:tcBorders>
          </w:tcPr>
          <w:p>
            <w:pPr>
              <w:spacing w:after="0"/>
              <w:rPr>
                <w:sz w:val="23"/>
                <w:szCs w:val="23"/>
                <w:color w:val="auto"/>
              </w:rPr>
            </w:pPr>
          </w:p>
        </w:tc>
      </w:tr>
      <w:tr>
        <w:trPr>
          <w:trHeight w:val="210"/>
        </w:trPr>
        <w:tc>
          <w:tcPr>
            <w:tcW w:w="454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2,740,691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80" w:type="dxa"/>
            <w:vAlign w:val="bottom"/>
            <w:tcBorders>
              <w:bottom w:val="single" w:sz="8" w:color="CFF0FC"/>
            </w:tcBorders>
            <w:gridSpan w:val="2"/>
            <w:shd w:val="clear" w:color="auto" w:fill="CFF0FC"/>
          </w:tcPr>
          <w:p>
            <w:pPr>
              <w:jc w:val="right"/>
              <w:ind w:right="285"/>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38"/>
        <w:spacing w:after="0" w:line="282" w:lineRule="auto"/>
        <w:rPr>
          <w:sz w:val="20"/>
          <w:szCs w:val="20"/>
          <w:color w:val="auto"/>
        </w:rPr>
      </w:pPr>
      <w:r>
        <w:rPr>
          <w:rFonts w:ascii="Times New Roman" w:cs="Times New Roman" w:eastAsia="Times New Roman" w:hAnsi="Times New Roman"/>
          <w:sz w:val="18"/>
          <w:szCs w:val="18"/>
          <w:color w:val="auto"/>
        </w:rPr>
        <w:t>At March 31, 2022, the total compensation cost related to nonvested awards not yet recognized is $25,961. The weighted-average period over which the nonvested awards is expected to be recognized is 3.3 years.</w:t>
      </w:r>
    </w:p>
    <w:p>
      <w:pPr>
        <w:spacing w:after="0" w:line="162" w:lineRule="exact"/>
        <w:rPr>
          <w:sz w:val="20"/>
          <w:szCs w:val="20"/>
          <w:color w:val="auto"/>
        </w:rPr>
      </w:pPr>
    </w:p>
    <w:p>
      <w:pPr>
        <w:ind w:right="600" w:firstLine="538"/>
        <w:spacing w:after="0" w:line="312" w:lineRule="auto"/>
        <w:rPr>
          <w:sz w:val="20"/>
          <w:szCs w:val="20"/>
          <w:color w:val="auto"/>
        </w:rPr>
      </w:pPr>
      <w:r>
        <w:rPr>
          <w:rFonts w:ascii="Times New Roman" w:cs="Times New Roman" w:eastAsia="Times New Roman" w:hAnsi="Times New Roman"/>
          <w:sz w:val="17"/>
          <w:szCs w:val="17"/>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62"/>
        </w:trPr>
        <w:tc>
          <w:tcPr>
            <w:tcW w:w="6000" w:type="dxa"/>
            <w:vAlign w:val="bottom"/>
          </w:tcPr>
          <w:p>
            <w:pPr>
              <w:spacing w:after="0"/>
              <w:rPr>
                <w:sz w:val="14"/>
                <w:szCs w:val="1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6000" w:type="dxa"/>
            <w:vAlign w:val="bottom"/>
          </w:tcPr>
          <w:p>
            <w:pPr>
              <w:spacing w:after="0"/>
              <w:rPr>
                <w:sz w:val="14"/>
                <w:szCs w:val="14"/>
                <w:color w:val="auto"/>
              </w:rPr>
            </w:pPr>
          </w:p>
        </w:tc>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00" w:type="dxa"/>
            <w:vAlign w:val="bottom"/>
            <w:tcBorders>
              <w:bottom w:val="single" w:sz="8" w:color="CFF0FC"/>
            </w:tcBorders>
          </w:tcPr>
          <w:p>
            <w:pPr>
              <w:spacing w:after="0"/>
              <w:rPr>
                <w:sz w:val="15"/>
                <w:szCs w:val="15"/>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CFF0FC"/>
            </w:tcBorders>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- 2.01%</w:t>
            </w:r>
          </w:p>
        </w:tc>
        <w:tc>
          <w:tcPr>
            <w:tcW w:w="46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46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6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FF0FC"/>
          </w:tcPr>
          <w:p>
            <w:pPr>
              <w:spacing w:after="0"/>
              <w:rPr>
                <w:sz w:val="19"/>
                <w:szCs w:val="19"/>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77.00%</w:t>
            </w:r>
          </w:p>
        </w:tc>
        <w:tc>
          <w:tcPr>
            <w:tcW w:w="46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right="320" w:firstLine="538"/>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Volatility: Volatility is based on an average of the historical volatilities of comparable publicly traded companies for the expected term.</w:t>
      </w:r>
    </w:p>
    <w:p>
      <w:pPr>
        <w:spacing w:after="0" w:line="225" w:lineRule="exact"/>
        <w:rPr>
          <w:sz w:val="20"/>
          <w:szCs w:val="20"/>
          <w:color w:val="auto"/>
        </w:rPr>
      </w:pPr>
    </w:p>
    <w:p>
      <w:pPr>
        <w:ind w:right="480" w:firstLine="538"/>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62" w:lineRule="exact"/>
        <w:rPr>
          <w:sz w:val="20"/>
          <w:szCs w:val="20"/>
          <w:color w:val="auto"/>
        </w:rPr>
      </w:pPr>
    </w:p>
    <w:p>
      <w:pPr>
        <w:ind w:right="80" w:firstLine="538"/>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right="580" w:firstLine="53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was allocated to research and development and general and administrative expense as follows:</w:t>
      </w:r>
    </w:p>
    <w:p>
      <w:pPr>
        <w:spacing w:after="0" w:line="16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wp:posOffset>
            </wp:positionV>
            <wp:extent cx="3145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3"/>
        </w:trPr>
        <w:tc>
          <w:tcPr>
            <w:tcW w:w="4360" w:type="dxa"/>
            <w:vAlign w:val="bottom"/>
          </w:tcPr>
          <w:p>
            <w:pPr>
              <w:spacing w:after="0"/>
              <w:rPr>
                <w:sz w:val="18"/>
                <w:szCs w:val="18"/>
                <w:color w:val="auto"/>
              </w:rPr>
            </w:pPr>
          </w:p>
        </w:tc>
        <w:tc>
          <w:tcPr>
            <w:tcW w:w="3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15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5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60" w:firstLine="53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a full valuation allowance on federal and state deferred tax assets since management does not forecast the Company to be in a taxable position in the near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300" w:firstLine="538"/>
        <w:spacing w:after="0" w:line="282"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 would have had an anti-dilutive effect.</w:t>
      </w:r>
    </w:p>
    <w:p>
      <w:pPr>
        <w:spacing w:after="0" w:line="16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w:t>
      </w:r>
    </w:p>
    <w:p>
      <w:pPr>
        <w:ind w:left="8200"/>
        <w:spacing w:after="0"/>
        <w:rPr>
          <w:sz w:val="20"/>
          <w:szCs w:val="20"/>
          <w:color w:val="auto"/>
        </w:rPr>
      </w:pPr>
      <w:r>
        <w:rPr>
          <w:rFonts w:ascii="Times New Roman" w:cs="Times New Roman" w:eastAsia="Times New Roman" w:hAnsi="Times New Roman"/>
          <w:sz w:val="14"/>
          <w:szCs w:val="14"/>
          <w:b w:val="1"/>
          <w:bCs w:val="1"/>
          <w:color w:val="auto"/>
        </w:rPr>
        <w:t>Months Ended</w:t>
      </w:r>
    </w:p>
    <w:tbl>
      <w:tblPr>
        <w:tblLayout w:type="fixed"/>
        <w:tblInd w:w="0" w:type="dxa"/>
        <w:tblCellMar>
          <w:top w:w="0" w:type="dxa"/>
          <w:left w:w="0" w:type="dxa"/>
          <w:bottom w:w="0" w:type="dxa"/>
          <w:right w:w="0" w:type="dxa"/>
        </w:tblCellMar>
      </w:tblPr>
      <w:tr>
        <w:trPr>
          <w:trHeight w:val="131"/>
        </w:trPr>
        <w:tc>
          <w:tcPr>
            <w:tcW w:w="5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right"/>
              <w:ind w:right="77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r>
      <w:tr>
        <w:trPr>
          <w:trHeight w:val="173"/>
        </w:trPr>
        <w:tc>
          <w:tcPr>
            <w:tcW w:w="5080" w:type="dxa"/>
            <w:vAlign w:val="bottom"/>
          </w:tcPr>
          <w:p>
            <w:pPr>
              <w:spacing w:after="0"/>
              <w:rPr>
                <w:sz w:val="15"/>
                <w:szCs w:val="15"/>
                <w:color w:val="auto"/>
              </w:rPr>
            </w:pP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number of shares - basic and diluted</w:t>
            </w:r>
          </w:p>
        </w:tc>
        <w:tc>
          <w:tcPr>
            <w:tcW w:w="1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45,466,044</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44,785,226</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19"/>
                <w:szCs w:val="19"/>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420" w:firstLine="538"/>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as of September 2021. The total of consulting fees paid in each of the three months ended March 31, 2022, and 2021 were $25 and $28, respectively. There were no amounts owed under the consulting agreements as of March 31, 2022.</w:t>
      </w:r>
    </w:p>
    <w:p>
      <w:pPr>
        <w:spacing w:after="0" w:line="176" w:lineRule="exact"/>
        <w:rPr>
          <w:sz w:val="20"/>
          <w:szCs w:val="20"/>
          <w:color w:val="auto"/>
        </w:rPr>
      </w:pPr>
    </w:p>
    <w:p>
      <w:pPr>
        <w:ind w:right="220" w:firstLine="538"/>
        <w:spacing w:after="0" w:line="266" w:lineRule="auto"/>
        <w:rPr>
          <w:sz w:val="20"/>
          <w:szCs w:val="20"/>
          <w:color w:val="auto"/>
        </w:rPr>
      </w:pPr>
      <w:r>
        <w:rPr>
          <w:rFonts w:ascii="Times New Roman" w:cs="Times New Roman" w:eastAsia="Times New Roman" w:hAnsi="Times New Roman"/>
          <w:sz w:val="18"/>
          <w:szCs w:val="18"/>
          <w:color w:val="auto"/>
        </w:rPr>
        <w:t>The total of consulting fees paid as of the year ended December 31, 2021, was $110. In May of 2021, the two members of the board of directors were awarded 5,781 options of Company stock each, as per their updated Scientific Advisory Board agreements. There were no amounts owed under the consulting agreements as of March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3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2021 and 2020 and the related Management’s Discussion and Analysis of Financial Condition and Results of Operations, including Contractual Obligations and Commitments, and Critical Accounting Policies and Significant Judgments and Estimates, included in our Annual Report on Form 10-K for the fiscal year ended December 31, 2021 filed with the Securities and Exchange Commission (SEC) on March 1, 2022. Unless the context requires otherwise, references in this Quarterly Report on Form 10-Q to “we,” “us,” and “our” refer to PMV Pharmaceuticals, Inc.</w:t>
      </w:r>
    </w:p>
    <w:p>
      <w:pPr>
        <w:spacing w:after="0" w:line="183" w:lineRule="exact"/>
        <w:rPr>
          <w:sz w:val="20"/>
          <w:szCs w:val="20"/>
          <w:color w:val="auto"/>
        </w:rPr>
      </w:pPr>
    </w:p>
    <w:p>
      <w:pPr>
        <w:ind w:right="20" w:firstLine="538"/>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2021, as updated by our subsequent filings under the Securities Exchange Act of 1934, as amended. Furthermore, past operating results are not necessarily indicative of results that may occur in future periods.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38"/>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certain cancers where wild-type p53 function is silenced.</w:t>
      </w:r>
    </w:p>
    <w:p>
      <w:pPr>
        <w:spacing w:after="0" w:line="188" w:lineRule="exact"/>
        <w:rPr>
          <w:sz w:val="20"/>
          <w:szCs w:val="20"/>
          <w:color w:val="auto"/>
        </w:rPr>
      </w:pPr>
    </w:p>
    <w:p>
      <w:pPr>
        <w:ind w:firstLine="538"/>
        <w:spacing w:after="0" w:line="253"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$57.8 million and $34.4 million for the years ended December 31, 2021, and 2020, respectively. During the three months ended March 31, 2022, the Company incurred a net loss of $18.4 million, respectively. As of March 31, 2022, we had an accumulated deficit of $186.2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90" w:lineRule="exact"/>
        <w:rPr>
          <w:sz w:val="20"/>
          <w:szCs w:val="20"/>
          <w:color w:val="auto"/>
        </w:rPr>
      </w:pPr>
    </w:p>
    <w:p>
      <w:pPr>
        <w:ind w:right="100" w:firstLine="538"/>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83" w:lineRule="exact"/>
        <w:rPr>
          <w:sz w:val="20"/>
          <w:szCs w:val="20"/>
          <w:color w:val="auto"/>
        </w:rPr>
      </w:pPr>
    </w:p>
    <w:p>
      <w:pPr>
        <w:jc w:val="both"/>
        <w:ind w:right="900" w:firstLine="538"/>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538"/>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38"/>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180" w:lineRule="exact"/>
        <w:rPr>
          <w:sz w:val="20"/>
          <w:szCs w:val="20"/>
          <w:color w:val="auto"/>
        </w:rPr>
      </w:pPr>
    </w:p>
    <w:p>
      <w:pPr>
        <w:ind w:right="40" w:firstLine="538"/>
        <w:spacing w:after="0" w:line="25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192" w:lineRule="exact"/>
        <w:rPr>
          <w:sz w:val="20"/>
          <w:szCs w:val="20"/>
          <w:color w:val="auto"/>
        </w:rPr>
      </w:pPr>
    </w:p>
    <w:p>
      <w:pPr>
        <w:ind w:firstLine="538"/>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3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00" w:firstLine="538"/>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8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(11,674)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(11,598)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(18,433)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(11,602)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(6,831)</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5"/>
                <w:szCs w:val="15"/>
                <w:color w:val="auto"/>
              </w:rPr>
            </w:pP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3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$11.8 million for the three months ended March 31, 2022, compared to $7.5 million for the three months ended March 31, 2021. The increase of $4.3 million, compared to the three months ended March 31, 2021, was primarily due to the following:</w:t>
      </w:r>
    </w:p>
    <w:p>
      <w:pPr>
        <w:spacing w:after="0" w:line="54" w:lineRule="exact"/>
        <w:rPr>
          <w:sz w:val="20"/>
          <w:szCs w:val="20"/>
          <w:color w:val="auto"/>
        </w:rPr>
      </w:pPr>
    </w:p>
    <w:p>
      <w:pPr>
        <w:ind w:left="920" w:hanging="386"/>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research expenses, largely driven by decreased contractual research organization costs;</w:t>
      </w:r>
    </w:p>
    <w:p>
      <w:pPr>
        <w:spacing w:after="0" w:line="117" w:lineRule="exact"/>
        <w:rPr>
          <w:rFonts w:ascii="Times New Roman" w:cs="Times New Roman" w:eastAsia="Times New Roman" w:hAnsi="Times New Roman"/>
          <w:sz w:val="18"/>
          <w:szCs w:val="18"/>
          <w:color w:val="auto"/>
        </w:rPr>
      </w:pPr>
    </w:p>
    <w:p>
      <w:pPr>
        <w:ind w:left="920" w:right="60" w:hanging="386"/>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increase in development expenses associated with advancing our lead product candidate, PC14586, through the Phase 1/2 clinical trial; and</w:t>
      </w:r>
    </w:p>
    <w:p>
      <w:pPr>
        <w:spacing w:after="0" w:line="53"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in expenses for personnel related costs and stock-based compensation, primarily driven by increased headcount.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60" w:firstLine="53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$6.8 million for the three months ended March 31, 2022, compared to $4.2 million for the three months ended March 31, 2021. The increase of $2.6 million, compared to the three months ended March 31, 2021, was primarily due to the following:</w:t>
      </w:r>
    </w:p>
    <w:p>
      <w:pPr>
        <w:spacing w:after="0" w:line="54" w:lineRule="exact"/>
        <w:rPr>
          <w:sz w:val="20"/>
          <w:szCs w:val="20"/>
          <w:color w:val="auto"/>
        </w:rPr>
      </w:pPr>
    </w:p>
    <w:p>
      <w:pPr>
        <w:ind w:left="920" w:right="60" w:hanging="386"/>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in personnel and office related expense due to increased headcount to build out general and administrative infrastructure; and</w:t>
      </w:r>
    </w:p>
    <w:p>
      <w:pPr>
        <w:spacing w:after="0" w:line="53" w:lineRule="exact"/>
        <w:rPr>
          <w:rFonts w:ascii="Times New Roman" w:cs="Times New Roman" w:eastAsia="Times New Roman" w:hAnsi="Times New Roman"/>
          <w:sz w:val="18"/>
          <w:szCs w:val="18"/>
          <w:color w:val="auto"/>
        </w:rPr>
      </w:pPr>
    </w:p>
    <w:p>
      <w:pPr>
        <w:ind w:left="920" w:right="200" w:hanging="386"/>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in finance and legal support and a $0.6 million increase due to facility related costs for the office building in Princeton, NJ.</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60" w:firstLine="538"/>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$0.2 million for the three months ended March 31, 2022. The increase of $0.1 million compared to the three months ended March 31, 2021, is driven by increased cash investments in marketable securities and U.S treasuries during the three months ended March 31, 2022.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26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(56,695)</w:t>
            </w: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42,525</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(5,138)</w:t>
            </w: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260" w:type="dxa"/>
            <w:vAlign w:val="bottom"/>
          </w:tcPr>
          <w:p>
            <w:pPr>
              <w:spacing w:after="0"/>
              <w:rPr>
                <w:sz w:val="19"/>
                <w:szCs w:val="19"/>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(13,246)</w:t>
            </w: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working capital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38"/>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March 31, 2022, we had cash, cash equivalents, and marketable securities of $294.8 million and an accumulated deficit of $186.2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 In October 2021, we filed an automatic shelf registration statement on Form S-3, which may result in aggregate gross proceeds of up to $150.0 million. We did not sell any shares pursuant to the shelf registration statement and did not receive any gross proceeds in fiscal year 2021 or the three months ended March 31,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60" w:firstLine="538"/>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ind w:firstLine="538"/>
        <w:spacing w:after="0" w:line="261"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$19.9 million through May 2032. Amounts related to future lease payments as of March 31, 2022, totaled $19.9 million, with $1.5 million to be paid within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40" w:firstLine="538"/>
        <w:spacing w:after="0" w:line="254"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incurred an accumulated deficit of $186.2 million through March 31, 2022. We expect to incur substantial additional losses in the future as we expand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For the three months ended March 31, 2022, and 2021, our cash operating expenditures were $18.0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respectively. We expect to increase our investment in operations in the remainder of 2022 and 2023. Based on our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we expect that our cash, cash equivalents and marketable securities as of March 31, 2022 will be sufficient to fund our operations at least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20" w:right="800" w:hanging="386"/>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w:t>
      </w:r>
    </w:p>
    <w:p>
      <w:pPr>
        <w:spacing w:after="0" w:line="162" w:lineRule="exact"/>
        <w:rPr>
          <w:sz w:val="20"/>
          <w:szCs w:val="20"/>
          <w:color w:val="auto"/>
        </w:rPr>
      </w:pPr>
    </w:p>
    <w:p>
      <w:pPr>
        <w:ind w:right="20" w:firstLine="53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32"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4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56"/>
        </w:trPr>
        <w:tc>
          <w:tcPr>
            <w:tcW w:w="54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(17,998)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(12,904)</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(139,897)</w:t>
            </w: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(56,695)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(152,639)</w:t>
            </w: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3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$18.0 million, which consisted primarily of net loss of $18.4 million partially offset by non-cash charges of $2.4 million. Changes in our net operating assets decreased operating cash by $2.0 million. The non-cash charges primarily consisted of stock-based compensation of $2.2 million, depreciation and amortization of $0.1 million, and non-cash lease expense of $0.1 million. The change in our net operating assets and liabilities was primarily due to an increase in prepaid expenses and other assets, a decrease in accrued expenses, an increase in outstanding payables, and an increase in operating lease right of use assets and liabilities driven by a cash reimbursement of $0.8 million for the buildout of the new office building in Princeton, NJ.</w:t>
      </w:r>
    </w:p>
    <w:p>
      <w:pPr>
        <w:spacing w:after="0" w:line="187" w:lineRule="exact"/>
        <w:rPr>
          <w:sz w:val="20"/>
          <w:szCs w:val="20"/>
          <w:color w:val="auto"/>
        </w:rPr>
      </w:pPr>
    </w:p>
    <w:p>
      <w:pPr>
        <w:ind w:firstLine="53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2021, was $12.9 million, which consisted primarily of net loss of $11.6 million partially offset by non-cash charges of $0.9 million. Changes in our net operating assets decreased operating cash by $2.2 million. The non-cash charges primarily consisted of stock-based compensation of $0.6 million and depreciation and amortization of $0.3 million. The change in our net operating assets and liabilities was primarily due to an increase in prepaid expenses and other assets, a decrease in accrued expenses, and a decrease in outstanding payables. Included in the increase of prepaid expenses and other assets is a cash deposit of $0.8 million for our new facility in NJ.</w:t>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538"/>
        <w:spacing w:after="0" w:line="266" w:lineRule="auto"/>
        <w:rPr>
          <w:sz w:val="20"/>
          <w:szCs w:val="20"/>
          <w:color w:val="auto"/>
        </w:rPr>
      </w:pPr>
      <w:r>
        <w:rPr>
          <w:rFonts w:ascii="Times New Roman" w:cs="Times New Roman" w:eastAsia="Times New Roman" w:hAnsi="Times New Roman"/>
          <w:sz w:val="18"/>
          <w:szCs w:val="18"/>
          <w:color w:val="auto"/>
        </w:rPr>
        <w:t>Our investing activities used $38.8 million of cash during the three months ended March 31, 2022, which consisted primarily of purchases of marketable securities of $93.7 million, along with purchase of property and equipment of $0.8 million partially offset by maturities of marketable securities of $55.7 million.</w:t>
      </w:r>
    </w:p>
    <w:p>
      <w:pPr>
        <w:spacing w:after="0" w:line="176" w:lineRule="exact"/>
        <w:rPr>
          <w:sz w:val="20"/>
          <w:szCs w:val="20"/>
          <w:color w:val="auto"/>
        </w:rPr>
      </w:pPr>
    </w:p>
    <w:p>
      <w:pPr>
        <w:ind w:right="460" w:firstLine="538"/>
        <w:spacing w:after="0" w:line="282" w:lineRule="auto"/>
        <w:rPr>
          <w:sz w:val="20"/>
          <w:szCs w:val="20"/>
          <w:color w:val="auto"/>
        </w:rPr>
      </w:pPr>
      <w:r>
        <w:rPr>
          <w:rFonts w:ascii="Times New Roman" w:cs="Times New Roman" w:eastAsia="Times New Roman" w:hAnsi="Times New Roman"/>
          <w:sz w:val="18"/>
          <w:szCs w:val="18"/>
          <w:color w:val="auto"/>
        </w:rPr>
        <w:t>Our investing activities used $139.9 million of cash during the three months ended March 31, 2021, which consisted primarily of purchases of marketable securities in addition to the purchase of property and equipment of $0.1 million.</w: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538"/>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three months ended March 31, 2022, which consisted primarily of proceeds from the exercise of stock options.</w:t>
      </w:r>
    </w:p>
    <w:p>
      <w:pPr>
        <w:spacing w:after="0" w:line="162" w:lineRule="exact"/>
        <w:rPr>
          <w:sz w:val="20"/>
          <w:szCs w:val="20"/>
          <w:color w:val="auto"/>
        </w:rPr>
      </w:pPr>
    </w:p>
    <w:p>
      <w:pPr>
        <w:ind w:right="180" w:firstLine="538"/>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$0.2 million of cash during the three months ended March 31, 2021, which consisted primarily of proceeds from the exercise of stock options.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ind w:right="340" w:firstLine="538"/>
        <w:spacing w:after="0" w:line="282" w:lineRule="auto"/>
        <w:rPr>
          <w:sz w:val="20"/>
          <w:szCs w:val="20"/>
          <w:color w:val="auto"/>
        </w:rPr>
      </w:pPr>
      <w:r>
        <w:rPr>
          <w:rFonts w:ascii="Times New Roman" w:cs="Times New Roman" w:eastAsia="Times New Roman" w:hAnsi="Times New Roman"/>
          <w:sz w:val="18"/>
          <w:szCs w:val="18"/>
          <w:color w:val="auto"/>
        </w:rPr>
        <w:t>We do not currently have, nor in the past had, any off-balance sheet arrangements, as defined in the rules and regulations of the SEC, during the periods presented.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320" w:firstLine="538"/>
        <w:spacing w:after="0" w:line="282"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right="340"/>
        <w:spacing w:after="0" w:line="282" w:lineRule="auto"/>
        <w:rPr>
          <w:sz w:val="20"/>
          <w:szCs w:val="20"/>
          <w:color w:val="auto"/>
        </w:rPr>
      </w:pPr>
      <w:r>
        <w:rPr>
          <w:rFonts w:ascii="Times New Roman" w:cs="Times New Roman" w:eastAsia="Times New Roman" w:hAnsi="Times New Roman"/>
          <w:sz w:val="18"/>
          <w:szCs w:val="18"/>
          <w:color w:val="auto"/>
        </w:rPr>
        <w:t>accompanying notes. Although we believe that the estimates we use are reasonable, due to the inherent uncertainty involved in making those estimates, actual results reported in future periods could differ from those estimates.</w:t>
      </w:r>
    </w:p>
    <w:p>
      <w:pPr>
        <w:spacing w:after="0" w:line="162" w:lineRule="exact"/>
        <w:rPr>
          <w:sz w:val="20"/>
          <w:szCs w:val="20"/>
          <w:color w:val="auto"/>
        </w:rPr>
      </w:pPr>
    </w:p>
    <w:p>
      <w:pPr>
        <w:ind w:firstLine="538"/>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 month period ended March 31, 2022, there were no material changes to our critical accounting policies from those described in our audited financial statements for the year ended December 31, 2021, included in our Annual Report on Form 10-K filed with the SEC on March 1, 2022, except as noted below.</w:t>
      </w:r>
    </w:p>
    <w:p>
      <w:pPr>
        <w:spacing w:after="0" w:line="2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38"/>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183" w:lineRule="exact"/>
        <w:rPr>
          <w:sz w:val="20"/>
          <w:szCs w:val="20"/>
          <w:color w:val="auto"/>
        </w:rPr>
      </w:pPr>
    </w:p>
    <w:p>
      <w:pPr>
        <w:ind w:right="20" w:firstLine="53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1" w:lineRule="exact"/>
        <w:rPr>
          <w:sz w:val="20"/>
          <w:szCs w:val="20"/>
          <w:color w:val="auto"/>
        </w:rPr>
      </w:pPr>
    </w:p>
    <w:p>
      <w:pPr>
        <w:ind w:left="920" w:hanging="38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right="40" w:firstLine="538"/>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538"/>
        <w:spacing w:after="0" w:line="255"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firstLine="538"/>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62" w:lineRule="exact"/>
        <w:rPr>
          <w:sz w:val="20"/>
          <w:szCs w:val="20"/>
          <w:color w:val="auto"/>
        </w:rPr>
      </w:pPr>
    </w:p>
    <w:p>
      <w:pPr>
        <w:jc w:val="both"/>
        <w:ind w:right="420" w:firstLine="538"/>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176" w:lineRule="exact"/>
        <w:rPr>
          <w:sz w:val="20"/>
          <w:szCs w:val="20"/>
          <w:color w:val="auto"/>
        </w:rPr>
      </w:pPr>
    </w:p>
    <w:p>
      <w:pPr>
        <w:ind w:right="140" w:firstLine="538"/>
        <w:spacing w:after="0" w:line="266" w:lineRule="auto"/>
        <w:rPr>
          <w:sz w:val="20"/>
          <w:szCs w:val="20"/>
          <w:color w:val="auto"/>
        </w:rPr>
      </w:pPr>
      <w:r>
        <w:rPr>
          <w:rFonts w:ascii="Times New Roman" w:cs="Times New Roman" w:eastAsia="Times New Roman" w:hAnsi="Times New Roman"/>
          <w:sz w:val="18"/>
          <w:szCs w:val="18"/>
          <w:color w:val="auto"/>
        </w:rPr>
        <w:t>Since we do not have a trading history of common stock, the expected volatility was derived from the average historical stock volatilities of the common stock of several public companies within the industry that we consider to be comparable to our business over a period equivalent to the expected term of the stock-based awards.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538"/>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225" w:lineRule="exact"/>
        <w:rPr>
          <w:sz w:val="20"/>
          <w:szCs w:val="20"/>
          <w:color w:val="auto"/>
        </w:rPr>
      </w:pPr>
    </w:p>
    <w:p>
      <w:pPr>
        <w:ind w:firstLine="538"/>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$294.8 million and restricted cash of $0.8 million as of March 31, 2022.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76" w:lineRule="exact"/>
        <w:rPr>
          <w:sz w:val="20"/>
          <w:szCs w:val="20"/>
          <w:color w:val="auto"/>
        </w:rPr>
      </w:pPr>
    </w:p>
    <w:p>
      <w:pPr>
        <w:ind w:right="60" w:firstLine="538"/>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40" w:firstLine="53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140" w:firstLine="538"/>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2022.</w:t>
      </w:r>
    </w:p>
    <w:p>
      <w:pPr>
        <w:spacing w:after="0" w:line="180" w:lineRule="exact"/>
        <w:rPr>
          <w:sz w:val="20"/>
          <w:szCs w:val="20"/>
          <w:color w:val="auto"/>
        </w:rPr>
      </w:pPr>
    </w:p>
    <w:p>
      <w:pPr>
        <w:ind w:right="120" w:firstLine="538"/>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38"/>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firstLine="538"/>
        <w:spacing w:after="0" w:line="281" w:lineRule="auto"/>
        <w:rPr>
          <w:sz w:val="20"/>
          <w:szCs w:val="20"/>
          <w:color w:val="auto"/>
        </w:rPr>
      </w:pPr>
      <w:r>
        <w:rPr>
          <w:rFonts w:ascii="Times New Roman" w:cs="Times New Roman" w:eastAsia="Times New Roman" w:hAnsi="Times New Roman"/>
          <w:sz w:val="17"/>
          <w:szCs w:val="17"/>
          <w:color w:val="auto"/>
        </w:rPr>
        <w:t>Other than as disclosed below, there have been no material changes to the Company’s risk factors as set forth in Part I, Item 1A of the Company’s Annual Report on Form 10-K for the fiscal year ended December 31, 2021, as filed with the SEC on March 1, 2022.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2021, as filed with the SEC on March 1, 2022.</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51" w:lineRule="exact"/>
        <w:rPr>
          <w:sz w:val="20"/>
          <w:szCs w:val="20"/>
          <w:color w:val="auto"/>
        </w:rPr>
      </w:pPr>
    </w:p>
    <w:p>
      <w:pPr>
        <w:ind w:firstLine="538"/>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72" w:lineRule="exact"/>
        <w:rPr>
          <w:sz w:val="20"/>
          <w:szCs w:val="20"/>
          <w:color w:val="auto"/>
        </w:rPr>
      </w:pPr>
    </w:p>
    <w:p>
      <w:pPr>
        <w:ind w:left="920" w:right="420" w:hanging="386"/>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53" w:lineRule="exact"/>
        <w:rPr>
          <w:rFonts w:ascii="Times New Roman" w:cs="Times New Roman" w:eastAsia="Times New Roman" w:hAnsi="Times New Roman"/>
          <w:sz w:val="18"/>
          <w:szCs w:val="18"/>
          <w:color w:val="auto"/>
        </w:rPr>
      </w:pPr>
    </w:p>
    <w:p>
      <w:pPr>
        <w:ind w:left="920" w:right="180" w:hanging="386"/>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920" w:right="80" w:hanging="386"/>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3"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ability to produce our product candidates and conduct clinical trials in foreign countries;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920" w:right="420" w:hanging="386"/>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920" w:hanging="38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920" w:right="460" w:hanging="386"/>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5" w:name="page26"/>
    <w:bookmarkEnd w:id="25"/>
    <w:p>
      <w:pPr>
        <w:ind w:left="920" w:right="20" w:hanging="386"/>
        <w:spacing w:after="0" w:line="258"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ongoing Ukraine-Russia war,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75" w:lineRule="exact"/>
        <w:rPr>
          <w:rFonts w:ascii="Times New Roman" w:cs="Times New Roman" w:eastAsia="Times New Roman" w:hAnsi="Times New Roman"/>
          <w:sz w:val="18"/>
          <w:szCs w:val="18"/>
          <w:color w:val="auto"/>
        </w:rPr>
      </w:pPr>
    </w:p>
    <w:p>
      <w:pPr>
        <w:ind w:left="920" w:right="100" w:hanging="386"/>
        <w:spacing w:after="0" w:line="266"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directly or indirectly from geo-political actions, including the ongoing Ukraine-Russian war, other regional or geo-political conflicts, and terrorism; and supply and other disruptions resulting from the impact of public health epidemics, including the COVID-19 pandemic, on our strategic partners, third-party manufacturers, suppliers and other third parties upon which we rely.</w:t>
      </w:r>
    </w:p>
    <w:p>
      <w:pPr>
        <w:spacing w:after="0" w:line="176" w:lineRule="exact"/>
        <w:rPr>
          <w:sz w:val="20"/>
          <w:szCs w:val="20"/>
          <w:color w:val="auto"/>
        </w:rPr>
      </w:pPr>
    </w:p>
    <w:p>
      <w:pPr>
        <w:ind w:right="480" w:firstLine="53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20" w:firstLine="538"/>
        <w:spacing w:after="0" w:line="25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 acted as joint book-running managers for the offering.</w:t>
      </w:r>
    </w:p>
    <w:p>
      <w:pPr>
        <w:spacing w:after="0" w:line="189" w:lineRule="exact"/>
        <w:rPr>
          <w:sz w:val="20"/>
          <w:szCs w:val="20"/>
          <w:color w:val="auto"/>
        </w:rPr>
      </w:pPr>
    </w:p>
    <w:p>
      <w:pPr>
        <w:ind w:right="20" w:firstLine="53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162" w:lineRule="exact"/>
        <w:rPr>
          <w:sz w:val="20"/>
          <w:szCs w:val="20"/>
          <w:color w:val="auto"/>
        </w:rPr>
      </w:pPr>
    </w:p>
    <w:p>
      <w:pPr>
        <w:ind w:firstLine="538"/>
        <w:spacing w:after="0" w:line="258" w:lineRule="auto"/>
        <w:rPr>
          <w:sz w:val="20"/>
          <w:szCs w:val="20"/>
          <w:color w:val="auto"/>
        </w:rPr>
      </w:pPr>
      <w:r>
        <w:rPr>
          <w:rFonts w:ascii="Times New Roman" w:cs="Times New Roman" w:eastAsia="Times New Roman" w:hAnsi="Times New Roman"/>
          <w:sz w:val="18"/>
          <w:szCs w:val="18"/>
          <w:color w:val="auto"/>
        </w:rPr>
        <w:t>On October 4, 2021, our shelf registration statement on Form S-3 (File No. 333-260012) was automatically declared effective by the SEC for our future follow-on offering. The potential gross proceeds from this future offering are approximately $150.0 million. The company has not issued any shares of common stock pursuant to the offering. There has been no material change in the planned use of proceeds from the follow-on offering as described in the Form S-3 Registration Statement. None of the offering expenses were paid or payable, directly, or indirectly, to our directors, officers, or persons owning 10% or more of any class of equity securities or to our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080"/>
          </w:cols>
          <w:pgMar w:left="320" w:top="333" w:right="499" w:bottom="1440" w:gutter="0" w:footer="0" w:header="0"/>
        </w:sect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40" w:type="dxa"/>
            <w:vAlign w:val="bottom"/>
          </w:tcPr>
          <w:p>
            <w:pPr>
              <w:spacing w:after="0"/>
              <w:rPr>
                <w:sz w:val="13"/>
                <w:szCs w:val="13"/>
                <w:color w:val="auto"/>
              </w:rPr>
            </w:pPr>
          </w:p>
        </w:tc>
        <w:tc>
          <w:tcPr>
            <w:tcW w:w="3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4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76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rPr>
              <w:t>3.1</w:t>
            </w:r>
          </w:p>
        </w:tc>
        <w:tc>
          <w:tcPr>
            <w:tcW w:w="5560" w:type="dxa"/>
            <w:vAlign w:val="bottom"/>
            <w:gridSpan w:val="4"/>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44"/>
        </w:trPr>
        <w:tc>
          <w:tcPr>
            <w:tcW w:w="76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rPr>
              <w:t>3.2</w:t>
            </w:r>
          </w:p>
        </w:tc>
        <w:tc>
          <w:tcPr>
            <w:tcW w:w="49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Restated Bylaws of the Registrant</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rPr>
              <w:t>4.1</w:t>
            </w:r>
          </w:p>
        </w:tc>
        <w:tc>
          <w:tcPr>
            <w:tcW w:w="5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Amended and Restated Investors’ Rights Agreement, dated July 17, 2020, by</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560" w:type="dxa"/>
            <w:vAlign w:val="bottom"/>
            <w:gridSpan w:val="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and among the Registrant and certain of its stockholders.</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34"/>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September 29, 2020</w:t>
            </w:r>
          </w:p>
        </w:tc>
      </w:tr>
      <w:tr>
        <w:trPr>
          <w:trHeight w:val="365"/>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September 29, 2020</w:t>
            </w:r>
          </w:p>
        </w:tc>
      </w:tr>
      <w:tr>
        <w:trPr>
          <w:trHeight w:val="364"/>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33-248627</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rPr>
              <w:t>September 4, 2020</w:t>
            </w:r>
          </w:p>
        </w:tc>
      </w:tr>
    </w:tbl>
    <w:p>
      <w:pPr>
        <w:spacing w:after="0" w:line="346" w:lineRule="exact"/>
        <w:rPr>
          <w:sz w:val="20"/>
          <w:szCs w:val="20"/>
          <w:color w:val="auto"/>
        </w:rPr>
      </w:pPr>
    </w:p>
    <w:p>
      <w:pPr>
        <w:sectPr>
          <w:pgSz w:w="11900" w:h="16838" w:orient="portrait"/>
          <w:cols w:equalWidth="0" w:num="2">
            <w:col w:w="6480" w:space="280"/>
            <w:col w:w="4320"/>
          </w:cols>
          <w:pgMar w:left="320" w:top="333" w:right="499" w:bottom="1440" w:gutter="0" w:footer="0" w:header="0"/>
          <w:type w:val="continuous"/>
        </w:sectPr>
      </w:pPr>
    </w:p>
    <w:p>
      <w:pPr>
        <w:spacing w:after="0" w:line="13" w:lineRule="exact"/>
        <w:rPr>
          <w:sz w:val="20"/>
          <w:szCs w:val="20"/>
          <w:color w:val="auto"/>
        </w:rPr>
      </w:pPr>
    </w:p>
    <w:p>
      <w:pPr>
        <w:ind w:left="30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48">
        <w:r>
          <w:rPr>
            <w:rFonts w:ascii="Times New Roman" w:cs="Times New Roman" w:eastAsia="Times New Roman" w:hAnsi="Times New Roman"/>
            <w:sz w:val="17"/>
            <w:szCs w:val="17"/>
            <w:u w:val="single" w:color="auto"/>
            <w:color w:val="0000EE"/>
          </w:rPr>
          <w:t>Specimen common stock certificate</w:t>
        </w:r>
      </w:hyperlink>
    </w:p>
    <w:p>
      <w:pPr>
        <w:spacing w:after="0" w:line="158" w:lineRule="exact"/>
        <w:rPr>
          <w:sz w:val="20"/>
          <w:szCs w:val="20"/>
          <w:color w:val="auto"/>
        </w:rPr>
      </w:pPr>
    </w:p>
    <w:p>
      <w:pPr>
        <w:ind w:left="30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49">
        <w:r>
          <w:rPr>
            <w:rFonts w:ascii="Times New Roman" w:cs="Times New Roman" w:eastAsia="Times New Roman" w:hAnsi="Times New Roman"/>
            <w:sz w:val="17"/>
            <w:szCs w:val="17"/>
            <w:u w:val="single" w:color="auto"/>
            <w:color w:val="0000EE"/>
          </w:rPr>
          <w:t>Form of Indenture</w:t>
        </w:r>
      </w:hyperlink>
    </w:p>
    <w:p>
      <w:pPr>
        <w:spacing w:after="0" w:line="158" w:lineRule="exact"/>
        <w:rPr>
          <w:sz w:val="20"/>
          <w:szCs w:val="20"/>
          <w:color w:val="auto"/>
        </w:rPr>
      </w:pPr>
    </w:p>
    <w:p>
      <w:pPr>
        <w:ind w:left="920" w:hanging="694"/>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0">
        <w:r>
          <w:rPr>
            <w:rFonts w:ascii="Times New Roman" w:cs="Times New Roman" w:eastAsia="Times New Roman" w:hAnsi="Times New Roman"/>
            <w:sz w:val="18"/>
            <w:szCs w:val="18"/>
            <w:u w:val="single" w:color="auto"/>
            <w:color w:val="0000EE"/>
          </w:rPr>
          <w:t>Form of Indemnification Agreement between the Registrant and each of its</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directors and executive officers.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64"/>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S-3ASR</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333-260012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364"/>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4, 2020</w:t>
            </w:r>
          </w:p>
        </w:tc>
      </w:tr>
    </w:tbl>
    <w:p>
      <w:pPr>
        <w:spacing w:after="0" w:line="346" w:lineRule="exact"/>
        <w:rPr>
          <w:sz w:val="20"/>
          <w:szCs w:val="20"/>
          <w:color w:val="auto"/>
        </w:rPr>
      </w:pPr>
    </w:p>
    <w:p>
      <w:pPr>
        <w:sectPr>
          <w:pgSz w:w="11900" w:h="16838" w:orient="portrait"/>
          <w:cols w:equalWidth="0" w:num="2">
            <w:col w:w="6320" w:space="320"/>
            <w:col w:w="4440"/>
          </w:cols>
          <w:pgMar w:left="320" w:top="333" w:right="499" w:bottom="1440" w:gutter="0" w:footer="0" w:header="0"/>
          <w:type w:val="continuous"/>
        </w:sectPr>
      </w:pPr>
    </w:p>
    <w:p>
      <w:pPr>
        <w:spacing w:after="0" w:line="13" w:lineRule="exact"/>
        <w:rPr>
          <w:sz w:val="20"/>
          <w:szCs w:val="20"/>
          <w:color w:val="auto"/>
        </w:rPr>
      </w:pPr>
    </w:p>
    <w:p>
      <w:pPr>
        <w:ind w:left="22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1">
        <w:r>
          <w:rPr>
            <w:rFonts w:ascii="Times New Roman" w:cs="Times New Roman" w:eastAsia="Times New Roman" w:hAnsi="Times New Roman"/>
            <w:sz w:val="17"/>
            <w:szCs w:val="17"/>
            <w:u w:val="single" w:color="auto"/>
            <w:color w:val="0000EE"/>
          </w:rPr>
          <w:t>2013 Equity Incentive Plan, as amended, and forms of agreement thereunder.</w:t>
        </w:r>
      </w:hyperlink>
    </w:p>
    <w:p>
      <w:pPr>
        <w:spacing w:after="0" w:line="158" w:lineRule="exact"/>
        <w:rPr>
          <w:sz w:val="20"/>
          <w:szCs w:val="20"/>
          <w:color w:val="auto"/>
        </w:rPr>
      </w:pPr>
    </w:p>
    <w:p>
      <w:pPr>
        <w:ind w:left="22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52">
        <w:r>
          <w:rPr>
            <w:rFonts w:ascii="Times New Roman" w:cs="Times New Roman" w:eastAsia="Times New Roman" w:hAnsi="Times New Roman"/>
            <w:sz w:val="17"/>
            <w:szCs w:val="17"/>
            <w:u w:val="single" w:color="auto"/>
            <w:color w:val="0000EE"/>
          </w:rPr>
          <w:t>2020 Equity Incentive Plan and forms of agreements thereunder.</w:t>
        </w:r>
      </w:hyperlink>
    </w:p>
    <w:p>
      <w:pPr>
        <w:spacing w:after="0" w:line="158" w:lineRule="exact"/>
        <w:rPr>
          <w:sz w:val="20"/>
          <w:szCs w:val="20"/>
          <w:color w:val="auto"/>
        </w:rPr>
      </w:pPr>
    </w:p>
    <w:p>
      <w:pPr>
        <w:ind w:left="22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53">
        <w:r>
          <w:rPr>
            <w:rFonts w:ascii="Times New Roman" w:cs="Times New Roman" w:eastAsia="Times New Roman" w:hAnsi="Times New Roman"/>
            <w:sz w:val="17"/>
            <w:szCs w:val="17"/>
            <w:u w:val="single" w:color="auto"/>
            <w:color w:val="0000EE"/>
          </w:rPr>
          <w:t>2020 Employee Stock Purchase Plan and forms of agreements thereunder.</w:t>
        </w:r>
      </w:hyperlink>
    </w:p>
    <w:p>
      <w:pPr>
        <w:spacing w:after="0" w:line="158" w:lineRule="exact"/>
        <w:rPr>
          <w:sz w:val="20"/>
          <w:szCs w:val="20"/>
          <w:color w:val="auto"/>
        </w:rPr>
      </w:pPr>
    </w:p>
    <w:p>
      <w:pPr>
        <w:ind w:left="920" w:right="520" w:hanging="694"/>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54">
        <w:r>
          <w:rPr>
            <w:rFonts w:ascii="Times New Roman" w:cs="Times New Roman" w:eastAsia="Times New Roman" w:hAnsi="Times New Roman"/>
            <w:sz w:val="18"/>
            <w:szCs w:val="18"/>
            <w:u w:val="single" w:color="auto"/>
            <w:color w:val="0000EE"/>
          </w:rPr>
          <w:t>Employment Offer Letter, dated August 17, 2020, by and between the</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Registrant and David H. Mack, Ph.D.</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64"/>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65"/>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64"/>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4, 2020</w:t>
            </w:r>
          </w:p>
        </w:tc>
      </w:tr>
    </w:tbl>
    <w:p>
      <w:pPr>
        <w:spacing w:after="0" w:line="346" w:lineRule="exact"/>
        <w:rPr>
          <w:sz w:val="20"/>
          <w:szCs w:val="20"/>
          <w:color w:val="auto"/>
        </w:rPr>
      </w:pPr>
    </w:p>
    <w:p>
      <w:pPr>
        <w:sectPr>
          <w:pgSz w:w="11900" w:h="16838" w:orient="portrait"/>
          <w:cols w:equalWidth="0" w:num="2">
            <w:col w:w="6460" w:space="260"/>
            <w:col w:w="4360"/>
          </w:cols>
          <w:pgMar w:left="320" w:top="333" w:right="49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10.6*</w:t>
            </w:r>
          </w:p>
        </w:tc>
        <w:tc>
          <w:tcPr>
            <w:tcW w:w="5460" w:type="dxa"/>
            <w:vAlign w:val="bottom"/>
            <w:gridSpan w:val="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Employment Offer Letter, dated August 17, 2020, by and between the</w:t>
              </w:r>
            </w:hyperlink>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196"/>
        </w:trPr>
        <w:tc>
          <w:tcPr>
            <w:tcW w:w="700" w:type="dxa"/>
            <w:vAlign w:val="bottom"/>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Registrant and Winston Kung.</w:t>
              </w:r>
            </w:hyperlink>
          </w:p>
        </w:tc>
        <w:tc>
          <w:tcPr>
            <w:tcW w:w="28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144" w:lineRule="exact"/>
        <w:rPr>
          <w:sz w:val="20"/>
          <w:szCs w:val="20"/>
          <w:color w:val="auto"/>
        </w:rPr>
      </w:pPr>
    </w:p>
    <w:p>
      <w:pPr>
        <w:sectPr>
          <w:pgSz w:w="11900" w:h="16838" w:orient="portrait"/>
          <w:cols w:equalWidth="0" w:num="1">
            <w:col w:w="11080"/>
          </w:cols>
          <w:pgMar w:left="320" w:top="333" w:right="499" w:bottom="1440" w:gutter="0" w:footer="0" w:header="0"/>
          <w:type w:val="continuous"/>
        </w:sectPr>
      </w:pPr>
    </w:p>
    <w:p>
      <w:pPr>
        <w:spacing w:after="0" w:line="13" w:lineRule="exact"/>
        <w:rPr>
          <w:sz w:val="20"/>
          <w:szCs w:val="20"/>
          <w:color w:val="auto"/>
        </w:rPr>
      </w:pPr>
    </w:p>
    <w:p>
      <w:pPr>
        <w:ind w:left="920" w:right="140" w:hanging="694"/>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56">
        <w:r>
          <w:rPr>
            <w:rFonts w:ascii="Times New Roman" w:cs="Times New Roman" w:eastAsia="Times New Roman" w:hAnsi="Times New Roman"/>
            <w:sz w:val="18"/>
            <w:szCs w:val="18"/>
            <w:u w:val="single" w:color="auto"/>
            <w:color w:val="0000EE"/>
          </w:rPr>
          <w:t>Employment Offer Letter, dated August 18, 2020, by and between the</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Registrant and Leila Alland, M.D.</w:t>
        </w:r>
      </w:hyperlink>
    </w:p>
    <w:p>
      <w:pPr>
        <w:spacing w:after="0" w:line="94" w:lineRule="exact"/>
        <w:rPr>
          <w:sz w:val="20"/>
          <w:szCs w:val="20"/>
          <w:color w:val="auto"/>
        </w:rPr>
      </w:pPr>
    </w:p>
    <w:p>
      <w:pPr>
        <w:ind w:left="920" w:hanging="694"/>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57">
        <w:r>
          <w:rPr>
            <w:rFonts w:ascii="Times New Roman" w:cs="Times New Roman" w:eastAsia="Times New Roman" w:hAnsi="Times New Roman"/>
            <w:sz w:val="18"/>
            <w:szCs w:val="18"/>
            <w:u w:val="single" w:color="auto"/>
            <w:color w:val="0000EE"/>
          </w:rPr>
          <w:t>Employment Offer Letter, dated February 22, 2021, by and between the</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Registrant and Deepika Jalota, Pharm.D.</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333-248627</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80"/>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001-39539</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 2022</w:t>
            </w:r>
          </w:p>
        </w:tc>
      </w:tr>
    </w:tbl>
    <w:p>
      <w:pPr>
        <w:spacing w:after="0" w:line="346" w:lineRule="exact"/>
        <w:rPr>
          <w:sz w:val="20"/>
          <w:szCs w:val="20"/>
          <w:color w:val="auto"/>
        </w:rPr>
      </w:pPr>
    </w:p>
    <w:p>
      <w:pPr>
        <w:sectPr>
          <w:pgSz w:w="11900" w:h="16838" w:orient="portrait"/>
          <w:cols w:equalWidth="0" w:num="2">
            <w:col w:w="6080" w:space="680"/>
            <w:col w:w="4320"/>
          </w:cols>
          <w:pgMar w:left="320" w:top="333" w:right="499" w:bottom="1440" w:gutter="0" w:footer="0" w:header="0"/>
          <w:type w:val="continuous"/>
        </w:sectPr>
      </w:pPr>
    </w:p>
    <w:p>
      <w:pPr>
        <w:spacing w:after="0" w:line="13" w:lineRule="exact"/>
        <w:rPr>
          <w:sz w:val="20"/>
          <w:szCs w:val="20"/>
          <w:color w:val="auto"/>
        </w:rPr>
      </w:pPr>
    </w:p>
    <w:p>
      <w:pPr>
        <w:ind w:left="22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58">
        <w:r>
          <w:rPr>
            <w:rFonts w:ascii="Times New Roman" w:cs="Times New Roman" w:eastAsia="Times New Roman" w:hAnsi="Times New Roman"/>
            <w:sz w:val="17"/>
            <w:szCs w:val="17"/>
            <w:u w:val="single" w:color="auto"/>
            <w:color w:val="0000EE"/>
          </w:rPr>
          <w:t>Employee Incentive Compensation Plan.</w:t>
        </w:r>
      </w:hyperlink>
    </w:p>
    <w:p>
      <w:pPr>
        <w:spacing w:after="0" w:line="158" w:lineRule="exact"/>
        <w:rPr>
          <w:sz w:val="20"/>
          <w:szCs w:val="20"/>
          <w:color w:val="auto"/>
        </w:rPr>
      </w:pPr>
    </w:p>
    <w:p>
      <w:pPr>
        <w:ind w:left="20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59">
        <w:r>
          <w:rPr>
            <w:rFonts w:ascii="Times New Roman" w:cs="Times New Roman" w:eastAsia="Times New Roman" w:hAnsi="Times New Roman"/>
            <w:sz w:val="17"/>
            <w:szCs w:val="17"/>
            <w:u w:val="single" w:color="auto"/>
            <w:color w:val="0000EE"/>
          </w:rPr>
          <w:t>Change in Control and Severance Policy.</w:t>
        </w:r>
      </w:hyperlink>
    </w:p>
    <w:p>
      <w:pPr>
        <w:spacing w:after="0" w:line="158" w:lineRule="exact"/>
        <w:rPr>
          <w:sz w:val="20"/>
          <w:szCs w:val="20"/>
          <w:color w:val="auto"/>
        </w:rPr>
      </w:pPr>
    </w:p>
    <w:p>
      <w:pPr>
        <w:jc w:val="both"/>
        <w:ind w:left="920" w:hanging="713"/>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60">
        <w:r>
          <w:rPr>
            <w:rFonts w:ascii="Times New Roman" w:cs="Times New Roman" w:eastAsia="Times New Roman" w:hAnsi="Times New Roman"/>
            <w:sz w:val="18"/>
            <w:szCs w:val="18"/>
            <w:u w:val="single" w:color="auto"/>
            <w:color w:val="0000EE"/>
          </w:rPr>
          <w:t>Amended and Restated Change in Control and Severance Policy Participation</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Agreement, dated August 17, 2020, by and between the Registrant and David</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H. Mack, Ph.D.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36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September 4, 2020</w:t>
            </w:r>
          </w:p>
        </w:tc>
      </w:tr>
      <w:tr>
        <w:trPr>
          <w:trHeight w:val="36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September 4, 2020</w:t>
            </w:r>
          </w:p>
        </w:tc>
      </w:tr>
    </w:tbl>
    <w:p>
      <w:pPr>
        <w:spacing w:after="0" w:line="562"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520" w:space="300"/>
            <w:col w:w="4260"/>
          </w:cols>
          <w:pgMar w:left="320" w:top="333" w:right="49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10.12*</w:t>
            </w:r>
          </w:p>
        </w:tc>
        <w:tc>
          <w:tcPr>
            <w:tcW w:w="5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Change in Control and Severance Policy Participation</w:t>
              </w:r>
            </w:hyperlink>
          </w:p>
        </w:tc>
        <w:tc>
          <w:tcPr>
            <w:tcW w:w="14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10.12</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September 4, 2020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740" w:type="dxa"/>
            <w:vAlign w:val="bottom"/>
            <w:gridSpan w:val="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Agreement, dated August 17, 2020, by and between the Registrant and</w:t>
              </w:r>
            </w:hyperlink>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0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Winston Kung.</w:t>
              </w:r>
            </w:hyperlink>
          </w:p>
        </w:tc>
        <w:tc>
          <w:tcPr>
            <w:tcW w:w="6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10.13</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8"/>
              </w:rPr>
              <w:t>September 4, 2020</w:t>
            </w:r>
          </w:p>
        </w:tc>
        <w:tc>
          <w:tcPr>
            <w:tcW w:w="0" w:type="dxa"/>
            <w:vAlign w:val="bottom"/>
          </w:tcPr>
          <w:p>
            <w:pPr>
              <w:spacing w:after="0" w:line="20" w:lineRule="exact"/>
              <w:rPr>
                <w:sz w:val="1"/>
                <w:szCs w:val="1"/>
                <w:color w:val="auto"/>
              </w:rPr>
            </w:pPr>
          </w:p>
        </w:tc>
      </w:tr>
      <w:tr>
        <w:trPr>
          <w:trHeight w:val="345"/>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10.13*</w:t>
            </w:r>
          </w:p>
        </w:tc>
        <w:tc>
          <w:tcPr>
            <w:tcW w:w="5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Change in Control and Severance Policy Participation</w:t>
              </w:r>
            </w:hyperlink>
          </w:p>
        </w:tc>
        <w:tc>
          <w:tcPr>
            <w:tcW w:w="1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Agreement, dated August 18, 2020, by and between the Registrant and Leila</w:t>
              </w:r>
            </w:hyperlink>
          </w:p>
        </w:tc>
        <w:tc>
          <w:tcPr>
            <w:tcW w:w="2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Alland, M.D.</w:t>
              </w:r>
            </w:hyperlink>
          </w:p>
        </w:tc>
        <w:tc>
          <w:tcPr>
            <w:tcW w:w="47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080"/>
          </w:cols>
          <w:pgMar w:left="320" w:top="333" w:right="499" w:bottom="1440" w:gutter="0" w:footer="0" w:header="0"/>
          <w:type w:val="continuous"/>
        </w:sectPr>
      </w:pPr>
    </w:p>
    <w:p>
      <w:pPr>
        <w:ind w:left="920" w:hanging="722"/>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0000EE"/>
        </w:rPr>
        <w:t>Amended and Restated Change in Control and Severance Policy Participation Agreement, dated March 24, 2022, by and between the Registrant and Deepika Jalota, Pharm.D.</w:t>
      </w:r>
    </w:p>
    <w:p>
      <w:pPr>
        <w:spacing w:after="0" w:line="108" w:lineRule="exact"/>
        <w:rPr>
          <w:sz w:val="20"/>
          <w:szCs w:val="20"/>
          <w:color w:val="auto"/>
        </w:rPr>
      </w:pPr>
    </w:p>
    <w:p>
      <w:pPr>
        <w:ind w:left="20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63">
        <w:r>
          <w:rPr>
            <w:rFonts w:ascii="Times New Roman" w:cs="Times New Roman" w:eastAsia="Times New Roman" w:hAnsi="Times New Roman"/>
            <w:sz w:val="17"/>
            <w:szCs w:val="17"/>
            <w:u w:val="single" w:color="auto"/>
            <w:color w:val="0000EE"/>
          </w:rPr>
          <w:t>Outside Director Compensation Policy.</w:t>
        </w:r>
      </w:hyperlink>
    </w:p>
    <w:p>
      <w:pPr>
        <w:spacing w:after="0" w:line="158" w:lineRule="exact"/>
        <w:rPr>
          <w:sz w:val="20"/>
          <w:szCs w:val="20"/>
          <w:color w:val="auto"/>
        </w:rPr>
      </w:pPr>
    </w:p>
    <w:p>
      <w:pPr>
        <w:ind w:left="920" w:right="40" w:hanging="7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64">
        <w:r>
          <w:rPr>
            <w:rFonts w:ascii="Times New Roman" w:cs="Times New Roman" w:eastAsia="Times New Roman" w:hAnsi="Times New Roman"/>
            <w:sz w:val="18"/>
            <w:szCs w:val="18"/>
            <w:u w:val="single" w:color="auto"/>
            <w:color w:val="0000EE"/>
          </w:rPr>
          <w:t>Consulting Agreement, dated January 1, 2016, by and between the Registrant</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and Arnold Levine, Ph.D.</w:t>
        </w:r>
      </w:hyperlink>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10.15</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364"/>
        </w:trPr>
        <w:tc>
          <w:tcPr>
            <w:tcW w:w="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333-248627</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10.16</w:t>
            </w:r>
          </w:p>
        </w:tc>
        <w:tc>
          <w:tcPr>
            <w:tcW w:w="16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September 4, 2020</w:t>
            </w:r>
          </w:p>
        </w:tc>
      </w:tr>
    </w:tbl>
    <w:p>
      <w:pPr>
        <w:sectPr>
          <w:pgSz w:w="11900" w:h="16838" w:orient="portrait"/>
          <w:cols w:equalWidth="0" w:num="2">
            <w:col w:w="6520" w:space="200"/>
            <w:col w:w="4360"/>
          </w:cols>
          <w:pgMar w:left="320" w:top="333" w:right="499" w:bottom="1440" w:gutter="0" w:footer="0" w:header="0"/>
          <w:type w:val="continuous"/>
        </w:sectPr>
      </w:pPr>
    </w:p>
    <w:bookmarkStart w:id="27" w:name="page28"/>
    <w:bookmarkEnd w:id="27"/>
    <w:p>
      <w:pPr>
        <w:spacing w:after="0" w:line="13" w:lineRule="exact"/>
        <w:rPr>
          <w:sz w:val="20"/>
          <w:szCs w:val="20"/>
          <w:color w:val="auto"/>
        </w:rPr>
      </w:pPr>
    </w:p>
    <w:p>
      <w:pPr>
        <w:ind w:left="920" w:right="80" w:hanging="717"/>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66">
        <w:r>
          <w:rPr>
            <w:rFonts w:ascii="Times New Roman" w:cs="Times New Roman" w:eastAsia="Times New Roman" w:hAnsi="Times New Roman"/>
            <w:sz w:val="18"/>
            <w:szCs w:val="18"/>
            <w:u w:val="single" w:color="auto"/>
            <w:color w:val="0000EE"/>
          </w:rPr>
          <w:t>Consulting Agreement, dated May 21, 2021, by and between the Registrant</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and Richard Heyman, Ph.D., as amended on July 16, 2021</w:t>
        </w:r>
      </w:hyperlink>
    </w:p>
    <w:p>
      <w:pPr>
        <w:spacing w:after="0" w:line="94" w:lineRule="exact"/>
        <w:rPr>
          <w:sz w:val="20"/>
          <w:szCs w:val="20"/>
          <w:color w:val="auto"/>
        </w:rPr>
      </w:pPr>
    </w:p>
    <w:p>
      <w:pPr>
        <w:jc w:val="both"/>
        <w:ind w:left="920" w:right="80" w:hanging="694"/>
        <w:spacing w:after="0" w:line="266"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67">
        <w:r>
          <w:rPr>
            <w:rFonts w:ascii="Times New Roman" w:cs="Times New Roman" w:eastAsia="Times New Roman" w:hAnsi="Times New Roman"/>
            <w:sz w:val="18"/>
            <w:szCs w:val="18"/>
            <w:u w:val="single" w:color="auto"/>
            <w:color w:val="0000EE"/>
          </w:rPr>
          <w:t>Lease Agreement, dated March 3, 2015, by and between the Registrant and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Cedar Brook 2005, LP, as amended by the First Amendment to Lease dated</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April 24, 2017.</w:t>
        </w:r>
      </w:hyperlink>
    </w:p>
    <w:p>
      <w:pPr>
        <w:spacing w:after="0" w:line="108" w:lineRule="exact"/>
        <w:rPr>
          <w:rFonts w:ascii="Times New Roman" w:cs="Times New Roman" w:eastAsia="Times New Roman" w:hAnsi="Times New Roman"/>
          <w:sz w:val="18"/>
          <w:szCs w:val="18"/>
          <w:u w:val="single" w:color="auto"/>
          <w:color w:val="0000EE"/>
        </w:rPr>
      </w:pPr>
    </w:p>
    <w:p>
      <w:pPr>
        <w:ind w:left="22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68">
        <w:r>
          <w:rPr>
            <w:rFonts w:ascii="Times New Roman" w:cs="Times New Roman" w:eastAsia="Times New Roman" w:hAnsi="Times New Roman"/>
            <w:sz w:val="17"/>
            <w:szCs w:val="17"/>
            <w:u w:val="single" w:color="auto"/>
            <w:color w:val="0000EE"/>
          </w:rPr>
          <w:t>Lease Agreement, dated January 8, 2021, by and between the Registrant and</w:t>
        </w:r>
      </w:hyperlink>
    </w:p>
    <w:p>
      <w:pPr>
        <w:spacing w:after="0" w:line="27" w:lineRule="exact"/>
        <w:rPr>
          <w:rFonts w:ascii="Times New Roman" w:cs="Times New Roman" w:eastAsia="Times New Roman" w:hAnsi="Times New Roman"/>
          <w:sz w:val="18"/>
          <w:szCs w:val="18"/>
          <w:u w:val="single" w:color="auto"/>
          <w:color w:val="0000EE"/>
        </w:rPr>
      </w:pPr>
    </w:p>
    <w:p>
      <w:pPr>
        <w:ind w:left="920"/>
        <w:spacing w:after="0"/>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BMR-ONE RESEARCH WAY LLC.</w:t>
        </w:r>
      </w:hyperlink>
    </w:p>
    <w:p>
      <w:pPr>
        <w:spacing w:after="0" w:line="139" w:lineRule="exact"/>
        <w:rPr>
          <w:rFonts w:ascii="Times New Roman" w:cs="Times New Roman" w:eastAsia="Times New Roman" w:hAnsi="Times New Roman"/>
          <w:sz w:val="18"/>
          <w:szCs w:val="18"/>
          <w:u w:val="single" w:color="auto"/>
          <w:color w:val="0000EE"/>
        </w:rPr>
      </w:pPr>
    </w:p>
    <w:p>
      <w:pPr>
        <w:ind w:left="920" w:right="320" w:hanging="694"/>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69">
        <w:r>
          <w:rPr>
            <w:rFonts w:ascii="Times New Roman" w:cs="Times New Roman" w:eastAsia="Times New Roman" w:hAnsi="Times New Roman"/>
            <w:sz w:val="18"/>
            <w:szCs w:val="18"/>
            <w:u w:val="single" w:color="auto"/>
            <w:color w:val="0000EE"/>
          </w:rPr>
          <w:t>Open Market Sale Agreement, dated as of October 4, 2021, between the</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Registrant and Jefferies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 2022</w:t>
            </w:r>
          </w:p>
        </w:tc>
      </w:tr>
      <w:tr>
        <w:trPr>
          <w:trHeight w:val="581"/>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797"/>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3, 2021</w:t>
            </w:r>
          </w:p>
        </w:tc>
      </w:tr>
      <w:tr>
        <w:trPr>
          <w:trHeight w:val="580"/>
        </w:trPr>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S-3ASR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October 4, 2021</w:t>
            </w:r>
          </w:p>
        </w:tc>
      </w:tr>
    </w:tbl>
    <w:p>
      <w:pPr>
        <w:spacing w:after="0" w:line="359" w:lineRule="exact"/>
        <w:rPr>
          <w:sz w:val="20"/>
          <w:szCs w:val="20"/>
          <w:color w:val="auto"/>
        </w:rPr>
      </w:pPr>
    </w:p>
    <w:p>
      <w:pPr>
        <w:sectPr>
          <w:pgSz w:w="11900" w:h="16838" w:orient="portrait"/>
          <w:cols w:equalWidth="0" w:num="2">
            <w:col w:w="6420" w:space="220"/>
            <w:col w:w="4540"/>
          </w:cols>
          <w:pgMar w:left="320" w:top="472" w:right="399" w:bottom="1440" w:gutter="0" w:footer="0" w:header="0"/>
        </w:sectPr>
      </w:pPr>
    </w:p>
    <w:tbl>
      <w:tblPr>
        <w:tblLayout w:type="fixed"/>
        <w:tblInd w:w="80" w:type="dxa"/>
        <w:tblCellMar>
          <w:top w:w="0" w:type="dxa"/>
          <w:left w:w="0" w:type="dxa"/>
          <w:bottom w:w="0" w:type="dxa"/>
          <w:right w:w="0" w:type="dxa"/>
        </w:tblCellMar>
      </w:tblPr>
      <w:tr>
        <w:trPr>
          <w:trHeight w:val="207"/>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w:t>
            </w:r>
          </w:p>
        </w:tc>
      </w:tr>
      <w:tr>
        <w:trPr>
          <w:trHeight w:val="20"/>
        </w:trPr>
        <w:tc>
          <w:tcPr>
            <w:tcW w:w="8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160" w:type="dxa"/>
            <w:vAlign w:val="bottom"/>
            <w:gridSpan w:val="5"/>
          </w:tcPr>
          <w:p>
            <w:pPr>
              <w:spacing w:after="0"/>
              <w:rPr>
                <w:sz w:val="17"/>
                <w:szCs w:val="17"/>
                <w:color w:val="auto"/>
              </w:rPr>
            </w:pPr>
          </w:p>
        </w:tc>
      </w:tr>
      <w:tr>
        <w:trPr>
          <w:trHeight w:val="344"/>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5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w:t>
            </w:r>
          </w:p>
        </w:tc>
        <w:tc>
          <w:tcPr>
            <w:tcW w:w="1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160" w:type="dxa"/>
            <w:vAlign w:val="bottom"/>
            <w:gridSpan w:val="5"/>
          </w:tcPr>
          <w:p>
            <w:pPr>
              <w:spacing w:after="0"/>
              <w:rPr>
                <w:sz w:val="17"/>
                <w:szCs w:val="17"/>
                <w:color w:val="auto"/>
              </w:rPr>
            </w:pPr>
          </w:p>
        </w:tc>
      </w:tr>
      <w:tr>
        <w:trPr>
          <w:trHeight w:val="344"/>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5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w:t>
            </w:r>
          </w:p>
        </w:tc>
        <w:tc>
          <w:tcPr>
            <w:tcW w:w="30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r>
      <w:tr>
        <w:trPr>
          <w:trHeight w:val="345"/>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w:t>
            </w:r>
          </w:p>
        </w:tc>
      </w:tr>
      <w:tr>
        <w:trPr>
          <w:trHeight w:val="20"/>
        </w:trPr>
        <w:tc>
          <w:tcPr>
            <w:tcW w:w="84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r>
      <w:tr>
        <w:trPr>
          <w:trHeight w:val="38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6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46" w:lineRule="exact"/>
        <w:rPr>
          <w:sz w:val="20"/>
          <w:szCs w:val="20"/>
          <w:color w:val="auto"/>
        </w:rPr>
      </w:pPr>
    </w:p>
    <w:p>
      <w:pPr>
        <w:ind w:left="920" w:right="5300" w:hanging="635"/>
        <w:spacing w:after="0" w:line="282"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00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 w:lineRule="exact"/>
        <w:rPr>
          <w:sz w:val="20"/>
          <w:szCs w:val="20"/>
          <w:color w:val="auto"/>
        </w:rPr>
      </w:pPr>
    </w:p>
    <w:p>
      <w:pPr>
        <w:ind w:left="540" w:hanging="532"/>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5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218"/>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H. Mack, Ph.D.</w:t>
            </w:r>
          </w:p>
        </w:tc>
      </w:tr>
      <w:tr>
        <w:trPr>
          <w:trHeight w:val="229"/>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620" w:type="dxa"/>
            <w:vAlign w:val="bottom"/>
          </w:tcPr>
          <w:p>
            <w:pPr>
              <w:spacing w:after="0"/>
              <w:rPr>
                <w:sz w:val="24"/>
                <w:szCs w:val="24"/>
                <w:color w:val="auto"/>
              </w:rPr>
            </w:pPr>
          </w:p>
        </w:tc>
        <w:tc>
          <w:tcPr>
            <w:tcW w:w="76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228"/>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r>
    </w:tbl>
    <w:p>
      <w:pPr>
        <w:jc w:val="center"/>
        <w:ind w:left="6040"/>
        <w:spacing w:after="0"/>
        <w:rPr>
          <w:sz w:val="20"/>
          <w:szCs w:val="20"/>
          <w:color w:val="auto"/>
        </w:rPr>
      </w:pPr>
      <w:r>
        <w:rPr>
          <w:rFonts w:ascii="Times New Roman" w:cs="Times New Roman" w:eastAsia="Times New Roman" w:hAnsi="Times New Roman"/>
          <w:sz w:val="18"/>
          <w:szCs w:val="18"/>
          <w:color w:val="auto"/>
        </w:rPr>
        <w:t>Chief Operating Officer and</w:t>
      </w:r>
    </w:p>
    <w:p>
      <w:pPr>
        <w:spacing w:after="0" w:line="18"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49"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20"/>
          <w:szCs w:val="20"/>
          <w:color w:val="auto"/>
        </w:rPr>
        <w:t>Exhibit 10.14</w:t>
      </w:r>
    </w:p>
    <w:p>
      <w:pPr>
        <w:jc w:val="center"/>
        <w:ind w:right="120"/>
        <w:spacing w:after="0" w:line="238" w:lineRule="auto"/>
        <w:rPr>
          <w:sz w:val="20"/>
          <w:szCs w:val="20"/>
          <w:color w:val="auto"/>
        </w:rPr>
      </w:pPr>
      <w:r>
        <w:rPr>
          <w:rFonts w:ascii="Calibri" w:cs="Calibri" w:eastAsia="Calibri" w:hAnsi="Calibri"/>
          <w:sz w:val="20"/>
          <w:szCs w:val="20"/>
          <w:b w:val="1"/>
          <w:bCs w:val="1"/>
          <w:color w:val="auto"/>
        </w:rPr>
        <w:t>Change in Control and Severance Policy</w:t>
      </w:r>
    </w:p>
    <w:p>
      <w:pPr>
        <w:jc w:val="center"/>
        <w:ind w:right="120"/>
        <w:spacing w:after="0"/>
        <w:rPr>
          <w:sz w:val="20"/>
          <w:szCs w:val="20"/>
          <w:color w:val="auto"/>
        </w:rPr>
      </w:pPr>
      <w:r>
        <w:rPr>
          <w:rFonts w:ascii="Calibri" w:cs="Calibri" w:eastAsia="Calibri" w:hAnsi="Calibri"/>
          <w:sz w:val="20"/>
          <w:szCs w:val="20"/>
          <w:b w:val="1"/>
          <w:bCs w:val="1"/>
          <w:color w:val="auto"/>
        </w:rPr>
        <w:t>Amended and Restated Participation Agreement</w:t>
      </w:r>
    </w:p>
    <w:p>
      <w:pPr>
        <w:spacing w:after="0" w:line="157" w:lineRule="exact"/>
        <w:rPr>
          <w:sz w:val="20"/>
          <w:szCs w:val="20"/>
          <w:color w:val="auto"/>
        </w:rPr>
      </w:pPr>
    </w:p>
    <w:p>
      <w:pPr>
        <w:ind w:right="540" w:firstLine="840"/>
        <w:spacing w:after="0" w:line="234" w:lineRule="auto"/>
        <w:rPr>
          <w:sz w:val="20"/>
          <w:szCs w:val="20"/>
          <w:color w:val="auto"/>
        </w:rPr>
      </w:pPr>
      <w:r>
        <w:rPr>
          <w:rFonts w:ascii="Calibri" w:cs="Calibri" w:eastAsia="Calibri" w:hAnsi="Calibri"/>
          <w:sz w:val="20"/>
          <w:szCs w:val="20"/>
          <w:color w:val="auto"/>
        </w:rPr>
        <w:t>This Amended and Restated Partcipaton Agreement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is made and entered into by and between Deepika Jalota on the one hand, and PMV Pharmaceutcals, Inc.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on the other.</w:t>
      </w:r>
    </w:p>
    <w:p>
      <w:pPr>
        <w:spacing w:after="0" w:line="158" w:lineRule="exact"/>
        <w:rPr>
          <w:sz w:val="20"/>
          <w:szCs w:val="20"/>
          <w:color w:val="auto"/>
        </w:rPr>
      </w:pPr>
    </w:p>
    <w:p>
      <w:pPr>
        <w:jc w:val="both"/>
        <w:ind w:right="400" w:firstLine="840"/>
        <w:spacing w:after="0" w:line="236" w:lineRule="auto"/>
        <w:rPr>
          <w:sz w:val="20"/>
          <w:szCs w:val="20"/>
          <w:color w:val="auto"/>
        </w:rPr>
      </w:pPr>
      <w:r>
        <w:rPr>
          <w:rFonts w:ascii="Calibri" w:cs="Calibri" w:eastAsia="Calibri" w:hAnsi="Calibri"/>
          <w:sz w:val="20"/>
          <w:szCs w:val="20"/>
          <w:color w:val="auto"/>
        </w:rPr>
        <w:t>In connecton with your recent promotion to be the Company’s Chief Regulatory and Quality Officer, you are entitled to receive an updated level of severance payments and benefts upon a Qualifed Terminaton, subject to the terms and conditons of the Policy, as set forth herein.</w:t>
      </w:r>
    </w:p>
    <w:p>
      <w:pPr>
        <w:spacing w:after="0" w:line="157" w:lineRule="exact"/>
        <w:rPr>
          <w:sz w:val="20"/>
          <w:szCs w:val="20"/>
          <w:color w:val="auto"/>
        </w:rPr>
      </w:pPr>
    </w:p>
    <w:p>
      <w:pPr>
        <w:jc w:val="both"/>
        <w:ind w:right="400" w:firstLine="840"/>
        <w:spacing w:after="0" w:line="234" w:lineRule="auto"/>
        <w:rPr>
          <w:sz w:val="20"/>
          <w:szCs w:val="20"/>
          <w:color w:val="auto"/>
        </w:rPr>
      </w:pPr>
      <w:r>
        <w:rPr>
          <w:rFonts w:ascii="Calibri" w:cs="Calibri" w:eastAsia="Calibri" w:hAnsi="Calibri"/>
          <w:sz w:val="20"/>
          <w:szCs w:val="20"/>
          <w:b w:val="1"/>
          <w:bCs w:val="1"/>
          <w:i w:val="1"/>
          <w:iCs w:val="1"/>
          <w:color w:val="auto"/>
        </w:rPr>
        <w:t>CIC Qualifed Terminaton</w:t>
      </w:r>
      <w:r>
        <w:rPr>
          <w:rFonts w:ascii="Calibri" w:cs="Calibri" w:eastAsia="Calibri" w:hAnsi="Calibri"/>
          <w:sz w:val="20"/>
          <w:szCs w:val="20"/>
          <w:color w:val="auto"/>
        </w:rPr>
        <w:t>. Upon your CIC Qualifed Terminaton, you will be enttled to the following benefts, subject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the terms and conditons of the Policy:</w:t>
      </w:r>
    </w:p>
    <w:p>
      <w:pPr>
        <w:spacing w:after="0" w:line="230" w:lineRule="exact"/>
        <w:rPr>
          <w:sz w:val="20"/>
          <w:szCs w:val="20"/>
          <w:color w:val="auto"/>
        </w:rPr>
      </w:pPr>
    </w:p>
    <w:p>
      <w:pPr>
        <w:ind w:left="1720" w:hanging="428"/>
        <w:spacing w:after="0"/>
        <w:tabs>
          <w:tab w:leader="none" w:pos="17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Equity Vestng</w:t>
      </w:r>
      <w:r>
        <w:rPr>
          <w:rFonts w:ascii="Calibri" w:cs="Calibri" w:eastAsia="Calibri" w:hAnsi="Calibri"/>
          <w:sz w:val="20"/>
          <w:szCs w:val="20"/>
          <w:color w:val="auto"/>
        </w:rPr>
        <w:t>: 100% of the then-unvested shares subject to each of your</w:t>
      </w:r>
    </w:p>
    <w:p>
      <w:pPr>
        <w:spacing w:after="0" w:line="25" w:lineRule="exact"/>
        <w:rPr>
          <w:rFonts w:ascii="Times New Roman" w:cs="Times New Roman" w:eastAsia="Times New Roman" w:hAnsi="Times New Roman"/>
          <w:sz w:val="20"/>
          <w:szCs w:val="20"/>
          <w:color w:val="auto"/>
        </w:rPr>
      </w:pPr>
    </w:p>
    <w:p>
      <w:pPr>
        <w:ind w:left="1740" w:right="260"/>
        <w:spacing w:after="0" w:line="232"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then-outstanding equity awards will immediately vest and, in the case of optons and stock appreciaton rights, will become exercisable (for avoidance of doubt, no more than 100% of the shares subject to the outstanding porton of an equity award may vest and become exercisable under this provision). In the case of equity awards with performance-based vestng, unless otherwise determined by the Company and set forth in your equity award agreement, all performance goals and other vestng criteria will be deemed achieved at 100% of target levels.</w:t>
      </w:r>
    </w:p>
    <w:p>
      <w:pPr>
        <w:spacing w:after="0" w:line="11" w:lineRule="exact"/>
        <w:rPr>
          <w:rFonts w:ascii="Times New Roman" w:cs="Times New Roman" w:eastAsia="Times New Roman" w:hAnsi="Times New Roman"/>
          <w:sz w:val="20"/>
          <w:szCs w:val="20"/>
          <w:color w:val="auto"/>
        </w:rPr>
      </w:pPr>
    </w:p>
    <w:p>
      <w:pPr>
        <w:ind w:left="1720" w:right="680" w:hanging="428"/>
        <w:spacing w:after="0" w:line="234" w:lineRule="auto"/>
        <w:tabs>
          <w:tab w:leader="none" w:pos="17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Salary Severance</w:t>
      </w:r>
      <w:r>
        <w:rPr>
          <w:rFonts w:ascii="Calibri" w:cs="Calibri" w:eastAsia="Calibri" w:hAnsi="Calibri"/>
          <w:sz w:val="20"/>
          <w:szCs w:val="20"/>
          <w:color w:val="auto"/>
        </w:rPr>
        <w:t>: 12 months of your Base Salary, payable in a lump sum on the 61st day following your CIC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Qualifed Terminaton.</w:t>
      </w:r>
    </w:p>
    <w:p>
      <w:pPr>
        <w:spacing w:after="0" w:line="9" w:lineRule="exact"/>
        <w:rPr>
          <w:rFonts w:ascii="Times New Roman" w:cs="Times New Roman" w:eastAsia="Times New Roman" w:hAnsi="Times New Roman"/>
          <w:sz w:val="20"/>
          <w:szCs w:val="20"/>
          <w:color w:val="auto"/>
        </w:rPr>
      </w:pPr>
    </w:p>
    <w:p>
      <w:pPr>
        <w:ind w:left="1720" w:right="300" w:hanging="428"/>
        <w:spacing w:after="0" w:line="234" w:lineRule="auto"/>
        <w:tabs>
          <w:tab w:leader="none" w:pos="17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Bonus Severance: </w:t>
      </w:r>
      <w:r>
        <w:rPr>
          <w:rFonts w:ascii="Calibri" w:cs="Calibri" w:eastAsia="Calibri" w:hAnsi="Calibri"/>
          <w:sz w:val="20"/>
          <w:szCs w:val="20"/>
          <w:color w:val="auto"/>
        </w:rPr>
        <w:t>100% of your target bonus for the performance year in which your CIC Qualifed Terminaton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occurs, payable in a lump sum on the 61st day following your CIC Qualifed Terminaton.</w:t>
      </w:r>
    </w:p>
    <w:p>
      <w:pPr>
        <w:spacing w:after="0" w:line="9" w:lineRule="exact"/>
        <w:rPr>
          <w:rFonts w:ascii="Times New Roman" w:cs="Times New Roman" w:eastAsia="Times New Roman" w:hAnsi="Times New Roman"/>
          <w:sz w:val="20"/>
          <w:szCs w:val="20"/>
          <w:color w:val="auto"/>
        </w:rPr>
      </w:pPr>
    </w:p>
    <w:p>
      <w:pPr>
        <w:ind w:left="1720" w:right="960" w:hanging="428"/>
        <w:spacing w:after="0" w:line="234" w:lineRule="auto"/>
        <w:tabs>
          <w:tab w:leader="none" w:pos="1720" w:val="left"/>
        </w:tabs>
        <w:numPr>
          <w:ilvl w:val="0"/>
          <w:numId w:val="1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COBRA Coverage</w:t>
      </w:r>
      <w:r>
        <w:rPr>
          <w:rFonts w:ascii="Calibri" w:cs="Calibri" w:eastAsia="Calibri" w:hAnsi="Calibri"/>
          <w:sz w:val="20"/>
          <w:szCs w:val="20"/>
          <w:color w:val="auto"/>
        </w:rPr>
        <w:t>: Payment or reimbursement of the COBRA Coverage or COBRA Beneft, as applicable,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for up to 12 months following your CIC Qualifed Terminaton.</w:t>
      </w:r>
    </w:p>
    <w:p>
      <w:pPr>
        <w:spacing w:after="0" w:line="158" w:lineRule="exact"/>
        <w:rPr>
          <w:sz w:val="20"/>
          <w:szCs w:val="20"/>
          <w:color w:val="auto"/>
        </w:rPr>
      </w:pPr>
    </w:p>
    <w:p>
      <w:pPr>
        <w:ind w:right="260" w:firstLine="840"/>
        <w:spacing w:after="0" w:line="234" w:lineRule="auto"/>
        <w:rPr>
          <w:sz w:val="20"/>
          <w:szCs w:val="20"/>
          <w:color w:val="auto"/>
        </w:rPr>
      </w:pPr>
      <w:r>
        <w:rPr>
          <w:rFonts w:ascii="Calibri" w:cs="Calibri" w:eastAsia="Calibri" w:hAnsi="Calibri"/>
          <w:sz w:val="20"/>
          <w:szCs w:val="20"/>
          <w:b w:val="1"/>
          <w:bCs w:val="1"/>
          <w:i w:val="1"/>
          <w:iCs w:val="1"/>
          <w:color w:val="auto"/>
        </w:rPr>
        <w:t>Non-CIC Qualifed Terminaton</w:t>
      </w:r>
      <w:r>
        <w:rPr>
          <w:rFonts w:ascii="Calibri" w:cs="Calibri" w:eastAsia="Calibri" w:hAnsi="Calibri"/>
          <w:sz w:val="20"/>
          <w:szCs w:val="20"/>
          <w:color w:val="auto"/>
        </w:rPr>
        <w:t>. Upon your Non-CIC Qualifed Terminaton, you will be enttled to the following benefts,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subject to the terms and conditons of the Policy:</w:t>
      </w:r>
    </w:p>
    <w:p>
      <w:pPr>
        <w:spacing w:after="0" w:line="226" w:lineRule="exact"/>
        <w:rPr>
          <w:sz w:val="20"/>
          <w:szCs w:val="20"/>
          <w:color w:val="auto"/>
        </w:rPr>
      </w:pPr>
    </w:p>
    <w:p>
      <w:pPr>
        <w:ind w:left="1720" w:right="340" w:hanging="428"/>
        <w:spacing w:after="0" w:line="237" w:lineRule="auto"/>
        <w:tabs>
          <w:tab w:leader="none" w:pos="17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Equity Vestng</w:t>
      </w:r>
      <w:r>
        <w:rPr>
          <w:rFonts w:ascii="Calibri" w:cs="Calibri" w:eastAsia="Calibri" w:hAnsi="Calibri"/>
          <w:sz w:val="20"/>
          <w:szCs w:val="20"/>
          <w:color w:val="auto"/>
        </w:rPr>
        <w:t>: A number of then-unvested shares subject to each of your then- outstanding equity awards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(excluding equity awards with performance-based vestng and excluding any equity awards granted on or afer the IPO Date) equal to the number of such shares otherwise scheduled to vest during the 6 month period following the date of your Non-CIC Qualifed Terminaton had you remained employed with the Company (or any of its subsidiaries) through such date will immediately vest and, in the case of optons and stock appreciaton rights, will become exercisable.</w:t>
      </w:r>
    </w:p>
    <w:p>
      <w:pPr>
        <w:spacing w:after="0" w:line="11" w:lineRule="exact"/>
        <w:rPr>
          <w:rFonts w:ascii="Times New Roman" w:cs="Times New Roman" w:eastAsia="Times New Roman" w:hAnsi="Times New Roman"/>
          <w:sz w:val="20"/>
          <w:szCs w:val="20"/>
          <w:color w:val="auto"/>
        </w:rPr>
      </w:pPr>
    </w:p>
    <w:p>
      <w:pPr>
        <w:ind w:left="1720" w:right="360" w:hanging="428"/>
        <w:spacing w:after="0" w:line="234" w:lineRule="auto"/>
        <w:tabs>
          <w:tab w:leader="none" w:pos="17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Salary Severance</w:t>
      </w:r>
      <w:r>
        <w:rPr>
          <w:rFonts w:ascii="Calibri" w:cs="Calibri" w:eastAsia="Calibri" w:hAnsi="Calibri"/>
          <w:sz w:val="20"/>
          <w:szCs w:val="20"/>
          <w:color w:val="auto"/>
        </w:rPr>
        <w:t>: 9 months of your Base Salary, payable in a lump sum on the 61st day following your Non-CIC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Qualifed Terminaton.</w:t>
      </w:r>
    </w:p>
    <w:p>
      <w:pPr>
        <w:spacing w:after="0" w:line="1" w:lineRule="exact"/>
        <w:rPr>
          <w:rFonts w:ascii="Times New Roman" w:cs="Times New Roman" w:eastAsia="Times New Roman" w:hAnsi="Times New Roman"/>
          <w:sz w:val="20"/>
          <w:szCs w:val="20"/>
          <w:color w:val="auto"/>
        </w:rPr>
      </w:pPr>
    </w:p>
    <w:p>
      <w:pPr>
        <w:ind w:left="1720" w:hanging="428"/>
        <w:spacing w:after="0" w:line="238" w:lineRule="auto"/>
        <w:tabs>
          <w:tab w:leader="none" w:pos="17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Bonus Severance: </w:t>
      </w:r>
      <w:r>
        <w:rPr>
          <w:rFonts w:ascii="Calibri" w:cs="Calibri" w:eastAsia="Calibri" w:hAnsi="Calibri"/>
          <w:sz w:val="20"/>
          <w:szCs w:val="20"/>
          <w:color w:val="auto"/>
        </w:rPr>
        <w:t>None.</w:t>
      </w:r>
    </w:p>
    <w:p>
      <w:pPr>
        <w:spacing w:after="0" w:line="26" w:lineRule="exact"/>
        <w:rPr>
          <w:rFonts w:ascii="Times New Roman" w:cs="Times New Roman" w:eastAsia="Times New Roman" w:hAnsi="Times New Roman"/>
          <w:sz w:val="20"/>
          <w:szCs w:val="20"/>
          <w:color w:val="auto"/>
        </w:rPr>
      </w:pPr>
    </w:p>
    <w:p>
      <w:pPr>
        <w:ind w:left="1720" w:right="440" w:hanging="428"/>
        <w:spacing w:after="0" w:line="219" w:lineRule="auto"/>
        <w:tabs>
          <w:tab w:leader="none" w:pos="1720"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COBRA Coverage</w:t>
      </w:r>
      <w:r>
        <w:rPr>
          <w:rFonts w:ascii="Calibri" w:cs="Calibri" w:eastAsia="Calibri" w:hAnsi="Calibri"/>
          <w:sz w:val="20"/>
          <w:szCs w:val="20"/>
          <w:color w:val="auto"/>
        </w:rPr>
        <w:t>: Payment or reimbursement of the COBRA Coverage or COBRA Beneft, as applicable, for up</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9 months following your Non-CIC Qualifed Terminaton.</w:t>
      </w: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222250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105" w:right="339" w:bottom="1440" w:gutter="0" w:footer="0" w:header="0"/>
        </w:sectPr>
      </w:pPr>
    </w:p>
    <w:bookmarkStart w:id="30" w:name="page31"/>
    <w:bookmarkEnd w:id="30"/>
    <w:p>
      <w:pPr>
        <w:ind w:right="20" w:firstLine="84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IPO Date</w:t>
      </w:r>
      <w:r>
        <w:rPr>
          <w:rFonts w:ascii="Calibri" w:cs="Calibri" w:eastAsia="Calibri" w:hAnsi="Calibri"/>
          <w:sz w:val="20"/>
          <w:szCs w:val="20"/>
          <w:color w:val="auto"/>
        </w:rPr>
        <w:t>” means the efectve date of the frst registraton statement that is fled by the Company and declared efectve pursuant to Secton 12(b) of the Exchange Act of 1934, with respect to the Company’s common stock.</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Provisions</w:t>
      </w:r>
    </w:p>
    <w:p>
      <w:pPr>
        <w:spacing w:after="0" w:line="157" w:lineRule="exact"/>
        <w:rPr>
          <w:sz w:val="20"/>
          <w:szCs w:val="20"/>
          <w:color w:val="auto"/>
        </w:rPr>
      </w:pPr>
    </w:p>
    <w:p>
      <w:pPr>
        <w:ind w:firstLine="840"/>
        <w:spacing w:after="0" w:line="236" w:lineRule="auto"/>
        <w:rPr>
          <w:sz w:val="20"/>
          <w:szCs w:val="20"/>
          <w:color w:val="auto"/>
        </w:rPr>
      </w:pPr>
      <w:r>
        <w:rPr>
          <w:rFonts w:ascii="Calibri" w:cs="Calibri" w:eastAsia="Calibri" w:hAnsi="Calibri"/>
          <w:sz w:val="20"/>
          <w:szCs w:val="20"/>
          <w:color w:val="auto"/>
        </w:rPr>
        <w:t>You agree that the Policy and the Agreement consttute the entre agreement of the partes hereto and supersede in their entrety all prior representatons, understandings, undertakings or agreements (whether oral or writen and whether expressed or implied) of the partes, and will specifcally supersede any severance and/or change of control provisions of any ofer leter, employment agreement, or equity award agreement entered into between you and the Company and/or any of its subsidiaries.</w:t>
      </w:r>
    </w:p>
    <w:p>
      <w:pPr>
        <w:spacing w:after="0" w:line="160" w:lineRule="exact"/>
        <w:rPr>
          <w:sz w:val="20"/>
          <w:szCs w:val="20"/>
          <w:color w:val="auto"/>
        </w:rPr>
      </w:pPr>
    </w:p>
    <w:p>
      <w:pPr>
        <w:ind w:right="40" w:firstLine="840"/>
        <w:spacing w:after="0" w:line="234" w:lineRule="auto"/>
        <w:rPr>
          <w:sz w:val="20"/>
          <w:szCs w:val="20"/>
          <w:color w:val="auto"/>
        </w:rPr>
      </w:pPr>
      <w:r>
        <w:rPr>
          <w:rFonts w:ascii="Calibri" w:cs="Calibri" w:eastAsia="Calibri" w:hAnsi="Calibri"/>
          <w:sz w:val="20"/>
          <w:szCs w:val="20"/>
          <w:color w:val="auto"/>
        </w:rPr>
        <w:t>This Agreement may be executed in counterparts, each of which will be deemed an original, but all of which together will consttute one and the same instrument.</w:t>
      </w:r>
    </w:p>
    <w:p>
      <w:pPr>
        <w:spacing w:after="0" w:line="158" w:lineRule="exact"/>
        <w:rPr>
          <w:sz w:val="20"/>
          <w:szCs w:val="20"/>
          <w:color w:val="auto"/>
        </w:rPr>
      </w:pPr>
    </w:p>
    <w:p>
      <w:pPr>
        <w:ind w:right="100" w:firstLine="840"/>
        <w:spacing w:after="0" w:line="234" w:lineRule="auto"/>
        <w:rPr>
          <w:sz w:val="20"/>
          <w:szCs w:val="20"/>
          <w:color w:val="auto"/>
        </w:rPr>
      </w:pPr>
      <w:r>
        <w:rPr>
          <w:rFonts w:ascii="Calibri" w:cs="Calibri" w:eastAsia="Calibri" w:hAnsi="Calibri"/>
          <w:sz w:val="20"/>
          <w:szCs w:val="20"/>
          <w:color w:val="auto"/>
        </w:rPr>
        <w:t>By signing below, each of the partes signifes his, her, or its acceptance of the terms of this Agreement, in the case of the Company by its duly authorized ofcer, efectve as of the last date set forth below.</w:t>
      </w:r>
    </w:p>
    <w:p>
      <w:pPr>
        <w:spacing w:after="0" w:line="149"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222250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20"/>
          </w:cols>
          <w:pgMar w:left="440" w:top="588" w:right="639" w:bottom="1440" w:gutter="0" w:footer="0" w:header="0"/>
        </w:sectPr>
      </w:pPr>
    </w:p>
    <w:bookmarkStart w:id="31" w:name="page32"/>
    <w:bookmarkEnd w:id="31"/>
    <w:p>
      <w:pPr>
        <w:ind w:left="100" w:right="400" w:firstLine="840"/>
        <w:spacing w:after="0" w:line="234" w:lineRule="auto"/>
        <w:rPr>
          <w:sz w:val="20"/>
          <w:szCs w:val="20"/>
          <w:color w:val="auto"/>
        </w:rPr>
      </w:pPr>
      <w:r>
        <w:rPr>
          <w:rFonts w:ascii="Calibri" w:cs="Calibri" w:eastAsia="Calibri" w:hAnsi="Calibri"/>
          <w:sz w:val="20"/>
          <w:szCs w:val="20"/>
          <w:color w:val="auto"/>
        </w:rPr>
        <w:t>By signing below, each of the partes signifes his, her, or its acceptance of the terms of this Agreement, in the case of the Company by its duly authorized ofcer, efectve as of the last date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20" w:type="dxa"/>
            <w:vAlign w:val="bottom"/>
            <w:gridSpan w:val="3"/>
          </w:tcPr>
          <w:p>
            <w:pPr>
              <w:spacing w:after="0"/>
              <w:rPr>
                <w:sz w:val="20"/>
                <w:szCs w:val="20"/>
                <w:color w:val="auto"/>
              </w:rPr>
            </w:pPr>
            <w:r>
              <w:rPr>
                <w:rFonts w:ascii="Calibri" w:cs="Calibri" w:eastAsia="Calibri" w:hAnsi="Calibri"/>
                <w:sz w:val="20"/>
                <w:szCs w:val="20"/>
                <w:b w:val="1"/>
                <w:bCs w:val="1"/>
                <w:color w:val="auto"/>
              </w:rPr>
              <w:t>PMV PHARMACEUTICALS, INC.</w:t>
            </w:r>
          </w:p>
        </w:tc>
        <w:tc>
          <w:tcPr>
            <w:tcW w:w="5700" w:type="dxa"/>
            <w:vAlign w:val="bottom"/>
            <w:gridSpan w:val="2"/>
          </w:tcPr>
          <w:p>
            <w:pPr>
              <w:ind w:left="160"/>
              <w:spacing w:after="0"/>
              <w:rPr>
                <w:sz w:val="20"/>
                <w:szCs w:val="20"/>
                <w:color w:val="auto"/>
              </w:rPr>
            </w:pPr>
            <w:r>
              <w:rPr>
                <w:rFonts w:ascii="Calibri" w:cs="Calibri" w:eastAsia="Calibri" w:hAnsi="Calibri"/>
                <w:sz w:val="20"/>
                <w:szCs w:val="20"/>
                <w:b w:val="1"/>
                <w:bCs w:val="1"/>
                <w:color w:val="auto"/>
              </w:rPr>
              <w:t>ELIGIBLE EMPLOYEE</w:t>
            </w:r>
          </w:p>
        </w:tc>
        <w:tc>
          <w:tcPr>
            <w:tcW w:w="0" w:type="dxa"/>
            <w:vAlign w:val="bottom"/>
          </w:tcPr>
          <w:p>
            <w:pPr>
              <w:spacing w:after="0"/>
              <w:rPr>
                <w:sz w:val="1"/>
                <w:szCs w:val="1"/>
                <w:color w:val="auto"/>
              </w:rPr>
            </w:pPr>
          </w:p>
        </w:tc>
      </w:tr>
      <w:tr>
        <w:trPr>
          <w:trHeight w:val="658"/>
        </w:trPr>
        <w:tc>
          <w:tcPr>
            <w:tcW w:w="460" w:type="dxa"/>
            <w:vAlign w:val="bottom"/>
          </w:tcPr>
          <w:p>
            <w:pPr>
              <w:spacing w:after="0"/>
              <w:rPr>
                <w:sz w:val="20"/>
                <w:szCs w:val="20"/>
                <w:color w:val="auto"/>
              </w:rPr>
            </w:pPr>
            <w:r>
              <w:rPr>
                <w:rFonts w:ascii="Calibri" w:cs="Calibri" w:eastAsia="Calibri" w:hAnsi="Calibri"/>
                <w:sz w:val="18"/>
                <w:szCs w:val="18"/>
                <w:color w:val="auto"/>
              </w:rPr>
              <w:t>By:</w:t>
            </w:r>
          </w:p>
        </w:tc>
        <w:tc>
          <w:tcPr>
            <w:tcW w:w="5060" w:type="dxa"/>
            <w:vAlign w:val="bottom"/>
            <w:gridSpan w:val="2"/>
          </w:tcPr>
          <w:p>
            <w:pPr>
              <w:ind w:left="80"/>
              <w:spacing w:after="0"/>
              <w:rPr>
                <w:sz w:val="20"/>
                <w:szCs w:val="20"/>
                <w:color w:val="auto"/>
              </w:rPr>
            </w:pPr>
            <w:r>
              <w:rPr>
                <w:rFonts w:ascii="Calibri" w:cs="Calibri" w:eastAsia="Calibri" w:hAnsi="Calibri"/>
                <w:sz w:val="18"/>
                <w:szCs w:val="18"/>
                <w:color w:val="auto"/>
              </w:rPr>
              <w:t>/s/ Winston Kung</w:t>
            </w:r>
          </w:p>
        </w:tc>
        <w:tc>
          <w:tcPr>
            <w:tcW w:w="680" w:type="dxa"/>
            <w:vAlign w:val="bottom"/>
          </w:tcPr>
          <w:p>
            <w:pPr>
              <w:ind w:left="160"/>
              <w:spacing w:after="0"/>
              <w:rPr>
                <w:sz w:val="20"/>
                <w:szCs w:val="20"/>
                <w:color w:val="auto"/>
              </w:rPr>
            </w:pPr>
            <w:r>
              <w:rPr>
                <w:rFonts w:ascii="Calibri" w:cs="Calibri" w:eastAsia="Calibri" w:hAnsi="Calibri"/>
                <w:sz w:val="18"/>
                <w:szCs w:val="18"/>
                <w:color w:val="auto"/>
              </w:rPr>
              <w:t>By:</w:t>
            </w:r>
          </w:p>
        </w:tc>
        <w:tc>
          <w:tcPr>
            <w:tcW w:w="5020" w:type="dxa"/>
            <w:vAlign w:val="bottom"/>
          </w:tcPr>
          <w:p>
            <w:pPr>
              <w:spacing w:after="0"/>
              <w:rPr>
                <w:sz w:val="20"/>
                <w:szCs w:val="20"/>
                <w:color w:val="auto"/>
              </w:rPr>
            </w:pPr>
            <w:r>
              <w:rPr>
                <w:rFonts w:ascii="Calibri" w:cs="Calibri" w:eastAsia="Calibri" w:hAnsi="Calibri"/>
                <w:sz w:val="18"/>
                <w:szCs w:val="18"/>
                <w:color w:val="auto"/>
              </w:rPr>
              <w:t>/s/ Deepika Jalota</w:t>
            </w:r>
          </w:p>
        </w:tc>
        <w:tc>
          <w:tcPr>
            <w:tcW w:w="0" w:type="dxa"/>
            <w:vAlign w:val="bottom"/>
          </w:tcPr>
          <w:p>
            <w:pPr>
              <w:spacing w:after="0"/>
              <w:rPr>
                <w:sz w:val="1"/>
                <w:szCs w:val="1"/>
                <w:color w:val="auto"/>
              </w:rPr>
            </w:pPr>
          </w:p>
        </w:tc>
      </w:tr>
      <w:tr>
        <w:trPr>
          <w:trHeight w:val="23"/>
        </w:trPr>
        <w:tc>
          <w:tcPr>
            <w:tcW w:w="460" w:type="dxa"/>
            <w:vAlign w:val="bottom"/>
            <w:vMerge w:val="restart"/>
          </w:tcPr>
          <w:p>
            <w:pPr>
              <w:spacing w:after="0"/>
              <w:rPr>
                <w:sz w:val="20"/>
                <w:szCs w:val="20"/>
                <w:color w:val="auto"/>
              </w:rPr>
            </w:pPr>
            <w:r>
              <w:rPr>
                <w:rFonts w:ascii="Calibri" w:cs="Calibri" w:eastAsia="Calibri" w:hAnsi="Calibri"/>
                <w:sz w:val="18"/>
                <w:szCs w:val="18"/>
                <w:color w:val="auto"/>
              </w:rPr>
              <w:t>Date:</w:t>
            </w:r>
          </w:p>
        </w:tc>
        <w:tc>
          <w:tcPr>
            <w:tcW w:w="80" w:type="dxa"/>
            <w:vAlign w:val="bottom"/>
            <w:vMerge w:val="restart"/>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Calibri" w:cs="Calibri" w:eastAsia="Calibri" w:hAnsi="Calibri"/>
                <w:sz w:val="18"/>
                <w:szCs w:val="18"/>
                <w:color w:val="auto"/>
              </w:rPr>
              <w:t>Date: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980" w:type="dxa"/>
            <w:vAlign w:val="bottom"/>
          </w:tcPr>
          <w:p>
            <w:pPr>
              <w:spacing w:after="0" w:line="208" w:lineRule="exact"/>
              <w:rPr>
                <w:sz w:val="20"/>
                <w:szCs w:val="20"/>
                <w:color w:val="auto"/>
              </w:rPr>
            </w:pPr>
            <w:r>
              <w:rPr>
                <w:rFonts w:ascii="Calibri" w:cs="Calibri" w:eastAsia="Calibri" w:hAnsi="Calibri"/>
                <w:sz w:val="18"/>
                <w:szCs w:val="18"/>
                <w:color w:val="auto"/>
              </w:rPr>
              <w:t>March 23, 2022</w:t>
            </w:r>
          </w:p>
        </w:tc>
        <w:tc>
          <w:tcPr>
            <w:tcW w:w="680" w:type="dxa"/>
            <w:vAlign w:val="bottom"/>
            <w:vMerge w:val="continue"/>
          </w:tcPr>
          <w:p>
            <w:pPr>
              <w:spacing w:after="0"/>
              <w:rPr>
                <w:sz w:val="18"/>
                <w:szCs w:val="18"/>
                <w:color w:val="auto"/>
              </w:rPr>
            </w:pPr>
          </w:p>
        </w:tc>
        <w:tc>
          <w:tcPr>
            <w:tcW w:w="5020" w:type="dxa"/>
            <w:vAlign w:val="bottom"/>
          </w:tcPr>
          <w:p>
            <w:pPr>
              <w:spacing w:after="0" w:line="208" w:lineRule="exact"/>
              <w:rPr>
                <w:sz w:val="20"/>
                <w:szCs w:val="20"/>
                <w:color w:val="auto"/>
              </w:rPr>
            </w:pPr>
            <w:r>
              <w:rPr>
                <w:rFonts w:ascii="Calibri" w:cs="Calibri" w:eastAsia="Calibri" w:hAnsi="Calibri"/>
                <w:sz w:val="18"/>
                <w:szCs w:val="18"/>
                <w:color w:val="auto"/>
              </w:rPr>
              <w:t>March 23, 2022</w:t>
            </w: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i w:val="1"/>
          <w:iCs w:val="1"/>
          <w:color w:val="auto"/>
        </w:rPr>
        <w:t>[Signature Page of the A&amp;R Partcipaton Agreement (Jalota)]</w:t>
      </w:r>
    </w:p>
    <w:p>
      <w:pPr>
        <w:sectPr>
          <w:pgSz w:w="11900" w:h="16838" w:orient="portrait"/>
          <w:cols w:equalWidth="0" w:num="1">
            <w:col w:w="11220"/>
          </w:cols>
          <w:pgMar w:left="340" w:top="61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PMV Pharmaceuticals,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40" w:val="left"/>
          <w:tab w:leader="none" w:pos="814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3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23"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PMV Pharmaceuticals,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40" w:val="left"/>
          <w:tab w:leader="none" w:pos="818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3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2022,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2022,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2"/>
      <w:numFmt w:val="decimal"/>
      <w:start w:val="104"/>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5"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45" Type="http://schemas.openxmlformats.org/officeDocument/2006/relationships/hyperlink" Target="http://www.sec.gov/Archives/edgar/data/0001699382/000119312520257820/d95525dex31.htm" TargetMode="External"/><Relationship Id="rId46" Type="http://schemas.openxmlformats.org/officeDocument/2006/relationships/hyperlink" Target="http://www.sec.gov/Archives/edgar/data/0001699382/000119312520240132/d922470dex32.htm" TargetMode="External"/><Relationship Id="rId47" Type="http://schemas.openxmlformats.org/officeDocument/2006/relationships/hyperlink" Target="http://www.sec.gov/Archives/edgar/data/0001699382/000119312520240132/d922470dex41.htm" TargetMode="External"/><Relationship Id="rId48" Type="http://schemas.openxmlformats.org/officeDocument/2006/relationships/hyperlink" Target="http://www.sec.gov/Archives/edgar/data/0001699382/000119312520249570/d922470dex42.htm" TargetMode="External"/><Relationship Id="rId49" Type="http://schemas.openxmlformats.org/officeDocument/2006/relationships/hyperlink" Target="http://www.sec.gov/Archives/edgar/data/1699382/000119312521290972/d231282dex44.htm" TargetMode="External"/><Relationship Id="rId50" Type="http://schemas.openxmlformats.org/officeDocument/2006/relationships/hyperlink" Target="http://www.sec.gov/Archives/edgar/data/0001699382/000119312520240132/d922470dex101.htm" TargetMode="External"/><Relationship Id="rId51" Type="http://schemas.openxmlformats.org/officeDocument/2006/relationships/hyperlink" Target="http://www.sec.gov/Archives/edgar/data/0001699382/000119312520249570/d922470dex102.htm" TargetMode="External"/><Relationship Id="rId52" Type="http://schemas.openxmlformats.org/officeDocument/2006/relationships/hyperlink" Target="http://www.sec.gov/Archives/edgar/data/0001699382/000119312520249570/d922470dex103.htm" TargetMode="External"/><Relationship Id="rId53" Type="http://schemas.openxmlformats.org/officeDocument/2006/relationships/hyperlink" Target="http://www.sec.gov/Archives/edgar/data/1699382/000119312520249570/d922470dex104.htm" TargetMode="External"/><Relationship Id="rId54" Type="http://schemas.openxmlformats.org/officeDocument/2006/relationships/hyperlink" Target="http://www.sec.gov/Archives/edgar/data/0001699382/000119312520240132/d922470dex105.htm" TargetMode="External"/><Relationship Id="rId55" Type="http://schemas.openxmlformats.org/officeDocument/2006/relationships/hyperlink" Target="http://www.sec.gov/Archives/edgar/data/0001699382/000119312520240132/d922470dex106.htm" TargetMode="External"/><Relationship Id="rId56" Type="http://schemas.openxmlformats.org/officeDocument/2006/relationships/hyperlink" Target="http://www.sec.gov/Archives/edgar/data/0001699382/000119312520240132/d922470dex107.htm" TargetMode="External"/><Relationship Id="rId57" Type="http://schemas.openxmlformats.org/officeDocument/2006/relationships/hyperlink" Target="http://www.sec.gov/Archives/edgar/data/1699382/000156459022007860/pmvp-ex108_331.htm" TargetMode="External"/><Relationship Id="rId58" Type="http://schemas.openxmlformats.org/officeDocument/2006/relationships/hyperlink" Target="http://www.sec.gov/Archives/edgar/data/0001699382/000119312520240132/d922470dex109.htm" TargetMode="External"/><Relationship Id="rId59" Type="http://schemas.openxmlformats.org/officeDocument/2006/relationships/hyperlink" Target="http://www.sec.gov/Archives/edgar/data/0001699382/000119312520240132/d922470dex1010.htm" TargetMode="External"/><Relationship Id="rId60" Type="http://schemas.openxmlformats.org/officeDocument/2006/relationships/hyperlink" Target="http://www.sec.gov/Archives/edgar/data/0001699382/000119312520240132/d922470dex1011.htm" TargetMode="External"/><Relationship Id="rId61" Type="http://schemas.openxmlformats.org/officeDocument/2006/relationships/hyperlink" Target="http://www.sec.gov/Archives/edgar/data/0001699382/000119312520240132/d922470dex1012.htm" TargetMode="External"/><Relationship Id="rId62" Type="http://schemas.openxmlformats.org/officeDocument/2006/relationships/hyperlink" Target="http://www.sec.gov/Archives/edgar/data/0001699382/000119312520240132/d922470dex1013.htm" TargetMode="External"/><Relationship Id="rId63" Type="http://schemas.openxmlformats.org/officeDocument/2006/relationships/hyperlink" Target="http://www.sec.gov/Archives/edgar/data/0001699382/000119312520249570/d922470dex1015.htm" TargetMode="External"/><Relationship Id="rId64" Type="http://schemas.openxmlformats.org/officeDocument/2006/relationships/hyperlink" Target="http://www.sec.gov/Archives/edgar/data/0001699382/000119312520240132/d922470dex1016.htm" TargetMode="External"/><Relationship Id="rId66" Type="http://schemas.openxmlformats.org/officeDocument/2006/relationships/hyperlink" Target="http://www.sec.gov/Archives/edgar/data/1699382/000156459022007860/pmvp-ex1017_538.htm" TargetMode="External"/><Relationship Id="rId67" Type="http://schemas.openxmlformats.org/officeDocument/2006/relationships/hyperlink" Target="http://www.sec.gov/Archives/edgar/data/0001699382/000119312520240132/d922470dex1018.htm" TargetMode="External"/><Relationship Id="rId68" Type="http://schemas.openxmlformats.org/officeDocument/2006/relationships/hyperlink" Target="http://www.sec.gov/Archives/edgar/data/1699382/000156459021010578/pmvp-ex1019_261.htm" TargetMode="External"/><Relationship Id="rId69" Type="http://schemas.openxmlformats.org/officeDocument/2006/relationships/hyperlink" Target="http://www.sec.gov/Archives/edgar/data/1699382/000119312521290972/d231282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2022-05-10T06:20:09Z</dcterms:created>
  <dcterms:modified xsi:type="dcterms:W3CDTF">2022-05-10T06:20:09Z</dcterms:modified>
</cp:coreProperties>
</file>