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62"/>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8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8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c>
          <w:tcPr>
            <w:tcW w:w="2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600" w:type="dxa"/>
            <w:vAlign w:val="bottom"/>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78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88"/>
        </w:trPr>
        <w:tc>
          <w:tcPr>
            <w:tcW w:w="3600" w:type="dxa"/>
            <w:vAlign w:val="bottom"/>
          </w:tcPr>
          <w:p>
            <w:pPr>
              <w:jc w:val="center"/>
              <w:ind w:right="7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8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One Research Way, Princeton, NJ, 08540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firstLine="749"/>
        <w:spacing w:after="0" w:line="312" w:lineRule="auto"/>
        <w:rPr>
          <w:sz w:val="20"/>
          <w:szCs w:val="20"/>
          <w:color w:val="auto"/>
        </w:rPr>
      </w:pPr>
      <w:r>
        <w:rPr>
          <w:rFonts w:ascii="Times New Roman" w:cs="Times New Roman" w:eastAsia="Times New Roman" w:hAnsi="Times New Roman"/>
          <w:sz w:val="17"/>
          <w:szCs w:val="17"/>
          <w:color w:val="auto"/>
        </w:rPr>
        <w:t>On November 7, 2024, PMV Pharmaceuticals, Inc. issued a press release announcing its financial results for the third quarter ended September 30, 2024. The full text of the press release is attached as Exhibit 99.1 to this Current Report on Form 8-K and is incorporated herein by reference.</w:t>
      </w:r>
    </w:p>
    <w:p>
      <w:pPr>
        <w:spacing w:after="0" w:line="14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Press Release issued by PMV Pharmaceuticals, Inc., dated November 7, 2024.</w:t>
            </w:r>
          </w:p>
        </w:tc>
        <w:tc>
          <w:tcPr>
            <w:tcW w:w="480" w:type="dxa"/>
            <w:vAlign w:val="bottom"/>
            <w:vMerge w:val="restart"/>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bottom w:val="single" w:sz="8" w:color="0000FF"/>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8"/>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PMV Pharmaceuticals Reports Third Quarter 2024 Financial Results</w:t>
      </w:r>
    </w:p>
    <w:p>
      <w:pPr>
        <w:spacing w:after="0" w:line="245" w:lineRule="exact"/>
        <w:rPr>
          <w:sz w:val="20"/>
          <w:szCs w:val="20"/>
          <w:color w:val="auto"/>
        </w:rPr>
      </w:pPr>
    </w:p>
    <w:p>
      <w:pPr>
        <w:jc w:val="both"/>
        <w:ind w:left="520" w:hanging="511"/>
        <w:spacing w:after="0" w:line="251"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Enrollment on track in Phase 2 portion of PYNNACLE clinical trial evaluating rezatapopt as monotherapy in patients with TP53 Y220C and KRAS wild-type advanced solid tumors; more than 75% of sites activated across the U.S., Europe, and Asia-Pacific; interim analysis expected by mid-2025</w:t>
      </w:r>
    </w:p>
    <w:p>
      <w:pPr>
        <w:spacing w:after="0" w:line="159" w:lineRule="exact"/>
        <w:rPr>
          <w:rFonts w:ascii="Times New Roman" w:cs="Times New Roman" w:eastAsia="Times New Roman" w:hAnsi="Times New Roman"/>
          <w:sz w:val="18"/>
          <w:szCs w:val="18"/>
          <w:color w:val="auto"/>
        </w:rPr>
      </w:pPr>
    </w:p>
    <w:p>
      <w:pPr>
        <w:jc w:val="both"/>
        <w:ind w:left="520" w:hanging="511"/>
        <w:spacing w:after="0" w:line="251"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PMV Pharmaceuticals is collaborating with MD Anderson Cancer Center and Memorial Sloan Kettering Cancer Center to support an investigator-initiated Phase 1b study evaluating rezatapopt monotherapy and in combination with azacitidine in patients with relapsed or refractory AML/MDS harboring a TP53 Y220C mutation; enrollment planned to begin in the first quarter of 2025</w:t>
      </w:r>
    </w:p>
    <w:p>
      <w:pPr>
        <w:spacing w:after="0" w:line="159" w:lineRule="exact"/>
        <w:rPr>
          <w:rFonts w:ascii="Times New Roman" w:cs="Times New Roman" w:eastAsia="Times New Roman" w:hAnsi="Times New Roman"/>
          <w:sz w:val="18"/>
          <w:szCs w:val="18"/>
          <w:color w:val="auto"/>
        </w:rPr>
      </w:pPr>
    </w:p>
    <w:p>
      <w:pPr>
        <w:ind w:left="520" w:right="20" w:hanging="511"/>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$197.9 million as of September 30, 2024, providing expected cash runway to end of 2026</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November 7, 2024 (GLOBE NEWSWIRE) - PMV Pharmaceuticals, Inc. (Nasdaq: PMVP), a precision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pioneering the discovery and development of small molecule, tumor-agnostic therapies targeting p53, today reported financial results for the third quarter ended September 30, 2024, and provided a corporate update.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Phase 2 portion of the PYNNACLE trial continues to advance, with site activation and enrollment progressing well,” said David Mack, Ph.D., President and Chief Executive Officer of PMV Pharma. “We look forward to providing an update on the PYNNACLE clinical trial in the middle of next year.”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PYNNACLE Phase 2 Monotherapy Update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Enrollment is on track in the Phase 2 monotherapy portion of the PYNNACLE clinical trial. The multicenter, single-arm, registrational, tumor-agnostic Phase 2 trial is assessing rezatapopt as monotherapy at a dose of 2000 mg once-daily in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and </w:t>
      </w:r>
      <w:r>
        <w:rPr>
          <w:rFonts w:ascii="Arial" w:cs="Arial" w:eastAsia="Arial" w:hAnsi="Arial"/>
          <w:sz w:val="18"/>
          <w:szCs w:val="18"/>
          <w:i w:val="1"/>
          <w:iCs w:val="1"/>
          <w:color w:val="auto"/>
        </w:rPr>
        <w:t>KRAS</w:t>
      </w:r>
      <w:r>
        <w:rPr>
          <w:rFonts w:ascii="Arial" w:cs="Arial" w:eastAsia="Arial" w:hAnsi="Arial"/>
          <w:sz w:val="18"/>
          <w:szCs w:val="18"/>
          <w:color w:val="auto"/>
        </w:rPr>
        <w:t xml:space="preserve"> wild-type advanced solid tumors. The primary endpoint is overall response rate per blinded independent central review. The trial is designed to enroll 114 patients across five cohorts at approximately 60 sites.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Site activation is progressing well, with more than 75% of sites activated across the U.S., Europe, and Asia-Pacific. PMV Pharma plans to provide data from the interim analysis of the Phase 2 monotherapy portion of the PYNNACLE trial by mid-2025 and anticipates a New Drug Application filing by the end of 2026.</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2024 and Recent Corporate Highlights:</w:t>
      </w:r>
    </w:p>
    <w:p>
      <w:pPr>
        <w:spacing w:after="0" w:line="104" w:lineRule="exact"/>
        <w:rPr>
          <w:sz w:val="20"/>
          <w:szCs w:val="20"/>
          <w:color w:val="auto"/>
        </w:rPr>
      </w:pPr>
    </w:p>
    <w:p>
      <w:pPr>
        <w:jc w:val="both"/>
        <w:ind w:left="520" w:hanging="512"/>
        <w:spacing w:after="0" w:line="243"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PMV Pharma is collaborating with MD Anderson Cancer Center and Memorial Sloan Kettering Cancer Center to support an investigator-initiated Phase 1b study. The study is designed to assess the safety, tolerability, pharmacokinetics, and preliminary efficacy of rezatapopt monotherapy and in combination with azacitidine in approximately 25 patients with relapsed or refractory acute myeloid leukemia (AML)/myelodysplastic syndrome (MDS) harboring a </w:t>
      </w:r>
      <w:r>
        <w:rPr>
          <w:rFonts w:ascii="Arial" w:cs="Arial" w:eastAsia="Arial" w:hAnsi="Arial"/>
          <w:sz w:val="18"/>
          <w:szCs w:val="18"/>
          <w:i w:val="1"/>
          <w:iCs w:val="1"/>
          <w:color w:val="auto"/>
        </w:rPr>
        <w:t>TP53 Y220C</w:t>
      </w:r>
      <w:r>
        <w:rPr>
          <w:rFonts w:ascii="Arial" w:cs="Arial" w:eastAsia="Arial" w:hAnsi="Arial"/>
          <w:sz w:val="18"/>
          <w:szCs w:val="18"/>
          <w:color w:val="auto"/>
        </w:rPr>
        <w:t>mutation. Enrollment is planned to begin in the first quarter of 2025.</w:t>
      </w:r>
    </w:p>
    <w:p>
      <w:pPr>
        <w:spacing w:after="0" w:line="71" w:lineRule="exact"/>
        <w:rPr>
          <w:rFonts w:ascii="Times New Roman" w:cs="Times New Roman" w:eastAsia="Times New Roman" w:hAnsi="Times New Roman"/>
          <w:sz w:val="18"/>
          <w:szCs w:val="18"/>
          <w:color w:val="auto"/>
        </w:rPr>
      </w:pPr>
    </w:p>
    <w:p>
      <w:pPr>
        <w:ind w:left="520" w:hanging="512"/>
        <w:spacing w:after="0" w:line="270"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Rezatapopt food effect data were presented on September 8, 2024 during a poster session at the American College of Clinical Pharmacology Annual Conference. Key data are summarized below:</w:t>
      </w:r>
    </w:p>
    <w:p>
      <w:pPr>
        <w:spacing w:after="0" w:line="46" w:lineRule="exact"/>
        <w:rPr>
          <w:sz w:val="20"/>
          <w:szCs w:val="20"/>
          <w:color w:val="auto"/>
        </w:rPr>
      </w:pPr>
    </w:p>
    <w:p>
      <w:pPr>
        <w:jc w:val="both"/>
        <w:ind w:left="1140" w:hanging="383"/>
        <w:spacing w:after="0" w:line="237" w:lineRule="auto"/>
        <w:tabs>
          <w:tab w:leader="none" w:pos="11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the Phase 1 portion of the PYNNACLE study, 13 patients received rezatapopt in a fasted state, while 12 patients received rezatapopt after eating. When taken with food, exposure levels at steady state as measured by AUC</w:t>
      </w:r>
      <w:r>
        <w:rPr>
          <w:rFonts w:ascii="Arial" w:cs="Arial" w:eastAsia="Arial" w:hAnsi="Arial"/>
          <w:sz w:val="24"/>
          <w:szCs w:val="24"/>
          <w:color w:val="auto"/>
          <w:vertAlign w:val="subscript"/>
        </w:rPr>
        <w:t>0-24</w:t>
      </w:r>
      <w:r>
        <w:rPr>
          <w:rFonts w:ascii="Arial" w:cs="Arial" w:eastAsia="Arial" w:hAnsi="Arial"/>
          <w:sz w:val="18"/>
          <w:szCs w:val="18"/>
          <w:color w:val="auto"/>
        </w:rPr>
        <w:t xml:space="preserve"> and C</w:t>
      </w:r>
      <w:r>
        <w:rPr>
          <w:rFonts w:ascii="Arial" w:cs="Arial" w:eastAsia="Arial" w:hAnsi="Arial"/>
          <w:sz w:val="24"/>
          <w:szCs w:val="24"/>
          <w:color w:val="auto"/>
          <w:vertAlign w:val="subscript"/>
        </w:rPr>
        <w:t>max</w:t>
      </w:r>
      <w:r>
        <w:rPr>
          <w:rFonts w:ascii="Arial" w:cs="Arial" w:eastAsia="Arial" w:hAnsi="Arial"/>
          <w:sz w:val="18"/>
          <w:szCs w:val="18"/>
          <w:color w:val="auto"/>
        </w:rPr>
        <w:t xml:space="preserve"> increased by 42% and 40%, respectively. Additionally, variability in exposure decreased significantly with food.</w:t>
      </w:r>
    </w:p>
    <w:p>
      <w:pPr>
        <w:spacing w:after="0" w:line="127" w:lineRule="exact"/>
        <w:rPr>
          <w:rFonts w:ascii="Times New Roman" w:cs="Times New Roman" w:eastAsia="Times New Roman" w:hAnsi="Times New Roman"/>
          <w:sz w:val="18"/>
          <w:szCs w:val="18"/>
          <w:color w:val="auto"/>
        </w:rPr>
      </w:pPr>
    </w:p>
    <w:p>
      <w:pPr>
        <w:jc w:val="both"/>
        <w:ind w:left="1140" w:hanging="383"/>
        <w:spacing w:after="0" w:line="246" w:lineRule="auto"/>
        <w:tabs>
          <w:tab w:leader="none" w:pos="11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Overall, rezatapopt was well-tolerated and associated with fewer gastrointestinal (GI) treatment-related adverse events (TRAEs) when administered with food. In addition, the frequency and severity of GI TRAEs were lowest in the 2000 mg once-daily (QD) fed cohort versus higher dose cohorts. These data supported the 2000 mg QD dose being recommended to be taken with food within the ongoing PYNNACLE Phase 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85" w:lineRule="exact"/>
        <w:rPr>
          <w:sz w:val="20"/>
          <w:szCs w:val="20"/>
          <w:color w:val="auto"/>
        </w:rPr>
      </w:pPr>
    </w:p>
    <w:p>
      <w:pPr>
        <w:jc w:val="both"/>
        <w:ind w:left="520" w:hanging="512"/>
        <w:spacing w:after="0" w:line="233" w:lineRule="auto"/>
        <w:tabs>
          <w:tab w:leader="none" w:pos="5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Dose-limiting toxicities were observed in the combination arm of the Phase 1b PYNNACLE trial evaluating rezatapopt and Merck’s anti-PD-1 therapy KEYTRUDA</w:t>
      </w:r>
      <w:r>
        <w:rPr>
          <w:rFonts w:ascii="Arial" w:cs="Arial" w:eastAsia="Arial" w:hAnsi="Arial"/>
          <w:sz w:val="24"/>
          <w:szCs w:val="24"/>
          <w:color w:val="auto"/>
          <w:vertAlign w:val="superscript"/>
        </w:rPr>
        <w:t>®</w:t>
      </w:r>
      <w:r>
        <w:rPr>
          <w:rFonts w:ascii="Arial" w:cs="Arial" w:eastAsia="Arial" w:hAnsi="Arial"/>
          <w:sz w:val="18"/>
          <w:szCs w:val="18"/>
          <w:color w:val="auto"/>
        </w:rPr>
        <w:t>(pembrolizumab). As a result, rezatapopt 500 mg once-daily in combination with pembrolizumab 200 mg every three weeks was established as the maximum tolerated dose. Due to limited clinical benefit at this dose, PMV Pharma discontinued enrollment in the Phase 1b combination arm.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2024 Financial Results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ended the third quarter with $197.9 million in cash, cash equivalents, and marketable securities, compared to $238.1 million as of September 30, 2023. Net cash used in operations was $34.6 million for the nine months ended September 30, 2024, compared to $43.6 million for the nine months ended September 30, 2023.</w:t>
      </w:r>
    </w:p>
    <w:p>
      <w:pPr>
        <w:spacing w:after="0" w:line="61" w:lineRule="exact"/>
        <w:rPr>
          <w:sz w:val="20"/>
          <w:szCs w:val="20"/>
          <w:color w:val="auto"/>
        </w:rPr>
      </w:pPr>
    </w:p>
    <w:p>
      <w:pPr>
        <w:jc w:val="both"/>
        <w:ind w:left="520" w:hanging="512"/>
        <w:spacing w:after="0" w:line="252" w:lineRule="auto"/>
        <w:tabs>
          <w:tab w:leader="none" w:pos="5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September 30, 2024, was $19.2 million compared to $16.6 million for the quarter ended September 30, 2023. The net loss increase was a result of increased research and development (R&amp;D) spending associated with advancing our lead product candidate through the PYNNACLE Phase 1/2 clinical trial.</w:t>
      </w:r>
    </w:p>
    <w:p>
      <w:pPr>
        <w:spacing w:after="0" w:line="62" w:lineRule="exact"/>
        <w:rPr>
          <w:rFonts w:ascii="Times New Roman" w:cs="Times New Roman" w:eastAsia="Times New Roman" w:hAnsi="Times New Roman"/>
          <w:sz w:val="18"/>
          <w:szCs w:val="18"/>
          <w:color w:val="auto"/>
        </w:rPr>
      </w:pPr>
    </w:p>
    <w:p>
      <w:pPr>
        <w:ind w:left="520" w:hanging="512"/>
        <w:spacing w:after="0" w:line="270" w:lineRule="auto"/>
        <w:tabs>
          <w:tab w:leader="none" w:pos="5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R&amp;D expenses were $16.9 million for the quarter ended September30, 2024, compared to $13.6 million for the quarter ended September30, 2023. The increase in R&amp;D expenses was primarily related to increased contract research organization costs.</w:t>
      </w:r>
    </w:p>
    <w:p>
      <w:pPr>
        <w:spacing w:after="0" w:line="46"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$4.9 million for the quarter ended September 30, 2024, compared to $6.0 million for the quarter ended September 30, 2023. The decrease in G&amp;A expenses was primarily due to reduced spend for facility and operational expenses.</w:t>
      </w:r>
    </w:p>
    <w:p>
      <w:pPr>
        <w:spacing w:after="0" w:line="14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is a registered trademark of Merck Sharp &amp; Dohme LLC., a subsidiary of Merck &amp; Co., Inc., Rahway, NJ,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tumor-suppressor function. The U.S. Food and Drug Administration (FDA) granted Fast Track designation to rezatapopt for the treatment of patients with locally advanced or metastatic solid tumors with a TP53 Y220C mutation.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ongoing Phase 1/2 PYNNACLE clinical trial is evaluating rezatapopt in patients with advanced solid tumors harboring a TP53 Y220C mutation. The primary objective of the Phase 1 portion of the trial was to determine the maximum tolerated dose and recommended Phase 2 dose (RP2D) of rezatapopt when administered orally to patients. Safety, tolerability, pharmacokinetics, and effects on biomarkers were also assessed. In Phase 1, an overall response rate of 38% (6/16 evaluable patients) was achieved at the RP2D of 2000 mg daily reflective of the Phase 2 patient population (TP53 Y220C and KRAS wild-type). The median duration of response was seven months. The Phase 2 monotherapy portion is a registrational, single-arm, expansion basket clinical trial comprising five cohorts (ovarian, lung, breast, endometrial cancers, and other solid tumors) with the primary objective of evaluating the efficacy of rezatapopt at the RP2D in patients with TP53 Y220C and KRAS wild-type advanced solid tumors.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Phase 1/2 PYNNACLE clinical trial, refer to www.clinicaltrials.gov (NCT trial identifier NCT04585750).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TP53 mutations are found in approximately half of all cancers. Our co-founder, Dr. Arnold Levine, established the field of p53 biology when he discovered the p53 protein in 1979. Bringing together leaders in the field to utilize over four decades of p53 biology, PMV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Pharma combines unique biological understanding with a pharmaceutical development focus. PMV Pharma is headquartered in Princeton, New Jersey. For more information, please visit </w:t>
      </w:r>
      <w:r>
        <w:rPr>
          <w:rFonts w:ascii="Arial" w:cs="Arial" w:eastAsia="Arial" w:hAnsi="Arial"/>
          <w:sz w:val="18"/>
          <w:szCs w:val="18"/>
          <w:color w:val="03AFFD"/>
        </w:rPr>
        <w:t>www.pmvpharma.com</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 -looking statements. Such statements include, but are not limited to, statements regarding the Company’s future plans or expectations for rezatapopt, including our ability to obtain approval as a treatment option on a tumor-agnostic basis and as a monotherapy or in combination with other agents, including with azacytidine, expectations regarding timing for interim data readouts and success of the Phase 2 portion of the PYNNACLE trial, our expectation and timing of NDA filing(s) with the FDA for the current clinical trial for rezatapopt, the current and future enrollment of patients in our clinical trials, the timing, progress and activation of sites for our clinical trials, collaboration with and plans for MDACC’s and MSK’s investigator initiated study for combination of rezatapopt and azacitidine,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February 29, 2024, our Quarterly Report on Form 10-Q for the three months ended March 31, 2024, filed with the SEC on May 9, 2024, and our other filings filed with the SEC. All forward-looking statements contained in this press release speak only as of the date on which they were made. We undertake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3268980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84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1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r>
      <w:tr>
        <w:trPr>
          <w:trHeight w:val="243"/>
        </w:trPr>
        <w:tc>
          <w:tcPr>
            <w:tcW w:w="6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top w:val="single" w:sz="8" w:color="auto"/>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CFF0FC"/>
            </w:tcBorders>
            <w:shd w:val="clear" w:color="auto" w:fill="CFF0FC"/>
          </w:tcPr>
          <w:p>
            <w:pPr>
              <w:spacing w:after="0"/>
              <w:rPr>
                <w:sz w:val="21"/>
                <w:szCs w:val="21"/>
                <w:color w:val="auto"/>
              </w:rPr>
            </w:pPr>
          </w:p>
        </w:tc>
      </w:tr>
      <w:tr>
        <w:trPr>
          <w:trHeight w:val="234"/>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
        </w:trPr>
        <w:tc>
          <w:tcPr>
            <w:tcW w:w="6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0"/>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48,810</w:t>
            </w:r>
          </w:p>
        </w:tc>
        <w:tc>
          <w:tcPr>
            <w:tcW w:w="15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37,706</w:t>
            </w:r>
          </w:p>
        </w:tc>
      </w:tr>
      <w:tr>
        <w:trPr>
          <w:trHeight w:val="26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822</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822</w:t>
            </w:r>
          </w:p>
        </w:tc>
      </w:tr>
      <w:tr>
        <w:trPr>
          <w:trHeight w:val="27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7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134,031</w:t>
            </w:r>
          </w:p>
        </w:tc>
        <w:tc>
          <w:tcPr>
            <w:tcW w:w="26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165,351</w:t>
            </w:r>
          </w:p>
        </w:tc>
      </w:tr>
      <w:tr>
        <w:trPr>
          <w:trHeight w:val="263"/>
        </w:trPr>
        <w:tc>
          <w:tcPr>
            <w:tcW w:w="69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5,957</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3,530</w:t>
            </w:r>
          </w:p>
        </w:tc>
      </w:tr>
      <w:tr>
        <w:trPr>
          <w:trHeight w:val="25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189,620</w:t>
            </w: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207,409</w:t>
            </w:r>
          </w:p>
        </w:tc>
      </w:tr>
      <w:tr>
        <w:trPr>
          <w:trHeight w:val="26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10,130</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10,666</w:t>
            </w:r>
          </w:p>
        </w:tc>
      </w:tr>
      <w:tr>
        <w:trPr>
          <w:trHeight w:val="27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7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15,096</w:t>
            </w:r>
          </w:p>
        </w:tc>
        <w:tc>
          <w:tcPr>
            <w:tcW w:w="26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25,505</w:t>
            </w:r>
          </w:p>
        </w:tc>
      </w:tr>
      <w:tr>
        <w:trPr>
          <w:trHeight w:val="26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8,407</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8,382</w:t>
            </w:r>
          </w:p>
        </w:tc>
      </w:tr>
      <w:tr>
        <w:trPr>
          <w:trHeight w:val="27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r>
      <w:tr>
        <w:trPr>
          <w:trHeight w:val="232"/>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223,495</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252,152</w:t>
            </w:r>
          </w:p>
        </w:tc>
      </w:tr>
      <w:tr>
        <w:trPr>
          <w:trHeight w:val="20"/>
        </w:trPr>
        <w:tc>
          <w:tcPr>
            <w:tcW w:w="6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6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r>
      <w:tr>
        <w:trPr>
          <w:trHeight w:val="234"/>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
        </w:trPr>
        <w:tc>
          <w:tcPr>
            <w:tcW w:w="6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0"/>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2,063</w:t>
            </w:r>
          </w:p>
        </w:tc>
        <w:tc>
          <w:tcPr>
            <w:tcW w:w="15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3,237</w:t>
            </w:r>
          </w:p>
        </w:tc>
      </w:tr>
      <w:tr>
        <w:trPr>
          <w:trHeight w:val="26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10,257</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9,940</w:t>
            </w:r>
          </w:p>
        </w:tc>
      </w:tr>
      <w:tr>
        <w:trPr>
          <w:trHeight w:val="27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2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1,243</w:t>
            </w:r>
          </w:p>
        </w:tc>
        <w:tc>
          <w:tcPr>
            <w:tcW w:w="260" w:type="dxa"/>
            <w:vAlign w:val="bottom"/>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852</w:t>
            </w:r>
          </w:p>
        </w:tc>
      </w:tr>
      <w:tr>
        <w:trPr>
          <w:trHeight w:val="24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13,563</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14,029</w:t>
            </w:r>
          </w:p>
        </w:tc>
      </w:tr>
      <w:tr>
        <w:trPr>
          <w:trHeight w:val="27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2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12,024</w:t>
            </w:r>
          </w:p>
        </w:tc>
        <w:tc>
          <w:tcPr>
            <w:tcW w:w="260" w:type="dxa"/>
            <w:vAlign w:val="bottom"/>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12,434</w:t>
            </w:r>
          </w:p>
        </w:tc>
      </w:tr>
      <w:tr>
        <w:trPr>
          <w:trHeight w:val="232"/>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25,587</w:t>
            </w:r>
          </w:p>
        </w:tc>
        <w:tc>
          <w:tcPr>
            <w:tcW w:w="2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26,463</w:t>
            </w:r>
          </w:p>
        </w:tc>
      </w:tr>
      <w:tr>
        <w:trPr>
          <w:trHeight w:val="248"/>
        </w:trPr>
        <w:tc>
          <w:tcPr>
            <w:tcW w:w="6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r>
      <w:tr>
        <w:trPr>
          <w:trHeight w:val="239"/>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543,210</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535,468</w:t>
            </w:r>
          </w:p>
        </w:tc>
      </w:tr>
      <w:tr>
        <w:trPr>
          <w:trHeight w:val="24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(345,712)</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(310,003)</w:t>
            </w:r>
          </w:p>
        </w:tc>
      </w:tr>
      <w:tr>
        <w:trPr>
          <w:trHeight w:val="239"/>
        </w:trPr>
        <w:tc>
          <w:tcPr>
            <w:tcW w:w="69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r>
      <w:tr>
        <w:trPr>
          <w:trHeight w:val="236"/>
        </w:trPr>
        <w:tc>
          <w:tcPr>
            <w:tcW w:w="6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197,908</w:t>
            </w:r>
          </w:p>
        </w:tc>
        <w:tc>
          <w:tcPr>
            <w:tcW w:w="2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225,689</w:t>
            </w:r>
          </w:p>
        </w:tc>
      </w:tr>
      <w:tr>
        <w:trPr>
          <w:trHeight w:val="288"/>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223,495</w:t>
            </w:r>
          </w:p>
        </w:tc>
        <w:tc>
          <w:tcPr>
            <w:tcW w:w="156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252,152</w:t>
            </w:r>
          </w:p>
        </w:tc>
      </w:tr>
      <w:tr>
        <w:trPr>
          <w:trHeight w:val="20"/>
        </w:trPr>
        <w:tc>
          <w:tcPr>
            <w:tcW w:w="6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-3436620</wp:posOffset>
            </wp:positionV>
            <wp:extent cx="163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-1203960</wp:posOffset>
            </wp:positionV>
            <wp:extent cx="18859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-398145</wp:posOffset>
            </wp:positionV>
            <wp:extent cx="188595"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2713355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4"/>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r>
      <w:tr>
        <w:trPr>
          <w:trHeight w:val="187"/>
        </w:trPr>
        <w:tc>
          <w:tcPr>
            <w:tcW w:w="48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9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23"/>
        </w:trPr>
        <w:tc>
          <w:tcPr>
            <w:tcW w:w="4860" w:type="dxa"/>
            <w:vAlign w:val="bottom"/>
          </w:tcPr>
          <w:p>
            <w:pPr>
              <w:spacing w:after="0"/>
              <w:rPr>
                <w:sz w:val="19"/>
                <w:szCs w:val="19"/>
                <w:color w:val="auto"/>
              </w:rPr>
            </w:pPr>
          </w:p>
        </w:tc>
        <w:tc>
          <w:tcPr>
            <w:tcW w:w="144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r>
      <w:tr>
        <w:trPr>
          <w:trHeight w:val="23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8"/>
              </w:rPr>
              <w:t>$ 16,947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$ 13,586</w:t>
            </w:r>
          </w:p>
        </w:tc>
        <w:tc>
          <w:tcPr>
            <w:tcW w:w="16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$ 44,760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$ 42,503</w:t>
            </w:r>
          </w:p>
        </w:tc>
      </w:tr>
      <w:tr>
        <w:trPr>
          <w:trHeight w:val="247"/>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4,941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6,042</w:t>
            </w:r>
          </w:p>
        </w:tc>
        <w:tc>
          <w:tcPr>
            <w:tcW w:w="16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15,520</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18,727</w:t>
            </w:r>
          </w:p>
        </w:tc>
      </w:tr>
      <w:tr>
        <w:trPr>
          <w:trHeight w:val="237"/>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21,888</w:t>
            </w: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19,628</w:t>
            </w:r>
          </w:p>
        </w:tc>
        <w:tc>
          <w:tcPr>
            <w:tcW w:w="22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60,280</w:t>
            </w:r>
          </w:p>
        </w:tc>
        <w:tc>
          <w:tcPr>
            <w:tcW w:w="1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61,230</w:t>
            </w:r>
          </w:p>
        </w:tc>
      </w:tr>
      <w:tr>
        <w:trPr>
          <w:trHeight w:val="23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(21,888)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(19,628)</w:t>
            </w:r>
          </w:p>
        </w:tc>
        <w:tc>
          <w:tcPr>
            <w:tcW w:w="16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(60,280)</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(61,230)</w:t>
            </w:r>
          </w:p>
        </w:tc>
      </w:tr>
      <w:tr>
        <w:trPr>
          <w:trHeight w:val="23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6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2,615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2,984</w:t>
            </w:r>
          </w:p>
        </w:tc>
        <w:tc>
          <w:tcPr>
            <w:tcW w:w="16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8,368</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8,005</w:t>
            </w:r>
          </w:p>
        </w:tc>
      </w:tr>
      <w:tr>
        <w:trPr>
          <w:trHeight w:val="23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41"/>
        </w:trPr>
        <w:tc>
          <w:tcPr>
            <w:tcW w:w="486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income</w:t>
            </w: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2,736</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2,988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8,471</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8,029</w:t>
            </w:r>
          </w:p>
        </w:tc>
      </w:tr>
      <w:tr>
        <w:trPr>
          <w:trHeight w:val="232"/>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(19,152)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(16,640)</w:t>
            </w:r>
          </w:p>
        </w:tc>
        <w:tc>
          <w:tcPr>
            <w:tcW w:w="16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(51,809)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(53,201)</w:t>
            </w:r>
          </w:p>
        </w:tc>
      </w:tr>
      <w:tr>
        <w:trPr>
          <w:trHeight w:val="247"/>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6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(16,100)</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2"/>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(19,226)</w:t>
            </w:r>
          </w:p>
        </w:tc>
        <w:tc>
          <w:tcPr>
            <w:tcW w:w="2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(16,640)</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(35,709)</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(53,204)</w:t>
            </w:r>
          </w:p>
        </w:tc>
      </w:tr>
      <w:tr>
        <w:trPr>
          <w:trHeight w:val="215"/>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 for sale</w:t>
            </w:r>
          </w:p>
        </w:tc>
        <w:tc>
          <w:tcPr>
            <w:tcW w:w="6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48"/>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investments, net of tax</w:t>
            </w:r>
          </w:p>
        </w:tc>
        <w:tc>
          <w:tcPr>
            <w:tcW w:w="6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6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r>
      <w:tr>
        <w:trPr>
          <w:trHeight w:val="23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6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(18,631)</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(16,667)</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(35,523)</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(53,114)</w:t>
            </w:r>
          </w:p>
        </w:tc>
      </w:tr>
      <w:tr>
        <w:trPr>
          <w:trHeight w:val="250"/>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   (0.69)</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51,574,027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49,047,296</w:t>
            </w:r>
          </w:p>
        </w:tc>
        <w:tc>
          <w:tcPr>
            <w:tcW w:w="16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51,499,818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46,889,921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-2560955</wp:posOffset>
            </wp:positionV>
            <wp:extent cx="20574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-2560955</wp:posOffset>
            </wp:positionV>
            <wp:extent cx="17081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815" cy="19685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-2560955</wp:posOffset>
            </wp:positionV>
            <wp:extent cx="1193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-1772285</wp:posOffset>
            </wp:positionV>
            <wp:extent cx="20574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-1772285</wp:posOffset>
            </wp:positionV>
            <wp:extent cx="17081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815" cy="19685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-1772285</wp:posOffset>
            </wp:positionV>
            <wp:extent cx="1193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-508000</wp:posOffset>
            </wp:positionV>
            <wp:extent cx="1803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-508000</wp:posOffset>
            </wp:positionV>
            <wp:extent cx="1454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 cy="1714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-508000</wp:posOffset>
            </wp:positionV>
            <wp:extent cx="939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1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-165100</wp:posOffset>
            </wp:positionV>
            <wp:extent cx="1803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34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-165100</wp:posOffset>
            </wp:positionV>
            <wp:extent cx="1454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415" cy="1714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-165100</wp:posOffset>
            </wp:positionV>
            <wp:extent cx="939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1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2024-11-07T07:13:07Z</dcterms:created>
  <dcterms:modified xsi:type="dcterms:W3CDTF">2024-11-07T07:13:07Z</dcterms:modified>
</cp:coreProperties>
</file>