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820" w:right="1580" w:hanging="3799"/>
        <w:spacing w:after="0" w:line="329"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22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001-39539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4"/>
          <w:szCs w:val="24"/>
          <w:color w:val="auto"/>
        </w:rPr>
      </w:pPr>
    </w:p>
    <w:tbl>
      <w:tblPr>
        <w:tblLayout w:type="fixed"/>
        <w:tblInd w:w="1420" w:type="dxa"/>
        <w:tblCellMar>
          <w:top w:w="0" w:type="dxa"/>
          <w:left w:w="0" w:type="dxa"/>
          <w:bottom w:w="0" w:type="dxa"/>
          <w:right w:w="0" w:type="dxa"/>
        </w:tblCellMar>
      </w:tblPr>
      <w:tr>
        <w:trPr>
          <w:trHeight w:val="214"/>
        </w:trPr>
        <w:tc>
          <w:tcPr>
            <w:tcW w:w="4620" w:type="dxa"/>
            <w:vAlign w:val="bottom"/>
          </w:tcPr>
          <w:p>
            <w:pPr>
              <w:jc w:val="center"/>
              <w:ind w:right="17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48"/>
        </w:trPr>
        <w:tc>
          <w:tcPr>
            <w:tcW w:w="4620" w:type="dxa"/>
            <w:vAlign w:val="bottom"/>
          </w:tcPr>
          <w:p>
            <w:pPr>
              <w:jc w:val="center"/>
              <w:ind w:right="17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60" w:type="dxa"/>
            <w:vAlign w:val="bottom"/>
          </w:tcPr>
          <w:p>
            <w:pPr>
              <w:jc w:val="center"/>
              <w:ind w:left="17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620" w:type="dxa"/>
            <w:vAlign w:val="bottom"/>
          </w:tcPr>
          <w:p>
            <w:pPr>
              <w:jc w:val="center"/>
              <w:ind w:right="17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60" w:type="dxa"/>
            <w:vAlign w:val="bottom"/>
          </w:tcPr>
          <w:p>
            <w:pPr>
              <w:jc w:val="center"/>
              <w:ind w:left="17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4620" w:type="dxa"/>
            <w:vAlign w:val="bottom"/>
          </w:tcPr>
          <w:p>
            <w:pPr>
              <w:jc w:val="center"/>
              <w:ind w:right="1739"/>
              <w:spacing w:after="0"/>
              <w:rPr>
                <w:sz w:val="20"/>
                <w:szCs w:val="20"/>
                <w:color w:val="auto"/>
              </w:rPr>
            </w:pPr>
            <w:r>
              <w:rPr>
                <w:rFonts w:ascii="Times New Roman" w:cs="Times New Roman" w:eastAsia="Times New Roman" w:hAnsi="Times New Roman"/>
                <w:sz w:val="18"/>
                <w:szCs w:val="18"/>
                <w:b w:val="1"/>
                <w:bCs w:val="1"/>
                <w:color w:val="auto"/>
                <w:w w:val="99"/>
              </w:rPr>
              <w:t>400 Alexander Park Drive, Suite 301</w:t>
            </w:r>
          </w:p>
        </w:tc>
        <w:tc>
          <w:tcPr>
            <w:tcW w:w="2960" w:type="dxa"/>
            <w:vAlign w:val="bottom"/>
          </w:tcPr>
          <w:p>
            <w:pPr>
              <w:spacing w:after="0"/>
              <w:rPr>
                <w:sz w:val="24"/>
                <w:szCs w:val="24"/>
                <w:color w:val="auto"/>
              </w:rPr>
            </w:pPr>
          </w:p>
        </w:tc>
      </w:tr>
      <w:tr>
        <w:trPr>
          <w:trHeight w:val="214"/>
        </w:trPr>
        <w:tc>
          <w:tcPr>
            <w:tcW w:w="462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9"/>
              </w:rPr>
              <w:t>Princeton, NJ</w:t>
            </w:r>
          </w:p>
        </w:tc>
        <w:tc>
          <w:tcPr>
            <w:tcW w:w="29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190"/>
        </w:trPr>
        <w:tc>
          <w:tcPr>
            <w:tcW w:w="4620" w:type="dxa"/>
            <w:vAlign w:val="bottom"/>
          </w:tcPr>
          <w:p>
            <w:pPr>
              <w:jc w:val="center"/>
              <w:ind w:right="1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60" w:type="dxa"/>
            <w:vAlign w:val="bottom"/>
          </w:tcPr>
          <w:p>
            <w:pPr>
              <w:jc w:val="center"/>
              <w:ind w:left="17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right="80" w:firstLine="509"/>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140" w:firstLine="509"/>
        <w:spacing w:after="0" w:line="22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9" w:lineRule="exact"/>
        <w:rPr>
          <w:sz w:val="24"/>
          <w:szCs w:val="24"/>
          <w:color w:val="auto"/>
        </w:rPr>
      </w:pPr>
    </w:p>
    <w:p>
      <w:pPr>
        <w:ind w:right="220" w:firstLine="509"/>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24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Accelerated filer</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3"/>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24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Emerging growth company</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22" w:lineRule="exact"/>
        <w:rPr>
          <w:sz w:val="24"/>
          <w:szCs w:val="24"/>
          <w:color w:val="auto"/>
        </w:rPr>
      </w:pPr>
    </w:p>
    <w:p>
      <w:pPr>
        <w:ind w:right="20" w:firstLine="509"/>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left="520"/>
        <w:spacing w:after="0" w:line="196" w:lineRule="exact"/>
        <w:tabs>
          <w:tab w:leader="none" w:pos="8980" w:val="left"/>
        </w:tabs>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83" w:lineRule="exact"/>
        <w:rPr>
          <w:sz w:val="24"/>
          <w:szCs w:val="24"/>
          <w:color w:val="auto"/>
        </w:rPr>
      </w:pPr>
    </w:p>
    <w:p>
      <w:pPr>
        <w:ind w:right="40" w:firstLine="509"/>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May 12, 2026, the registrant had 53,331,766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939800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7260" w:type="dxa"/>
            <w:vAlign w:val="bottom"/>
            <w:gridSpan w:val="11"/>
            <w:vMerge w:val="restart"/>
          </w:tcPr>
          <w:p>
            <w:pPr>
              <w:spacing w:after="0"/>
              <w:rPr>
                <w:sz w:val="15"/>
                <w:szCs w:val="15"/>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gridSpan w:val="2"/>
            <w:vMerge w:val="continue"/>
          </w:tcPr>
          <w:p>
            <w:pPr>
              <w:spacing w:after="0"/>
              <w:rPr>
                <w:sz w:val="14"/>
                <w:szCs w:val="14"/>
                <w:color w:val="auto"/>
              </w:rPr>
            </w:pPr>
          </w:p>
        </w:tc>
        <w:tc>
          <w:tcPr>
            <w:tcW w:w="2280" w:type="dxa"/>
            <w:vAlign w:val="bottom"/>
            <w:tcBorders>
              <w:bottom w:val="single" w:sz="8" w:color="0000FF"/>
            </w:tcBorders>
            <w:gridSpan w:val="8"/>
            <w:vMerge w:val="continue"/>
          </w:tcPr>
          <w:p>
            <w:pPr>
              <w:spacing w:after="0"/>
              <w:rPr>
                <w:sz w:val="14"/>
                <w:szCs w:val="14"/>
                <w:color w:val="auto"/>
              </w:rPr>
            </w:pPr>
          </w:p>
        </w:tc>
        <w:tc>
          <w:tcPr>
            <w:tcW w:w="7260" w:type="dxa"/>
            <w:vAlign w:val="bottom"/>
            <w:gridSpan w:val="11"/>
            <w:vMerge w:val="continue"/>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42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5280" w:type="dxa"/>
            <w:vAlign w:val="bottom"/>
            <w:gridSpan w:val="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4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 (Unaudited)</w:t>
            </w:r>
          </w:p>
        </w:tc>
        <w:tc>
          <w:tcPr>
            <w:tcW w:w="310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30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424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5"/>
          </w:tcPr>
          <w:p>
            <w:pPr>
              <w:spacing w:after="0"/>
              <w:rPr>
                <w:sz w:val="17"/>
                <w:szCs w:val="17"/>
                <w:color w:val="auto"/>
              </w:rPr>
            </w:pPr>
          </w:p>
        </w:tc>
        <w:tc>
          <w:tcPr>
            <w:tcW w:w="30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740" w:type="dxa"/>
            <w:vAlign w:val="bottom"/>
            <w:gridSpan w:val="1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560" w:type="dxa"/>
            <w:vAlign w:val="bottom"/>
            <w:tcBorders>
              <w:top w:val="single" w:sz="8" w:color="0000FF"/>
            </w:tcBorders>
            <w:gridSpan w:val="3"/>
          </w:tcPr>
          <w:p>
            <w:pPr>
              <w:spacing w:after="0"/>
              <w:rPr>
                <w:sz w:val="17"/>
                <w:szCs w:val="17"/>
                <w:color w:val="auto"/>
              </w:rPr>
            </w:pPr>
          </w:p>
        </w:tc>
        <w:tc>
          <w:tcPr>
            <w:tcW w:w="7640" w:type="dxa"/>
            <w:vAlign w:val="bottom"/>
            <w:gridSpan w:val="1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0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4"/>
          </w:tcPr>
          <w:p>
            <w:pPr>
              <w:spacing w:after="0"/>
              <w:rPr>
                <w:sz w:val="17"/>
                <w:szCs w:val="17"/>
                <w:color w:val="auto"/>
              </w:rPr>
            </w:pPr>
          </w:p>
        </w:tc>
        <w:tc>
          <w:tcPr>
            <w:tcW w:w="7220" w:type="dxa"/>
            <w:vAlign w:val="bottom"/>
            <w:gridSpan w:val="10"/>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220" w:type="dxa"/>
            <w:vAlign w:val="bottom"/>
            <w:gridSpan w:val="1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 10-Q, including statements regarding our future results of operations and financial position, business strategy, development plans, planned preclinical studies and clinical trials, future results of clinical trials, expected research and development costs, regulatory strategy and approvals, timing and likelihood of success, as well as plans and objectives of management for future operations, are forward-looking statements.</w:t>
      </w:r>
    </w:p>
    <w:p>
      <w:pPr>
        <w:spacing w:after="0" w:line="79" w:lineRule="exact"/>
        <w:rPr>
          <w:sz w:val="20"/>
          <w:szCs w:val="20"/>
          <w:color w:val="auto"/>
        </w:rPr>
      </w:pPr>
    </w:p>
    <w:p>
      <w:pPr>
        <w:jc w:val="both"/>
        <w:ind w:right="360" w:firstLine="509"/>
        <w:spacing w:after="0" w:line="289" w:lineRule="auto"/>
        <w:rPr>
          <w:sz w:val="20"/>
          <w:szCs w:val="20"/>
          <w:color w:val="auto"/>
        </w:rPr>
      </w:pPr>
      <w:r>
        <w:rPr>
          <w:rFonts w:ascii="Times New Roman" w:cs="Times New Roman" w:eastAsia="Times New Roman" w:hAnsi="Times New Roman"/>
          <w:sz w:val="17"/>
          <w:szCs w:val="17"/>
          <w:color w:val="auto"/>
        </w:rPr>
        <w:t>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spacing w:after="0" w:line="50"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cash equivalents, and marketable securities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funding before we can expect to generate any revenues from product sales;</w:t>
      </w:r>
    </w:p>
    <w:p>
      <w:pPr>
        <w:spacing w:after="0" w:line="117"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for our operations, when needed, including funding necessary to complete further development and commercialization of our product candidates, if approved;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cash equivalents, and marketable securities and any proceeds from the ATM Program (as defined below);</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and our ability to maximize those opportunities;</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preclinical studies, clinical trials and investigational new drug applications, or IND, and other regulatory submissions;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1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for each of our programs including patients expected to have certain p53 mutations and the number of patients that will enroll in our clinical trials;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favorable results;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product candidates, including the disease areas to be evaluated;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focus of our clinical trials, and the reporting of data from those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our existing and any potential future strategic collaborations with third parties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our expectation to seek accelerated reviews or special designations, such as breakthrough therapy and orphan drug designation, for our product candidates,</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3" w:name="page4"/>
    <w:bookmarkEnd w:id="3"/>
    <w:p>
      <w:pPr>
        <w:ind w:left="900"/>
        <w:spacing w:after="0"/>
        <w:rPr>
          <w:sz w:val="20"/>
          <w:szCs w:val="20"/>
          <w:color w:val="auto"/>
        </w:rPr>
      </w:pPr>
      <w:r>
        <w:rPr>
          <w:rFonts w:ascii="Times New Roman" w:cs="Times New Roman" w:eastAsia="Times New Roman" w:hAnsi="Times New Roman"/>
          <w:sz w:val="18"/>
          <w:szCs w:val="18"/>
          <w:color w:val="auto"/>
        </w:rPr>
        <w:t>including our intention to seek accelerated approval for rezatapopt, our lead product candidate, for a tumor-agnostic indication;</w:t>
      </w:r>
    </w:p>
    <w:p>
      <w:pPr>
        <w:spacing w:after="0" w:line="117" w:lineRule="exact"/>
        <w:rPr>
          <w:sz w:val="20"/>
          <w:szCs w:val="20"/>
          <w:color w:val="auto"/>
        </w:rPr>
      </w:pPr>
    </w:p>
    <w:p>
      <w:pPr>
        <w:ind w:left="900" w:right="30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for additional indications that we may pursue;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rely on third parties to conduct and support preclinical and clinical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then retain additional qualified personnel; and</w:t>
      </w:r>
    </w:p>
    <w:p>
      <w:pPr>
        <w:spacing w:after="0" w:line="117" w:lineRule="exact"/>
        <w:rPr>
          <w:rFonts w:ascii="Times New Roman" w:cs="Times New Roman" w:eastAsia="Times New Roman" w:hAnsi="Times New Roman"/>
          <w:sz w:val="18"/>
          <w:szCs w:val="18"/>
          <w:color w:val="auto"/>
        </w:rPr>
      </w:pPr>
    </w:p>
    <w:p>
      <w:pPr>
        <w:ind w:left="900" w:hanging="383"/>
        <w:spacing w:after="0" w:line="26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tensions, such as the Ukraine-Russia war and the conflict in the Middle East, the impact of other disruptions resulting from public health epidemics, macroeconomic events such as future changes in trade regulations, tariff structures, global supply chain challenges, elevated inflation and interest rates and monetary policy changes (including the impact of changes to U.S. federal income tax law), instability in the global banking system, or other related disruptions on our business and the execution of our clinical trials.</w:t>
      </w:r>
    </w:p>
    <w:p>
      <w:pPr>
        <w:spacing w:after="0" w:line="288"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“Item 1A. Risk Factors” and elsewhere in our Annual Report on Form 10-K for the year ended December 31, 2025, filed with the United States Securities and Exchange Commission on March 6, 2026, as well as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8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11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39,130</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37,983</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74,960</w:t>
            </w:r>
          </w:p>
        </w:tc>
        <w:tc>
          <w:tcPr>
            <w:tcW w:w="100" w:type="dxa"/>
            <w:vAlign w:val="bottom"/>
          </w:tcPr>
          <w:p>
            <w:pPr>
              <w:spacing w:after="0"/>
              <w:rPr>
                <w:sz w:val="18"/>
                <w:szCs w:val="18"/>
                <w:color w:val="auto"/>
              </w:rPr>
            </w:pPr>
          </w:p>
        </w:tc>
      </w:tr>
      <w:tr>
        <w:trPr>
          <w:trHeight w:val="216"/>
        </w:trPr>
        <w:tc>
          <w:tcPr>
            <w:tcW w:w="7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115,227</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18"/>
                <w:szCs w:val="18"/>
                <w:color w:val="auto"/>
              </w:rPr>
            </w:pPr>
          </w:p>
        </w:tc>
      </w:tr>
      <w:tr>
        <w:trPr>
          <w:trHeight w:val="216"/>
        </w:trPr>
        <w:tc>
          <w:tcPr>
            <w:tcW w:w="7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96,562</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116,562</w:t>
            </w:r>
          </w:p>
        </w:tc>
        <w:tc>
          <w:tcPr>
            <w:tcW w:w="10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00" w:type="dxa"/>
            <w:vAlign w:val="bottom"/>
          </w:tcPr>
          <w:p>
            <w:pPr>
              <w:spacing w:after="0"/>
              <w:rPr>
                <w:sz w:val="18"/>
                <w:szCs w:val="18"/>
                <w:color w:val="auto"/>
              </w:rPr>
            </w:pPr>
          </w:p>
        </w:tc>
      </w:tr>
      <w:tr>
        <w:trPr>
          <w:trHeight w:val="216"/>
        </w:trPr>
        <w:tc>
          <w:tcPr>
            <w:tcW w:w="7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FF0FC"/>
          </w:tcPr>
          <w:p>
            <w:pPr>
              <w:spacing w:after="0"/>
              <w:rPr>
                <w:sz w:val="18"/>
                <w:szCs w:val="18"/>
                <w:color w:val="auto"/>
              </w:rPr>
            </w:pPr>
          </w:p>
        </w:tc>
      </w:tr>
      <w:tr>
        <w:trPr>
          <w:trHeight w:val="210"/>
        </w:trPr>
        <w:tc>
          <w:tcPr>
            <w:tcW w:w="7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100" w:type="dxa"/>
            <w:vAlign w:val="bottom"/>
            <w:tcBorders>
              <w:top w:val="single" w:sz="8" w:color="CFF0FC"/>
            </w:tcBorders>
          </w:tcPr>
          <w:p>
            <w:pPr>
              <w:spacing w:after="0"/>
              <w:rPr>
                <w:sz w:val="18"/>
                <w:szCs w:val="18"/>
                <w:color w:val="auto"/>
              </w:rPr>
            </w:pPr>
          </w:p>
        </w:tc>
      </w:tr>
      <w:tr>
        <w:trPr>
          <w:trHeight w:val="210"/>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(see Note 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5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$0.00001 par value, 5,000,000 shares authorized at March 31, 2026 and December</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31, 2025. No shares issued or outstanding at March 31, 2026 and December 31, 2025.</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$0.00001 par value, 1,000,000,000 shares authorized; 53,331,766 and</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53,331,766 shares issued and outstanding at March 31, 2026 and December 31, 2025, respectively.</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552,474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551,082</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(464,492)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(446,454)</w:t>
            </w: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FF0FC"/>
          </w:tcPr>
          <w:p>
            <w:pPr>
              <w:spacing w:after="0"/>
              <w:rPr>
                <w:sz w:val="18"/>
                <w:szCs w:val="18"/>
                <w:color w:val="auto"/>
              </w:rPr>
            </w:pPr>
          </w:p>
        </w:tc>
      </w:tr>
      <w:tr>
        <w:trPr>
          <w:trHeight w:val="210"/>
        </w:trPr>
        <w:tc>
          <w:tcPr>
            <w:tcW w:w="750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87,967</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104,712</w:t>
            </w:r>
          </w:p>
        </w:tc>
        <w:tc>
          <w:tcPr>
            <w:tcW w:w="100" w:type="dxa"/>
            <w:vAlign w:val="bottom"/>
            <w:tcBorders>
              <w:top w:val="single" w:sz="8" w:color="CFF0FC"/>
            </w:tcBorders>
          </w:tcPr>
          <w:p>
            <w:pPr>
              <w:spacing w:after="0"/>
              <w:rPr>
                <w:sz w:val="18"/>
                <w:szCs w:val="18"/>
                <w:color w:val="auto"/>
              </w:rPr>
            </w:pPr>
          </w:p>
        </w:tc>
      </w:tr>
      <w:tr>
        <w:trPr>
          <w:trHeight w:val="229"/>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96,562</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116,562</w:t>
            </w:r>
          </w:p>
        </w:tc>
        <w:tc>
          <w:tcPr>
            <w:tcW w:w="100" w:type="dxa"/>
            <w:vAlign w:val="bottom"/>
            <w:shd w:val="clear" w:color="auto" w:fill="CFF0FC"/>
          </w:tcPr>
          <w:p>
            <w:pPr>
              <w:spacing w:after="0"/>
              <w:rPr>
                <w:sz w:val="19"/>
                <w:szCs w:val="19"/>
                <w:color w:val="auto"/>
              </w:rPr>
            </w:pPr>
          </w:p>
        </w:tc>
      </w:tr>
      <w:tr>
        <w:trPr>
          <w:trHeight w:val="20"/>
        </w:trPr>
        <w:tc>
          <w:tcPr>
            <w:tcW w:w="75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-3402330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-2845435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-1988185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-1704975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-316230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4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15,330</w:t>
            </w:r>
          </w:p>
        </w:tc>
        <w:tc>
          <w:tcPr>
            <w:tcW w:w="1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120" w:type="dxa"/>
            <w:vAlign w:val="bottom"/>
          </w:tcPr>
          <w:p>
            <w:pPr>
              <w:spacing w:after="0"/>
              <w:rPr>
                <w:sz w:val="18"/>
                <w:szCs w:val="18"/>
                <w:color w:val="auto"/>
              </w:rPr>
            </w:pPr>
          </w:p>
        </w:tc>
      </w:tr>
      <w:tr>
        <w:trPr>
          <w:trHeight w:val="216"/>
        </w:trPr>
        <w:tc>
          <w:tcPr>
            <w:tcW w:w="62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21,564</w:t>
            </w:r>
          </w:p>
        </w:tc>
        <w:tc>
          <w:tcPr>
            <w:tcW w:w="120" w:type="dxa"/>
            <w:vAlign w:val="bottom"/>
          </w:tcPr>
          <w:p>
            <w:pPr>
              <w:spacing w:after="0"/>
              <w:rPr>
                <w:sz w:val="18"/>
                <w:szCs w:val="18"/>
                <w:color w:val="auto"/>
              </w:rPr>
            </w:pPr>
          </w:p>
        </w:tc>
      </w:tr>
      <w:tr>
        <w:trPr>
          <w:trHeight w:val="210"/>
        </w:trPr>
        <w:tc>
          <w:tcPr>
            <w:tcW w:w="6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1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(19,019)</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(21,564)</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1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20" w:type="dxa"/>
            <w:vAlign w:val="bottom"/>
            <w:shd w:val="clear" w:color="auto" w:fill="CFF0FC"/>
          </w:tcPr>
          <w:p>
            <w:pPr>
              <w:spacing w:after="0"/>
              <w:rPr>
                <w:sz w:val="18"/>
                <w:szCs w:val="18"/>
                <w:color w:val="auto"/>
              </w:rPr>
            </w:pPr>
          </w:p>
        </w:tc>
      </w:tr>
      <w:tr>
        <w:trPr>
          <w:trHeight w:val="216"/>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62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other income</w:t>
            </w:r>
          </w:p>
        </w:tc>
        <w:tc>
          <w:tcPr>
            <w:tcW w:w="18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(19,633)</w:t>
            </w:r>
          </w:p>
        </w:tc>
      </w:tr>
      <w:tr>
        <w:trPr>
          <w:trHeight w:val="216"/>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(2,197)</w:t>
            </w:r>
          </w:p>
        </w:tc>
      </w:tr>
      <w:tr>
        <w:trPr>
          <w:trHeight w:val="20"/>
        </w:trPr>
        <w:tc>
          <w:tcPr>
            <w:tcW w:w="6260" w:type="dxa"/>
            <w:vAlign w:val="bottom"/>
            <w:shd w:val="clear" w:color="auto" w:fill="CFF0FC"/>
          </w:tcPr>
          <w:p>
            <w:pPr>
              <w:spacing w:after="0" w:line="20" w:lineRule="exact"/>
              <w:rPr>
                <w:sz w:val="1"/>
                <w:szCs w:val="1"/>
                <w:color w:val="auto"/>
              </w:rPr>
            </w:pPr>
          </w:p>
        </w:tc>
        <w:tc>
          <w:tcPr>
            <w:tcW w:w="18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(17,436)</w:t>
            </w:r>
          </w:p>
        </w:tc>
      </w:tr>
      <w:tr>
        <w:trPr>
          <w:trHeight w:val="216"/>
        </w:trPr>
        <w:tc>
          <w:tcPr>
            <w:tcW w:w="6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loss on available for sale investments, net of tax</w:t>
            </w:r>
          </w:p>
        </w:tc>
        <w:tc>
          <w:tcPr>
            <w:tcW w:w="1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1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r>
      <w:tr>
        <w:trPr>
          <w:trHeight w:val="209"/>
        </w:trPr>
        <w:tc>
          <w:tcPr>
            <w:tcW w:w="6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6260" w:type="dxa"/>
            <w:vAlign w:val="bottom"/>
            <w:shd w:val="clear" w:color="auto" w:fill="CFF0FC"/>
          </w:tcPr>
          <w:p>
            <w:pPr>
              <w:spacing w:after="0" w:line="20" w:lineRule="exact"/>
              <w:rPr>
                <w:sz w:val="1"/>
                <w:szCs w:val="1"/>
                <w:color w:val="auto"/>
              </w:rPr>
            </w:pPr>
          </w:p>
        </w:tc>
        <w:tc>
          <w:tcPr>
            <w:tcW w:w="18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(18,137)</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(17,491)</w:t>
            </w:r>
          </w:p>
        </w:tc>
      </w:tr>
      <w:tr>
        <w:trPr>
          <w:trHeight w:val="20"/>
        </w:trPr>
        <w:tc>
          <w:tcPr>
            <w:tcW w:w="6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26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(0.34)</w:t>
            </w:r>
          </w:p>
        </w:tc>
      </w:tr>
      <w:tr>
        <w:trPr>
          <w:trHeight w:val="20"/>
        </w:trPr>
        <w:tc>
          <w:tcPr>
            <w:tcW w:w="6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6260" w:type="dxa"/>
            <w:vAlign w:val="bottom"/>
            <w:tcBorders>
              <w:bottom w:val="single" w:sz="8" w:color="CFF0FC"/>
            </w:tcBorders>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18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53,331,766</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51,952,062</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-2331085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-2331085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-1482090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-1482090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-1199515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-1199515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-633730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-633730</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3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5"/>
        </w:trPr>
        <w:tc>
          <w:tcPr>
            <w:tcW w:w="39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9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39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Borders>
              <w:bottom w:val="single" w:sz="8" w:color="auto"/>
            </w:tcBorders>
            <w:gridSpan w:val="3"/>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29"/>
        </w:trPr>
        <w:tc>
          <w:tcPr>
            <w:tcW w:w="39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bottom w:val="single" w:sz="8" w:color="auto"/>
            </w:tcBorders>
          </w:tcPr>
          <w:p>
            <w:pPr>
              <w:jc w:val="right"/>
              <w:ind w:right="303"/>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right"/>
              <w:ind w:right="30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4"/>
              </w:rPr>
              <w:t>Income (Loss)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02"/>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1"/>
                <w:szCs w:val="11"/>
                <w:color w:val="auto"/>
              </w:rPr>
            </w:pPr>
          </w:p>
        </w:tc>
        <w:tc>
          <w:tcPr>
            <w:tcW w:w="100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96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51,935,134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544,653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(368,712)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176,080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(17,436)</w:t>
            </w: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(17,436)</w:t>
            </w:r>
          </w:p>
        </w:tc>
        <w:tc>
          <w:tcPr>
            <w:tcW w:w="0" w:type="dxa"/>
            <w:vAlign w:val="bottom"/>
          </w:tcPr>
          <w:p>
            <w:pPr>
              <w:spacing w:after="0"/>
              <w:rPr>
                <w:sz w:val="1"/>
                <w:szCs w:val="1"/>
                <w:color w:val="auto"/>
              </w:rPr>
            </w:pPr>
          </w:p>
        </w:tc>
      </w:tr>
      <w:tr>
        <w:trPr>
          <w:trHeight w:val="203"/>
        </w:trPr>
        <w:tc>
          <w:tcPr>
            <w:tcW w:w="396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loss on available for sale investments</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3"/>
        </w:trPr>
        <w:tc>
          <w:tcPr>
            <w:tcW w:w="3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Foreign currency translation gain</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96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51,954,135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546,171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(386,148)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160,107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Borders>
              <w:top w:val="single" w:sz="8" w:color="CFF0FC"/>
            </w:tcBorders>
            <w:vMerge w:val="restart"/>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9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9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jc w:val="center"/>
              <w:ind w:right="4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39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Borders>
              <w:bottom w:val="single" w:sz="8" w:color="auto"/>
            </w:tcBorders>
            <w:gridSpan w:val="3"/>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2"/>
                <w:szCs w:val="12"/>
                <w:color w:val="auto"/>
              </w:rPr>
            </w:pPr>
          </w:p>
        </w:tc>
        <w:tc>
          <w:tcPr>
            <w:tcW w:w="1120" w:type="dxa"/>
            <w:vAlign w:val="bottom"/>
            <w:gridSpan w:val="3"/>
          </w:tcPr>
          <w:p>
            <w:pPr>
              <w:jc w:val="right"/>
              <w:ind w:right="3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28"/>
        </w:trPr>
        <w:tc>
          <w:tcPr>
            <w:tcW w:w="39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bottom w:val="single" w:sz="8" w:color="auto"/>
            </w:tcBorders>
          </w:tcPr>
          <w:p>
            <w:pPr>
              <w:jc w:val="right"/>
              <w:ind w:right="303"/>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85"/>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center"/>
              <w:ind w:right="45"/>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Income (Loss)</w:t>
            </w:r>
          </w:p>
        </w:tc>
        <w:tc>
          <w:tcPr>
            <w:tcW w:w="22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62"/>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1"/>
                <w:szCs w:val="11"/>
                <w:color w:val="auto"/>
              </w:rPr>
            </w:pPr>
          </w:p>
        </w:tc>
        <w:tc>
          <w:tcPr>
            <w:tcW w:w="100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96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53,331,766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551,082</w:t>
            </w:r>
          </w:p>
        </w:tc>
        <w:tc>
          <w:tcPr>
            <w:tcW w:w="10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(446,454)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104,712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(18,038)</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(18,038)</w:t>
            </w:r>
          </w:p>
        </w:tc>
        <w:tc>
          <w:tcPr>
            <w:tcW w:w="0" w:type="dxa"/>
            <w:vAlign w:val="bottom"/>
          </w:tcPr>
          <w:p>
            <w:pPr>
              <w:spacing w:after="0"/>
              <w:rPr>
                <w:sz w:val="1"/>
                <w:szCs w:val="1"/>
                <w:color w:val="auto"/>
              </w:rPr>
            </w:pPr>
          </w:p>
        </w:tc>
      </w:tr>
      <w:tr>
        <w:trPr>
          <w:trHeight w:val="203"/>
        </w:trPr>
        <w:tc>
          <w:tcPr>
            <w:tcW w:w="3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Unrealized loss on available for sale investments</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3"/>
        </w:trPr>
        <w:tc>
          <w:tcPr>
            <w:tcW w:w="3960" w:type="dxa"/>
            <w:vAlign w:val="bottom"/>
            <w:tcBorders>
              <w:bottom w:val="single" w:sz="8" w:color="CFF0FC"/>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translation gain</w:t>
            </w:r>
          </w:p>
        </w:tc>
        <w:tc>
          <w:tcPr>
            <w:tcW w:w="1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Balance at March 31, 2026</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53,331,766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552,474</w:t>
            </w:r>
          </w:p>
        </w:tc>
        <w:tc>
          <w:tcPr>
            <w:tcW w:w="10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(464,492)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-1336675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-1319530</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-1336675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-1319530</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-1336675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-1319530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-1336675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-1319530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-1336675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-1319530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-162560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-162560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-162560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-162560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-162560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jc w:val="right"/>
              <w:ind w:right="80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(18,038)</w:t>
            </w: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(17,436)</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discounts on marketable securities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(840)</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 cash lease income</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termination of lease, net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sales and disposals of fixed assets, net</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(2,986)</w:t>
            </w:r>
          </w:p>
        </w:tc>
      </w:tr>
      <w:tr>
        <w:trPr>
          <w:trHeight w:val="216"/>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(1,637)</w:t>
            </w:r>
          </w:p>
        </w:tc>
      </w:tr>
      <w:tr>
        <w:trPr>
          <w:trHeight w:val="20"/>
        </w:trPr>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(19,679)</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(18,266)</w:t>
            </w:r>
          </w:p>
        </w:tc>
      </w:tr>
      <w:tr>
        <w:trPr>
          <w:trHeight w:val="210"/>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(10,676)</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(15,727)</w:t>
            </w: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28,714</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r>
      <w:tr>
        <w:trPr>
          <w:trHeight w:val="210"/>
        </w:trPr>
        <w:tc>
          <w:tcPr>
            <w:tcW w:w="772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Impact of exchange rates on cash, cash equivalents, and restricted cash</w:t>
            </w:r>
          </w:p>
        </w:tc>
        <w:tc>
          <w:tcPr>
            <w:tcW w:w="2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37,983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960" w:type="dxa"/>
            <w:vAlign w:val="bottom"/>
            <w:gridSpan w:val="2"/>
          </w:tcPr>
          <w:p>
            <w:pPr>
              <w:jc w:val="right"/>
              <w:ind w:right="80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39,130</w:t>
            </w:r>
          </w:p>
        </w:tc>
        <w:tc>
          <w:tcPr>
            <w:tcW w:w="180" w:type="dxa"/>
            <w:vAlign w:val="bottom"/>
          </w:tcPr>
          <w:p>
            <w:pPr>
              <w:spacing w:after="0"/>
              <w:rPr>
                <w:sz w:val="18"/>
                <w:szCs w:val="18"/>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51,341</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-1859915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-1859915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-1302385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-728345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right="7960" w:hanging="512"/>
        <w:spacing w:after="0" w:line="400" w:lineRule="auto"/>
        <w:tabs>
          <w:tab w:leader="none" w:pos="191" w:val="left"/>
        </w:tabs>
        <w:numPr>
          <w:ilvl w:val="0"/>
          <w:numId w:val="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Formation and Business of the Company Organization and Liquidity</w:t>
      </w:r>
    </w:p>
    <w:p>
      <w:pPr>
        <w:ind w:firstLine="509"/>
        <w:spacing w:after="0" w:line="261" w:lineRule="auto"/>
        <w:rPr>
          <w:sz w:val="20"/>
          <w:szCs w:val="20"/>
          <w:color w:val="auto"/>
        </w:rPr>
      </w:pPr>
      <w:r>
        <w:rPr>
          <w:rFonts w:ascii="Times New Roman" w:cs="Times New Roman" w:eastAsia="Times New Roman" w:hAnsi="Times New Roman"/>
          <w:sz w:val="18"/>
          <w:szCs w:val="18"/>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The Company’s headquarters are located at 400 Alexander Park Drive, Suite 301, Princeton, New Jersey.</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clinical 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81" w:lineRule="exact"/>
        <w:rPr>
          <w:sz w:val="20"/>
          <w:szCs w:val="20"/>
          <w:color w:val="auto"/>
        </w:rPr>
      </w:pPr>
    </w:p>
    <w:p>
      <w:pPr>
        <w:jc w:val="both"/>
        <w:ind w:right="80" w:firstLine="509"/>
        <w:spacing w:after="0" w:line="257" w:lineRule="auto"/>
        <w:rPr>
          <w:sz w:val="20"/>
          <w:szCs w:val="20"/>
          <w:color w:val="auto"/>
        </w:rPr>
      </w:pPr>
      <w:r>
        <w:rPr>
          <w:rFonts w:ascii="Times New Roman" w:cs="Times New Roman" w:eastAsia="Times New Roman" w:hAnsi="Times New Roman"/>
          <w:sz w:val="18"/>
          <w:szCs w:val="18"/>
          <w:color w:val="auto"/>
        </w:rPr>
        <w:t>The Company has incurred net losses and negative cash flows from operations since its inception. During the three months ended March 31, 2026, the Company incurred a net loss of $18,038. For the three months ended March 31, 2026, the Company used $19,679 of cash for operations. At March 31, 2026, the Company had an accumulated deficit of $464,492. Cash, cash equivalents, and marketable securities were $93,549 as of March 31, 2026.</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Management expects to incur substantial additional operating losses for the next several years and may need to obtain additional debt or equity financings in order to complete development of its products, obtain regulatory approvals, launch and commercialize its products and continue research and development programs. The Company believes it has adequate cash, cash equivalents, and marketable securities to operate for the next 12 months from the date of issuance of these condensed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Summary of Significant Accounting Policies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condensed consolidated financial statements for the year ended December 31, 2025, included in the Company’s Annual Report on Form 10-K filed with the United States Securities and Exchange Commission (the “SEC”) on March 6, 2026. Since the date of those condensed consolidated financial statements, there have been no changes to its significant accounting policies.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with the interim period reporting requirements of Form 10-Q and Article 10 of Regulation S-X. The condensed consolidated balance sheet as of March 31, 2026, the condensed consolidated statements of operations and comprehensive loss, condensed consolidated statements of stockholders’ equity, and condensed consolidated statements of cash flows for the three months ended March 31, 2026 and 2025, are unaudited, but, in the opinion of management, include all adjustments, consisting only of normal recurring adjustments, which we consider necessary for a fair presentation of the financial position, operating results and cash flows for the periods presented. The results for any interim period are not necessarily indicative of results for the year ending December 31, 2026, or for any other subsequent interim period. The condensed consolidated balance sheet as of December 31, 2025, has been derived from the Company’s audited condensed consolidated financial statements.</w:t>
      </w:r>
    </w:p>
    <w:p>
      <w:pPr>
        <w:spacing w:after="0" w:line="8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Company's accounts and the accounts of its wholly owned subsidiary, PMV Pharma Australia Pvt Ltd. All significant intercompany transactions and balances have been eliminated upon consolidation. These condensed consolidated financial statements are presented in United States (“U.S.”) Dollars, which is also the functional currency of the Company.</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condensed consolidated financial statements include, but are not limited to, research and development costs, accrued research and development costs and related prepaid expenses, and stock-based compensation. Actual results could differ materially from those estimates.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75" w:lineRule="exact"/>
        <w:rPr>
          <w:sz w:val="20"/>
          <w:szCs w:val="20"/>
          <w:color w:val="auto"/>
        </w:rPr>
      </w:pPr>
    </w:p>
    <w:p>
      <w:pPr>
        <w:ind w:left="1020" w:right="2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that reflect unadjusted quoted prices in active markets for identical assets or liabilities that the Company has the ability to access at the measurement date.</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that are observable for the asset or liability either directly or indirectly, including inputs in markets that are not considered to be active.</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in which there is little or no market data available, which require the reporting entity to develop its own assumptions that are unobservable.</w:t>
      </w:r>
    </w:p>
    <w:p>
      <w:pPr>
        <w:spacing w:after="0" w:line="54"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Management considers all highly liquid investments with original maturities of three months or less to be cash equivalents.</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equity. Premiums and discounts on marketable debt securities are amortized into earnings over the life of the security and recorded on the interest income, net line of the income statement. For the three months ended March 31, 2026 and 2025, the Company recorded $385 and $840 of accretion, respectively.</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80" w:lineRule="exact"/>
        <w:rPr>
          <w:sz w:val="20"/>
          <w:szCs w:val="20"/>
          <w:color w:val="auto"/>
        </w:rPr>
      </w:pPr>
    </w:p>
    <w:p>
      <w:pPr>
        <w:ind w:right="20" w:firstLine="509"/>
        <w:spacing w:after="0" w:line="231" w:lineRule="exact"/>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Property and equipment are depreciated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estimated useful lives of the assets, generally five years, except for leasehold improvements, which are amortized over the shorter of the useful life of the asset or the remaining term of the lease. Upon retirement or sale of assets, the cost and related accumulated depreciation are removed from the balance sheet and the resulting gain or loss is reflected in operations. Repairs and maintenance costs are charged to operations as incurred.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and Accumulated Other Comprehensive Income (Loss)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Other comprehensive income (loss) is defined as the change in equity during a period from transactions and other events and circumstances from non-owner sources, including unrealized gains and losses on investments and foreign currency translation gains and losses.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Leases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circumstances present.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certain to exercise. The Company’s policy is to not record leases with a lease term of 12 months or less on its balance sheets. The Company's only existing lease recorded on the balance sheet is for office space.</w:t>
      </w:r>
    </w:p>
    <w:p>
      <w:pPr>
        <w:spacing w:after="0" w:line="187" w:lineRule="exact"/>
        <w:rPr>
          <w:sz w:val="20"/>
          <w:szCs w:val="20"/>
          <w:color w:val="auto"/>
        </w:rPr>
      </w:pPr>
    </w:p>
    <w:p>
      <w:pPr>
        <w:ind w:right="100" w:firstLine="644"/>
        <w:spacing w:after="0" w:line="266" w:lineRule="auto"/>
        <w:rPr>
          <w:sz w:val="20"/>
          <w:szCs w:val="20"/>
          <w:color w:val="auto"/>
        </w:rPr>
      </w:pPr>
      <w:r>
        <w:rPr>
          <w:rFonts w:ascii="Times New Roman" w:cs="Times New Roman" w:eastAsia="Times New Roman" w:hAnsi="Times New Roman"/>
          <w:sz w:val="18"/>
          <w:szCs w:val="18"/>
          <w:color w:val="auto"/>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w:t>
      </w:r>
    </w:p>
    <w:p>
      <w:pPr>
        <w:spacing w:after="0" w:line="176" w:lineRule="exact"/>
        <w:rPr>
          <w:sz w:val="20"/>
          <w:szCs w:val="20"/>
          <w:color w:val="auto"/>
        </w:rPr>
      </w:pPr>
    </w:p>
    <w:p>
      <w:pPr>
        <w:ind w:right="140" w:firstLine="644"/>
        <w:spacing w:after="0" w:line="282"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reasonably assured lease term based on the total lease payments and is included in operating expense in the statements of operations.</w:t>
      </w:r>
    </w:p>
    <w:p>
      <w:pPr>
        <w:spacing w:after="0" w:line="162" w:lineRule="exact"/>
        <w:rPr>
          <w:sz w:val="20"/>
          <w:szCs w:val="20"/>
          <w:color w:val="auto"/>
        </w:rPr>
      </w:pPr>
    </w:p>
    <w:p>
      <w:pPr>
        <w:jc w:val="both"/>
        <w:ind w:right="200" w:firstLine="644"/>
        <w:spacing w:after="0" w:line="289" w:lineRule="auto"/>
        <w:rPr>
          <w:sz w:val="20"/>
          <w:szCs w:val="20"/>
          <w:color w:val="auto"/>
        </w:rPr>
      </w:pPr>
      <w:r>
        <w:rPr>
          <w:rFonts w:ascii="Times New Roman" w:cs="Times New Roman" w:eastAsia="Times New Roman" w:hAnsi="Times New Roman"/>
          <w:sz w:val="17"/>
          <w:szCs w:val="17"/>
          <w:color w:val="auto"/>
        </w:rPr>
        <w:t>Payments due under each lease agreement include fixed and variable payments. Variable payments relate to the Company’s share of the lessor’s operating costs associated with the underlying asset and are recognized when the event on which those payments are assessed occurs. Variable payments have been excluded from the lease liability and associated right-of-use asset. Neither of the Company’s leases contain residual value guarantees.</w:t>
      </w:r>
    </w:p>
    <w:p>
      <w:pPr>
        <w:spacing w:after="0" w:line="158" w:lineRule="exact"/>
        <w:rPr>
          <w:sz w:val="20"/>
          <w:szCs w:val="20"/>
          <w:color w:val="auto"/>
        </w:rPr>
      </w:pPr>
    </w:p>
    <w:p>
      <w:pPr>
        <w:ind w:right="100" w:firstLine="644"/>
        <w:spacing w:after="0" w:line="266"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cash equivalents, and marketable securities. Cash and cash equivalents were held at primarily two financial institutions. At times, such deposits may be in excess of insured limits. The Company has not experienced any losses on its deposits of cash and cash equivalents. The Company’s marketable securities are carried at fair value and include any unrealized gains and losses. Any investments with unrealized losses are considered to be temporarily impaired.</w:t>
      </w:r>
    </w:p>
    <w:p>
      <w:pPr>
        <w:spacing w:after="0" w:line="7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amended guidance enhances income tax disclosures primarily related to the effective tax rate reconciliation and income taxes paid information. This guidance requires disclosure of specific categories in the effective tax rate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reconciliation and additional information on reconciling items meeting a quantitative threshold. In addition, the amended guidance requires disaggregating income taxes paid (net of refunds received) by federal, state, and foreign taxes. It also requires disaggregating individual jurisdictions in which income taxes paid (net of refunds received) are equal to or greater than 5 percent of total income taxes paid (net of refunds received). The amended guidance is effective for annual periods beginning after December 15, 2024. The Company adopted this guidance prospectively for the annual period ending December 31, 2025. For additional information, see “Note 9 — Income Taxes.”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This amended guidance requires disaggregation of specific expense categories in the notes to the financial statements and a qualitative description of the remaining expense amounts not separately disaggregated. This standard becomes effective for reporting companies with annual reporting periods beginning after December 15, 2026, and requires prospective application with an option to apply it retrospectively. The Company anticipates adopting this standard in its Annual Report on Form 10-K for the year ending December 31, 2027. The Company is currently evaluating the impact that the adoption of this standard will have on its condensed consolidated financial statements.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2025-07 (“ASU 2025-07”), Derivatives and Hedging (Topic 815) and Revenue from Contracts with Customers (Topic 606). The guidance refines the scope of Topic 815 to clarify which contracts are subject to derivative accounting. The guidance also provides clarification under Topic 606 for share-based payments from a customer in a revenue contract. The amendments in ASU 2025-07 are effective for fiscal years beginning after December 15, 2026, and interim reporting periods, with early adoption permitted. The Company is currently evaluating the impact that the adoption of this standard will have on its condensed consolidated financial statement</w:t>
      </w:r>
      <w:r>
        <w:rPr>
          <w:rFonts w:ascii="Times New Roman" w:cs="Times New Roman" w:eastAsia="Times New Roman" w:hAnsi="Times New Roman"/>
          <w:sz w:val="18"/>
          <w:szCs w:val="18"/>
          <w:b w:val="1"/>
          <w:bCs w:val="1"/>
          <w:i w:val="1"/>
          <w:iCs w:val="1"/>
          <w:color w:val="auto"/>
        </w:rPr>
        <w: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Fair Value Measurements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of money market funds, U.S. government debt securities and corporate debt securities. Cash and cash equivalents includes money market funds and certain corporate securities, which are measured at fair value on a recurring basis using quoted prices and are classified as Level 1. Marketable securities are measured at fair value based on inputs other than quoted prices that are derived from observable market data and are classified as Level 2 inputs, except for investments in U.S. treasury securities which are classified as Level 1. There were no Level 3 assets or liabilities at March 31, 2026.</w:t>
      </w:r>
    </w:p>
    <w:p>
      <w:pPr>
        <w:spacing w:after="0" w:line="7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cash equivalents and available-for-sale securities’ carrying amounts and fair values as of March 31, 2026, and 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160" w:type="dxa"/>
            <w:vAlign w:val="bottom"/>
          </w:tcPr>
          <w:p>
            <w:pPr>
              <w:spacing w:after="0"/>
              <w:rPr>
                <w:sz w:val="10"/>
                <w:szCs w:val="10"/>
                <w:color w:val="auto"/>
              </w:rPr>
            </w:pPr>
          </w:p>
        </w:tc>
        <w:tc>
          <w:tcPr>
            <w:tcW w:w="122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20" w:type="dxa"/>
            <w:vAlign w:val="bottom"/>
          </w:tcPr>
          <w:p>
            <w:pPr>
              <w:spacing w:after="0"/>
              <w:rPr>
                <w:sz w:val="10"/>
                <w:szCs w:val="10"/>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price in</w:t>
            </w: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6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6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Pr>
          <w:p>
            <w:pPr>
              <w:spacing w:after="0"/>
              <w:rPr>
                <w:sz w:val="15"/>
                <w:szCs w:val="15"/>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2240" w:type="dxa"/>
            <w:vAlign w:val="bottom"/>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Financial assets</w:t>
            </w:r>
          </w:p>
        </w:tc>
        <w:tc>
          <w:tcPr>
            <w:tcW w:w="5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36,053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36,053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36,053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26,991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26,949</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26,949</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30,456</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30,456</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financial assets</w:t>
            </w: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93,482</w:t>
            </w:r>
          </w:p>
        </w:tc>
        <w:tc>
          <w:tcPr>
            <w:tcW w:w="12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93,458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66,509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26,949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02"/>
        </w:trPr>
        <w:tc>
          <w:tcPr>
            <w:tcW w:w="1140" w:type="dxa"/>
            <w:vAlign w:val="bottom"/>
            <w:tcBorders>
              <w:top w:val="single" w:sz="8" w:color="CFF0FC"/>
            </w:tcBorders>
          </w:tcPr>
          <w:p>
            <w:pPr>
              <w:spacing w:after="0"/>
              <w:rPr>
                <w:sz w:val="24"/>
                <w:szCs w:val="24"/>
                <w:color w:val="auto"/>
              </w:rPr>
            </w:pPr>
          </w:p>
        </w:tc>
        <w:tc>
          <w:tcPr>
            <w:tcW w:w="1100" w:type="dxa"/>
            <w:vAlign w:val="bottom"/>
            <w:tcBorders>
              <w:top w:val="single" w:sz="8" w:color="CFF0FC"/>
            </w:tcBorders>
          </w:tcPr>
          <w:p>
            <w:pPr>
              <w:spacing w:after="0"/>
              <w:rPr>
                <w:sz w:val="24"/>
                <w:szCs w:val="24"/>
                <w:color w:val="auto"/>
              </w:rPr>
            </w:pPr>
          </w:p>
        </w:tc>
        <w:tc>
          <w:tcPr>
            <w:tcW w:w="5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457"/>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-916305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-899160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-916305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-899160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-916305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-899160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-916305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-899160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-916305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-899160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-916305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-899160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61"/>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00" w:type="dxa"/>
            <w:vAlign w:val="bottom"/>
          </w:tcPr>
          <w:p>
            <w:pPr>
              <w:spacing w:after="0"/>
              <w:rPr>
                <w:sz w:val="10"/>
                <w:szCs w:val="10"/>
                <w:color w:val="auto"/>
              </w:rPr>
            </w:pPr>
          </w:p>
        </w:tc>
        <w:tc>
          <w:tcPr>
            <w:tcW w:w="8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Price in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c>
          <w:tcPr>
            <w:tcW w:w="7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le</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5"/>
                <w:szCs w:val="15"/>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7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2640" w:type="dxa"/>
            <w:vAlign w:val="bottom"/>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Financial assets</w:t>
            </w:r>
          </w:p>
        </w:tc>
        <w:tc>
          <w:tcPr>
            <w:tcW w:w="10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29,909</w:t>
            </w:r>
          </w:p>
        </w:tc>
        <w:tc>
          <w:tcPr>
            <w:tcW w:w="3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88"/>
              </w:rPr>
              <w:t>12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30,644</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30,644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1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52,229</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88"/>
              </w:rPr>
              <w:t>68</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52,297</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financial assets</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112,774</w:t>
            </w:r>
          </w:p>
        </w:tc>
        <w:tc>
          <w:tcPr>
            <w:tcW w:w="3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88"/>
              </w:rPr>
              <w:t>80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112,850</w:t>
            </w:r>
          </w:p>
        </w:tc>
        <w:tc>
          <w:tcPr>
            <w:tcW w:w="22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82,206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30,644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4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-25400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-25400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-25400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-25400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right="44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As of March 31, 2026, the Company had aggregate cash and cash equivalents of $39,130, including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 of $39,039, consisting of $36,053 of money market funds and $2,986 of corporate securities. As of December 31, 2025, the Company had aggregate cash and cash equivalents of $37,983, including cash equivalents of $37,890 consisting of $29,909 of money market funds and $7,981 of corporate securities.</w:t>
      </w:r>
    </w:p>
    <w:p>
      <w:pPr>
        <w:spacing w:after="0" w:line="68"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Marketable Securities </w:t>
      </w:r>
      <w:r>
        <w:rPr>
          <w:rFonts w:ascii="Times New Roman" w:cs="Times New Roman" w:eastAsia="Times New Roman" w:hAnsi="Times New Roman"/>
          <w:sz w:val="18"/>
          <w:szCs w:val="18"/>
          <w:color w:val="auto"/>
        </w:rPr>
        <w:t>— Marketable securities of $54,419 as of March 31, 2026, consisted of corporate debt securities of $23,963 and government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securities of $30,456. There were $54,419 current marketable securities and no noncurrent marketable securities as of March 31, 2026. Marketable securities of $74,960 as of December 31, 2025, consisted of corporate</w:t>
      </w:r>
    </w:p>
    <w:p>
      <w:pPr>
        <w:ind w:right="3320"/>
        <w:spacing w:after="0" w:line="260" w:lineRule="auto"/>
        <w:rPr>
          <w:sz w:val="20"/>
          <w:szCs w:val="20"/>
          <w:color w:val="auto"/>
        </w:rPr>
      </w:pPr>
      <w:r>
        <w:rPr>
          <w:rFonts w:ascii="Times New Roman" w:cs="Times New Roman" w:eastAsia="Times New Roman" w:hAnsi="Times New Roman"/>
          <w:sz w:val="18"/>
          <w:szCs w:val="18"/>
          <w:color w:val="auto"/>
        </w:rPr>
        <w:t>debt securities of $22,663 and government debt securities of $52,298. There were $74,960 current marketable securities and no noncurrent marketable securities as of December 31, 2025.</w:t>
      </w:r>
    </w:p>
    <w:p>
      <w:pPr>
        <w:spacing w:after="0" w:line="73"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aggregated gross unrealized losses of available-for-sale investments were not material, and accordingly, no allowance for credit losses was recorded.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Property and Equipment, Net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&amp; equipment</w:t>
            </w:r>
          </w:p>
        </w:tc>
        <w:tc>
          <w:tcPr>
            <w:tcW w:w="3580" w:type="dxa"/>
            <w:vAlign w:val="bottom"/>
            <w:gridSpan w:val="2"/>
            <w:shd w:val="clear" w:color="auto" w:fill="CFF0FC"/>
          </w:tcPr>
          <w:p>
            <w:pPr>
              <w:jc w:val="right"/>
              <w:ind w:right="15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Computers</w:t>
            </w:r>
          </w:p>
        </w:tc>
        <w:tc>
          <w:tcPr>
            <w:tcW w:w="1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&amp; fixtures</w:t>
            </w:r>
          </w:p>
        </w:tc>
        <w:tc>
          <w:tcPr>
            <w:tcW w:w="19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92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r>
      <w:tr>
        <w:trPr>
          <w:trHeight w:val="21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9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(1,360)</w:t>
            </w:r>
          </w:p>
        </w:tc>
        <w:tc>
          <w:tcPr>
            <w:tcW w:w="420" w:type="dxa"/>
            <w:vAlign w:val="bottom"/>
          </w:tcPr>
          <w:p>
            <w:pPr>
              <w:spacing w:after="0"/>
              <w:rPr>
                <w:sz w:val="18"/>
                <w:szCs w:val="18"/>
                <w:color w:val="auto"/>
              </w:rPr>
            </w:pP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(1,327)</w:t>
            </w:r>
          </w:p>
        </w:tc>
      </w:tr>
      <w:tr>
        <w:trPr>
          <w:trHeight w:val="20"/>
        </w:trPr>
        <w:tc>
          <w:tcPr>
            <w:tcW w:w="4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580" w:type="dxa"/>
            <w:vAlign w:val="bottom"/>
            <w:gridSpan w:val="2"/>
            <w:shd w:val="clear" w:color="auto" w:fill="CFF0FC"/>
          </w:tcPr>
          <w:p>
            <w:pPr>
              <w:jc w:val="right"/>
              <w:ind w:right="15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FF0FC"/>
          </w:tcPr>
          <w:p>
            <w:pPr>
              <w:spacing w:after="0"/>
              <w:rPr>
                <w:sz w:val="19"/>
                <w:szCs w:val="19"/>
                <w:color w:val="auto"/>
              </w:rPr>
            </w:pP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2026 and 2025, was $34 and $37,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5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5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3860" w:type="dxa"/>
            <w:vAlign w:val="bottom"/>
            <w:gridSpan w:val="2"/>
            <w:shd w:val="clear" w:color="auto" w:fill="CFF0FC"/>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2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230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860" w:type="dxa"/>
            <w:vAlign w:val="bottom"/>
            <w:gridSpan w:val="2"/>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300" w:type="dxa"/>
            <w:vAlign w:val="bottom"/>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2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-1062355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2" w:lineRule="exact"/>
        <w:rPr>
          <w:sz w:val="20"/>
          <w:szCs w:val="20"/>
          <w:color w:val="auto"/>
        </w:rPr>
      </w:pPr>
    </w:p>
    <w:p>
      <w:pPr>
        <w:ind w:left="520" w:right="8600" w:hanging="512"/>
        <w:spacing w:after="0" w:line="400" w:lineRule="auto"/>
        <w:tabs>
          <w:tab w:leader="none" w:pos="191" w:val="left"/>
        </w:tabs>
        <w:numPr>
          <w:ilvl w:val="0"/>
          <w:numId w:val="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Commitments and Contingencies Operating Leases</w:t>
      </w: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January 2021, the Company signed a lease for 50,581 square feet of office and laboratory space (the “One Research Way Lease”) at One Research Way in Princeton, New Jersey (the “Premises”). The lease term initially extended through 2032, had a five-year extension option, and replaced the Company’s two prior facilities as the Company’s headquarters in March 2023. The Company estimated that payments under the One Research Way Lease would be $19,889 through May 2032. The Company received a lease incentive of $4,046 from the lessor for a buildout of laboratory, vivarium, and office space. Management estimated the timing and amounts of reimbursements and included them as a reduction of lease payments when initially measuring the lease liability and right-of-use asset upon commencement. Since the inception date of the lease, $4,046 reimbursements were received from the lessor.</w:t>
      </w:r>
    </w:p>
    <w:p>
      <w:pPr>
        <w:spacing w:after="0" w:line="8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August 2024, the Company entered into a Lease Termination Agreement with BMR-One Research Way LLC (the “Landlord”), in connection with the termination of the One Research Way Lease (the “Termination Agreement”). The Termination Agreement was contingent on the sale of the Premises by the Landlord to a prospective new buyer, which was met on October 1, 2024, and, as a result, there was no modification in August 2024.</w:t>
      </w:r>
    </w:p>
    <w:p>
      <w:pPr>
        <w:spacing w:after="0" w:line="6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Pursuant to the Termination Agreement, the Company surrendered the Premises in October 2024 and paid a total termination fee of approximately $1,420, consisting of (i) a cash payment in the amount of approximately $798 and (ii) a release of a security deposit from the Company’s existing letter of credit in the amount of approximately $622. The transaction was accounted for as an immediate termination of an operating lease before the expiration of the lease term in accordance with ASC 842. The Company derecognized the lease-related asset and liability resulting in a gain of $4,850. Since the termination fee of $1,420 was not already included in the lease payments, the termination fee was recognized as a loss on termination of the lease. Further, the Company abandoned and wrote-off all the related leasehold improvements totaling $9,454 held at the Premises. This net activity totaling $6,024 was recorded as a loss within General and Administrative expense in the Statement of Operations for the year ended December 31, 2024.</w:t>
      </w:r>
    </w:p>
    <w:p>
      <w:pPr>
        <w:spacing w:after="0" w:line="8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August 2024, the Company signed a sublease for 14,201 square feet of office space at 400 Alexander Park Drive, Suite 301, in Princeton, New Jersey, to be used as its new headquarters (the “400 Alexander Sublease”). The 400 Alexander Sublease commenced on October 1, 2024 and extends until February 28, 2027. Payment under the 400 Alexander Sublease will total $789 through February 2027.</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September 2024, the Company signed a sublease agreement for 3,205 square feet of office and laboratory space at 311 Pennington Rocky Hill Road in Hopewell, New Jersey (the “311 Pennington Sublease”). The Company utilizes the premises as laboratory space for research and development activities. The term of the 311 Pennington Sublease extended through 2029 and provided the Company with the option to extend the term for an additional three year period. Payment under the 311 Pennington Sublease totaled $192 through February 2026.</w:t>
      </w:r>
    </w:p>
    <w:p>
      <w:pPr>
        <w:spacing w:after="0" w:line="72" w:lineRule="exact"/>
        <w:rPr>
          <w:sz w:val="20"/>
          <w:szCs w:val="20"/>
          <w:color w:val="auto"/>
        </w:rPr>
      </w:pPr>
    </w:p>
    <w:p>
      <w:pPr>
        <w:ind w:right="60" w:firstLine="509"/>
        <w:spacing w:after="0" w:line="220" w:lineRule="exact"/>
        <w:rPr>
          <w:sz w:val="20"/>
          <w:szCs w:val="20"/>
          <w:color w:val="auto"/>
        </w:rPr>
      </w:pPr>
      <w:r>
        <w:rPr>
          <w:rFonts w:ascii="Times New Roman" w:cs="Times New Roman" w:eastAsia="Times New Roman" w:hAnsi="Times New Roman"/>
          <w:sz w:val="18"/>
          <w:szCs w:val="18"/>
          <w:color w:val="auto"/>
        </w:rPr>
        <w:t>In March 2026, the 311 Pennington Sublease was terminated effective March 4, 2026, upon the termination of the primary lease between the master landlord and the tenant, in accordance with the terms of the sublease agreement. As a result, the Company accounted for the 311 Pennington Sublease termination as an immediate termination of an operating lease before the expiration of the lease term in accordance with ASC 842. Upon termination, the Company derecognized the related operating lease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 and lease liabilities and recorded a net gain of approximately $24, which was recognized in General and Administrative expense in the accompanying Statement of Operations for the three months ended March 31, 2026.</w:t>
      </w:r>
    </w:p>
    <w:p>
      <w:pPr>
        <w:spacing w:after="0" w:line="200" w:lineRule="exact"/>
        <w:rPr>
          <w:sz w:val="20"/>
          <w:szCs w:val="20"/>
          <w:color w:val="auto"/>
        </w:rPr>
      </w:pP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cost for the three months ended March 31, 2026 and 2025,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3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9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020" w:type="dxa"/>
            <w:vAlign w:val="bottom"/>
            <w:gridSpan w:val="2"/>
            <w:shd w:val="clear" w:color="auto" w:fill="CFF0FC"/>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20" w:type="dxa"/>
            <w:vAlign w:val="bottom"/>
            <w:gridSpan w:val="2"/>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64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4020" w:type="dxa"/>
            <w:vAlign w:val="bottom"/>
            <w:gridSpan w:val="2"/>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54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5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-1070610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Amounts reported in the balance sheet for leases where the Company is the lessee as of March 31, 2026, and December 31, 2025,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6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Leases (in thousands, except lease term and discount rate data):</w:t>
            </w:r>
          </w:p>
        </w:tc>
        <w:tc>
          <w:tcPr>
            <w:tcW w:w="760" w:type="dxa"/>
            <w:vAlign w:val="bottom"/>
          </w:tcPr>
          <w:p>
            <w:pPr>
              <w:spacing w:after="0"/>
              <w:rPr>
                <w:sz w:val="15"/>
                <w:szCs w:val="15"/>
                <w:color w:val="auto"/>
              </w:rPr>
            </w:pPr>
          </w:p>
        </w:tc>
        <w:tc>
          <w:tcPr>
            <w:tcW w:w="16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2420" w:type="dxa"/>
            <w:vAlign w:val="bottom"/>
            <w:gridSpan w:val="2"/>
            <w:shd w:val="clear" w:color="auto" w:fill="CFF0FC"/>
          </w:tcPr>
          <w:p>
            <w:pPr>
              <w:jc w:val="right"/>
              <w:ind w:right="15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8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20" w:type="dxa"/>
            <w:vAlign w:val="bottom"/>
            <w:gridSpan w:val="2"/>
            <w:shd w:val="clear" w:color="auto" w:fill="CFF0FC"/>
          </w:tcPr>
          <w:p>
            <w:pPr>
              <w:jc w:val="right"/>
              <w:ind w:right="15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76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tcPr>
          <w:p>
            <w:pPr>
              <w:spacing w:after="0"/>
              <w:rPr>
                <w:sz w:val="18"/>
                <w:szCs w:val="18"/>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20" w:type="dxa"/>
            <w:vAlign w:val="bottom"/>
            <w:gridSpan w:val="2"/>
            <w:shd w:val="clear" w:color="auto" w:fill="CFF0FC"/>
          </w:tcPr>
          <w:p>
            <w:pPr>
              <w:jc w:val="right"/>
              <w:ind w:right="15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80" w:type="dxa"/>
            <w:vAlign w:val="bottom"/>
            <w:shd w:val="clear" w:color="auto" w:fill="CFF0FC"/>
          </w:tcPr>
          <w:p>
            <w:pPr>
              <w:spacing w:after="0"/>
              <w:rPr>
                <w:sz w:val="18"/>
                <w:szCs w:val="18"/>
                <w:color w:val="auto"/>
              </w:rPr>
            </w:pPr>
          </w:p>
        </w:tc>
      </w:tr>
      <w:tr>
        <w:trPr>
          <w:trHeight w:val="210"/>
        </w:trPr>
        <w:tc>
          <w:tcPr>
            <w:tcW w:w="5340" w:type="dxa"/>
            <w:vAlign w:val="bottom"/>
            <w:tcBorders>
              <w:top w:val="single" w:sz="8" w:color="CFF0FC"/>
            </w:tcBorders>
          </w:tcPr>
          <w:p>
            <w:pPr>
              <w:spacing w:after="0"/>
              <w:rPr>
                <w:sz w:val="18"/>
                <w:szCs w:val="18"/>
                <w:color w:val="auto"/>
              </w:rPr>
            </w:pPr>
          </w:p>
        </w:tc>
        <w:tc>
          <w:tcPr>
            <w:tcW w:w="760" w:type="dxa"/>
            <w:vAlign w:val="bottom"/>
            <w:tcBorders>
              <w:top w:val="single" w:sz="8" w:color="CFF0FC"/>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7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shd w:val="clear" w:color="auto" w:fill="CFF0FC"/>
          </w:tcPr>
          <w:p>
            <w:pPr>
              <w:spacing w:after="0"/>
              <w:rPr>
                <w:sz w:val="18"/>
                <w:szCs w:val="18"/>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-431165</wp:posOffset>
            </wp:positionV>
            <wp:extent cx="1111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-431165</wp:posOffset>
            </wp:positionV>
            <wp:extent cx="1117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information related to leases for the three months ended March 31, 2026 and 2025, respectively,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9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r>
      <w:tr>
        <w:trPr>
          <w:trHeight w:val="20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paid for amounts included in the measurement of lease liabilities</w:t>
            </w:r>
          </w:p>
        </w:tc>
        <w:tc>
          <w:tcPr>
            <w:tcW w:w="1660" w:type="dxa"/>
            <w:vAlign w:val="bottom"/>
            <w:gridSpan w:val="2"/>
            <w:shd w:val="clear" w:color="auto" w:fill="CFF0FC"/>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FF0FC"/>
          </w:tcPr>
          <w:p>
            <w:pPr>
              <w:spacing w:after="0"/>
              <w:rPr>
                <w:sz w:val="18"/>
                <w:szCs w:val="18"/>
                <w:color w:val="auto"/>
              </w:rPr>
            </w:pPr>
          </w:p>
        </w:tc>
      </w:tr>
      <w:tr>
        <w:trPr>
          <w:trHeight w:val="198"/>
        </w:trPr>
        <w:tc>
          <w:tcPr>
            <w:tcW w:w="5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Leased assets (derecognized) in exchange for new or modified operating lease</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(432)</w:t>
            </w:r>
          </w:p>
        </w:tc>
        <w:tc>
          <w:tcPr>
            <w:tcW w:w="92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r>
    </w:tbl>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net of reimbursements, remaining as of March 31, 2026, under operating leases by fiscal year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20" w:type="dxa"/>
            <w:vAlign w:val="bottom"/>
          </w:tcPr>
          <w:p>
            <w:pPr>
              <w:spacing w:after="0"/>
              <w:rPr>
                <w:sz w:val="15"/>
                <w:szCs w:val="15"/>
                <w:color w:val="auto"/>
              </w:rPr>
            </w:pPr>
          </w:p>
        </w:tc>
        <w:tc>
          <w:tcPr>
            <w:tcW w:w="20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8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FF0FC"/>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r>
      <w:tr>
        <w:trPr>
          <w:trHeight w:val="216"/>
        </w:trPr>
        <w:tc>
          <w:tcPr>
            <w:tcW w:w="8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20" w:type="dxa"/>
            <w:vAlign w:val="bottom"/>
          </w:tcPr>
          <w:p>
            <w:pPr>
              <w:spacing w:after="0"/>
              <w:rPr>
                <w:sz w:val="18"/>
                <w:szCs w:val="18"/>
                <w:color w:val="auto"/>
              </w:rPr>
            </w:pP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8"/>
                <w:szCs w:val="18"/>
                <w:color w:val="auto"/>
              </w:rPr>
            </w:pPr>
          </w:p>
        </w:tc>
      </w:tr>
      <w:tr>
        <w:trPr>
          <w:trHeight w:val="216"/>
        </w:trPr>
        <w:tc>
          <w:tcPr>
            <w:tcW w:w="8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42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0"/>
        </w:trPr>
        <w:tc>
          <w:tcPr>
            <w:tcW w:w="8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top w:val="single" w:sz="8" w:color="CFF0FC"/>
            </w:tcBorders>
          </w:tcPr>
          <w:p>
            <w:pPr>
              <w:spacing w:after="0"/>
              <w:rPr>
                <w:sz w:val="18"/>
                <w:szCs w:val="18"/>
                <w:color w:val="auto"/>
              </w:rPr>
            </w:pPr>
          </w:p>
        </w:tc>
      </w:tr>
      <w:tr>
        <w:trPr>
          <w:trHeight w:val="20"/>
        </w:trPr>
        <w:tc>
          <w:tcPr>
            <w:tcW w:w="8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Rent expense recorded during the three months ended March 31, 2026 and 2025 was $131 and $118, respectively.</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Stockholders’ Equity</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1,000,000,000 shares of common stock with a par value of $0.00001 per share and 5,000,000 shares of preferred stock with a par value of $0.00001 per share. At March 31, 2026 and December 31, 2025, there were 53,331,766 and 53,331,766 shares of common stock issued and outstanding, respectively.</w:t>
      </w:r>
    </w:p>
    <w:p>
      <w:pPr>
        <w:spacing w:after="0" w:line="68"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receive dividends if and when declared by the board of directors subject to the rights of any preferred stockholders. As of March 31, 2026, no dividends on common stock had been declared by the Company.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October 4, 2021, the Company entered into an at-the-market offering program (the “ATM Program”). Pursuant to the ATM Program, the Company may offer and sell shares of its common stock having aggregate gross sales proceeds of up to $150.0 million from time to time. During the three months ended March 31, 2026, the Company did not sell any shares of its common stock under the ATM Program. As of March 31, 2026, the Company had approximately $113.8 million remaining in gross proceeds available for future issuances of common stock under the ATM Program.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Stock Plan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2020 Equity Incentive Plan (the “2020 Plan”) was approved by the Company’s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of common stock initially reserved for issuance under the 2020 Plan was 4,406,374, which shall be increased, upon approval by the Company’s board of directors, on January 1, 2021 and each January 1 thereafter, in an amount equal to the least of (i) 4,406,374 shares of common stock, (ii) five percent (5%) of the outstanding common stock on the immediately preceding December 31, or (iii) such number of common stock determined by the board of directors no later than the immediately preceding December 31. For 2026, the board’s compensation committee, as the 2020 Plan administrator, exercised its discretion under clause (ii) to increase the number of shares of common stock reserved for issuance under the 2020 Plan by 2,666,470 shares, effective as of January 1, 2026. As of March 31, 2026, there were 3,358,305 shares available for issuance under the 2020 Plan.</w:t>
      </w:r>
    </w:p>
    <w:p>
      <w:pPr>
        <w:spacing w:after="0" w:line="8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January 18, 2024, the Company granted 952,665 Restricted Stock Units (“RSUs”) to employees VP-level or higher, pursuant to an employee retention program approved by the compensation committee of the Company’s board of directors. As of March 31, 2026 such RSUs were fully vested and common stock was issued upon settlement of the RSUs. As of March 31, 2026, no RSUs awards were granted, vested, or unvested.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2020 Employee Stock Purchase Plan (the “2020 ESPP”) was approved by the Company’s board of directors on September 24, 2020. A total of 400,752 shares of common stock were initially reserved for issuance under this plan, which shall be increased, upon approval by the Company’s board of directors, on January 1, 2021 and each January 1 thereafter, to the lesser of (i) 801,504 shares of common stock, (ii) 1% of the outstanding shares of common stock on the last day of the immediately preceding fiscal year, or (iii) an amount determined by the board of directors or any of its committees no later than the last day of the immediately preceding fiscal year. For 2026, the Company’s board of directors waived the annual increase to the shares reserved under the 2020 ESPP. As of March 31, 2026, 611,415 shares are issued or outstanding, and there were 1,162,196 shares available for issuance, under the 2020 ESPP.</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On July 16, 2024, the Company filed with the Securities and Exchange Commission a Tender Offer Statement on Schedule TO defining the terms and conditions of a one-time voluntary stock option exchange to its employees of certain options to purchase up to an aggregate of 2,820,491 shares of the Company’s common stock (the “Option Exchange”). On August 13, 2024, the completion date of the Option Exchange, stock options covering an aggregate of 2,786,691 shares of common stock were tendered by eligible employees, and the Company granted new options at an exercise price of $1.48, the Company’s closing stock price on August 13, 2024, covering an aggregate of 2,786,691 shares of common stock under the 2020 Plan in exchange for the tendered options. The new options are subject to a new three or four-year vesting schedule, vesting in equal annual installments over the vesting term. Each new option has a maximum term of ten years. The Option Exchange was treated as a modification for accounting purposes. As a result of the Option Exchange, the Company will recognize incremental stock-based compensation expense of $1,370 over the requisite service period of the new stock options, which is three or four years. The Company will recognize the sum of the incremental stock-based compensation expense and the remaining unrecognized compensation expense for the original awards on the modification date, over the requisite service period of the new stock options.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option activity for the three-month period ended March 31, 2026: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0"/>
                <w:szCs w:val="10"/>
                <w:color w:val="auto"/>
              </w:rPr>
            </w:pPr>
          </w:p>
        </w:tc>
        <w:tc>
          <w:tcPr>
            <w:tcW w:w="1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2"/>
                <w:szCs w:val="12"/>
                <w:color w:val="auto"/>
              </w:rPr>
            </w:pPr>
          </w:p>
        </w:tc>
        <w:tc>
          <w:tcPr>
            <w:tcW w:w="900" w:type="dxa"/>
            <w:vAlign w:val="bottom"/>
          </w:tcPr>
          <w:p>
            <w:pPr>
              <w:jc w:val="center"/>
              <w:ind w:left="26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ind w:left="26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5"/>
                <w:szCs w:val="15"/>
                <w:color w:val="auto"/>
              </w:rPr>
            </w:pPr>
          </w:p>
        </w:tc>
        <w:tc>
          <w:tcPr>
            <w:tcW w:w="900" w:type="dxa"/>
            <w:vAlign w:val="bottom"/>
            <w:tcBorders>
              <w:bottom w:val="single" w:sz="8" w:color="auto"/>
            </w:tcBorders>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2025</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11,990,688</w:t>
            </w:r>
          </w:p>
        </w:tc>
        <w:tc>
          <w:tcPr>
            <w:tcW w:w="1160" w:type="dxa"/>
            <w:vAlign w:val="bottom"/>
            <w:gridSpan w:val="2"/>
            <w:shd w:val="clear" w:color="auto" w:fill="CFF0FC"/>
          </w:tcPr>
          <w:p>
            <w:pPr>
              <w:jc w:val="right"/>
              <w:ind w:right="72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reserved for issuance</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3,646,290</w:t>
            </w:r>
          </w:p>
        </w:tc>
        <w:tc>
          <w:tcPr>
            <w:tcW w:w="1160" w:type="dxa"/>
            <w:vAlign w:val="bottom"/>
            <w:gridSpan w:val="2"/>
            <w:shd w:val="clear" w:color="auto" w:fill="CFF0FC"/>
          </w:tcPr>
          <w:p>
            <w:pPr>
              <w:jc w:val="right"/>
              <w:ind w:right="72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Borders>
              <w:bottom w:val="single" w:sz="8" w:color="auto"/>
            </w:tcBorders>
          </w:tcPr>
          <w:p>
            <w:pPr>
              <w:jc w:val="right"/>
              <w:ind w:right="72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2026 (unaudited)</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15,636,978</w:t>
            </w:r>
          </w:p>
        </w:tc>
        <w:tc>
          <w:tcPr>
            <w:tcW w:w="1160" w:type="dxa"/>
            <w:vAlign w:val="bottom"/>
            <w:gridSpan w:val="2"/>
            <w:shd w:val="clear" w:color="auto" w:fill="CFF0FC"/>
          </w:tcPr>
          <w:p>
            <w:pPr>
              <w:jc w:val="right"/>
              <w:ind w:right="72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980" w:type="dxa"/>
            <w:vAlign w:val="bottom"/>
            <w:tcBorders>
              <w:top w:val="single" w:sz="8" w:color="CFF0FC"/>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March 31, 2026</w:t>
            </w:r>
          </w:p>
        </w:tc>
        <w:tc>
          <w:tcPr>
            <w:tcW w:w="13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58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8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15,636,978</w:t>
            </w:r>
          </w:p>
        </w:tc>
        <w:tc>
          <w:tcPr>
            <w:tcW w:w="1160" w:type="dxa"/>
            <w:vAlign w:val="bottom"/>
            <w:tcBorders>
              <w:bottom w:val="single" w:sz="8" w:color="CFF0FC"/>
            </w:tcBorders>
            <w:gridSpan w:val="2"/>
            <w:shd w:val="clear" w:color="auto" w:fill="CFF0FC"/>
          </w:tcPr>
          <w:p>
            <w:pPr>
              <w:jc w:val="right"/>
              <w:ind w:right="72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8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4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9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Exercisable</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6,138,335</w:t>
            </w:r>
          </w:p>
        </w:tc>
        <w:tc>
          <w:tcPr>
            <w:tcW w:w="1160" w:type="dxa"/>
            <w:vAlign w:val="bottom"/>
            <w:gridSpan w:val="2"/>
          </w:tcPr>
          <w:p>
            <w:pPr>
              <w:jc w:val="right"/>
              <w:ind w:right="725"/>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3.35</w:t>
            </w:r>
          </w:p>
        </w:tc>
        <w:tc>
          <w:tcPr>
            <w:tcW w:w="18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6.49</w:t>
            </w:r>
          </w:p>
        </w:tc>
        <w:tc>
          <w:tcPr>
            <w:tcW w:w="4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-488315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-471170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-488315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-471170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-187960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-170815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At March 31, 2026, the total compensation cost related to nonvested awards not yet recognized was $13,701. The weighted-average period over which the nonvested awards is expected to be recognized was 2.9 years.</w:t>
      </w:r>
    </w:p>
    <w:p>
      <w:pPr>
        <w:spacing w:after="0" w:line="54"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options using the Black-Scholes options valuation model. The fair value of the options is being amortized on a straight-line basis over the requisite service period of the awards. The fair value was estimated using the following assumptions: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9"/>
        </w:trPr>
        <w:tc>
          <w:tcPr>
            <w:tcW w:w="616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2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160" w:type="dxa"/>
            <w:vAlign w:val="bottom"/>
          </w:tcPr>
          <w:p>
            <w:pPr>
              <w:spacing w:after="0"/>
              <w:rPr>
                <w:sz w:val="15"/>
                <w:szCs w:val="15"/>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2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3.82%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- 4.48%</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- 6.25</w:t>
            </w: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640" w:type="dxa"/>
            <w:vAlign w:val="bottom"/>
            <w:gridSpan w:val="3"/>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77.29%</w:t>
            </w:r>
          </w:p>
        </w:tc>
        <w:tc>
          <w:tcPr>
            <w:tcW w:w="264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7"/>
              </w:rPr>
              <w:t>80.22%</w:t>
            </w:r>
          </w:p>
        </w:tc>
      </w:tr>
    </w:tbl>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assumptions used to estimate the fair value of stock purchase rights under the 2020 ESPP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8"/>
        </w:trPr>
        <w:tc>
          <w:tcPr>
            <w:tcW w:w="616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160" w:type="dxa"/>
            <w:vAlign w:val="bottom"/>
          </w:tcPr>
          <w:p>
            <w:pPr>
              <w:spacing w:after="0"/>
              <w:rPr>
                <w:sz w:val="15"/>
                <w:szCs w:val="15"/>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3.70%</w:t>
            </w:r>
          </w:p>
        </w:tc>
        <w:tc>
          <w:tcPr>
            <w:tcW w:w="26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4.28%</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0.49</w:t>
            </w:r>
          </w:p>
        </w:tc>
        <w:tc>
          <w:tcPr>
            <w:tcW w:w="26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5"/>
              </w:rPr>
              <w:t>0.49</w:t>
            </w: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6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78.28%</w:t>
            </w:r>
          </w:p>
        </w:tc>
        <w:tc>
          <w:tcPr>
            <w:tcW w:w="26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82.05%</w:t>
            </w:r>
          </w:p>
        </w:tc>
      </w:tr>
    </w:tbl>
    <w:p>
      <w:pPr>
        <w:spacing w:after="0" w:line="206"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Risk Free Interest Rate: The risk-free rate is based on the U.S. Treasury yields in effect at the time of grant for periods corresponding with the expected term of the option.</w:t>
      </w:r>
    </w:p>
    <w:p>
      <w:pPr>
        <w:spacing w:after="0" w:line="5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Expected Term: The Company uses the simplified method to calculate expected term described in the SEC’s Staff Accounting Bulletin No. 107, which takes into account vesting term and expiration date of the options.</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Dividend Yield: The Company has never declared or paid any cash dividends and does not plan to pay cash dividends in the foreseeable future, and therefore, used an expected dividend yield of zero in the valuation model.</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Volatility: Volatility is based on the historical volatility of the Company’s publicly traded shares for the expected term.</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right="380" w:firstLine="689"/>
        <w:spacing w:after="0" w:line="282" w:lineRule="auto"/>
        <w:rPr>
          <w:sz w:val="20"/>
          <w:szCs w:val="20"/>
          <w:color w:val="auto"/>
        </w:rPr>
      </w:pPr>
      <w:r>
        <w:rPr>
          <w:rFonts w:ascii="Times New Roman" w:cs="Times New Roman" w:eastAsia="Times New Roman" w:hAnsi="Times New Roman"/>
          <w:sz w:val="18"/>
          <w:szCs w:val="18"/>
          <w:color w:val="auto"/>
        </w:rPr>
        <w:t>For the quarter ending March 31, 2026, no RSU awards were granted, vested, or unvested. As of March 31, 2026, there was no unrecognized compensation cost related to RSUs that are expected to vest.</w:t>
      </w:r>
    </w:p>
    <w:p>
      <w:pPr>
        <w:spacing w:after="0" w:line="162" w:lineRule="exact"/>
        <w:rPr>
          <w:sz w:val="20"/>
          <w:szCs w:val="20"/>
          <w:color w:val="auto"/>
        </w:rPr>
      </w:pPr>
    </w:p>
    <w:p>
      <w:pPr>
        <w:ind w:right="20" w:firstLine="644"/>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recorded under ASC 718 related to stock options granted and common stock issued under the 2020 ESPP were allocated to research and development and general and administrative expense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6"/>
        </w:trPr>
        <w:tc>
          <w:tcPr>
            <w:tcW w:w="4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6"/>
        </w:trPr>
        <w:tc>
          <w:tcPr>
            <w:tcW w:w="4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5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0" w:type="dxa"/>
            <w:vAlign w:val="bottom"/>
            <w:gridSpan w:val="2"/>
            <w:shd w:val="clear" w:color="auto" w:fill="CFF0FC"/>
          </w:tcPr>
          <w:p>
            <w:pPr>
              <w:jc w:val="right"/>
              <w:ind w:right="13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10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8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3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18"/>
                <w:szCs w:val="18"/>
                <w:color w:val="auto"/>
              </w:rPr>
            </w:pPr>
          </w:p>
        </w:tc>
      </w:tr>
      <w:tr>
        <w:trPr>
          <w:trHeight w:val="230"/>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400" w:type="dxa"/>
            <w:vAlign w:val="bottom"/>
            <w:gridSpan w:val="2"/>
            <w:shd w:val="clear" w:color="auto" w:fill="CFF0FC"/>
          </w:tcPr>
          <w:p>
            <w:pPr>
              <w:jc w:val="right"/>
              <w:ind w:right="13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10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shd w:val="clear" w:color="auto" w:fill="CFF0FC"/>
          </w:tcPr>
          <w:p>
            <w:pPr>
              <w:spacing w:after="0"/>
              <w:rPr>
                <w:sz w:val="19"/>
                <w:szCs w:val="19"/>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by award type included within the condensed consolidated statements of operations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7"/>
        </w:trPr>
        <w:tc>
          <w:tcPr>
            <w:tcW w:w="6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5"/>
        </w:trPr>
        <w:tc>
          <w:tcPr>
            <w:tcW w:w="6180" w:type="dxa"/>
            <w:vAlign w:val="bottom"/>
          </w:tcPr>
          <w:p>
            <w:pPr>
              <w:spacing w:after="0"/>
              <w:rPr>
                <w:sz w:val="16"/>
                <w:szCs w:val="16"/>
                <w:color w:val="auto"/>
              </w:rPr>
            </w:pPr>
          </w:p>
        </w:tc>
        <w:tc>
          <w:tcPr>
            <w:tcW w:w="15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r>
      <w:tr>
        <w:trPr>
          <w:trHeight w:val="210"/>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520" w:type="dxa"/>
            <w:vAlign w:val="bottom"/>
            <w:shd w:val="clear" w:color="auto" w:fill="CFF0FC"/>
          </w:tcPr>
          <w:p>
            <w:pPr>
              <w:jc w:val="right"/>
              <w:ind w:right="136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10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8"/>
                <w:szCs w:val="18"/>
                <w:color w:val="auto"/>
              </w:rPr>
            </w:pPr>
          </w:p>
        </w:tc>
      </w:tr>
      <w:tr>
        <w:trPr>
          <w:trHeight w:val="216"/>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520" w:type="dxa"/>
            <w:vAlign w:val="bottom"/>
          </w:tcPr>
          <w:p>
            <w:pPr>
              <w:jc w:val="right"/>
              <w:ind w:right="136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1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-170815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Income Taxes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Company’s effective tax rates were 0% and 11% for the three months ended March 31, 2026 and 2025, respectively. The income tax provision and effective tax rate are driven primarily by the proceeds from the sale of the Company’s New Jersey tax net operating loss carryforwards and research and development (“R&amp;D”) tax credits received in 2024 and 2025.</w:t>
      </w:r>
    </w:p>
    <w:p>
      <w:pPr>
        <w:spacing w:after="0" w:line="6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a full valuation allowance on federal and state net deferred tax assets since management does not forecast the Company to be in a taxable position in the near future.</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State of New Jersey’s Technology Business Tax Certificate Program allows certain high technology and biotechnology companies to sell unused net-operating loss (“NOL”) carryforwards and R&amp;D tax credits to other New Jersey-based corporate taxpayers. For the three months ended March 31, 2025, we received a benefit for income taxes of $2,196. As of March 31, 2025, the Company received $18,372 of cash for the NOL and R&amp;D tax credit sales related to the tax years ended December 31, 2015 to 2023. For the three months ended March 31, 2026, the Company did not receive any benefit for income taxes.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Net Loss per Share</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excluded all outstanding stock options and RSUs at each period end from the computation of diluted net loss per share attributable to common stockholders for the periods indicated because including them would have had an anti-dilutive effect. The following common stock equivalents were excluded from the calculation of diluted net loss per share: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540" w:type="dxa"/>
            <w:vAlign w:val="bottom"/>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8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100" w:type="dxa"/>
            <w:vAlign w:val="bottom"/>
          </w:tcPr>
          <w:p>
            <w:pPr>
              <w:spacing w:after="0"/>
              <w:rPr>
                <w:sz w:val="15"/>
                <w:szCs w:val="15"/>
                <w:color w:val="auto"/>
              </w:rPr>
            </w:pPr>
          </w:p>
        </w:tc>
        <w:tc>
          <w:tcPr>
            <w:tcW w:w="1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tcBorders>
              <w:bottom w:val="single" w:sz="8" w:color="auto"/>
            </w:tcBorders>
          </w:tcPr>
          <w:p>
            <w:pPr>
              <w:jc w:val="right"/>
              <w:ind w:right="9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15,636,978</w:t>
            </w:r>
          </w:p>
        </w:tc>
        <w:tc>
          <w:tcPr>
            <w:tcW w:w="2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11,947,135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shares to be purchased under 2020 ESPP</w:t>
            </w:r>
          </w:p>
        </w:tc>
        <w:tc>
          <w:tcPr>
            <w:tcW w:w="15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20,241</w:t>
            </w:r>
          </w:p>
        </w:tc>
        <w:tc>
          <w:tcPr>
            <w:tcW w:w="260" w:type="dxa"/>
            <w:vAlign w:val="bottom"/>
            <w:tcBorders>
              <w:bottom w:val="single" w:sz="8" w:color="CFF0FC"/>
            </w:tcBorders>
            <w:shd w:val="clear" w:color="auto" w:fill="CFF0FC"/>
          </w:tcPr>
          <w:p>
            <w:pPr>
              <w:spacing w:after="0"/>
              <w:rPr>
                <w:sz w:val="18"/>
                <w:szCs w:val="18"/>
                <w:color w:val="auto"/>
              </w:rPr>
            </w:pP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15,657,219</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12,873,699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610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1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-1053465</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Related Parties</w:t>
      </w:r>
    </w:p>
    <w:p>
      <w:pPr>
        <w:spacing w:after="0" w:line="121" w:lineRule="exact"/>
        <w:rPr>
          <w:sz w:val="20"/>
          <w:szCs w:val="20"/>
          <w:color w:val="auto"/>
        </w:rPr>
      </w:pPr>
    </w:p>
    <w:p>
      <w:pPr>
        <w:jc w:val="both"/>
        <w:ind w:right="560" w:firstLine="509"/>
        <w:spacing w:after="0" w:line="266" w:lineRule="auto"/>
        <w:rPr>
          <w:sz w:val="20"/>
          <w:szCs w:val="20"/>
          <w:color w:val="auto"/>
        </w:rPr>
      </w:pPr>
      <w:r>
        <w:rPr>
          <w:rFonts w:ascii="Times New Roman" w:cs="Times New Roman" w:eastAsia="Times New Roman" w:hAnsi="Times New Roman"/>
          <w:sz w:val="18"/>
          <w:szCs w:val="18"/>
          <w:color w:val="auto"/>
        </w:rPr>
        <w:t>The Company has consulting agreements with three members of its board of directors; one of which waived his consulting fees starting as of September 2021. Total consulting fees paid during the three months ended March 31, 2026 and 2025 were $30 and $50, respectively. There were no amounts owed under the consulting agreements as of March 31, 2026.</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Segment Information</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has viewed its operations and manages its business as one operating and reporting segment. Operating segments are identified as components of an enterprise for which separate discrete financial information is available for evaluation by the Company’s chief operating decision maker (“CODM”) to make decisions with respect to resource allocation and assessment of performance. The Company’s CODM is its Chief Executive Officer (the “CEO”), who reviews and evaluates consolidated net loss for purposes of assessing performance, making operating decisions, allocating resources, and planning and forecasting for future periods. The determination of a single segment is consistent with the financial information regularly reviewed by the CEO.</w:t>
      </w:r>
    </w:p>
    <w:p>
      <w:pPr>
        <w:spacing w:after="0" w:line="187" w:lineRule="exact"/>
        <w:rPr>
          <w:sz w:val="20"/>
          <w:szCs w:val="20"/>
          <w:color w:val="auto"/>
        </w:rPr>
      </w:pPr>
    </w:p>
    <w:p>
      <w:pPr>
        <w:ind w:right="360" w:firstLine="644"/>
        <w:spacing w:after="0" w:line="266" w:lineRule="auto"/>
        <w:rPr>
          <w:sz w:val="20"/>
          <w:szCs w:val="20"/>
          <w:color w:val="auto"/>
        </w:rPr>
      </w:pPr>
      <w:r>
        <w:rPr>
          <w:rFonts w:ascii="Times New Roman" w:cs="Times New Roman" w:eastAsia="Times New Roman" w:hAnsi="Times New Roman"/>
          <w:sz w:val="18"/>
          <w:szCs w:val="18"/>
          <w:color w:val="auto"/>
        </w:rPr>
        <w:t>The CEO regularly reviews the condensed consolidated statement of operations and a disaggregation of operating expenses, of which the significant expenses are related to research and development. The following table represents the significant segment expenses regularly provided to the CEO:</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180" w:type="dxa"/>
            <w:vAlign w:val="bottom"/>
          </w:tcPr>
          <w:p>
            <w:pPr>
              <w:spacing w:after="0"/>
              <w:rPr>
                <w:sz w:val="10"/>
                <w:szCs w:val="10"/>
                <w:color w:val="auto"/>
              </w:rPr>
            </w:pPr>
          </w:p>
        </w:tc>
        <w:tc>
          <w:tcPr>
            <w:tcW w:w="1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540" w:type="dxa"/>
            <w:vAlign w:val="bottom"/>
          </w:tcPr>
          <w:p>
            <w:pPr>
              <w:jc w:val="right"/>
              <w:ind w:right="773"/>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0"/>
                <w:szCs w:val="10"/>
                <w:color w:val="auto"/>
              </w:rPr>
            </w:pPr>
          </w:p>
        </w:tc>
      </w:tr>
      <w:tr>
        <w:trPr>
          <w:trHeight w:val="173"/>
        </w:trPr>
        <w:tc>
          <w:tcPr>
            <w:tcW w:w="6180" w:type="dxa"/>
            <w:vAlign w:val="bottom"/>
          </w:tcPr>
          <w:p>
            <w:pPr>
              <w:spacing w:after="0"/>
              <w:rPr>
                <w:sz w:val="15"/>
                <w:szCs w:val="15"/>
                <w:color w:val="auto"/>
              </w:rPr>
            </w:pPr>
          </w:p>
        </w:tc>
        <w:tc>
          <w:tcPr>
            <w:tcW w:w="15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w:t>
            </w:r>
          </w:p>
        </w:tc>
        <w:tc>
          <w:tcPr>
            <w:tcW w:w="1520" w:type="dxa"/>
            <w:vAlign w:val="bottom"/>
          </w:tcPr>
          <w:p>
            <w:pPr>
              <w:jc w:val="right"/>
              <w:ind w:right="136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1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Development</w:t>
            </w:r>
          </w:p>
        </w:tc>
        <w:tc>
          <w:tcPr>
            <w:tcW w:w="15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11,951</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Personnel related</w:t>
            </w:r>
          </w:p>
        </w:tc>
        <w:tc>
          <w:tcPr>
            <w:tcW w:w="1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tcPr>
          <w:p>
            <w:pPr>
              <w:spacing w:after="0"/>
              <w:rPr>
                <w:sz w:val="18"/>
                <w:szCs w:val="18"/>
                <w:color w:val="auto"/>
              </w:rPr>
            </w:pPr>
          </w:p>
        </w:tc>
      </w:tr>
      <w:tr>
        <w:trPr>
          <w:trHeight w:val="216"/>
        </w:trPr>
        <w:tc>
          <w:tcPr>
            <w:tcW w:w="61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3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15,330</w:t>
            </w:r>
          </w:p>
        </w:tc>
        <w:tc>
          <w:tcPr>
            <w:tcW w:w="11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Personnel related</w:t>
            </w:r>
          </w:p>
        </w:tc>
        <w:tc>
          <w:tcPr>
            <w:tcW w:w="1520" w:type="dxa"/>
            <w:vAlign w:val="bottom"/>
          </w:tcPr>
          <w:p>
            <w:pPr>
              <w:jc w:val="right"/>
              <w:ind w:right="136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1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External</w:t>
            </w:r>
          </w:p>
        </w:tc>
        <w:tc>
          <w:tcPr>
            <w:tcW w:w="1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3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18"/>
                <w:szCs w:val="18"/>
                <w:color w:val="auto"/>
              </w:rPr>
            </w:pPr>
          </w:p>
        </w:tc>
      </w:tr>
      <w:tr>
        <w:trPr>
          <w:trHeight w:val="210"/>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15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3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20" w:type="dxa"/>
            <w:vAlign w:val="bottom"/>
          </w:tcPr>
          <w:p>
            <w:pPr>
              <w:jc w:val="right"/>
              <w:ind w:right="136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19,019</w:t>
            </w:r>
          </w:p>
        </w:tc>
        <w:tc>
          <w:tcPr>
            <w:tcW w:w="11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21,564</w:t>
            </w:r>
          </w:p>
        </w:tc>
        <w:tc>
          <w:tcPr>
            <w:tcW w:w="10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-1010920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Subsequent Event</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May 12, 2026, the date these financial statements were issued. The Company determined that there were no subsequent events that required adjustment to or disclosure in the financial statements.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unaudited condensed consolidated financial statements and the related notes and other financial information included in this Quarterly Report on Form 10-Q and our audited condensed consolidated financial statements and notes thereto as of and for the years ended December 31, 2025 and 2024 and the related “Management’s Discussion and Analysis of Financial Condition and Results of Operations,” including “Contractual Obligations and Commitments” and “Critical Accounting Policies and Estimates,” included in our Annual Report on Form 10-K for the fiscal year ended December 31, 2025 filed with the Securities and Exchange Commission, or the SEC, on March 6, 2026. Unless the context requires otherwise, references in this Quarterly Report on Form 10-Q to “we,” “us,” and “our” refer to PMV Pharmaceuticals, Inc.</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that involve risks, uncertainties, and assumptions. Our actual results may differ materially from those anticipated in these forward-looking statements as a result of various factors, including but not limited to those set forth under the captions “Special Note Regarding Forward-Looking Statements,” “Item 1A. Risk Factors” and elsewhere in our Annual Report on Form 10-K for the fiscal year ended December 31, 2025, as updated by our subsequent filings under the Securities Exchange Act of 1934, as amended. Furthermore, past operating results are not necessarily indicative of results that may occur in future periods.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Since our formation in March 2013, we have devoted substantially all of our time and efforts to performing research and development activities and raising capital. We are not profitable and have incurred losses in each year since our inception. During the three months ended March 31, 2026, we incurred net losses of $18.0 million. As of March 31, 2026, we had an accumulated deficit of $464.5 million. We do not currently have any product candidates approved for sale, and we continue to incur significant research and development and general and administrative expenses related to our operations. We initiated a Phase 1/2 clinical trial, PYNNACLE, in October 2020 for our lead product candidate, rezatapopt. Our strategy is to seek approval under an accelerated pathway, and we believe the Phase 2 portion of the PYNNACLE clinical trial has the potential to serve as a pivotal study. In October 2020, we were granted FDA Fast Track designation of rezatapopt for the treatment of patients with locally advanced or metastatic solid tumors that have a p53 Y220C mutation. In July 2023, we met with the FDA at an End of Phase 1 meeting where alignment was obtained on the recommended Phase 2 dose and key elements of the single arm, Phase 2 registrational portion of the PYNNACLE study. In October 2023, we presented our updated Phase 1 clinical data for rezatapopt at the 2023 AACR-NCI-EORTC International Conference on Molecular Targets and Cancer Therapeutics Annual Meeting. We dosed our first patient in the pivotal Phase 2 monotherapy portion of the PYNNACLE study in the first quarter of 2024. In September 2025, we announced interim data from the Phase 2 pivotal portion of the PYNNACLE clinical trial, which was updated in October 2025 in a late-breaking oral presentation and poster presentation at the 2025 AACR-NCI-EORTC International Conference on Molecular Targets and Cancer Therapeutics Meeting. In March 2026, rezatapopt was granted Orphan Drug Designation, or ODD, from the FDA for the treatment of TP53 Y220C positive ovarian cancer, fallopian tube cancer, and primary peritoneal cancer. We plan to submit a New Drug Application, or NDA, for the treatment of patients with platinum-resistant/refractory ovarian cancer harboring a TP53 Y220C mutation to the FDA for rezatapopt in the first quarter of 2027.</w:t>
      </w:r>
    </w:p>
    <w:p>
      <w:pPr>
        <w:spacing w:after="0" w:line="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We expect to continue to incur significant losses for the foreseeable future.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0" w:name="page21"/>
    <w:bookmarkEnd w:id="20"/>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75" w:lineRule="exact"/>
        <w:rPr>
          <w:sz w:val="20"/>
          <w:szCs w:val="20"/>
          <w:color w:val="auto"/>
        </w:rPr>
      </w:pPr>
    </w:p>
    <w:p>
      <w:pPr>
        <w:jc w:val="both"/>
        <w:ind w:right="820" w:firstLine="509"/>
        <w:spacing w:after="0" w:line="266" w:lineRule="auto"/>
        <w:rPr>
          <w:sz w:val="20"/>
          <w:szCs w:val="20"/>
          <w:color w:val="auto"/>
        </w:rPr>
      </w:pPr>
      <w:r>
        <w:rPr>
          <w:rFonts w:ascii="Times New Roman" w:cs="Times New Roman" w:eastAsia="Times New Roman" w:hAnsi="Times New Roman"/>
          <w:sz w:val="18"/>
          <w:szCs w:val="18"/>
          <w:color w:val="auto"/>
        </w:rPr>
        <w:t>We plan to continue to use third-party service providers, including clinical research organizations, or CROs, and contract manufacturing organizations, or CMOs, to carry out our preclinical and clinical development and to manufacture and supply the materials to be used during the development and commercialization of our product candidates. We do not currently have a sales force.</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result in license agreements with third parties, we may generate revenue in the future from product sales or license agreements. However, there can be no assurance as to when we will generate such revenue,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and depreciation and maintenance of research equipment. We expense research and development costs as they are incurred.</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rezatapopt. We initiated our Phase 1/2 PYNNACLE clinical trial in October 2020, and on that date, we were granted FDA Fast Track designation of rezatapopt for the treatment of patients with locally advanced or metastatic solid tumors that have a p53 Y220C mutation. In October 2023, we presented our updated Phase 1 clinical data for rezatapopt at the 2023 AACR-NCI-EORTC International Conference on Molecular Targets and Cancer Therapeutics Meeting. In September 2025, we announced interim data from the Phase 2 pivotal portion of the PYNNACLE clinical trial, which was updated in October 2025 in a late-breaking oral presentation and poster presentation at the 2025 AACR-NCI-EORTC International Conference on Molecular Targets and Cancer Therapeutics Meeting. In March 2026, rezatapopt was granted ODD from the FDA for the treatment of TP53 Y220C positive ovarian cancer, fallopian tube cancer, and primary peritoneal cancer. We plan to submit an NDA for the treatment of patients with platinum-resistant/refractory ovarian cancer harboring a TP53 Y220C mutation to the FDA for rezatapopt in the first quarter of 2027.</w:t>
      </w:r>
    </w:p>
    <w:p>
      <w:pPr>
        <w:spacing w:after="0" w:line="7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expect to continue to incur substantial research and development expenses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facilities. We have incurred expenses related to compliance with the rules and regulations of the SEC, and those of any national securities exchange on which our securities are traded, additional insurance expenses, investor relations activities and other administrative and professional services. We also expect to increase our general and administrative expenses as we advance our product candidates through preclinical research and development, manufacturing, clinical development, and commercialization.</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accretion and amortization of discounts and premiums on marketable securities.</w:t>
      </w:r>
    </w:p>
    <w:p>
      <w:pPr>
        <w:spacing w:after="0" w:line="26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40" w:type="dxa"/>
            <w:vAlign w:val="bottom"/>
            <w:gridSpan w:val="5"/>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5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940" w:type="dxa"/>
            <w:vAlign w:val="bottom"/>
            <w:tcBorders>
              <w:top w:val="single" w:sz="8" w:color="auto"/>
            </w:tcBorders>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center"/>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8"/>
        </w:trPr>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center"/>
              <w:ind w:right="255"/>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120" w:type="dxa"/>
            <w:vAlign w:val="bottom"/>
          </w:tcPr>
          <w:p>
            <w:pPr>
              <w:spacing w:after="0"/>
              <w:rPr>
                <w:sz w:val="15"/>
                <w:szCs w:val="15"/>
                <w:color w:val="auto"/>
              </w:rPr>
            </w:pPr>
          </w:p>
        </w:tc>
        <w:tc>
          <w:tcPr>
            <w:tcW w:w="19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5"/>
                <w:szCs w:val="15"/>
                <w:color w:val="auto"/>
              </w:rPr>
            </w:pPr>
          </w:p>
        </w:tc>
        <w:tc>
          <w:tcPr>
            <w:tcW w:w="17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40" w:type="dxa"/>
            <w:vAlign w:val="bottom"/>
          </w:tcPr>
          <w:p>
            <w:pPr>
              <w:spacing w:after="0"/>
              <w:rPr>
                <w:sz w:val="15"/>
                <w:szCs w:val="15"/>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5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15,330</w:t>
            </w:r>
          </w:p>
        </w:tc>
        <w:tc>
          <w:tcPr>
            <w:tcW w:w="3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32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(2,111)</w:t>
            </w: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(434)</w:t>
            </w:r>
          </w:p>
        </w:tc>
      </w:tr>
      <w:tr>
        <w:trPr>
          <w:trHeight w:val="209"/>
        </w:trPr>
        <w:tc>
          <w:tcPr>
            <w:tcW w:w="54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19,019</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21,564</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(2,545)</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(19,019)</w:t>
            </w:r>
          </w:p>
        </w:tc>
        <w:tc>
          <w:tcPr>
            <w:tcW w:w="2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(21,564)</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shd w:val="clear" w:color="auto" w:fill="CFF0FC"/>
          </w:tcPr>
          <w:p>
            <w:pPr>
              <w:spacing w:after="0"/>
              <w:rPr>
                <w:sz w:val="18"/>
                <w:szCs w:val="18"/>
                <w:color w:val="auto"/>
              </w:rPr>
            </w:pPr>
          </w:p>
        </w:tc>
      </w:tr>
      <w:tr>
        <w:trPr>
          <w:trHeight w:val="210"/>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 net</w:t>
            </w: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(955)</w:t>
            </w: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210"/>
        </w:trPr>
        <w:tc>
          <w:tcPr>
            <w:tcW w:w="54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(950)</w:t>
            </w:r>
          </w:p>
        </w:tc>
      </w:tr>
      <w:tr>
        <w:trPr>
          <w:trHeight w:val="210"/>
        </w:trPr>
        <w:tc>
          <w:tcPr>
            <w:tcW w:w="54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120" w:type="dxa"/>
            <w:vAlign w:val="bottom"/>
          </w:tcPr>
          <w:p>
            <w:pPr>
              <w:spacing w:after="0"/>
              <w:rPr>
                <w:sz w:val="18"/>
                <w:szCs w:val="18"/>
                <w:color w:val="auto"/>
              </w:rPr>
            </w:pP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(18,038)</w:t>
            </w:r>
          </w:p>
        </w:tc>
        <w:tc>
          <w:tcPr>
            <w:tcW w:w="28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(19,633)</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(2,197)</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shd w:val="clear" w:color="auto" w:fill="CFF0FC"/>
          </w:tcPr>
          <w:p>
            <w:pPr>
              <w:spacing w:after="0"/>
              <w:rPr>
                <w:sz w:val="18"/>
                <w:szCs w:val="18"/>
                <w:color w:val="auto"/>
              </w:rPr>
            </w:pPr>
          </w:p>
        </w:tc>
      </w:tr>
      <w:tr>
        <w:trPr>
          <w:trHeight w:val="210"/>
        </w:trPr>
        <w:tc>
          <w:tcPr>
            <w:tcW w:w="54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5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(18,038)</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(17,436)</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(602)</w:t>
            </w:r>
          </w:p>
        </w:tc>
      </w:tr>
      <w:tr>
        <w:trPr>
          <w:trHeight w:val="601"/>
        </w:trPr>
        <w:tc>
          <w:tcPr>
            <w:tcW w:w="54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jc w:val="right"/>
              <w:ind w:right="1295"/>
              <w:spacing w:after="0"/>
              <w:rPr>
                <w:sz w:val="20"/>
                <w:szCs w:val="20"/>
                <w:color w:val="auto"/>
              </w:rPr>
            </w:pPr>
            <w:r>
              <w:rPr>
                <w:rFonts w:ascii="Times New Roman" w:cs="Times New Roman" w:eastAsia="Times New Roman" w:hAnsi="Times New Roman"/>
                <w:sz w:val="18"/>
                <w:szCs w:val="18"/>
                <w:color w:val="auto"/>
                <w:w w:val="99"/>
              </w:rPr>
              <w:t>18</w:t>
            </w:r>
          </w:p>
        </w:tc>
        <w:tc>
          <w:tcPr>
            <w:tcW w:w="3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5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-2879725</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-2879725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-2322195</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-2322195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-1199515</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-1199515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-916305</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-899795</wp:posOffset>
            </wp:positionV>
            <wp:extent cx="774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-916305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-899795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periods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8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4"/>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jc w:val="center"/>
              <w:ind w:right="219"/>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jc w:val="center"/>
              <w:ind w:right="217"/>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257"/>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5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6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(2,261)</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related</w:t>
            </w: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$15.3 million for the three months ended March 31, 2026, compared to $17.4 million for the three months ended March 31, 2025. The decrease of $2.1 million, compared to the three months ended March 31, 2025, was primarily due to the following:</w:t>
      </w:r>
    </w:p>
    <w:p>
      <w:pPr>
        <w:spacing w:after="0" w:line="54" w:lineRule="exact"/>
        <w:rPr>
          <w:sz w:val="20"/>
          <w:szCs w:val="20"/>
          <w:color w:val="auto"/>
        </w:rPr>
      </w:pPr>
    </w:p>
    <w:p>
      <w:pPr>
        <w:ind w:left="900" w:right="100" w:hanging="383"/>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decrease in research and development expenses largely driven by decreased contractual research organization costs for advancing our lead product candidate, rezatapopt; offset by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increase in personnel related costs.</w:t>
      </w:r>
    </w:p>
    <w:p>
      <w:pPr>
        <w:spacing w:after="0" w:line="3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$3.7 million for the three months ended March 31, 2026, compared to $4.1 million for the three months ended March 31, 2025. The decrease of $0.4 million, compared to the three months ended March 31, 2025, was primarily due to a $0.1 million decrease in personnel expenses and a $0.3 million decrease in finance and legal support costs.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accretion and amortization of discounts and premiums on marketable securities. Interest income, net was $1.0 million for the three months ended March 31, 2026, compared to $1.9 million for the three months ended March 31, 2025. The decrease of $0.9 million compared to the three months ended March 31, 2025 was driven by a decline in interest rates combined with lower overall balances in interest-bearing cash, cash equivalents, and investments in marketable securities during the three months ended March 31, 2026.</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State of New Jersey’s Technology Business Tax Certificate Program allows certain high technology and biotechnology companies to sell NOL carryforwards and R&amp;D tax credits to other New Jersey-based corporate taxpayers. As of March 31, 2025, we received $18.4 million of cash for the NOL and R&amp;D tax credit sales related to the tax years ended December 31, 2015 to 2023. The sale of the NOLs and R&amp;D tax credits have been recorded as an income tax benefit within the condensed consolidated statement of operations. For the three months ended March 31, 2025, we had reached the sale limit established by the program and received a benefit for income taxes of $2.2 million. We did not receive any benefit for income taxes for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3" w:name="page24"/>
    <w:bookmarkEnd w:id="23"/>
    <w:p>
      <w:pPr>
        <w:ind w:left="46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financial condition is summarized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60" w:type="dxa"/>
            <w:vAlign w:val="bottom"/>
          </w:tcPr>
          <w:p>
            <w:pPr>
              <w:spacing w:after="0"/>
              <w:rPr>
                <w:sz w:val="15"/>
                <w:szCs w:val="15"/>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4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4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39,130</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37,983</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1,147</w:t>
            </w:r>
          </w:p>
        </w:tc>
      </w:tr>
      <w:tr>
        <w:trPr>
          <w:trHeight w:val="216"/>
        </w:trPr>
        <w:tc>
          <w:tcPr>
            <w:tcW w:w="5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54,419</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74,960</w:t>
            </w: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(20,541)</w:t>
            </w:r>
          </w:p>
        </w:tc>
      </w:tr>
      <w:tr>
        <w:trPr>
          <w:trHeight w:val="216"/>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240" w:type="dxa"/>
            <w:vAlign w:val="bottom"/>
          </w:tcPr>
          <w:p>
            <w:pPr>
              <w:spacing w:after="0"/>
              <w:rPr>
                <w:sz w:val="18"/>
                <w:szCs w:val="18"/>
                <w:color w:val="auto"/>
              </w:rPr>
            </w:pPr>
          </w:p>
        </w:tc>
        <w:tc>
          <w:tcPr>
            <w:tcW w:w="18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financial assets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93,549</w:t>
            </w: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112,943</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(19,394)</w:t>
            </w:r>
          </w:p>
        </w:tc>
      </w:tr>
      <w:tr>
        <w:trPr>
          <w:trHeight w:val="197"/>
        </w:trPr>
        <w:tc>
          <w:tcPr>
            <w:tcW w:w="54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95,780</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115,227</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(19,447)</w:t>
            </w:r>
          </w:p>
        </w:tc>
      </w:tr>
      <w:tr>
        <w:trPr>
          <w:trHeight w:val="216"/>
        </w:trPr>
        <w:tc>
          <w:tcPr>
            <w:tcW w:w="5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(2,820)</w:t>
            </w:r>
          </w:p>
        </w:tc>
      </w:tr>
      <w:tr>
        <w:trPr>
          <w:trHeight w:val="20"/>
        </w:trPr>
        <w:tc>
          <w:tcPr>
            <w:tcW w:w="54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working capital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87,185</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103,812</w:t>
            </w:r>
          </w:p>
        </w:tc>
        <w:tc>
          <w:tcPr>
            <w:tcW w:w="32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(16,627)</w:t>
            </w:r>
          </w:p>
        </w:tc>
      </w:tr>
      <w:tr>
        <w:trPr>
          <w:trHeight w:val="20"/>
        </w:trPr>
        <w:tc>
          <w:tcPr>
            <w:tcW w:w="5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-745490</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-728345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-745490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-728345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-170815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any product sales or any other sources and have incurred significant operating losses and negative cash flows from our operations. We have not yet commercialized any of our product candidates. Even if the Company's drug development and commercialization efforts are successful, it is uncertain when, if ever, the Company will realize revenue from product sales. As of March 31, 2026, we had cash, cash equivalents, and marketable securities of $93.5 million and an accumulated deficit of $464.5 million. We have financed our operations primarily through issuance and sales of our equity securities.</w:t>
      </w:r>
    </w:p>
    <w:p>
      <w:pPr>
        <w:spacing w:after="0" w:line="75"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On November 20, 2024 we filed a shelf registration statement on Form S-3 (File No. 333-283349) with the SEC and a prospectus supplement, which registered the offering, issuance and sale of up to $200.0 million of various equity and debt securities and up to $113.8 million of common stock pursuant to an at-the-market equity offering program with Jefferies LLC, dated October 4, 2021, or the ATM Program. The SEC declared the registration statement effective on November 27, 2024. During the three months ending March 31, 2026, we did not sell any shares of our common stock pursuant to the ATM Program. As of March 31, 2026, we had approximately $113.8 million remaining in gross proceeds available for future issuances of common stock under the ATM Program.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September 2024, we signed two subleases, one for 14,201 square feet of office space at 400 Alexander Park Drive, Suite 301, in Princeton, New Jersey, to be used as our new headquarters, or the 400 Alexander Sublease, and the other for 3,205 square feet of office and laboratory space at 311 Pennington Rocky Hill in Hopewell, New Jersey, to be used for our new laboratory space, or the 311 Pennington Sublease. The 400 Alexander Sublease term extends until February 2027. Amounts related to future lease payments for the 400 Alexander Sublease as of March 31, 2026, totaled $0.3 million with $0.3 million to be paid within the next 12 months. In March 2026, the 311 Pennington Sublease was terminated by the sublessor and we recorded a net gain of approximately $24, which was recognized in General and Administrative expense.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 and Future Funding Requirements</w:t>
      </w:r>
    </w:p>
    <w:p>
      <w:pPr>
        <w:spacing w:after="0" w:line="12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We use our capital resources primarily to fund operating expenses, mainly research and development expenditures. At this time, due to the inherently unpredictable nature of preclinical and clinical development,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4" w:name="page25"/>
    <w:bookmarkEnd w:id="24"/>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Due to our significant research and development expenditures, we have generated substantial operating losses in each period since inception. We have incurred an accumulated deficit of $464.5 million through March 31, 2026. We expect to incur substantial additional losses in the future. For the three months ended March 31, 2026 and 2025, our cash operating expenditures were $19.7 million and $18.3 million, respectively. Based on our research and development plans, we expect that our cash, cash equivalents, and marketable securities as of March 31, 2026 will be sufficient to fund our planned operations until the end of the second quarter of 2027.</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based this estimate on assumptions that may prove to be wrong, however, and we could use our capital resources sooner than we expect.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payments we may receive under any future collaboration agreements;</w:t>
      </w:r>
    </w:p>
    <w:p>
      <w:pPr>
        <w:spacing w:after="0" w:line="117" w:lineRule="exact"/>
        <w:rPr>
          <w:rFonts w:ascii="Times New Roman" w:cs="Times New Roman" w:eastAsia="Times New Roman" w:hAnsi="Times New Roman"/>
          <w:sz w:val="18"/>
          <w:szCs w:val="18"/>
          <w:color w:val="auto"/>
        </w:rPr>
      </w:pPr>
    </w:p>
    <w:p>
      <w:pPr>
        <w:ind w:left="900" w:right="80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future licenses and research and development programs and to establish new collaboration and/or in-licensing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17" w:lineRule="exact"/>
        <w:rPr>
          <w:rFonts w:ascii="Times New Roman" w:cs="Times New Roman" w:eastAsia="Times New Roman" w:hAnsi="Times New Roman"/>
          <w:sz w:val="18"/>
          <w:szCs w:val="18"/>
          <w:color w:val="auto"/>
        </w:rPr>
      </w:pPr>
    </w:p>
    <w:p>
      <w:pPr>
        <w:ind w:left="900" w:right="94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manage our office and laboratory headquarters, enhance operational systems and hire additional personnel to support development of our product candidates and satisfy our obligations as a public company.</w:t>
      </w:r>
    </w:p>
    <w:p>
      <w:pPr>
        <w:spacing w:after="0" w:line="27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5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40" w:type="dxa"/>
            <w:vAlign w:val="bottom"/>
          </w:tcPr>
          <w:p>
            <w:pPr>
              <w:jc w:val="center"/>
              <w:ind w:left="691"/>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560" w:type="dxa"/>
            <w:vAlign w:val="bottom"/>
          </w:tcPr>
          <w:p>
            <w:pPr>
              <w:jc w:val="center"/>
              <w:ind w:right="717"/>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0"/>
                <w:szCs w:val="10"/>
                <w:color w:val="auto"/>
              </w:rPr>
            </w:pPr>
          </w:p>
        </w:tc>
      </w:tr>
      <w:tr>
        <w:trPr>
          <w:trHeight w:val="148"/>
        </w:trPr>
        <w:tc>
          <w:tcPr>
            <w:tcW w:w="5640" w:type="dxa"/>
            <w:vAlign w:val="bottom"/>
          </w:tcPr>
          <w:p>
            <w:pPr>
              <w:spacing w:after="0"/>
              <w:rPr>
                <w:sz w:val="12"/>
                <w:szCs w:val="12"/>
                <w:color w:val="auto"/>
              </w:rPr>
            </w:pPr>
          </w:p>
        </w:tc>
        <w:tc>
          <w:tcPr>
            <w:tcW w:w="2080" w:type="dxa"/>
            <w:vAlign w:val="bottom"/>
            <w:gridSpan w:val="2"/>
          </w:tcPr>
          <w:p>
            <w:pPr>
              <w:jc w:val="center"/>
              <w:ind w:left="1196"/>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60" w:type="dxa"/>
            <w:vAlign w:val="bottom"/>
          </w:tcPr>
          <w:p>
            <w:pPr>
              <w:jc w:val="center"/>
              <w:ind w:right="737"/>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73"/>
        </w:trPr>
        <w:tc>
          <w:tcPr>
            <w:tcW w:w="5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40" w:type="dxa"/>
            <w:vAlign w:val="bottom"/>
            <w:tcBorders>
              <w:bottom w:val="single" w:sz="8" w:color="auto"/>
            </w:tcBorders>
          </w:tcPr>
          <w:p>
            <w:pPr>
              <w:jc w:val="center"/>
              <w:ind w:left="69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697"/>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r>
      <w:tr>
        <w:trPr>
          <w:trHeight w:val="21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080" w:type="dxa"/>
            <w:vAlign w:val="bottom"/>
            <w:gridSpan w:val="2"/>
            <w:shd w:val="clear" w:color="auto" w:fill="CFF0FC"/>
          </w:tcPr>
          <w:p>
            <w:pPr>
              <w:jc w:val="right"/>
              <w:ind w:right="139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(19,679)</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(18,266)</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investing activities</w:t>
            </w: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20,824</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28,714</w:t>
            </w: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5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Impact of exchange rates on cash, cash equivalents, and restricted cash</w:t>
            </w:r>
          </w:p>
        </w:tc>
        <w:tc>
          <w:tcPr>
            <w:tcW w:w="54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r>
      <w:tr>
        <w:trPr>
          <w:trHeight w:val="22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080" w:type="dxa"/>
            <w:vAlign w:val="bottom"/>
            <w:gridSpan w:val="2"/>
            <w:shd w:val="clear" w:color="auto" w:fill="CFF0FC"/>
          </w:tcPr>
          <w:p>
            <w:pPr>
              <w:jc w:val="right"/>
              <w:ind w:right="139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100" w:type="dxa"/>
            <w:vAlign w:val="bottom"/>
            <w:shd w:val="clear" w:color="auto" w:fill="CFF0FC"/>
          </w:tcPr>
          <w:p>
            <w:pPr>
              <w:spacing w:after="0"/>
              <w:rPr>
                <w:sz w:val="19"/>
                <w:szCs w:val="19"/>
                <w:color w:val="auto"/>
              </w:rPr>
            </w:pPr>
          </w:p>
        </w:tc>
      </w:tr>
      <w:tr>
        <w:trPr>
          <w:trHeight w:val="20"/>
        </w:trPr>
        <w:tc>
          <w:tcPr>
            <w:tcW w:w="56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-25400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$19.7 million, which consisted primarily of net loss of $18.0 million, partially offset by non-cash charges of $1.0 million. Changes in our net operating assets decreased operating cash by $2.7 million. The non-cash charges primarily consisted of stock-based compensation of $1.4</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25" w:name="page26"/>
    <w:bookmarkEnd w:id="25"/>
    <w:p>
      <w:pPr>
        <w:ind w:right="260" w:firstLine="45"/>
        <w:spacing w:after="0" w:line="282" w:lineRule="auto"/>
        <w:rPr>
          <w:sz w:val="20"/>
          <w:szCs w:val="20"/>
          <w:color w:val="auto"/>
        </w:rPr>
      </w:pPr>
      <w:r>
        <w:rPr>
          <w:rFonts w:ascii="Times New Roman" w:cs="Times New Roman" w:eastAsia="Times New Roman" w:hAnsi="Times New Roman"/>
          <w:sz w:val="18"/>
          <w:szCs w:val="18"/>
          <w:color w:val="auto"/>
        </w:rPr>
        <w:t>million, and accretion of discounts on marketable securities of $0.4 million. The change in our net operating assets and liabilities was primarily due to a decrease in outstanding payables and accrued expenses.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was $18.3 million, which consisted primarily of net loss of $17.4 million partially offset by non-cash charges of $0.7 million. Changes in our net operating assets decreased operating cash by $1.5 million. The non-cash charges primarily consisted of stock-based compensation of $1.5 million, and accretion of discounts on marketable securities of $0.8 million. The change in our net operating assets and liabilities was primarily due to a decrease in prepaid expenses and other assets, an increase in outstanding payables and a decrease in accrued expenses.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investing activities provided $20.8 million of cash during the three months ended March 31, 2026, which consisted primarily of maturities of marketable securities of $31.5 million, partially offset by purchases of marketable securities of $10.7 million.</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investing activities provided $28.7 million of cash during the three months ended March 31, 2025, which consisted primarily of maturities of marketable securities of $44.4 million, partially offset by purchases of marketable securities of $15.7 million.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months ended March 31, 2026 and 2025, net cash provided by financing activities was zero.</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accounting principles generally accepted in the United States requires us to make estimates and judgments that affect the amounts reported in those condensed consolidated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7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 During the three-month period ended March 31, 2026, there were no material changes to our critical accounting policies from those described in our audited condensed consolidated financial statements for the year ended December 31, 2025, included in our Annual Report on Form 10-K filed with the SEC on March 6, 2026, except as noted below.</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Accrued Research and Development Costs and Related Prepaid Expenses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sourcing of raw materials and manufacturing of our product candidates, allocated facility-related expenses and external costs of outside vendors, and other direct and indirect costs. Non-refundable research and development advance payments are deferred and capitalized. The capitalized amounts are expensed as the related goods are delivered or services are performed.</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condensed consolidated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condensed consolidated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84" w:lineRule="exact"/>
        <w:rPr>
          <w:sz w:val="20"/>
          <w:szCs w:val="20"/>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6" w:name="page27"/>
    <w:bookmarkEnd w:id="26"/>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 and clinical trial materials.</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 of the notes to our unaudited condensed consolidated financial statements for the three months ended March 31, 2026 included elsewhere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 risks.</w:t>
      </w:r>
    </w:p>
    <w:p>
      <w:pPr>
        <w:spacing w:after="0" w:line="11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had cash, cash equivalents, and marketable securities of $93.5 million as of March 31, 2026. The Company’s cash equivalents consist of interest-bearing U.S. treasury securities, money market funds, and corporate debt securities. Our exposure due to changes in interest rates is not material due to the nature and amount of our money-market funds and marketable securities.</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our Securities Exchange Act of 1934, as amended,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carry out a variety of ongoing procedures, under the supervision and with the participation of our management, including our Chief Executive Officer and Chief Financial Officer, to evaluate the effectiveness of the design and operation of our disclosure controls and procedures. Based on the foregoing, our Chief Executive Officer and Chief Financial Officer concluded that our disclosure controls and procedures were effective at the reasonable assurance level as of March 31, 2026.</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during our most recent fiscal quarter that have materially affected, or are reasonably likely to materially affect, our internal control over financial reporting.</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7" w:name="page28"/>
    <w:bookmarkEnd w:id="2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involved in any litigation or legal proceedings that, in management’s opinion, are likely to have any material adverse effect on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the Company’s risk factors as set forth in Part I, Item 1A of the Company’s Annual Report on Form 10-K for the fiscal year ended December 31, 2025, as filed with the SEC on March 6, 2026, which are hereby incorporated by reference. You should carefully review and consider the information regarding such risk factors and the risks and uncertainties described elsewhere in this report which could materially affect our business, financial condition or future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 Unregistered Sales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 Use of Proceeds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initial public offering of our common stock was effected pursuant to a registration statement on Form S-1 (File No. 333-248627), which was declared effective by the SEC on September 24, 2020. There has been no material change in the planned use of proceeds from our initial public offering as described in our final prospectus filed with the SEC pursuant to Rule 424(b)(4) under the Securities Act on September 24, 2020.</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 Issuer 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jc w:val="center"/>
        <w:ind w:right="90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center"/>
        <w:ind w:right="9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46"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5180" w:type="dxa"/>
            <w:vAlign w:val="bottom"/>
            <w:gridSpan w:val="6"/>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0" w:type="dxa"/>
            <w:vAlign w:val="bottom"/>
            <w:vMerge w:val="restart"/>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0"/>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6"/>
                <w:szCs w:val="16"/>
                <w:color w:val="auto"/>
              </w:rPr>
            </w:pPr>
          </w:p>
        </w:tc>
        <w:tc>
          <w:tcPr>
            <w:tcW w:w="5180" w:type="dxa"/>
            <w:vAlign w:val="bottom"/>
            <w:gridSpan w:val="6"/>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7"/>
              </w:rPr>
              <w:t>3.1</w:t>
            </w:r>
          </w:p>
        </w:tc>
        <w:tc>
          <w:tcPr>
            <w:tcW w:w="5600" w:type="dxa"/>
            <w:vAlign w:val="bottom"/>
            <w:gridSpan w:val="7"/>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Amended and Restated Certificate of Incorporation of the Registrant</w:t>
              </w:r>
            </w:hyperlink>
            <w:r>
              <w:rPr>
                <w:rFonts w:ascii="Times New Roman" w:cs="Times New Roman" w:eastAsia="Times New Roman" w:hAnsi="Times New Roman"/>
                <w:sz w:val="18"/>
                <w:szCs w:val="18"/>
                <w:color w:val="000000"/>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001-39539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rPr>
              <w:t>September 29, 2020</w:t>
            </w: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7"/>
              </w:rPr>
              <w:t>3.2</w:t>
            </w:r>
          </w:p>
        </w:tc>
        <w:tc>
          <w:tcPr>
            <w:tcW w:w="5600" w:type="dxa"/>
            <w:vAlign w:val="bottom"/>
            <w:gridSpan w:val="7"/>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Amended and Restated Bylaws of the Registrant</w:t>
              </w:r>
            </w:hyperlink>
            <w:r>
              <w:rPr>
                <w:rFonts w:ascii="Times New Roman" w:cs="Times New Roman" w:eastAsia="Times New Roman" w:hAnsi="Times New Roman"/>
                <w:sz w:val="18"/>
                <w:szCs w:val="18"/>
                <w:color w:val="000000"/>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001-39539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60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rPr>
              <w:t>May 10, 2023</w:t>
            </w: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rPr>
              <w:t>31.1+</w:t>
            </w: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15d-14(a) under the Securities Exchange Act of 1934, as Adopted Pursuant to</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EE"/>
            </w:tcBorders>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rPr>
              <w:t>31.2+</w:t>
            </w: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15d-14(a) under the Securities Exchange Act of 1934, as Adopted Pursuant to</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EE"/>
            </w:tcBorders>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8"/>
              </w:rPr>
              <w:t>32.1+†</w:t>
            </w: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3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8"/>
              </w:rPr>
              <w:t>32.2+†</w:t>
            </w: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300" w:type="dxa"/>
            <w:vAlign w:val="bottom"/>
            <w:gridSpan w:val="5"/>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3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92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w w:val="99"/>
              </w:rPr>
              <w:t>101.INS</w:t>
            </w: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Interactive Data File because XBRL tags are embedded within the Inline</w:t>
            </w: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9"/>
              </w:rPr>
              <w:t>101.SCH</w:t>
            </w: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40" w:right="4520" w:hanging="708"/>
        <w:spacing w:after="0" w:line="282" w:lineRule="auto"/>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34" w:lineRule="exact"/>
        <w:rPr>
          <w:rFonts w:ascii="Times New Roman" w:cs="Times New Roman" w:eastAsia="Times New Roman" w:hAnsi="Times New Roman"/>
          <w:sz w:val="18"/>
          <w:szCs w:val="18"/>
          <w:color w:val="auto"/>
        </w:rPr>
      </w:pPr>
    </w:p>
    <w:p>
      <w:pPr>
        <w:jc w:val="both"/>
        <w:ind w:firstLine="8"/>
        <w:spacing w:after="0" w:line="261" w:lineRule="auto"/>
        <w:tabs>
          <w:tab w:leader="none" w:pos="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9512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46" w:right="5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PMV Pharmaceuticals,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5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H. Mack</w:t>
            </w:r>
          </w:p>
        </w:tc>
      </w:tr>
      <w:tr>
        <w:trPr>
          <w:trHeight w:val="191"/>
        </w:trPr>
        <w:tc>
          <w:tcPr>
            <w:tcW w:w="35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David H. Mack, Ph.D.</w:t>
            </w:r>
          </w:p>
        </w:tc>
      </w:tr>
      <w:tr>
        <w:trPr>
          <w:trHeight w:val="216"/>
        </w:trPr>
        <w:tc>
          <w:tcPr>
            <w:tcW w:w="3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r>
      <w:tr>
        <w:trPr>
          <w:trHeight w:val="234"/>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20" w:type="dxa"/>
            <w:vAlign w:val="bottom"/>
          </w:tcPr>
          <w:p>
            <w:pPr>
              <w:spacing w:after="0"/>
              <w:rPr>
                <w:sz w:val="24"/>
                <w:szCs w:val="24"/>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PMV Pharmaceuticals,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5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Carulli</w:t>
            </w:r>
          </w:p>
        </w:tc>
      </w:tr>
      <w:tr>
        <w:trPr>
          <w:trHeight w:val="191"/>
        </w:trPr>
        <w:tc>
          <w:tcPr>
            <w:tcW w:w="35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Michael Carulli</w:t>
            </w:r>
          </w:p>
        </w:tc>
      </w:tr>
      <w:tr>
        <w:trPr>
          <w:trHeight w:val="216"/>
        </w:trPr>
        <w:tc>
          <w:tcPr>
            <w:tcW w:w="3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21"/>
        </w:trPr>
        <w:tc>
          <w:tcPr>
            <w:tcW w:w="3520" w:type="dxa"/>
            <w:vAlign w:val="bottom"/>
          </w:tcPr>
          <w:p>
            <w:pPr>
              <w:spacing w:after="0"/>
              <w:rPr>
                <w:sz w:val="24"/>
                <w:szCs w:val="24"/>
                <w:color w:val="auto"/>
              </w:rPr>
            </w:pPr>
          </w:p>
        </w:tc>
        <w:tc>
          <w:tcPr>
            <w:tcW w:w="25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26</w:t>
            </w:r>
          </w:p>
        </w:tc>
        <w:tc>
          <w:tcPr>
            <w:tcW w:w="5160" w:type="dxa"/>
            <w:vAlign w:val="bottom"/>
          </w:tcPr>
          <w:p>
            <w:pPr>
              <w:spacing w:after="0"/>
              <w:rPr>
                <w:sz w:val="24"/>
                <w:szCs w:val="24"/>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 Mack, certify that:</w:t>
      </w:r>
    </w:p>
    <w:p>
      <w:pPr>
        <w:spacing w:after="0" w:line="22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PMV Pharmaceuticals,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000" w:val="left"/>
          <w:tab w:leader="none" w:pos="816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346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1"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David H. Mack, Ph.D.</w:t>
      </w:r>
    </w:p>
    <w:p>
      <w:pPr>
        <w:spacing w:after="0" w:line="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Carulli, certify that:</w:t>
      </w:r>
    </w:p>
    <w:p>
      <w:pPr>
        <w:spacing w:after="0" w:line="225"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PMV Pharmaceuticals,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000" w:val="left"/>
          <w:tab w:leader="none" w:pos="814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346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1"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31, 2026, of PMV Pharmaceuticals, Inc. (the “Company”)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5660" w:val="left"/>
          <w:tab w:leader="none" w:pos="800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David H. Mack, Ph.D.</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31, 2026, of PMV Pharmaceuticals, Inc. (the “Company”)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5660" w:val="left"/>
          <w:tab w:leader="none" w:pos="798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6"/>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lvl w:ilvl="1">
      <w:lvlJc w:val="left"/>
      <w:lvlText w:val="%2"/>
      <w:numFmt w:val="decimal"/>
      <w:start w:val="10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193" Type="http://schemas.openxmlformats.org/officeDocument/2006/relationships/hyperlink" Target="https://www.sec.gov/Archives/edgar/data/1699382/000119312520257820/d95525dex31.htm" TargetMode="External"/><Relationship Id="rId194" Type="http://schemas.openxmlformats.org/officeDocument/2006/relationships/hyperlink" Target="https://www.sec.gov/Archives/edgar/data/1699382/000095017023020100/pmvp-ex3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2026-05-12T07:03:59Z</dcterms:created>
  <dcterms:modified xsi:type="dcterms:W3CDTF">2026-05-12T07:03:59Z</dcterms:modified>
</cp:coreProperties>
</file>