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60" w:right="1620" w:hanging="3639"/>
        <w:spacing w:after="0" w:line="344"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46-3218129</w:t>
            </w:r>
          </w:p>
        </w:tc>
      </w:tr>
      <w:tr>
        <w:trPr>
          <w:trHeight w:val="153"/>
        </w:trPr>
        <w:tc>
          <w:tcPr>
            <w:tcW w:w="4320" w:type="dxa"/>
            <w:vAlign w:val="bottom"/>
          </w:tcPr>
          <w:p>
            <w:pPr>
              <w:jc w:val="center"/>
              <w:ind w:right="183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One Research Way</w:t>
            </w:r>
          </w:p>
        </w:tc>
        <w:tc>
          <w:tcPr>
            <w:tcW w:w="3060" w:type="dxa"/>
            <w:vAlign w:val="bottom"/>
          </w:tcPr>
          <w:p>
            <w:pPr>
              <w:spacing w:after="0"/>
              <w:rPr>
                <w:sz w:val="24"/>
                <w:szCs w:val="24"/>
                <w:color w:val="auto"/>
              </w:rPr>
            </w:pPr>
          </w:p>
        </w:tc>
      </w:tr>
      <w:tr>
        <w:trPr>
          <w:trHeight w:val="234"/>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Princeton, NJ</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08540</w:t>
            </w:r>
          </w:p>
        </w:tc>
      </w:tr>
      <w:tr>
        <w:trPr>
          <w:trHeight w:val="190"/>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90"/>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80" w:firstLine="50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40" w:firstLine="509"/>
        <w:spacing w:after="0" w:line="22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260" w:firstLine="509"/>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3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Arial" w:cs="Arial" w:eastAsia="Arial" w:hAnsi="Arial"/>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20" w:type="dxa"/>
            <w:vAlign w:val="bottom"/>
          </w:tcPr>
          <w:p>
            <w:pPr>
              <w:spacing w:after="0"/>
              <w:rPr>
                <w:sz w:val="20"/>
                <w:szCs w:val="20"/>
                <w:color w:val="auto"/>
              </w:rPr>
            </w:pPr>
            <w:r>
              <w:rPr>
                <w:rFonts w:ascii="Arial" w:cs="Arial" w:eastAsia="Arial" w:hAnsi="Arial"/>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Arial" w:cs="Arial" w:eastAsia="Arial" w:hAnsi="Arial"/>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9" w:lineRule="exact"/>
        <w:rPr>
          <w:sz w:val="24"/>
          <w:szCs w:val="24"/>
          <w:color w:val="auto"/>
        </w:rPr>
      </w:pPr>
    </w:p>
    <w:p>
      <w:pPr>
        <w:ind w:right="20" w:firstLine="509"/>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520"/>
        <w:spacing w:after="0" w:line="196" w:lineRule="exact"/>
        <w:tabs>
          <w:tab w:leader="none" w:pos="89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7" w:lineRule="exact"/>
        <w:rPr>
          <w:sz w:val="24"/>
          <w:szCs w:val="24"/>
          <w:color w:val="auto"/>
        </w:rPr>
      </w:pPr>
    </w:p>
    <w:p>
      <w:pPr>
        <w:ind w:right="40" w:firstLine="509"/>
        <w:spacing w:after="0" w:line="230"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November 7, 2023, the registrant had 51,157,636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0000FF"/>
              </w:rPr>
              <w:t>Condensed 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Condensed Balance Sheets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Condensed Statements of Operations and Comprehensive Loss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Condensed Statements of Stockholders’ Equity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Condensed Statements of Cash Flows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Notes to Unaudited Condensed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tcBorders>
              <w:left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8"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right="2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when needed, including funding necessary to complete further development and commercialization of our product candidates, if approved;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for each of our programs including patients expected to have certain p53 mutations and the number of patients that will enroll in our clinical trials;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00" w:right="20" w:hanging="383"/>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75"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 w:name="page4"/>
    <w:bookmarkEnd w:id="3"/>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rely on third parties to conduct and support preclinical and clinical development;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 and</w:t>
      </w:r>
    </w:p>
    <w:p>
      <w:pPr>
        <w:spacing w:after="0" w:line="128" w:lineRule="exact"/>
        <w:rPr>
          <w:rFonts w:ascii="Arial" w:cs="Arial" w:eastAsia="Arial" w:hAnsi="Arial"/>
          <w:sz w:val="17"/>
          <w:szCs w:val="17"/>
          <w:color w:val="auto"/>
        </w:rPr>
      </w:pPr>
    </w:p>
    <w:p>
      <w:pPr>
        <w:ind w:left="900" w:right="220" w:hanging="383"/>
        <w:spacing w:after="0" w:line="2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ongoing COVID-19 pandemic, geopolitical tensions such as the Ukraine-Russia war, macroeconomic events such as global supply chain challenges, elevated inflation and interest rates and monetary policy changes, or other potential global disruptions on our business.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2022, filed with the United States Securities and Exchange Commission on March 1, 2023,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 current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149,861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205,296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 noncurrent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8,545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261,027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10,716</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rPr>
              <w:t>Preferred stock, $0.00001 par value, 5,000,000 shares authorized at September 30, 2023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w w:val="97"/>
              </w:rPr>
              <w:t>December 31, 2022. No shares issued or outstanding at September 30, 2023 and December 31,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$0.00001 par value, 1,000,000,000 shares authorized; 51,157,636 and</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45,771,332 shares issued and outstanding at September 30, 2023 and December 31, 2022,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532,214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(294,247 )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(241,043 )</w:t>
            </w: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(355 )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(445 )</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237,612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261,027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-3274060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-2313940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341"/>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20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13,586</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13,666</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42,503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36,963</w:t>
            </w:r>
          </w:p>
        </w:tc>
        <w:tc>
          <w:tcPr>
            <w:tcW w:w="100" w:type="dxa"/>
            <w:vAlign w:val="bottom"/>
          </w:tcPr>
          <w:p>
            <w:pPr>
              <w:spacing w:after="0"/>
              <w:rPr>
                <w:sz w:val="20"/>
                <w:szCs w:val="20"/>
                <w:color w:val="auto"/>
              </w:rPr>
            </w:pPr>
          </w:p>
        </w:tc>
      </w:tr>
      <w:tr>
        <w:trPr>
          <w:trHeight w:val="249"/>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55,878</w:t>
            </w:r>
          </w:p>
        </w:tc>
        <w:tc>
          <w:tcPr>
            <w:tcW w:w="100" w:type="dxa"/>
            <w:vAlign w:val="bottom"/>
          </w:tcPr>
          <w:p>
            <w:pPr>
              <w:spacing w:after="0"/>
              <w:rPr>
                <w:sz w:val="20"/>
                <w:szCs w:val="20"/>
                <w:color w:val="auto"/>
              </w:rPr>
            </w:pPr>
          </w:p>
        </w:tc>
      </w:tr>
      <w:tr>
        <w:trPr>
          <w:trHeight w:val="237"/>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(55,878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r>
      <w:tr>
        <w:trPr>
          <w:trHeight w:val="237"/>
        </w:trPr>
        <w:tc>
          <w:tcPr>
            <w:tcW w:w="5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Loss before (benefit) provision for income taxes</w:t>
            </w:r>
          </w:p>
        </w:tc>
        <w:tc>
          <w:tcPr>
            <w:tcW w:w="14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(16,640 )</w:t>
            </w:r>
          </w:p>
        </w:tc>
        <w:tc>
          <w:tcPr>
            <w:tcW w:w="22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(18,238 )</w:t>
            </w:r>
          </w:p>
        </w:tc>
        <w:tc>
          <w:tcPr>
            <w:tcW w:w="14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(53,201 )</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(53,981 )</w:t>
            </w:r>
          </w:p>
        </w:tc>
      </w:tr>
      <w:tr>
        <w:trPr>
          <w:trHeight w:val="249"/>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(9 )</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(16,640 )</w:t>
            </w:r>
          </w:p>
        </w:tc>
        <w:tc>
          <w:tcPr>
            <w:tcW w:w="22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(18,229 )</w:t>
            </w:r>
          </w:p>
        </w:tc>
        <w:tc>
          <w:tcPr>
            <w:tcW w:w="14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(53,204 )</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(53,972 )</w:t>
            </w:r>
          </w:p>
        </w:tc>
      </w:tr>
      <w:tr>
        <w:trPr>
          <w:trHeight w:val="249"/>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Unrealized (loss) gain on available for sale investments, net of tax</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(27 )</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(947 )</w:t>
            </w: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(16,667 )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(18,231 )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(53,114 )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(54,919 )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spacing w:after="0"/>
              <w:rPr>
                <w:sz w:val="19"/>
                <w:szCs w:val="19"/>
                <w:color w:val="auto"/>
              </w:rPr>
            </w:pPr>
          </w:p>
        </w:tc>
      </w:tr>
      <w:tr>
        <w:trPr>
          <w:trHeight w:val="243"/>
        </w:trPr>
        <w:tc>
          <w:tcPr>
            <w:tcW w:w="5820" w:type="dxa"/>
            <w:vAlign w:val="bottom"/>
          </w:tcPr>
          <w:p>
            <w:pPr>
              <w:ind w:left="200"/>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(0.34 )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(0.40 )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(1.13 )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(1.18 )</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49,047,296</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45,622,957</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46,889,921</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45,556,635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-2287905</wp:posOffset>
            </wp:positionV>
            <wp:extent cx="774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-2287905</wp:posOffset>
            </wp:positionV>
            <wp:extent cx="7747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-2287905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-1336675</wp:posOffset>
            </wp:positionV>
            <wp:extent cx="7747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-1336675</wp:posOffset>
            </wp:positionV>
            <wp:extent cx="7747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-1336675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-1019810</wp:posOffset>
            </wp:positionV>
            <wp:extent cx="7747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-1019810</wp:posOffset>
            </wp:positionV>
            <wp:extent cx="7747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-1019810</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-702310</wp:posOffset>
            </wp:positionV>
            <wp:extent cx="7747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-702310</wp:posOffset>
            </wp:positionV>
            <wp:extent cx="7747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-702310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restart"/>
          </w:tcPr>
          <w:p>
            <w:pPr>
              <w:jc w:val="right"/>
              <w:ind w:right="344"/>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82"/>
              <w:spacing w:after="0" w:line="135" w:lineRule="exact"/>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Comprehensiv</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62"/>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2"/>
              </w:rPr>
              <w:t>e</w:t>
            </w:r>
          </w:p>
        </w:tc>
        <w:tc>
          <w:tcPr>
            <w:tcW w:w="10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3"/>
              </w:rPr>
              <w:t>Accumulated</w:t>
            </w: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6"/>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45,433,684</w:t>
            </w:r>
          </w:p>
        </w:tc>
        <w:tc>
          <w:tcPr>
            <w:tcW w:w="880" w:type="dxa"/>
            <w:vAlign w:val="bottom"/>
            <w:gridSpan w:val="2"/>
            <w:shd w:val="clear" w:color="auto" w:fill="CFF0FC"/>
          </w:tcPr>
          <w:p>
            <w:pPr>
              <w:jc w:val="right"/>
              <w:ind w:right="464"/>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476,363</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(78 )</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8"/>
              </w:rPr>
              <w:t>(167,726 )</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98,708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(18,433 )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(18,433 )</w:t>
            </w:r>
          </w:p>
        </w:tc>
        <w:tc>
          <w:tcPr>
            <w:tcW w:w="0" w:type="dxa"/>
            <w:vAlign w:val="bottom"/>
          </w:tcPr>
          <w:p>
            <w:pPr>
              <w:spacing w:after="0"/>
              <w:rPr>
                <w:sz w:val="1"/>
                <w:szCs w:val="1"/>
                <w:color w:val="auto"/>
              </w:rPr>
            </w:pPr>
          </w:p>
        </w:tc>
      </w:tr>
      <w:tr>
        <w:trPr>
          <w:trHeight w:val="236"/>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Unrealized loss on available for sale investments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(588 )</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(588 )</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March 31, 2022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45,532,392</w:t>
            </w:r>
          </w:p>
        </w:tc>
        <w:tc>
          <w:tcPr>
            <w:tcW w:w="240" w:type="dxa"/>
            <w:vAlign w:val="bottom"/>
          </w:tcPr>
          <w:p>
            <w:pPr>
              <w:spacing w:after="0"/>
              <w:rPr>
                <w:sz w:val="19"/>
                <w:szCs w:val="19"/>
                <w:color w:val="auto"/>
              </w:rPr>
            </w:pPr>
          </w:p>
        </w:tc>
        <w:tc>
          <w:tcPr>
            <w:tcW w:w="640" w:type="dxa"/>
            <w:vAlign w:val="bottom"/>
          </w:tcPr>
          <w:p>
            <w:pPr>
              <w:jc w:val="right"/>
              <w:ind w:right="464"/>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478,668</w:t>
            </w:r>
          </w:p>
        </w:tc>
        <w:tc>
          <w:tcPr>
            <w:tcW w:w="2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(666 )</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(186,159 )</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90,218</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(17,310 )</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(17,310 )</w:t>
            </w:r>
          </w:p>
        </w:tc>
        <w:tc>
          <w:tcPr>
            <w:tcW w:w="0" w:type="dxa"/>
            <w:vAlign w:val="bottom"/>
          </w:tcPr>
          <w:p>
            <w:pPr>
              <w:spacing w:after="0"/>
              <w:rPr>
                <w:sz w:val="1"/>
                <w:szCs w:val="1"/>
                <w:color w:val="auto"/>
              </w:rPr>
            </w:pPr>
          </w:p>
        </w:tc>
      </w:tr>
      <w:tr>
        <w:trPr>
          <w:trHeight w:val="227"/>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Unrealized loss on available for sale investments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(357 )</w:t>
            </w: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12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45,622,610</w:t>
            </w:r>
          </w:p>
        </w:tc>
        <w:tc>
          <w:tcPr>
            <w:tcW w:w="240" w:type="dxa"/>
            <w:vAlign w:val="bottom"/>
            <w:shd w:val="clear" w:color="auto" w:fill="CFF0FC"/>
          </w:tcPr>
          <w:p>
            <w:pPr>
              <w:spacing w:after="0"/>
              <w:rPr>
                <w:sz w:val="23"/>
                <w:szCs w:val="23"/>
                <w:color w:val="auto"/>
              </w:rPr>
            </w:pPr>
          </w:p>
        </w:tc>
        <w:tc>
          <w:tcPr>
            <w:tcW w:w="640" w:type="dxa"/>
            <w:vAlign w:val="bottom"/>
            <w:shd w:val="clear" w:color="auto" w:fill="CFF0FC"/>
          </w:tcPr>
          <w:p>
            <w:pPr>
              <w:jc w:val="right"/>
              <w:ind w:right="464"/>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481,462</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(1,023 )</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8"/>
              </w:rPr>
              <w:t>(203,469 )</w:t>
            </w:r>
          </w:p>
        </w:tc>
        <w:tc>
          <w:tcPr>
            <w:tcW w:w="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276,970</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4620" w:type="dxa"/>
            <w:vAlign w:val="bottom"/>
            <w:tcBorders>
              <w:top w:val="single" w:sz="8" w:color="CFF0FC"/>
              <w:right w:val="single" w:sz="8" w:color="auto"/>
            </w:tcBorders>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24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(18,229 )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(18,229 )</w:t>
            </w:r>
          </w:p>
        </w:tc>
        <w:tc>
          <w:tcPr>
            <w:tcW w:w="0" w:type="dxa"/>
            <w:vAlign w:val="bottom"/>
          </w:tcPr>
          <w:p>
            <w:pPr>
              <w:spacing w:after="0"/>
              <w:rPr>
                <w:sz w:val="1"/>
                <w:szCs w:val="1"/>
                <w:color w:val="auto"/>
              </w:rPr>
            </w:pPr>
          </w:p>
        </w:tc>
      </w:tr>
      <w:tr>
        <w:trPr>
          <w:trHeight w:val="236"/>
        </w:trPr>
        <w:tc>
          <w:tcPr>
            <w:tcW w:w="4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Unrealized loss on available for sale investments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(2 )</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September 30, 2022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45,624,860</w:t>
            </w:r>
          </w:p>
        </w:tc>
        <w:tc>
          <w:tcPr>
            <w:tcW w:w="240" w:type="dxa"/>
            <w:vAlign w:val="bottom"/>
          </w:tcPr>
          <w:p>
            <w:pPr>
              <w:spacing w:after="0"/>
              <w:rPr>
                <w:sz w:val="19"/>
                <w:szCs w:val="19"/>
                <w:color w:val="auto"/>
              </w:rPr>
            </w:pPr>
          </w:p>
        </w:tc>
        <w:tc>
          <w:tcPr>
            <w:tcW w:w="640" w:type="dxa"/>
            <w:vAlign w:val="bottom"/>
          </w:tcPr>
          <w:p>
            <w:pPr>
              <w:jc w:val="right"/>
              <w:ind w:right="464"/>
              <w:spacing w:after="0"/>
              <w:rPr>
                <w:sz w:val="20"/>
                <w:szCs w:val="20"/>
                <w:color w:val="auto"/>
              </w:rPr>
            </w:pPr>
            <w:r>
              <w:rPr>
                <w:rFonts w:ascii="Arial" w:cs="Arial" w:eastAsia="Arial" w:hAnsi="Arial"/>
                <w:sz w:val="16"/>
                <w:szCs w:val="16"/>
                <w:color w:val="auto"/>
                <w:w w:val="89"/>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483,916</w:t>
            </w:r>
          </w:p>
        </w:tc>
        <w:tc>
          <w:tcPr>
            <w:tcW w:w="2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(1,025 )</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(221,698 )</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261,193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-1705610</wp:posOffset>
            </wp:positionV>
            <wp:extent cx="7683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-1705610</wp:posOffset>
            </wp:positionV>
            <wp:extent cx="7747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-1705610</wp:posOffset>
            </wp:positionV>
            <wp:extent cx="6858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-1705610</wp:posOffset>
            </wp:positionV>
            <wp:extent cx="6858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-1705610</wp:posOffset>
            </wp:positionV>
            <wp:extent cx="6858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-788035</wp:posOffset>
            </wp:positionV>
            <wp:extent cx="35229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2298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-179070</wp:posOffset>
            </wp:positionV>
            <wp:extent cx="7683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-179070</wp:posOffset>
            </wp:positionV>
            <wp:extent cx="7747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-179070</wp:posOffset>
            </wp:positionV>
            <wp:extent cx="6858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-179070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-179070</wp:posOffset>
            </wp:positionV>
            <wp:extent cx="685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50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0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4"/>
            <w:vMerge w:val="restart"/>
          </w:tcPr>
          <w:p>
            <w:pPr>
              <w:ind w:left="54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42"/>
              <w:spacing w:after="0" w:line="135" w:lineRule="exact"/>
              <w:rPr>
                <w:sz w:val="20"/>
                <w:szCs w:val="20"/>
                <w:color w:val="auto"/>
              </w:rPr>
            </w:pPr>
            <w:r>
              <w:rPr>
                <w:rFonts w:ascii="Arial" w:cs="Arial" w:eastAsia="Arial" w:hAnsi="Arial"/>
                <w:sz w:val="13"/>
                <w:szCs w:val="13"/>
                <w:b w:val="1"/>
                <w:bCs w:val="1"/>
                <w:color w:val="auto"/>
                <w:w w:val="88"/>
              </w:rPr>
              <w:t>Additional</w:t>
            </w: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50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22"/>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2"/>
              </w:rPr>
              <w:t>ve</w:t>
            </w:r>
          </w:p>
        </w:tc>
        <w:tc>
          <w:tcPr>
            <w:tcW w:w="10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0"/>
              </w:rPr>
              <w:t>Accumulated</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50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45,771,332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487,516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(445 )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3"/>
              </w:rPr>
              <w:t>(241,043 )</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(19,128 )</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(19,128 )</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Unrealized gain on available for sale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March 31, 2023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45,774,761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490,460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(116 )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(260,171 )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230,173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24,417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344,358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(17,436 )</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(17,436 )</w:t>
            </w:r>
          </w:p>
        </w:tc>
        <w:tc>
          <w:tcPr>
            <w:tcW w:w="0" w:type="dxa"/>
            <w:vAlign w:val="bottom"/>
          </w:tcPr>
          <w:p>
            <w:pPr>
              <w:spacing w:after="0"/>
              <w:rPr>
                <w:sz w:val="1"/>
                <w:szCs w:val="1"/>
                <w:color w:val="auto"/>
              </w:rPr>
            </w:pPr>
          </w:p>
        </w:tc>
      </w:tr>
      <w:tr>
        <w:trPr>
          <w:trHeight w:val="236"/>
        </w:trPr>
        <w:tc>
          <w:tcPr>
            <w:tcW w:w="5040" w:type="dxa"/>
            <w:vAlign w:val="bottom"/>
            <w:tcBorders>
              <w:right w:val="single" w:sz="8" w:color="auto"/>
            </w:tcBorders>
            <w:shd w:val="clear" w:color="auto" w:fill="CCECFF"/>
          </w:tcPr>
          <w:p>
            <w:pPr>
              <w:ind w:left="20"/>
              <w:spacing w:after="0"/>
              <w:rPr>
                <w:sz w:val="20"/>
                <w:szCs w:val="20"/>
                <w:color w:val="auto"/>
              </w:rPr>
            </w:pPr>
            <w:r>
              <w:rPr>
                <w:rFonts w:ascii="Arial" w:cs="Arial" w:eastAsia="Arial" w:hAnsi="Arial"/>
                <w:sz w:val="16"/>
                <w:szCs w:val="16"/>
                <w:color w:val="auto"/>
              </w:rPr>
              <w:t>Unrealized loss on available for sale investments</w:t>
            </w:r>
          </w:p>
        </w:tc>
        <w:tc>
          <w:tcPr>
            <w:tcW w:w="120" w:type="dxa"/>
            <w:vAlign w:val="bottom"/>
            <w:shd w:val="clear" w:color="auto" w:fill="CCECFF"/>
          </w:tcPr>
          <w:p>
            <w:pPr>
              <w:spacing w:after="0"/>
              <w:rPr>
                <w:sz w:val="20"/>
                <w:szCs w:val="20"/>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640" w:type="dxa"/>
            <w:vAlign w:val="bottom"/>
            <w:shd w:val="clear" w:color="auto" w:fill="CCECFF"/>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6"/>
                <w:szCs w:val="16"/>
                <w:color w:val="auto"/>
              </w:rPr>
              <w:t>(212 )</w:t>
            </w:r>
          </w:p>
        </w:tc>
        <w:tc>
          <w:tcPr>
            <w:tcW w:w="16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CFF"/>
          </w:tcPr>
          <w:p>
            <w:pPr>
              <w:spacing w:after="0"/>
              <w:rPr>
                <w:sz w:val="20"/>
                <w:szCs w:val="20"/>
                <w:color w:val="auto"/>
              </w:rPr>
            </w:pPr>
          </w:p>
        </w:tc>
        <w:tc>
          <w:tcPr>
            <w:tcW w:w="74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20"/>
        </w:trPr>
        <w:tc>
          <w:tcPr>
            <w:tcW w:w="5040" w:type="dxa"/>
            <w:vAlign w:val="bottom"/>
            <w:tcBorders>
              <w:right w:val="single" w:sz="8" w:color="auto"/>
            </w:tcBorders>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June 30, 2023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46,143,536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495,744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(328 )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(277,607 )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217,809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209,012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4,805,088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33,095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(16,640 )</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(16,640 )</w:t>
            </w:r>
          </w:p>
        </w:tc>
        <w:tc>
          <w:tcPr>
            <w:tcW w:w="0" w:type="dxa"/>
            <w:vAlign w:val="bottom"/>
          </w:tcPr>
          <w:p>
            <w:pPr>
              <w:spacing w:after="0"/>
              <w:rPr>
                <w:sz w:val="1"/>
                <w:szCs w:val="1"/>
                <w:color w:val="auto"/>
              </w:rPr>
            </w:pPr>
          </w:p>
        </w:tc>
      </w:tr>
      <w:tr>
        <w:trPr>
          <w:trHeight w:val="236"/>
        </w:trPr>
        <w:tc>
          <w:tcPr>
            <w:tcW w:w="50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Unrealized loss on available for sale investments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(27 )</w:t>
            </w:r>
          </w:p>
        </w:tc>
        <w:tc>
          <w:tcPr>
            <w:tcW w:w="1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50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Balance at September 30, 2023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51,157,636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532,214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(355 )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(294,247 )</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237,612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-1996440</wp:posOffset>
            </wp:positionV>
            <wp:extent cx="7747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-1996440</wp:posOffset>
            </wp:positionV>
            <wp:extent cx="76835"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-1996440</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-1996440</wp:posOffset>
            </wp:positionV>
            <wp:extent cx="685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-1996440</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-1087755</wp:posOffset>
            </wp:positionV>
            <wp:extent cx="7747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-1087755</wp:posOffset>
            </wp:positionV>
            <wp:extent cx="76835"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-1087755</wp:posOffset>
            </wp:positionV>
            <wp:extent cx="6858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-1087755</wp:posOffset>
            </wp:positionV>
            <wp:extent cx="6858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-1087755</wp:posOffset>
            </wp:positionV>
            <wp:extent cx="6858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-179070</wp:posOffset>
            </wp:positionV>
            <wp:extent cx="7747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-179070</wp:posOffset>
            </wp:positionV>
            <wp:extent cx="7683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-179070</wp:posOffset>
            </wp:positionV>
            <wp:extent cx="685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-179070</wp:posOffset>
            </wp:positionV>
            <wp:extent cx="6858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-179070</wp:posOffset>
            </wp:positionV>
            <wp:extent cx="6858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(53,204 )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(53,972 )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(Accretion) of premiums on marketable securities</w:t>
            </w:r>
          </w:p>
        </w:tc>
        <w:tc>
          <w:tcPr>
            <w:tcW w:w="360" w:type="dxa"/>
            <w:vAlign w:val="bottom"/>
          </w:tcPr>
          <w:p>
            <w:pPr>
              <w:spacing w:after="0"/>
              <w:rPr>
                <w:sz w:val="20"/>
                <w:szCs w:val="20"/>
                <w:color w:val="auto"/>
              </w:rPr>
            </w:pP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(3,511 )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(102 )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(income) expense</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(283 )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0"/>
                <w:szCs w:val="20"/>
                <w:color w:val="auto"/>
              </w:rPr>
            </w:pPr>
          </w:p>
        </w:tc>
        <w:tc>
          <w:tcPr>
            <w:tcW w:w="15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(2,196 )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and liabilities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0"/>
                <w:szCs w:val="20"/>
                <w:color w:val="auto"/>
              </w:rPr>
            </w:pP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(1,318 )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(2,191 )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0"/>
                <w:szCs w:val="20"/>
                <w:color w:val="auto"/>
              </w:rPr>
            </w:pP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(43,572 )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(48,436 )</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0"/>
                <w:szCs w:val="20"/>
                <w:color w:val="auto"/>
              </w:rPr>
            </w:pP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(765 )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(6,346 )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(187,147 )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(194,512 )</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139,955</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176,267</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(47,957</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2"/>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net of issuance costs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r>
      <w:tr>
        <w:trPr>
          <w:trHeight w:val="237"/>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35,289</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56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spacing w:after="0"/>
              <w:rPr>
                <w:sz w:val="20"/>
                <w:szCs w:val="20"/>
                <w:color w:val="auto"/>
              </w:rPr>
            </w:pP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(56,240 )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(72,617 )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109,119</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173,289</w:t>
            </w:r>
          </w:p>
        </w:tc>
        <w:tc>
          <w:tcPr>
            <w:tcW w:w="100" w:type="dxa"/>
            <w:vAlign w:val="bottom"/>
          </w:tcPr>
          <w:p>
            <w:pPr>
              <w:spacing w:after="0"/>
              <w:rPr>
                <w:sz w:val="21"/>
                <w:szCs w:val="21"/>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52,879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purchases of property and equipment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-2553970</wp:posOffset>
            </wp:positionV>
            <wp:extent cx="7683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-1602105</wp:posOffset>
            </wp:positionV>
            <wp:extent cx="7683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-967740</wp:posOffset>
            </wp:positionV>
            <wp:extent cx="7683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123444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17970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03" w:lineRule="exact"/>
        <w:rPr>
          <w:sz w:val="20"/>
          <w:szCs w:val="20"/>
          <w:color w:val="auto"/>
        </w:rPr>
      </w:pPr>
    </w:p>
    <w:p>
      <w:pPr>
        <w:ind w:left="520" w:right="7980" w:hanging="512"/>
        <w:spacing w:after="0" w:line="450" w:lineRule="auto"/>
        <w:tabs>
          <w:tab w:leader="none" w:pos="191"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Formation and Business of the Company Organization and Liquidity</w:t>
      </w:r>
    </w:p>
    <w:p>
      <w:pPr>
        <w:spacing w:after="0" w:line="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One Research Way, Princeton, New Jersey.</w:t>
      </w:r>
    </w:p>
    <w:p>
      <w:pPr>
        <w:spacing w:after="0" w:line="7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Company has incurred net losses and negative cash flows from operations since its inception. During the three and nine months ended September 30, 2023, the Company incurred a net loss of $16,640 and $53,204, respectively. For the nine months ended September 30, 2023, the Company used $43,572 of cash for operations. At September 30, 2023, the Company had an accumulated deficit of $294,247. Cash, cash equivalents, and marketable securities were $238,102 as of September 30, 2023.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2022, included in the Company’s Annual Report on Form 10-K filed with the United States Securities and Exchange Commission (the “SEC”) on March 1, 2023. Since the date of those financial statements, there have been no changes to its significant accounting policies.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September 30, 2023, the condensed statements of operations and comprehensive loss and condensed statements of stockholders’ equity for the three and nine months ended September 30, 2023 and 2022, and the condensed statements of cash flows for the nine months ended September 30, 2023 and 2022,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2023, or for any other subsequent interim period. The condensed balance sheet as of December 31, 2022, has been derived from our audited financial statements.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are not limited to, research and development costs, accrued research and development costs and related prepaid expenses and stock-based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materially from those estimates.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marketable debt securities have been classified and accounted for as available-for-sale. The Company classifies its marketable debt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securities as either short-term or long-term based on each instrument’s underlying contractual maturity date. Marketable debt securities with maturities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12 months or less are classified as short-term and marketable debt securities with maturities greater than 12 months are classified as long-term.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marketable debt securities are carried at fair value, with unrealized gains and losses, net of taxes, reported as a component of accumulated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in stockholders’ equity. Premiums and discounts on marketable debt securities are amortized into earnings over the life of the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recorded on the interest income, net line of the income statement. For the three months ended September 30, 2023 and 2022,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$1,840 and $228 of accretion, respectively. For the nine months ended September 30, 2023 and 2022, the Company recorded $3,511 and $102 of accretion,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0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Restricted cash as of September 30, 2023 and December 31, 2022 included a $822 deposit at the Company’s commercial bank underlying a stand-by letter of credit issued in favor of a landlord (See Note 6) and is classified in current assets.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Leases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8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7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62" w:lineRule="exact"/>
        <w:rPr>
          <w:sz w:val="20"/>
          <w:szCs w:val="20"/>
          <w:color w:val="auto"/>
        </w:rPr>
      </w:pPr>
    </w:p>
    <w:p>
      <w:pPr>
        <w:ind w:right="220" w:firstLine="509"/>
        <w:spacing w:after="0" w:line="340" w:lineRule="auto"/>
        <w:rPr>
          <w:sz w:val="20"/>
          <w:szCs w:val="20"/>
          <w:color w:val="auto"/>
        </w:rPr>
      </w:pPr>
      <w:r>
        <w:rPr>
          <w:rFonts w:ascii="Arial" w:cs="Arial" w:eastAsia="Arial" w:hAnsi="Arial"/>
          <w:sz w:val="15"/>
          <w:szCs w:val="15"/>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2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cash equivalents, and marketable securities. Cash and cash equivalents were held at two financial institutions. At times, such deposits may be in excess of insured limits. The Company has not experienced any losses on its deposits of cash and cash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equivalents. The Company’s marketable securities are carried at fair value and include any unrealized gains and losses. Any investments with unrealized losses are considered to be temporarily impaired.</w:t>
      </w:r>
    </w:p>
    <w:p>
      <w:pPr>
        <w:spacing w:after="0" w:line="62"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9"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Company’s financial assets consist of money market funds, U.S. government debt securities and corporate debt securities. The following tables show the Company’s cash equivalents and available-for-sale securities’ carrying amounts and fair values as of September 30, 2023, and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jc w:val="center"/>
              <w:ind w:left="619"/>
              <w:spacing w:after="0"/>
              <w:rPr>
                <w:sz w:val="20"/>
                <w:szCs w:val="20"/>
                <w:color w:val="auto"/>
              </w:rPr>
            </w:pPr>
            <w:r>
              <w:rPr>
                <w:rFonts w:ascii="Arial" w:cs="Arial" w:eastAsia="Arial" w:hAnsi="Arial"/>
                <w:sz w:val="14"/>
                <w:szCs w:val="14"/>
                <w:b w:val="1"/>
                <w:bCs w:val="1"/>
                <w:color w:val="auto"/>
                <w:w w:val="91"/>
              </w:rPr>
              <w:t>As of September 30, 2023</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1"/>
                <w:szCs w:val="11"/>
                <w:color w:val="auto"/>
              </w:rPr>
            </w:pPr>
          </w:p>
        </w:tc>
        <w:tc>
          <w:tcPr>
            <w:tcW w:w="840" w:type="dxa"/>
            <w:vAlign w:val="bottom"/>
            <w:gridSpan w:val="2"/>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restart"/>
          </w:tcPr>
          <w:p>
            <w:pPr>
              <w:jc w:val="center"/>
              <w:ind w:right="97"/>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81"/>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priced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84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9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84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6"/>
              </w:rPr>
              <w:t>Financial assets</w:t>
            </w:r>
          </w:p>
        </w:tc>
        <w:tc>
          <w:tcPr>
            <w:tcW w:w="19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51,803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51,803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51,803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Corporate securities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76,176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(107 )</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76,069</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73,138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110,223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(247 )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109,976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20,953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310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238,202</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237,848</w:t>
            </w:r>
          </w:p>
        </w:tc>
        <w:tc>
          <w:tcPr>
            <w:tcW w:w="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143,757</w:t>
            </w:r>
          </w:p>
        </w:tc>
        <w:tc>
          <w:tcPr>
            <w:tcW w:w="1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94,091</w:t>
            </w:r>
          </w:p>
        </w:tc>
        <w:tc>
          <w:tcPr>
            <w:tcW w:w="2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spacing w:after="0"/>
              <w:rPr>
                <w:sz w:val="23"/>
                <w:szCs w:val="23"/>
                <w:color w:val="auto"/>
              </w:rPr>
            </w:pP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center"/>
              <w:ind w:left="619"/>
              <w:spacing w:after="0"/>
              <w:rPr>
                <w:sz w:val="20"/>
                <w:szCs w:val="20"/>
                <w:color w:val="auto"/>
              </w:rPr>
            </w:pPr>
            <w:r>
              <w:rPr>
                <w:rFonts w:ascii="Arial" w:cs="Arial" w:eastAsia="Arial" w:hAnsi="Arial"/>
                <w:sz w:val="14"/>
                <w:szCs w:val="14"/>
                <w:b w:val="1"/>
                <w:bCs w:val="1"/>
                <w:color w:val="auto"/>
                <w:w w:val="92"/>
              </w:rPr>
              <w:t>As of December 31, 2022</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tcPr>
          <w:p>
            <w:pPr>
              <w:jc w:val="center"/>
              <w:ind w:right="21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81"/>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Priced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Markets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6"/>
              </w:rPr>
              <w:t>Financial assets</w:t>
            </w:r>
          </w:p>
        </w:tc>
        <w:tc>
          <w:tcPr>
            <w:tcW w:w="19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106,861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106,861</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106,861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spacing w:after="0"/>
              <w:rPr>
                <w:sz w:val="20"/>
                <w:szCs w:val="20"/>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Corporate securities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9"/>
              </w:rPr>
              <w:t>21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(185 )</w:t>
            </w: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103,591</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103,591</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(281 )</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31,661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20,981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310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242,558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9"/>
              </w:rPr>
              <w:t>21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242,113</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127,842</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114,271</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-1593850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-1576705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-1593850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-1576705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-1593850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-1576705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-1593850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-1576705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-1593850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-1576705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-1576705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As of September 30, 2023, the Company had cash of $254 and cash equivalents of $ 51,803 in money market funds.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the Company had cash of $1,436 and cash equivalents of $106,861, consisting of money market funds. Money market funds and certificates of deposit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80"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of $186,045 as of September 30, 2023, consisted of corporate debt securities of $76,069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debt securities of $109,976. There were $149,861 current marketable securities and $36,184 noncurrent marketable securities as of September 30, 2023. Marketable securities of $135,252 as of December 31, 2022, consisted of corporate debt securities of $103,591 and government debt securities of $31,661. There were $132,757 current marketable securities and $2,495 noncurrent marketable securities as of December 31, 2022.</w:t>
      </w:r>
    </w:p>
    <w:p>
      <w:pPr>
        <w:spacing w:after="0" w:line="4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As of September 30, 2023, and December 31, 2022, aggregated gross unrealized losses of available-for-sale investments were not material, and accordingly, no allowance for credit losses was recorded.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&amp; equipment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Computers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&amp; fixtures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10,765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not placed in service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(2,911 )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(2,184 )</w:t>
            </w:r>
          </w:p>
        </w:tc>
      </w:tr>
      <w:tr>
        <w:trPr>
          <w:trHeight w:val="236"/>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10,822</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10,955</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-505460</wp:posOffset>
            </wp:positionV>
            <wp:extent cx="76835"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Depreciation expense for the three months ended September 30, 2023 and 2022 was $358 and $74, respectively. Depreciation expense for the nine months ended September 30, 2023 and 2022 was $898 and $240, respectively.</w:t>
      </w:r>
    </w:p>
    <w:p>
      <w:pPr>
        <w:spacing w:after="0" w:line="170"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During the nine months ended September 30, 2023, the Company disposed of $171 of fully depreciated fixed assets in conjunction with the move to One Research Way in Princeton, New Jersey (see Note 6). No gain or loss was recorded on these disposals.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Accrued research and development costs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legal and professional services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9,038</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7,308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0" w:lineRule="exact"/>
        <w:rPr>
          <w:sz w:val="20"/>
          <w:szCs w:val="20"/>
          <w:color w:val="auto"/>
        </w:rPr>
      </w:pPr>
    </w:p>
    <w:p>
      <w:pPr>
        <w:ind w:left="520" w:right="8600" w:hanging="512"/>
        <w:spacing w:after="0" w:line="450" w:lineRule="auto"/>
        <w:tabs>
          <w:tab w:leader="none" w:pos="191"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Operating Leases</w:t>
      </w:r>
    </w:p>
    <w:p>
      <w:pPr>
        <w:spacing w:after="0" w:line="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 June 2015, the Company executed a noncancelable operating lease for approximately 13,000 square feet of laboratory, research and development, and office space in Cranbury, New Jersey. This location operated as the Company's headquarters until March 2023.</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June 2017, the Company obtained an additional noncancelable operating lease for approximately 6,000 square feet of laboratory space in the same corporate center. As a result of the additional space, both leases were set to expire in June 2022. In January 2022, the Company signed a lease extension for both leases for up to one additional year through June 2023, with the option to terminate upon 120 days of written notice, with an increase in base rent as per the lease extension. The lease was terminated as of June 2023.</w:t>
      </w:r>
    </w:p>
    <w:p>
      <w:pPr>
        <w:spacing w:after="0" w:line="79"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7"/>
          <w:szCs w:val="17"/>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second lease is for office space in Lexington, Massachusetts, that expired in August 2023.</w:t>
      </w:r>
    </w:p>
    <w:p>
      <w:pPr>
        <w:spacing w:after="0" w:line="63"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In January 2021, the Company signed a lease for 50,581 square feet of office and laboratory space at One Research Way in Princeton, New Jersey. That lease term extends through 2032, has a five-year extension option, and replaced the Company’s two existing facilities as the Company’s headquarters in March 2023. Payment under this lease will total $19,889 through May 2032. The Company received a lease incentive of $4,046 from the lessor for a buildout of laboratory, vivarium, and office space, to be reimbursed to the Company in 2022 and 2023. Management estimated the timing and amounts of reimbursements and included them as a reduction of lease payments when initially measuring the lease liability and right-of-use asset upon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commencement. Since the inception date of the lease, $2,969 reimbursements were received. For the nine months ended September 30, 2023, no reimbursements were received.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 for the three and nine months ended September 30, 2023, and 2022,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5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60" w:type="dxa"/>
            <w:vAlign w:val="bottom"/>
            <w:gridSpan w:val="2"/>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FF0FC"/>
          </w:tcPr>
          <w:p>
            <w:pPr>
              <w:spacing w:after="0"/>
              <w:rPr>
                <w:sz w:val="20"/>
                <w:szCs w:val="20"/>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r>
      <w:tr>
        <w:trPr>
          <w:trHeight w:val="277"/>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-663575</wp:posOffset>
            </wp:positionV>
            <wp:extent cx="2832735"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32735"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Amounts reported in the balance sheet for leases where the Company is the lessee as of September 30, 2023, and December 31, 2022,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Operating Leases (in thousands, except lease term and discount rate data):</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operating leases</w:t>
            </w:r>
          </w:p>
        </w:tc>
        <w:tc>
          <w:tcPr>
            <w:tcW w:w="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12,699</w:t>
            </w: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8"/>
                <w:szCs w:val="18"/>
                <w:color w:val="auto"/>
              </w:rPr>
              <w:t>5.75 %</w:t>
            </w: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5.75 %</w:t>
            </w:r>
          </w:p>
        </w:tc>
      </w:tr>
      <w:tr>
        <w:trPr>
          <w:trHeight w:val="458"/>
        </w:trPr>
        <w:tc>
          <w:tcPr>
            <w:tcW w:w="9400" w:type="dxa"/>
            <w:vAlign w:val="bottom"/>
            <w:gridSpan w:val="7"/>
          </w:tcPr>
          <w:p>
            <w:pPr>
              <w:ind w:left="520"/>
              <w:spacing w:after="0"/>
              <w:rPr>
                <w:sz w:val="20"/>
                <w:szCs w:val="20"/>
                <w:color w:val="auto"/>
              </w:rPr>
            </w:pPr>
            <w:r>
              <w:rPr>
                <w:rFonts w:ascii="Arial" w:cs="Arial" w:eastAsia="Arial" w:hAnsi="Arial"/>
                <w:sz w:val="18"/>
                <w:szCs w:val="18"/>
                <w:color w:val="auto"/>
                <w:w w:val="94"/>
              </w:rPr>
              <w:t>Other information related to leases for the nine months ended September 30, 2023 and 2022, respectively, as follows: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paid (received) for amounts included in the measurement of lease liabilities</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or modified operating lease liabilities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-1499870</wp:posOffset>
            </wp:positionV>
            <wp:extent cx="6858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lease payments, net of reimbursements, remaining as of September 30, 2023, under operating leases by fiscal year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6"/>
                <w:szCs w:val="16"/>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(636 )</w:t>
            </w: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FF0FC"/>
          </w:tcPr>
          <w:p>
            <w:pPr>
              <w:spacing w:after="0"/>
              <w:rPr>
                <w:sz w:val="21"/>
                <w:szCs w:val="21"/>
                <w:color w:val="auto"/>
              </w:rPr>
            </w:pP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FF0FC"/>
          </w:tcPr>
          <w:p>
            <w:pPr>
              <w:spacing w:after="0"/>
              <w:rPr>
                <w:sz w:val="21"/>
                <w:szCs w:val="21"/>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21"/>
                <w:szCs w:val="21"/>
                <w:color w:val="auto"/>
              </w:rPr>
            </w:pPr>
          </w:p>
        </w:tc>
      </w:tr>
      <w:tr>
        <w:trPr>
          <w:trHeight w:val="236"/>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shd w:val="clear" w:color="auto" w:fill="CFF0FC"/>
          </w:tcPr>
          <w:p>
            <w:pPr>
              <w:spacing w:after="0"/>
              <w:rPr>
                <w:sz w:val="20"/>
                <w:szCs w:val="20"/>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Less: Present Value Adjustment</w:t>
            </w:r>
          </w:p>
        </w:tc>
        <w:tc>
          <w:tcPr>
            <w:tcW w:w="360" w:type="dxa"/>
            <w:vAlign w:val="bottom"/>
          </w:tcPr>
          <w:p>
            <w:pPr>
              <w:spacing w:after="0"/>
              <w:rPr>
                <w:sz w:val="21"/>
                <w:szCs w:val="21"/>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(3,751 )</w:t>
            </w:r>
          </w:p>
        </w:tc>
      </w:tr>
      <w:tr>
        <w:trPr>
          <w:trHeight w:val="277"/>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payments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Rent expense recorded during the three months ended September 30, 2023 and 2022 was $366 and $578, respectively. Rent expense recorded during the nine months ended September 30, 2023 and 2022 was $1,559 and $1,619,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440" w:firstLine="50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Stockholders’ Equity</w:t>
      </w:r>
    </w:p>
    <w:p>
      <w:pPr>
        <w:spacing w:after="0" w:line="11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The Company is authorized to issue up to 1,000,000,000 shares of common stock with a par value of $0.00001 per share and 5,000,000 shares of preferred stock with a par value of $0.00001 per share. At September 30, 2023 and December 31, 2022, there were 51,157,636 and 45,771,332 shares of common stock issued and outstanding, respectively.</w:t>
      </w:r>
    </w:p>
    <w:p>
      <w:pPr>
        <w:spacing w:after="0" w:line="76"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Common stockholders are entitled to receive dividends if and when declared by the board of directors subject to the rights of any preferred stockholders. As of September 30, 2023, no dividends on common stock had been declared by the Company.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ATM Program</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On October 4, 2021, the Company entered into an at-the-market offering program (the “ATM Program”) pursuant to which, the Company may offer and sell shares of its common stock having aggregate gross sales proceeds of up to $150.0 million from time to time. During the three months ended September 30, 2023, the Company sold 4,805,088 shares of common stock under the ATM Program at a weighted average price of $7.05 per share, for total proceeds of $33.1 million, net of fees. During the nine months ended September 30, 2023, the Company sold 5,149,446 shares of common stock under the ATM Program at a weighted average price of $6.97 per share, for total proceeds of $35.1 million, net of fees. As of September 30, 2023, the Company has approximately $113.8 million remaining in gross proceeds available for future issuances of common stock under the ATM Program.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2023, the board's compensation committee, as the 2020 Plan administrator, exercised its discretion under clause (iii) to increase the number of shares of common stock reserved for issuance under the 2020 Plan by a lesser amount of 1,830,853 shares, effective as of January 1, 2023. As of September 30, 2023, there were 4,457,004 shares available for issuance under the 2020 Plan.</w:t>
      </w:r>
    </w:p>
    <w:p>
      <w:pPr>
        <w:spacing w:after="0" w:line="58"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2023, the 2020 ESPP reserved shares were increased under clause (iii) by 457,713 shares, effective as of January 1, 2023. As of September 30, 2023, 116,018 shares are issued or outstanding, and there were 685,446 shares available for issuance, under the 2020 ESPP.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option activity for the nine-month period ended September 30,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5"/>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Available</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r>
      <w:tr>
        <w:trPr>
          <w:trHeight w:val="18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Grant</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88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000s)</w:t>
            </w:r>
          </w:p>
        </w:tc>
        <w:tc>
          <w:tcPr>
            <w:tcW w:w="100" w:type="dxa"/>
            <w:vAlign w:val="bottom"/>
          </w:tcPr>
          <w:p>
            <w:pPr>
              <w:spacing w:after="0"/>
              <w:rPr>
                <w:sz w:val="16"/>
                <w:szCs w:val="16"/>
                <w:color w:val="auto"/>
              </w:rPr>
            </w:pPr>
          </w:p>
        </w:tc>
      </w:tr>
      <w:tr>
        <w:trPr>
          <w:trHeight w:val="237"/>
        </w:trPr>
        <w:tc>
          <w:tcPr>
            <w:tcW w:w="4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4,618,292</w:t>
            </w:r>
          </w:p>
        </w:tc>
        <w:tc>
          <w:tcPr>
            <w:tcW w:w="2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5,278,771</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shd w:val="clear" w:color="auto" w:fill="CFF0FC"/>
          </w:tcPr>
          <w:p>
            <w:pPr>
              <w:spacing w:after="0"/>
              <w:rPr>
                <w:sz w:val="20"/>
                <w:szCs w:val="20"/>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Shares reserved for issuance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1,830,853</w:t>
            </w:r>
          </w:p>
        </w:tc>
        <w:tc>
          <w:tcPr>
            <w:tcW w:w="2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granted</w:t>
            </w:r>
          </w:p>
        </w:tc>
        <w:tc>
          <w:tcPr>
            <w:tcW w:w="15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(2,022,125 )</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2,022,125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Options forfeited / cancelled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29,984</w:t>
            </w: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(29,984 )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(96,360 )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Balances at September 30, 2023</w:t>
            </w:r>
          </w:p>
        </w:tc>
        <w:tc>
          <w:tcPr>
            <w:tcW w:w="12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4,457,004</w:t>
            </w:r>
          </w:p>
        </w:tc>
        <w:tc>
          <w:tcPr>
            <w:tcW w:w="24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7,174,552</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5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7.14</w:t>
            </w:r>
          </w:p>
        </w:tc>
        <w:tc>
          <w:tcPr>
            <w:tcW w:w="4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Borders>
              <w:top w:val="single" w:sz="8" w:color="CFF0FC"/>
            </w:tcBorders>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At September 30, 2023</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Vested and expected to vest</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7,174,552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Exercisable</w:t>
            </w:r>
          </w:p>
        </w:tc>
        <w:tc>
          <w:tcPr>
            <w:tcW w:w="1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4,055,276</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8,898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-702310</wp:posOffset>
            </wp:positionV>
            <wp:extent cx="7747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-702310</wp:posOffset>
            </wp:positionV>
            <wp:extent cx="685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-702310</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At September 30, 2023, the total compensation cost related to nonvested awards not yet recognized was $23,991. The weighted-average period over which the nonvested awards is expected to be recognized was 2.6 years.</w:t>
      </w:r>
    </w:p>
    <w:p>
      <w:pPr>
        <w:spacing w:after="0" w:line="62" w:lineRule="exact"/>
        <w:rPr>
          <w:sz w:val="20"/>
          <w:szCs w:val="20"/>
          <w:color w:val="auto"/>
        </w:rPr>
      </w:pPr>
    </w:p>
    <w:p>
      <w:pPr>
        <w:ind w:right="620" w:firstLine="509"/>
        <w:spacing w:after="0" w:line="342" w:lineRule="auto"/>
        <w:rPr>
          <w:sz w:val="20"/>
          <w:szCs w:val="20"/>
          <w:color w:val="auto"/>
        </w:rPr>
      </w:pPr>
      <w:r>
        <w:rPr>
          <w:rFonts w:ascii="Arial" w:cs="Arial" w:eastAsia="Arial" w:hAnsi="Arial"/>
          <w:sz w:val="16"/>
          <w:szCs w:val="16"/>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r>
      <w:tr>
        <w:trPr>
          <w:trHeight w:val="185"/>
        </w:trPr>
        <w:tc>
          <w:tcPr>
            <w:tcW w:w="620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2023</w:t>
            </w:r>
          </w:p>
        </w:tc>
        <w:tc>
          <w:tcPr>
            <w:tcW w:w="25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- 4.18%</w:t>
            </w:r>
          </w:p>
        </w:tc>
        <w:tc>
          <w:tcPr>
            <w:tcW w:w="2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- 3.42%</w:t>
            </w:r>
          </w:p>
        </w:tc>
        <w:tc>
          <w:tcPr>
            <w:tcW w:w="100" w:type="dxa"/>
            <w:vAlign w:val="bottom"/>
            <w:shd w:val="clear" w:color="auto" w:fill="CCEEFF"/>
          </w:tcPr>
          <w:p>
            <w:pPr>
              <w:spacing w:after="0"/>
              <w:rPr>
                <w:sz w:val="20"/>
                <w:szCs w:val="20"/>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1180" w:type="dxa"/>
            <w:vAlign w:val="bottom"/>
          </w:tcPr>
          <w:p>
            <w:pPr>
              <w:ind w:left="20"/>
              <w:spacing w:after="0"/>
              <w:rPr>
                <w:sz w:val="20"/>
                <w:szCs w:val="20"/>
                <w:color w:val="auto"/>
              </w:rPr>
            </w:pPr>
            <w:r>
              <w:rPr>
                <w:rFonts w:ascii="Arial" w:cs="Arial" w:eastAsia="Arial" w:hAnsi="Arial"/>
                <w:sz w:val="18"/>
                <w:szCs w:val="18"/>
                <w:color w:val="auto"/>
              </w:rPr>
              <w:t>- 6.44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160" w:type="dxa"/>
            <w:vAlign w:val="bottom"/>
          </w:tcPr>
          <w:p>
            <w:pPr>
              <w:ind w:left="20"/>
              <w:spacing w:after="0"/>
              <w:rPr>
                <w:sz w:val="20"/>
                <w:szCs w:val="20"/>
                <w:color w:val="auto"/>
              </w:rPr>
            </w:pPr>
            <w:r>
              <w:rPr>
                <w:rFonts w:ascii="Arial" w:cs="Arial" w:eastAsia="Arial" w:hAnsi="Arial"/>
                <w:sz w:val="18"/>
                <w:szCs w:val="18"/>
                <w:color w:val="auto"/>
              </w:rPr>
              <w:t>- 6.44</w:t>
            </w:r>
          </w:p>
        </w:tc>
        <w:tc>
          <w:tcPr>
            <w:tcW w:w="100" w:type="dxa"/>
            <w:vAlign w:val="bottom"/>
          </w:tcPr>
          <w:p>
            <w:pPr>
              <w:spacing w:after="0"/>
              <w:rPr>
                <w:sz w:val="20"/>
                <w:szCs w:val="20"/>
                <w:color w:val="auto"/>
              </w:rPr>
            </w:pP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240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0%</w:t>
            </w:r>
          </w:p>
        </w:tc>
        <w:tc>
          <w:tcPr>
            <w:tcW w:w="2540" w:type="dxa"/>
            <w:vAlign w:val="bottom"/>
            <w:gridSpan w:val="3"/>
            <w:shd w:val="clear" w:color="auto" w:fill="CFF0FC"/>
          </w:tcPr>
          <w:p>
            <w:pPr>
              <w:jc w:val="right"/>
              <w:ind w:right="89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right"/>
              <w:spacing w:after="0"/>
              <w:rPr>
                <w:sz w:val="20"/>
                <w:szCs w:val="20"/>
                <w:color w:val="auto"/>
              </w:rPr>
            </w:pPr>
            <w:r>
              <w:rPr>
                <w:rFonts w:ascii="Arial" w:cs="Arial" w:eastAsia="Arial" w:hAnsi="Arial"/>
                <w:sz w:val="18"/>
                <w:szCs w:val="18"/>
                <w:color w:val="auto"/>
              </w:rPr>
              <w:t>75.2%</w:t>
            </w:r>
          </w:p>
        </w:tc>
        <w:tc>
          <w:tcPr>
            <w:tcW w:w="1180" w:type="dxa"/>
            <w:vAlign w:val="bottom"/>
          </w:tcPr>
          <w:p>
            <w:pPr>
              <w:ind w:left="20"/>
              <w:spacing w:after="0"/>
              <w:rPr>
                <w:sz w:val="20"/>
                <w:szCs w:val="20"/>
                <w:color w:val="auto"/>
              </w:rPr>
            </w:pPr>
            <w:r>
              <w:rPr>
                <w:rFonts w:ascii="Arial" w:cs="Arial" w:eastAsia="Arial" w:hAnsi="Arial"/>
                <w:sz w:val="18"/>
                <w:szCs w:val="18"/>
                <w:color w:val="auto"/>
              </w:rPr>
              <w:t>- 77.7%</w:t>
            </w:r>
          </w:p>
        </w:tc>
        <w:tc>
          <w:tcPr>
            <w:tcW w:w="2540" w:type="dxa"/>
            <w:vAlign w:val="bottom"/>
            <w:gridSpan w:val="3"/>
          </w:tcPr>
          <w:p>
            <w:pPr>
              <w:jc w:val="right"/>
              <w:ind w:right="430"/>
              <w:spacing w:after="0"/>
              <w:rPr>
                <w:sz w:val="20"/>
                <w:szCs w:val="20"/>
                <w:color w:val="auto"/>
              </w:rPr>
            </w:pPr>
            <w:r>
              <w:rPr>
                <w:rFonts w:ascii="Arial" w:cs="Arial" w:eastAsia="Arial" w:hAnsi="Arial"/>
                <w:sz w:val="18"/>
                <w:szCs w:val="18"/>
                <w:color w:val="auto"/>
              </w:rPr>
              <w:t>77.00%-81.00%</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assumptions used to estimate the fair value of stock purchase rights under the ESPP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5"/>
                <w:szCs w:val="15"/>
                <w:color w:val="auto"/>
              </w:rPr>
            </w:pPr>
          </w:p>
        </w:tc>
      </w:tr>
      <w:tr>
        <w:trPr>
          <w:trHeight w:val="185"/>
        </w:trPr>
        <w:tc>
          <w:tcPr>
            <w:tcW w:w="62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54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400" w:type="dxa"/>
            <w:vAlign w:val="bottom"/>
            <w:tcBorders>
              <w:top w:val="single" w:sz="8" w:color="auto"/>
            </w:tcBorders>
            <w:shd w:val="clear" w:color="auto" w:fill="CFF0FC"/>
          </w:tcPr>
          <w:p>
            <w:pPr>
              <w:jc w:val="center"/>
              <w:ind w:left="38"/>
              <w:spacing w:after="0"/>
              <w:rPr>
                <w:sz w:val="20"/>
                <w:szCs w:val="20"/>
                <w:color w:val="auto"/>
              </w:rPr>
            </w:pPr>
            <w:r>
              <w:rPr>
                <w:rFonts w:ascii="Arial" w:cs="Arial" w:eastAsia="Arial" w:hAnsi="Arial"/>
                <w:sz w:val="18"/>
                <w:szCs w:val="18"/>
                <w:color w:val="auto"/>
                <w:w w:val="93"/>
              </w:rPr>
              <w:t>5.36%</w:t>
            </w:r>
          </w:p>
        </w:tc>
        <w:tc>
          <w:tcPr>
            <w:tcW w:w="220" w:type="dxa"/>
            <w:vAlign w:val="bottom"/>
            <w:shd w:val="clear" w:color="auto" w:fill="CFF0FC"/>
          </w:tcPr>
          <w:p>
            <w:pPr>
              <w:spacing w:after="0"/>
              <w:rPr>
                <w:sz w:val="20"/>
                <w:szCs w:val="20"/>
                <w:color w:val="auto"/>
              </w:rPr>
            </w:pPr>
          </w:p>
        </w:tc>
        <w:tc>
          <w:tcPr>
            <w:tcW w:w="2320" w:type="dxa"/>
            <w:vAlign w:val="bottom"/>
            <w:tcBorders>
              <w:top w:val="single" w:sz="8" w:color="auto"/>
            </w:tcBorders>
            <w:shd w:val="clear" w:color="auto" w:fill="CFF0FC"/>
          </w:tcPr>
          <w:p>
            <w:pPr>
              <w:jc w:val="center"/>
              <w:ind w:left="22"/>
              <w:spacing w:after="0"/>
              <w:rPr>
                <w:sz w:val="20"/>
                <w:szCs w:val="20"/>
                <w:color w:val="auto"/>
              </w:rPr>
            </w:pPr>
            <w:r>
              <w:rPr>
                <w:rFonts w:ascii="Arial" w:cs="Arial" w:eastAsia="Arial" w:hAnsi="Arial"/>
                <w:sz w:val="18"/>
                <w:szCs w:val="18"/>
                <w:color w:val="auto"/>
                <w:w w:val="90"/>
              </w:rPr>
              <w:t>1.57%</w:t>
            </w:r>
          </w:p>
        </w:tc>
        <w:tc>
          <w:tcPr>
            <w:tcW w:w="100" w:type="dxa"/>
            <w:vAlign w:val="bottom"/>
            <w:shd w:val="clear" w:color="auto" w:fill="CCECFF"/>
          </w:tcPr>
          <w:p>
            <w:pPr>
              <w:spacing w:after="0"/>
              <w:rPr>
                <w:sz w:val="20"/>
                <w:szCs w:val="20"/>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2400" w:type="dxa"/>
            <w:vAlign w:val="bottom"/>
          </w:tcPr>
          <w:p>
            <w:pPr>
              <w:jc w:val="center"/>
              <w:ind w:left="38"/>
              <w:spacing w:after="0"/>
              <w:rPr>
                <w:sz w:val="20"/>
                <w:szCs w:val="20"/>
                <w:color w:val="auto"/>
              </w:rPr>
            </w:pPr>
            <w:r>
              <w:rPr>
                <w:rFonts w:ascii="Arial" w:cs="Arial" w:eastAsia="Arial" w:hAnsi="Arial"/>
                <w:sz w:val="18"/>
                <w:szCs w:val="18"/>
                <w:color w:val="auto"/>
                <w:w w:val="91"/>
              </w:rPr>
              <w:t>0.49</w:t>
            </w:r>
          </w:p>
        </w:tc>
        <w:tc>
          <w:tcPr>
            <w:tcW w:w="2540" w:type="dxa"/>
            <w:vAlign w:val="bottom"/>
            <w:gridSpan w:val="2"/>
          </w:tcPr>
          <w:p>
            <w:pPr>
              <w:jc w:val="center"/>
              <w:ind w:left="235"/>
              <w:spacing w:after="0"/>
              <w:rPr>
                <w:sz w:val="20"/>
                <w:szCs w:val="20"/>
                <w:color w:val="auto"/>
              </w:rPr>
            </w:pPr>
            <w:r>
              <w:rPr>
                <w:rFonts w:ascii="Arial" w:cs="Arial" w:eastAsia="Arial" w:hAnsi="Arial"/>
                <w:sz w:val="18"/>
                <w:szCs w:val="18"/>
                <w:color w:val="auto"/>
                <w:w w:val="85"/>
              </w:rPr>
              <w:t>0.49</w:t>
            </w:r>
          </w:p>
        </w:tc>
        <w:tc>
          <w:tcPr>
            <w:tcW w:w="100" w:type="dxa"/>
            <w:vAlign w:val="bottom"/>
          </w:tcPr>
          <w:p>
            <w:pPr>
              <w:spacing w:after="0"/>
              <w:rPr>
                <w:sz w:val="20"/>
                <w:szCs w:val="20"/>
                <w:color w:val="auto"/>
              </w:rPr>
            </w:pPr>
          </w:p>
        </w:tc>
      </w:tr>
      <w:tr>
        <w:trPr>
          <w:trHeight w:val="249"/>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2400" w:type="dxa"/>
            <w:vAlign w:val="bottom"/>
            <w:shd w:val="clear" w:color="auto" w:fill="CFF0FC"/>
          </w:tcPr>
          <w:p>
            <w:pPr>
              <w:jc w:val="center"/>
              <w:ind w:left="38"/>
              <w:spacing w:after="0"/>
              <w:rPr>
                <w:sz w:val="20"/>
                <w:szCs w:val="20"/>
                <w:color w:val="auto"/>
              </w:rPr>
            </w:pPr>
            <w:r>
              <w:rPr>
                <w:rFonts w:ascii="Arial" w:cs="Arial" w:eastAsia="Arial" w:hAnsi="Arial"/>
                <w:sz w:val="18"/>
                <w:szCs w:val="18"/>
                <w:color w:val="auto"/>
                <w:w w:val="92"/>
              </w:rPr>
              <w:t>0%</w:t>
            </w:r>
          </w:p>
        </w:tc>
        <w:tc>
          <w:tcPr>
            <w:tcW w:w="2540" w:type="dxa"/>
            <w:vAlign w:val="bottom"/>
            <w:gridSpan w:val="2"/>
            <w:shd w:val="clear" w:color="auto" w:fill="CFF0FC"/>
          </w:tcPr>
          <w:p>
            <w:pPr>
              <w:jc w:val="center"/>
              <w:ind w:left="255"/>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CFF"/>
          </w:tcPr>
          <w:p>
            <w:pPr>
              <w:spacing w:after="0"/>
              <w:rPr>
                <w:sz w:val="21"/>
                <w:szCs w:val="2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0" w:type="dxa"/>
            <w:vAlign w:val="bottom"/>
          </w:tcPr>
          <w:p>
            <w:pPr>
              <w:jc w:val="center"/>
              <w:ind w:left="38"/>
              <w:spacing w:after="0"/>
              <w:rPr>
                <w:sz w:val="20"/>
                <w:szCs w:val="20"/>
                <w:color w:val="auto"/>
              </w:rPr>
            </w:pPr>
            <w:r>
              <w:rPr>
                <w:rFonts w:ascii="Arial" w:cs="Arial" w:eastAsia="Arial" w:hAnsi="Arial"/>
                <w:sz w:val="18"/>
                <w:szCs w:val="18"/>
                <w:color w:val="auto"/>
                <w:w w:val="91"/>
              </w:rPr>
              <w:t>76.50%</w:t>
            </w:r>
          </w:p>
        </w:tc>
        <w:tc>
          <w:tcPr>
            <w:tcW w:w="2540" w:type="dxa"/>
            <w:vAlign w:val="bottom"/>
            <w:gridSpan w:val="2"/>
          </w:tcPr>
          <w:p>
            <w:pPr>
              <w:jc w:val="center"/>
              <w:ind w:left="235"/>
              <w:spacing w:after="0"/>
              <w:rPr>
                <w:sz w:val="20"/>
                <w:szCs w:val="20"/>
                <w:color w:val="auto"/>
              </w:rPr>
            </w:pPr>
            <w:r>
              <w:rPr>
                <w:rFonts w:ascii="Arial" w:cs="Arial" w:eastAsia="Arial" w:hAnsi="Arial"/>
                <w:sz w:val="18"/>
                <w:szCs w:val="18"/>
                <w:color w:val="auto"/>
                <w:w w:val="88"/>
              </w:rPr>
              <w:t>77.00%</w:t>
            </w:r>
          </w:p>
        </w:tc>
        <w:tc>
          <w:tcPr>
            <w:tcW w:w="100" w:type="dxa"/>
            <w:vAlign w:val="bottom"/>
          </w:tcPr>
          <w:p>
            <w:pPr>
              <w:spacing w:after="0"/>
              <w:rPr>
                <w:sz w:val="20"/>
                <w:szCs w:val="20"/>
                <w:color w:val="auto"/>
              </w:rPr>
            </w:pPr>
          </w:p>
        </w:tc>
      </w:tr>
    </w:tbl>
    <w:p>
      <w:pPr>
        <w:spacing w:after="0" w:line="336"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Risk Free Interest Rate: The risk-free rate is based on the U.S. Treasury yields in effect at the time of grant for periods corresponding with the expected term of the option.</w:t>
      </w:r>
    </w:p>
    <w:p>
      <w:pPr>
        <w:spacing w:after="0" w:line="62"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62"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Volatility is based on the historical volatility of the Company's publicly traded shares for the expected term.</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RSU activity under the 2020 Plan as of September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2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66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r>
      <w:tr>
        <w:trPr>
          <w:trHeight w:val="185"/>
        </w:trPr>
        <w:tc>
          <w:tcPr>
            <w:tcW w:w="7060" w:type="dxa"/>
            <w:vAlign w:val="bottom"/>
          </w:tcPr>
          <w:p>
            <w:pPr>
              <w:spacing w:after="0"/>
              <w:rPr>
                <w:sz w:val="16"/>
                <w:szCs w:val="16"/>
                <w:color w:val="auto"/>
              </w:rPr>
            </w:pPr>
          </w:p>
        </w:tc>
        <w:tc>
          <w:tcPr>
            <w:tcW w:w="22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Stock Units</w:t>
            </w:r>
          </w:p>
        </w:tc>
        <w:tc>
          <w:tcPr>
            <w:tcW w:w="180" w:type="dxa"/>
            <w:vAlign w:val="bottom"/>
          </w:tcPr>
          <w:p>
            <w:pPr>
              <w:spacing w:after="0"/>
              <w:rPr>
                <w:sz w:val="16"/>
                <w:szCs w:val="16"/>
                <w:color w:val="auto"/>
              </w:rPr>
            </w:pPr>
          </w:p>
        </w:tc>
        <w:tc>
          <w:tcPr>
            <w:tcW w:w="166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Grant Date Fair Value</w:t>
            </w:r>
          </w:p>
        </w:tc>
        <w:tc>
          <w:tcPr>
            <w:tcW w:w="100" w:type="dxa"/>
            <w:vAlign w:val="bottom"/>
          </w:tcPr>
          <w:p>
            <w:pPr>
              <w:spacing w:after="0"/>
              <w:rPr>
                <w:sz w:val="16"/>
                <w:szCs w:val="16"/>
                <w:color w:val="auto"/>
              </w:rPr>
            </w:pPr>
          </w:p>
        </w:tc>
      </w:tr>
      <w:tr>
        <w:trPr>
          <w:trHeight w:val="237"/>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shares at December 31, 2022</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374,899</w:t>
            </w: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FF0FC"/>
          </w:tcPr>
          <w:p>
            <w:pPr>
              <w:spacing w:after="0"/>
              <w:rPr>
                <w:sz w:val="20"/>
                <w:szCs w:val="20"/>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(120,385 )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gridSpan w:val="2"/>
          </w:tcPr>
          <w:p>
            <w:pPr>
              <w:jc w:val="right"/>
              <w:ind w:right="260"/>
              <w:spacing w:after="0"/>
              <w:rPr>
                <w:sz w:val="20"/>
                <w:szCs w:val="20"/>
                <w:color w:val="auto"/>
              </w:rPr>
            </w:pPr>
            <w:r>
              <w:rPr>
                <w:rFonts w:ascii="Arial" w:cs="Arial" w:eastAsia="Arial" w:hAnsi="Arial"/>
                <w:sz w:val="18"/>
                <w:szCs w:val="18"/>
                <w:color w:val="auto"/>
              </w:rPr>
              <w:t>(10,450 )</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0"/>
                <w:szCs w:val="20"/>
                <w:color w:val="auto"/>
              </w:rPr>
            </w:pPr>
          </w:p>
        </w:tc>
      </w:tr>
      <w:tr>
        <w:trPr>
          <w:trHeight w:val="28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shares at September 30, 2023</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244,064</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of September 30, 2023, there was $2,343 of unrecognized compensation cost related to RSUs that are expected to vest. These costs are expected to be recognized over a weighted average remaining vesting period of 0.9 years.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recorded under ASC 718 related to stock options and RSU's granted and common stock issued under the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ESPP were allocated to research and development and general and administrative expense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6"/>
                <w:szCs w:val="16"/>
                <w:color w:val="auto"/>
              </w:rPr>
            </w:pPr>
          </w:p>
        </w:tc>
      </w:tr>
      <w:tr>
        <w:trPr>
          <w:trHeight w:val="238"/>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20"/>
                <w:szCs w:val="20"/>
                <w:color w:val="auto"/>
              </w:rPr>
            </w:pPr>
          </w:p>
        </w:tc>
      </w:tr>
      <w:tr>
        <w:trPr>
          <w:trHeight w:val="228"/>
        </w:trPr>
        <w:tc>
          <w:tcPr>
            <w:tcW w:w="4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FF0FC"/>
          </w:tcPr>
          <w:p>
            <w:pPr>
              <w:spacing w:after="0"/>
              <w:rPr>
                <w:sz w:val="20"/>
                <w:szCs w:val="20"/>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r>
      <w:tr>
        <w:trPr>
          <w:trHeight w:val="277"/>
        </w:trPr>
        <w:tc>
          <w:tcPr>
            <w:tcW w:w="4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-25400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6"/>
                <w:szCs w:val="16"/>
                <w:color w:val="auto"/>
              </w:rPr>
            </w:pPr>
          </w:p>
        </w:tc>
      </w:tr>
      <w:tr>
        <w:trPr>
          <w:trHeight w:val="238"/>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5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98"/>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20"/>
                <w:szCs w:val="20"/>
                <w:color w:val="auto"/>
              </w:rPr>
            </w:pPr>
          </w:p>
        </w:tc>
      </w:tr>
      <w:tr>
        <w:trPr>
          <w:trHeight w:val="228"/>
        </w:trPr>
        <w:tc>
          <w:tcPr>
            <w:tcW w:w="4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FF0FC"/>
          </w:tcPr>
          <w:p>
            <w:pPr>
              <w:spacing w:after="0"/>
              <w:rPr>
                <w:sz w:val="20"/>
                <w:szCs w:val="20"/>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r>
      <w:tr>
        <w:trPr>
          <w:trHeight w:val="24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00" w:type="dxa"/>
            <w:vAlign w:val="bottom"/>
          </w:tcPr>
          <w:p>
            <w:pPr>
              <w:ind w:left="200"/>
              <w:spacing w:after="0"/>
              <w:rPr>
                <w:sz w:val="20"/>
                <w:szCs w:val="20"/>
                <w:color w:val="auto"/>
              </w:rPr>
            </w:pPr>
            <w:r>
              <w:rPr>
                <w:rFonts w:ascii="Arial" w:cs="Arial" w:eastAsia="Arial" w:hAnsi="Arial"/>
                <w:sz w:val="18"/>
                <w:szCs w:val="18"/>
                <w:color w:val="auto"/>
              </w:rPr>
              <w:t>Total stock-based compensation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3,324</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20"/>
                <w:szCs w:val="20"/>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-187960</wp:posOffset>
            </wp:positionV>
            <wp:extent cx="7747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During the three and nine months ended September 30, 2023 and 2022, the Company recorded a full valuation allowance on federal and state net deferred tax assets since management does not forecast the Company to be in a taxable position in the near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Company excluded all outstanding stock options and restricted stock awards at each period end from the computation of diluted net loss per share attributable to common stockholders for the periods indicated because including them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would have had an anti-dilutive effect. The following common stock equivalents were excluded from the calculation of diluted net loss per share:</w:t>
      </w:r>
    </w:p>
    <w:p>
      <w:pPr>
        <w:spacing w:after="0" w:line="24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As of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15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top w:val="single" w:sz="8" w:color="auto"/>
            </w:tcBorders>
          </w:tcPr>
          <w:p>
            <w:pPr>
              <w:spacing w:after="0"/>
              <w:rPr>
                <w:sz w:val="14"/>
                <w:szCs w:val="14"/>
                <w:color w:val="auto"/>
              </w:rPr>
            </w:pPr>
          </w:p>
        </w:tc>
        <w:tc>
          <w:tcPr>
            <w:tcW w:w="2640" w:type="dxa"/>
            <w:vAlign w:val="bottom"/>
            <w:tcBorders>
              <w:top w:val="single" w:sz="8" w:color="auto"/>
            </w:tcBorders>
            <w:gridSpan w:val="2"/>
          </w:tcPr>
          <w:p>
            <w:pPr>
              <w:jc w:val="right"/>
              <w:ind w:right="9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7,174,552</w:t>
            </w:r>
          </w:p>
        </w:tc>
        <w:tc>
          <w:tcPr>
            <w:tcW w:w="260" w:type="dxa"/>
            <w:vAlign w:val="bottom"/>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5,285,786</w:t>
            </w:r>
          </w:p>
        </w:tc>
        <w:tc>
          <w:tcPr>
            <w:tcW w:w="100" w:type="dxa"/>
            <w:vAlign w:val="bottom"/>
            <w:shd w:val="clear" w:color="auto" w:fill="CFF0FC"/>
          </w:tcPr>
          <w:p>
            <w:pPr>
              <w:spacing w:after="0"/>
              <w:rPr>
                <w:sz w:val="20"/>
                <w:szCs w:val="20"/>
                <w:color w:val="auto"/>
              </w:rPr>
            </w:pPr>
          </w:p>
        </w:tc>
      </w:tr>
      <w:tr>
        <w:trPr>
          <w:trHeight w:val="237"/>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Unvested RSUs</w:t>
            </w:r>
          </w:p>
        </w:tc>
        <w:tc>
          <w:tcPr>
            <w:tcW w:w="900" w:type="dxa"/>
            <w:vAlign w:val="bottom"/>
          </w:tcPr>
          <w:p>
            <w:pPr>
              <w:jc w:val="right"/>
              <w:spacing w:after="0"/>
              <w:rPr>
                <w:sz w:val="20"/>
                <w:szCs w:val="20"/>
                <w:color w:val="auto"/>
              </w:rPr>
            </w:pPr>
            <w:r>
              <w:rPr>
                <w:rFonts w:ascii="Arial" w:cs="Arial" w:eastAsia="Arial" w:hAnsi="Arial"/>
                <w:sz w:val="18"/>
                <w:szCs w:val="18"/>
                <w:color w:val="auto"/>
              </w:rPr>
              <w:t>244,064</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374,899</w:t>
            </w:r>
          </w:p>
        </w:tc>
        <w:tc>
          <w:tcPr>
            <w:tcW w:w="100" w:type="dxa"/>
            <w:vAlign w:val="bottom"/>
          </w:tcPr>
          <w:p>
            <w:pPr>
              <w:spacing w:after="0"/>
              <w:rPr>
                <w:sz w:val="20"/>
                <w:szCs w:val="20"/>
                <w:color w:val="auto"/>
              </w:rPr>
            </w:pPr>
          </w:p>
        </w:tc>
      </w:tr>
      <w:tr>
        <w:trPr>
          <w:trHeight w:val="249"/>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shares to be purchased under 2020 ESPP</w:t>
            </w:r>
          </w:p>
        </w:tc>
        <w:tc>
          <w:tcPr>
            <w:tcW w:w="1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74,100</w:t>
            </w:r>
          </w:p>
        </w:tc>
        <w:tc>
          <w:tcPr>
            <w:tcW w:w="26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rPr>
              <w:t>7,492,716</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5,710,047</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-187960</wp:posOffset>
            </wp:positionV>
            <wp:extent cx="7747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Company has consulting agreements with two members of its board of directors; one of which waived his consulting fees starting as of September 2021. Total consulting fees paid during the three months ended September 30, 2023 and 2022 were $25.0 and $19.7, respectively. Total consulting fees paid during the nine months ended September 30, 2023 and 2022 were $66.7 and $78.0, respectively. There were no amounts owed under the consulting agreements as of September 30,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2022 and 2021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2022 filed with the Securities and Exchange Commission, or the SEC, on March 1, 2023. Unless the context requires otherwise, references in this Quarterly Report on Form 10-Q to “we,” “us,” and “our” refer to PMV Pharmaceuticals, Inc.</w:t>
      </w:r>
    </w:p>
    <w:p>
      <w:pPr>
        <w:spacing w:after="0" w:line="56"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2022, as updated by our subsequent filings under the Securities Exchange Act of 1934, as amended. Furthermore, past operating results are not necessarily indicative of results that may occur in future periods.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other p53-related cancers.</w:t>
      </w:r>
    </w:p>
    <w:p>
      <w:pPr>
        <w:spacing w:after="0" w:line="5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$73.3 million and $57.8 million for the years ended December 31, 2022 and 2021, respectively. During the three and nine months ended September 30, 2023, the Company incurred net losses of $16.6 million and $53.2 million, respectively. As of September 30, 2023, we had an accumulated deficit of $294.2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July 2023, we concluded our End-of-Phase 1 FDA meeting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w:t>
      </w:r>
    </w:p>
    <w:p>
      <w:pPr>
        <w:spacing w:after="0" w:line="7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80"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right="900" w:firstLine="509"/>
        <w:spacing w:after="0" w:line="286" w:lineRule="auto"/>
        <w:rPr>
          <w:sz w:val="20"/>
          <w:szCs w:val="20"/>
          <w:color w:val="auto"/>
        </w:rPr>
      </w:pPr>
      <w:r>
        <w:rPr>
          <w:rFonts w:ascii="Arial" w:cs="Arial" w:eastAsia="Arial" w:hAnsi="Arial"/>
          <w:sz w:val="17"/>
          <w:szCs w:val="17"/>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October 2023, we presented our updated Phase 1 clinical data for PC14586 at the 2023 AACR-NCI-EORTC International Conference on Molecular Targets and Cancer Therapeutics Meeting.</w:t>
      </w:r>
    </w:p>
    <w:p>
      <w:pPr>
        <w:spacing w:after="0" w:line="58"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30"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3"/>
              <w:spacing w:after="0" w:line="133"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33"/>
              <w:spacing w:after="0" w:line="133"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13,586</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13,666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37"/>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(19,628 )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(19,375 )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(253 )</w:t>
            </w:r>
          </w:p>
        </w:tc>
      </w:tr>
      <w:tr>
        <w:trPr>
          <w:trHeight w:val="236"/>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43"/>
        </w:trPr>
        <w:tc>
          <w:tcPr>
            <w:tcW w:w="66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Loss before provision (benefit) for income taxes</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(16,640 )</w:t>
            </w: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(18,238 )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(9 )</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57"/>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(16,640 )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(18,229 )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FF0FC"/>
          </w:tcPr>
          <w:p>
            <w:pPr>
              <w:spacing w:after="0"/>
              <w:rPr>
                <w:sz w:val="22"/>
                <w:szCs w:val="22"/>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-2228215</wp:posOffset>
            </wp:positionV>
            <wp:extent cx="6858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-2228215</wp:posOffset>
            </wp:positionV>
            <wp:extent cx="6858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-1602105</wp:posOffset>
            </wp:positionV>
            <wp:extent cx="68580"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-1602105</wp:posOffset>
            </wp:positionV>
            <wp:extent cx="6858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-342265</wp:posOffset>
            </wp:positionV>
            <wp:extent cx="6858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-342265</wp:posOffset>
            </wp:positionV>
            <wp:extent cx="6858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30"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5"/>
              <w:spacing w:after="0" w:line="133"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15"/>
              <w:spacing w:after="0" w:line="133"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16"/>
                <w:szCs w:val="16"/>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5"/>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9,148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(2,363 )</w:t>
            </w: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 related</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r>
      <w:tr>
        <w:trPr>
          <w:trHeight w:val="277"/>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13,586</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Research and development expenses were $13.6 million for the three months ended September 30, 2023, compared to $13.7 million for the three months ended September 30, 2022. The decrease of $0.1 million, compared to the three months ended September 30, 2022, was primarily due to the following:</w:t>
      </w:r>
    </w:p>
    <w:p>
      <w:pPr>
        <w:spacing w:after="0" w:line="76" w:lineRule="exact"/>
        <w:rPr>
          <w:sz w:val="20"/>
          <w:szCs w:val="20"/>
          <w:color w:val="auto"/>
        </w:rPr>
      </w:pPr>
    </w:p>
    <w:p>
      <w:pPr>
        <w:ind w:left="900" w:right="12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$2.3 million decrease in development expenses due to lower clinical and chemistry, manufacturing, and control (CMC) expenses as PC14586, our lead product candidate, was nearing completion of Phase 1; offset by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$1.7 million increase in expenses for personnel related costs and stock-based compensation primarily driven by increased headcount; and</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$0.5 million increase in research expenses, largely driven by increased contractual research organization costs and lab facilities costs.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General and administrative expenses were $6.0 million for the three months ended September 30, 2023, compared to $5.7 million for the three months ended September 30, 2022. The increase of $0.3 million, compared to the three months ended September 30, 2022, was primarily due to following:</w:t>
      </w:r>
    </w:p>
    <w:p>
      <w:pPr>
        <w:spacing w:after="0" w:line="16" w:lineRule="exact"/>
        <w:rPr>
          <w:sz w:val="20"/>
          <w:szCs w:val="20"/>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$0.6 million increase in finance and legal expenses, offset by a $0.3 million decrease in director and officer insurance fees.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$3.0 million for the three months ended September 30, 2023. The increase of $1.9 million compared to the three months ended September 30, 2022, is driven by increased interest rates from cash and investments in marketable securities and U.S treasuries during the three months ended September 30,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Statement of operations data:</w:t>
            </w:r>
          </w:p>
        </w:tc>
        <w:tc>
          <w:tcPr>
            <w:tcW w:w="2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6"/>
              <w:spacing w:after="0" w:line="133" w:lineRule="exact"/>
              <w:rPr>
                <w:sz w:val="20"/>
                <w:szCs w:val="20"/>
                <w:color w:val="auto"/>
              </w:rPr>
            </w:pPr>
            <w:r>
              <w:rPr>
                <w:rFonts w:ascii="Arial" w:cs="Arial" w:eastAsia="Arial" w:hAnsi="Arial"/>
                <w:sz w:val="14"/>
                <w:szCs w:val="14"/>
                <w:b w:val="1"/>
                <w:bCs w:val="1"/>
                <w:color w:val="auto"/>
                <w:w w:val="96"/>
              </w:rPr>
              <w:t>2023</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14"/>
              <w:spacing w:after="0" w:line="133"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0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42,503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36,963</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43"/>
        </w:trPr>
        <w:tc>
          <w:tcPr>
            <w:tcW w:w="4600" w:type="dxa"/>
            <w:vAlign w:val="bottom"/>
            <w:tcBorders>
              <w:top w:val="single" w:sz="8" w:color="CFF0FC"/>
            </w:tcBorders>
          </w:tcPr>
          <w:p>
            <w:pPr>
              <w:spacing w:after="0"/>
              <w:rPr>
                <w:sz w:val="21"/>
                <w:szCs w:val="21"/>
                <w:color w:val="auto"/>
              </w:rPr>
            </w:pPr>
          </w:p>
        </w:tc>
        <w:tc>
          <w:tcPr>
            <w:tcW w:w="204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55,878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(61,230 )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(55,878 )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(5,352 )</w:t>
            </w:r>
          </w:p>
        </w:tc>
        <w:tc>
          <w:tcPr>
            <w:tcW w:w="0" w:type="dxa"/>
            <w:vAlign w:val="bottom"/>
          </w:tcPr>
          <w:p>
            <w:pPr>
              <w:spacing w:after="0"/>
              <w:rPr>
                <w:sz w:val="1"/>
                <w:szCs w:val="1"/>
                <w:color w:val="auto"/>
              </w:rPr>
            </w:pPr>
          </w:p>
        </w:tc>
      </w:tr>
      <w:tr>
        <w:trPr>
          <w:trHeight w:val="236"/>
        </w:trPr>
        <w:tc>
          <w:tcPr>
            <w:tcW w:w="4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0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net</w:t>
            </w:r>
          </w:p>
        </w:tc>
        <w:tc>
          <w:tcPr>
            <w:tcW w:w="2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Total other income</w:t>
            </w:r>
          </w:p>
        </w:tc>
        <w:tc>
          <w:tcPr>
            <w:tcW w:w="2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0"/>
              <w:spacing w:after="0"/>
              <w:rPr>
                <w:sz w:val="20"/>
                <w:szCs w:val="20"/>
                <w:color w:val="auto"/>
              </w:rPr>
            </w:pPr>
            <w:r>
              <w:rPr>
                <w:rFonts w:ascii="Arial" w:cs="Arial" w:eastAsia="Arial" w:hAnsi="Arial"/>
                <w:sz w:val="18"/>
                <w:szCs w:val="18"/>
                <w:color w:val="auto"/>
              </w:rPr>
              <w:t>Loss before provision (benefit) for income taxes</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(53,201 )</w:t>
            </w: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(53,981 )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(benefit) for income taxes</w:t>
            </w:r>
          </w:p>
        </w:tc>
        <w:tc>
          <w:tcPr>
            <w:tcW w:w="2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(9 )</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top w:val="single" w:sz="8" w:color="CFF0FC"/>
            </w:tcBorders>
          </w:tcPr>
          <w:p>
            <w:pPr>
              <w:spacing w:after="0"/>
              <w:rPr>
                <w:sz w:val="21"/>
                <w:szCs w:val="21"/>
                <w:color w:val="auto"/>
              </w:rPr>
            </w:pPr>
          </w:p>
        </w:tc>
        <w:tc>
          <w:tcPr>
            <w:tcW w:w="204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(53,204 )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(53,972 )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00" w:type="dxa"/>
            <w:vAlign w:val="bottom"/>
            <w:tcBorders>
              <w:top w:val="single" w:sz="8" w:color="CFF0FC"/>
            </w:tcBorders>
          </w:tcPr>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0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20" w:type="dxa"/>
            <w:vAlign w:val="bottom"/>
            <w:gridSpan w:val="8"/>
          </w:tcPr>
          <w:p>
            <w:pPr>
              <w:ind w:left="520"/>
              <w:spacing w:after="0"/>
              <w:rPr>
                <w:sz w:val="20"/>
                <w:szCs w:val="20"/>
                <w:color w:val="auto"/>
              </w:rPr>
            </w:pPr>
            <w:r>
              <w:rPr>
                <w:rFonts w:ascii="Arial" w:cs="Arial" w:eastAsia="Arial" w:hAnsi="Arial"/>
                <w:sz w:val="18"/>
                <w:szCs w:val="18"/>
                <w:color w:val="auto"/>
                <w:w w:val="92"/>
              </w:rPr>
              <w:t>The following table summarizes our research and development expenses incurred during the periods indicated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6"/>
              <w:spacing w:after="0" w:line="133" w:lineRule="exact"/>
              <w:rPr>
                <w:sz w:val="20"/>
                <w:szCs w:val="20"/>
                <w:color w:val="auto"/>
              </w:rPr>
            </w:pPr>
            <w:r>
              <w:rPr>
                <w:rFonts w:ascii="Arial" w:cs="Arial" w:eastAsia="Arial" w:hAnsi="Arial"/>
                <w:sz w:val="14"/>
                <w:szCs w:val="14"/>
                <w:b w:val="1"/>
                <w:bCs w:val="1"/>
                <w:color w:val="auto"/>
                <w:w w:val="96"/>
              </w:rPr>
              <w:t>2023</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14"/>
              <w:spacing w:after="0" w:line="133"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w:t>
            </w:r>
          </w:p>
        </w:tc>
        <w:tc>
          <w:tcPr>
            <w:tcW w:w="20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5,771</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23,074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21,868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 related</w:t>
            </w:r>
          </w:p>
        </w:tc>
        <w:tc>
          <w:tcPr>
            <w:tcW w:w="2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42,503</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600" w:type="dxa"/>
            <w:vAlign w:val="bottom"/>
          </w:tcPr>
          <w:p>
            <w:pPr>
              <w:spacing w:after="0"/>
              <w:rPr>
                <w:sz w:val="24"/>
                <w:szCs w:val="24"/>
                <w:color w:val="auto"/>
              </w:rPr>
            </w:pPr>
          </w:p>
        </w:tc>
        <w:tc>
          <w:tcPr>
            <w:tcW w:w="2040" w:type="dxa"/>
            <w:vAlign w:val="bottom"/>
          </w:tcPr>
          <w:p>
            <w:pPr>
              <w:jc w:val="right"/>
              <w:ind w:right="8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-4645660</wp:posOffset>
            </wp:positionV>
            <wp:extent cx="6858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-4645660</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-4019550</wp:posOffset>
            </wp:positionV>
            <wp:extent cx="68580"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-4019550</wp:posOffset>
            </wp:positionV>
            <wp:extent cx="6858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-2759710</wp:posOffset>
            </wp:positionV>
            <wp:extent cx="6858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-2759710</wp:posOffset>
            </wp:positionV>
            <wp:extent cx="6858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-2442210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-2425065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-2442210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-2425065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-633730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-616585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-633730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-616585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right="400" w:firstLine="509"/>
        <w:spacing w:after="0" w:line="263" w:lineRule="auto"/>
        <w:rPr>
          <w:sz w:val="20"/>
          <w:szCs w:val="20"/>
          <w:color w:val="auto"/>
        </w:rPr>
      </w:pPr>
      <w:r>
        <w:rPr>
          <w:rFonts w:ascii="Arial" w:cs="Arial" w:eastAsia="Arial" w:hAnsi="Arial"/>
          <w:sz w:val="18"/>
          <w:szCs w:val="18"/>
          <w:color w:val="auto"/>
        </w:rPr>
        <w:t>Research and development expenses were $42.5 million for the nine months ended September 30, 2023, compared to $37.0 million for the nine months ended September 30, 2022. The increase of $5.5 million, compared to the nine months ended September 30, 2022, was primarily due to the following:</w:t>
      </w:r>
    </w:p>
    <w:p>
      <w:pPr>
        <w:spacing w:after="0" w:line="76" w:lineRule="exact"/>
        <w:rPr>
          <w:sz w:val="20"/>
          <w:szCs w:val="20"/>
          <w:color w:val="auto"/>
        </w:rPr>
      </w:pPr>
    </w:p>
    <w:p>
      <w:pPr>
        <w:ind w:left="900" w:right="10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million increase in development expenses associated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$4.7 million increase in expenses for personnel related costs and stock-based compensation, primarily driven by increased headcount; offset by</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$0.4 million decrease in research expenses, largely driven by decreased contractual research organization costs.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General and administrative expenses were $18.7 million for the nine months ended September 30, 2023, compared to $18.9 million for the nine months ended September 30, 2022. The decrease of $0.2 million, compared to the nine months ended September 30, 2022, was primarily due to following:</w:t>
      </w:r>
    </w:p>
    <w:p>
      <w:pPr>
        <w:spacing w:after="0" w:line="16" w:lineRule="exact"/>
        <w:rPr>
          <w:sz w:val="20"/>
          <w:szCs w:val="20"/>
          <w:color w:val="auto"/>
        </w:rPr>
      </w:pPr>
    </w:p>
    <w:p>
      <w:pPr>
        <w:ind w:left="900" w:right="30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$0.7 million decrease in director and officer insurance fees and a $0.1 million decrease in facility related costs due to the expiration of three leases; offset by</w:t>
      </w:r>
    </w:p>
    <w:p>
      <w:pPr>
        <w:spacing w:after="0" w:line="62"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increase in personnel costs driven by an increase in stock compensation and a $0.3 million increase in general and administrative consulting costs.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$8.0 million for the nine months ended September 30, 2023. The increase of $6.2 million compared to the nine months ended September 30, 2022, is driven by increased interest rates from cash and investments in marketable securities and U.S treasuries during the nine months ended September 30, 2023.</w:t>
      </w: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condition is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As of September 30,</w:t>
            </w:r>
          </w:p>
        </w:tc>
        <w:tc>
          <w:tcPr>
            <w:tcW w:w="26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r>
      <w:tr>
        <w:trPr>
          <w:trHeight w:val="236"/>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52,057</w:t>
            </w:r>
          </w:p>
        </w:tc>
        <w:tc>
          <w:tcPr>
            <w:tcW w:w="56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108,297</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(56,240 )</w:t>
            </w:r>
          </w:p>
        </w:tc>
      </w:tr>
      <w:tr>
        <w:trPr>
          <w:trHeight w:val="249"/>
        </w:trPr>
        <w:tc>
          <w:tcPr>
            <w:tcW w:w="6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Marketable securities - current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149,861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132,757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Marketable securities - noncurrent</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33,689</w:t>
            </w:r>
          </w:p>
        </w:tc>
        <w:tc>
          <w:tcPr>
            <w:tcW w:w="100" w:type="dxa"/>
            <w:vAlign w:val="bottom"/>
          </w:tcPr>
          <w:p>
            <w:pPr>
              <w:spacing w:after="0"/>
              <w:rPr>
                <w:sz w:val="21"/>
                <w:szCs w:val="21"/>
                <w:color w:val="auto"/>
              </w:rPr>
            </w:pPr>
          </w:p>
        </w:tc>
      </w:tr>
      <w:tr>
        <w:trPr>
          <w:trHeight w:val="276"/>
        </w:trPr>
        <w:tc>
          <w:tcPr>
            <w:tcW w:w="6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238,102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243,549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6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205,296</w:t>
            </w:r>
          </w:p>
        </w:tc>
        <w:tc>
          <w:tcPr>
            <w:tcW w:w="56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247,006</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(41,710 )</w:t>
            </w:r>
          </w:p>
        </w:tc>
      </w:tr>
      <w:tr>
        <w:trPr>
          <w:trHeight w:val="249"/>
        </w:trPr>
        <w:tc>
          <w:tcPr>
            <w:tcW w:w="6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200"/>
              <w:spacing w:after="0"/>
              <w:rPr>
                <w:sz w:val="20"/>
                <w:szCs w:val="20"/>
                <w:color w:val="auto"/>
              </w:rPr>
            </w:pPr>
            <w:r>
              <w:rPr>
                <w:rFonts w:ascii="Arial" w:cs="Arial" w:eastAsia="Arial" w:hAnsi="Arial"/>
                <w:sz w:val="18"/>
                <w:szCs w:val="18"/>
                <w:color w:val="auto"/>
              </w:rPr>
              <w:t>Total working capital</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194,580</w:t>
            </w:r>
          </w:p>
        </w:tc>
        <w:tc>
          <w:tcPr>
            <w:tcW w:w="260" w:type="dxa"/>
            <w:vAlign w:val="bottom"/>
          </w:tcPr>
          <w:p>
            <w:pPr>
              <w:spacing w:after="0"/>
              <w:rPr>
                <w:sz w:val="20"/>
                <w:szCs w:val="20"/>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236,174</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(41,594 )</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-831215</wp:posOffset>
            </wp:positionV>
            <wp:extent cx="2057400"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5740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our inception, we have not generated any revenue from any product sales or any other sources and have incurred significant operating losses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negative cash flows from our operations. We have not yet commercialized any of our product candidates and we do not expect to generate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sales of any product candidates for several years, if at all. As of September 30, 2023, we had cash, cash equivalents, and marketable securities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$238.1 million and an accumulated deficit of $294.2 million. In September 2020, we completed an IPO of 13,529,750 shares of our common stock,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includes the exercise in full by the underwriters of their option to purchase 1,764,750 additional shares of common stock, at a public offering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$18.00 per share for aggregate gross proceeds of $243.5 million. We received $223.2 million in net proceeds after deducting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commissions and other offering expenses payable by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140" w:firstLine="509"/>
        <w:spacing w:after="0" w:line="275" w:lineRule="auto"/>
        <w:rPr>
          <w:sz w:val="20"/>
          <w:szCs w:val="20"/>
          <w:color w:val="auto"/>
        </w:rPr>
      </w:pPr>
      <w:r>
        <w:rPr>
          <w:rFonts w:ascii="Arial" w:cs="Arial" w:eastAsia="Arial" w:hAnsi="Arial"/>
          <w:sz w:val="17"/>
          <w:szCs w:val="17"/>
          <w:color w:val="auto"/>
        </w:rPr>
        <w:t>We have a shelf registration statement on Form S-3 on file with the SEC, which registers the offering, issuance, and sale of up to $200 million of various equity and debt securities and up to $150 million of common stock pursuant to our at-the-market equity offering program, dated October 4, 2021, or the ATM Program. During the nine months ended September 30, 2023, we sold 5,149,446 shares of common stock under the ATM Program at a weighted average price of $6.97 per share for $35.1 million in proceeds, net of fees. As of September 30, 2023, we have approximately $113.8 million remaining in gross proceeds available for future issuances of common stock under the ATM Program.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76"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In January 2021, we signed a lease for 50,581 square feet of office and laboratory space at One Research Way in Princeton, New Jersey. That lease term extends through 2032, has a five-year extension option, and is replaced our two prior facilities. Amounts related to future lease payments as of September 30, 2023, totaled $17.5 million, with $0.7 million, net $1.1 million of cash reimbursements, to be paid within the next 12 months.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Due to our significant research and development expenditures, we have generated substantial operating losses in each period since inception. We have incurred an accumulated deficit of $294.2 million through September 30, 2023. We expect to incur substantial additional losses in the future as we expand our research and development activities. For the nine months ended September 30, 2023 and 2022, our cash operating expenditures were $43.6 million and $48.4 million, respectively. We expect to increase our investment in operations in the remainder of 2023 and 2024. Based on our research and development plans, we expect that our cash, cash equivalents and marketable securities as of September 30, 2023 will be sufficient to fund our operations at least through 2025.</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based this estimate on assumptions that may prove to be wrong, however, and we could use our capital resources sooner than we expect.</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900" w:right="74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future licenses and research and development programs and to establish new collaboration and/or in-licensing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900" w:right="460" w:hanging="383"/>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efforts to build out our new office and laboratory headquarters, enhance operational systems and hire additional personnel, including personnel to support development of our product candidates and satisfy our obligations as a public company.</w:t>
      </w:r>
    </w:p>
    <w:p>
      <w:pPr>
        <w:spacing w:after="0" w:line="38"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4" w:name="page25"/>
    <w:bookmarkEnd w:id="24"/>
    <w:p>
      <w:pPr>
        <w:ind w:right="80"/>
        <w:spacing w:after="0" w:line="271" w:lineRule="auto"/>
        <w:rPr>
          <w:sz w:val="20"/>
          <w:szCs w:val="20"/>
          <w:color w:val="auto"/>
        </w:rPr>
      </w:pPr>
      <w:r>
        <w:rPr>
          <w:rFonts w:ascii="Arial" w:cs="Arial" w:eastAsia="Arial" w:hAnsi="Arial"/>
          <w:sz w:val="17"/>
          <w:szCs w:val="17"/>
          <w:color w:val="auto"/>
        </w:rPr>
        <w:t>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30"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556"/>
              <w:spacing w:after="0" w:line="133"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6"/>
              <w:spacing w:after="0" w:line="133"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r>
      <w:tr>
        <w:trPr>
          <w:trHeight w:val="185"/>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641"/>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(Unaudited)</w:t>
            </w: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(43,572</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20"/>
                <w:szCs w:val="20"/>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(47,957 )</w:t>
            </w: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(24,591 )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35,289</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spacing w:after="0"/>
              <w:rPr>
                <w:sz w:val="21"/>
                <w:szCs w:val="2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(56,240 )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(72,617 )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-342265</wp:posOffset>
            </wp:positionV>
            <wp:extent cx="76835"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operating activities for the nine months ended September 30, 2023, was $43.6 million, which consisted primarily of net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$53.2 million partially offset by non-cash charges of $6.5 million. Changes in our net operating assets increased operating cash by $3.1 million.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charges primarily consisted of stock-based compensation of $9.4 million, accretion of premiums on marketable securities of $3.5 million, 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$0.9 million, and non-cash lease income of $0.3 million. The change in our net operating assets and liabilities was primarily due to a decrease in prepaid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and other assets, a decrease in outstanding payables and an increase in accrued expenses.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operating activities for the nine months ended September 30, 2022, was $48.4 million, which consisted primarily of net loss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$54.0 million partially offset by non-cash charges of $7.4 million. Changes in our net operating assets decreased operating cash by $1.9 million.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charges primarily consisted of stock-based compensation of $7.1 million, and non-cash lease expense of $0.3 million. The change in our net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was primarily due to an increase in prepaid expenses and other assets, a decrease in accrued expenses, an increase in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payables, and an increase in operating lease right of use assets and liabilities driven by a cash reimbursement of $1.6 million for the buildout of the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building in Princeton, New Jersey.</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Our investing activities used $48.0 million of cash during the nine months ended September 30, 2023, which consisted primarily of purchases of marketable securities of $187.1 million, along with purchase of property and equipment of $0.8 million, partially offset by maturities of marketable securities of $140.0 million.</w:t>
      </w:r>
    </w:p>
    <w:p>
      <w:pPr>
        <w:spacing w:after="0" w:line="76"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Our investing activities used $24.6 million of cash during the nine months ended September 30, 2022, which consisted primarily of purchases of marketable securities of $194.5 million, along with purchase of property and equipment of $6.4 million partially offset by maturities of marketable securities of $176.3 million.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500" w:firstLine="509"/>
        <w:spacing w:after="0" w:line="263" w:lineRule="auto"/>
        <w:rPr>
          <w:sz w:val="20"/>
          <w:szCs w:val="20"/>
          <w:color w:val="auto"/>
        </w:rPr>
      </w:pPr>
      <w:r>
        <w:rPr>
          <w:rFonts w:ascii="Arial" w:cs="Arial" w:eastAsia="Arial" w:hAnsi="Arial"/>
          <w:sz w:val="18"/>
          <w:szCs w:val="18"/>
          <w:color w:val="auto"/>
        </w:rPr>
        <w:t>Our financing activities provided $35.3 million of cash during the nine months ended September 30, 2023. This consisted of $35.1 million of common stock issued under our ATM Program, net of issuance costs, and $0.2 million of proceeds from the exercise of stock options and issuance of common stock under the 2020 ESPP.</w:t>
      </w:r>
    </w:p>
    <w:p>
      <w:pPr>
        <w:spacing w:after="0" w:line="76"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Our financing activities provided $0.4 million of cash during the nine months ended September 30, 2022, which consisted primarily of proceeds from the exercise of stock options and issuance of common stock under the 2020 ESPP.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9"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nine-month period ended September 30, 2023, there were no material changes to our critical accounting policies from those described in our audited financial statements for the year ended December 31, 2022, included in our Annual Report on Form 10-K filed with the SEC on March 1, 2023, except as noted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68"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58" w:lineRule="exact"/>
        <w:rPr>
          <w:sz w:val="20"/>
          <w:szCs w:val="20"/>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7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6" w:name="page27"/>
    <w:bookmarkEnd w:id="26"/>
    <w:p>
      <w:pPr>
        <w:jc w:val="both"/>
        <w:ind w:right="440" w:firstLine="509"/>
        <w:spacing w:after="0" w:line="263"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w:t>
      </w:r>
    </w:p>
    <w:p>
      <w:pPr>
        <w:spacing w:after="0" w:line="7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Expected volatility was derived from the average historical stock volatility of our common stock over a period equivalent to the expected term of the stock-based awards if data was available, and over the longest period for which trading activity is available if data matching the expected term was unavailable.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For a description of recent accounting pronouncements, see Note 2 of the notes to our unaudited condensed financial statements for the nine months ended September 30, 2023 included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We had cash, cash equivalents, and marketable securities of $238.1 million and restricted cash of $0.8 million as of September 30, 2023. The Company’s cash equivalents consist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41"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September 30, 2023.</w:t>
      </w:r>
    </w:p>
    <w:p>
      <w:pPr>
        <w:spacing w:after="0" w:line="7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are not currently involved in any litigation or legal proceedings that, in management’s opinion, are likely to have any material adverse effect on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There have been no material changes to the Company’s risk factors as set forth in Part I, Item 1A of the Company’s Annual Report on Form 10-K for the fiscal year ended December 31, 2022, as filed with the SEC on March 1, 2023, as supplemented by our Quarterly Report on Form 10-Q for the quarter ended March 31, 2023.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2022, as filed with the SEC on March 1, 2023, our Quarterly Report on Form 10-Q for the quarter ended March 31, 2023, as filed with the SEC on May 10, 2023, and our Quarterly Report on Form 10-Q for the quarter ended June 30, 2023, as filed with the SEC on August 9, 2023.</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 Unregistered Sales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 Use of Proceeds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8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have a shelf registration statement on Form S-3 (File No. 333-260012), which was declared effective by the SEC on April 28, 2022. The shelf registration statement consists of (i) a base prospectus pursuant to which we may offer and sell, from time to time, up to $200 million of shares of our common stock, shares of our preferred stock, various series of debt securities and warrants to purchase any of such securities in one or more registered offerings, and (ii) a prospectus supplement pursuant to which we may offer and sell, from time to time, up to $150 million of shares of common stock in "at-the-market" offerings. During the three months ended September 30, 2023, we sold 4,805,088 shares of common stock under the ATM Program at a weighted average price of $7.05 per share, for total proceeds of $33.1 million, net of fees. During the nine months ended September 30, 2023, we sold 5,149,446 shares of common stock under the ATM Program at a weighted average price of $6.97 per share, for total proceeds of $35.1 million, net of fees. As of September 30, 2023, we have approximately $113.8 million remaining in gross proceeds available for future issuances of common stock under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059"/>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8019"/>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4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gridSpan w:val="10"/>
            <w:vMerge w:val="restart"/>
          </w:tcPr>
          <w:p>
            <w:pPr>
              <w:ind w:left="2020"/>
              <w:spacing w:after="0"/>
              <w:rPr>
                <w:sz w:val="20"/>
                <w:szCs w:val="20"/>
                <w:color w:val="auto"/>
              </w:rPr>
            </w:pPr>
            <w:r>
              <w:rPr>
                <w:rFonts w:ascii="Arial" w:cs="Arial" w:eastAsia="Arial" w:hAnsi="Arial"/>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580" w:type="dxa"/>
            <w:vAlign w:val="bottom"/>
            <w:vMerge w:val="restart"/>
          </w:tcPr>
          <w:p>
            <w:pPr>
              <w:jc w:val="center"/>
              <w:ind w:left="56"/>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940" w:type="dxa"/>
            <w:vAlign w:val="bottom"/>
          </w:tcPr>
          <w:p>
            <w:pPr>
              <w:jc w:val="center"/>
              <w:ind w:right="173"/>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10"/>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5"/>
              </w:rPr>
              <w:t>3.1</w:t>
            </w:r>
          </w:p>
        </w:tc>
        <w:tc>
          <w:tcPr>
            <w:tcW w:w="5540" w:type="dxa"/>
            <w:vAlign w:val="bottom"/>
            <w:gridSpan w:val="12"/>
          </w:tcPr>
          <w:p>
            <w:pPr>
              <w:spacing w:after="0"/>
              <w:rPr>
                <w:rFonts w:ascii="Arial" w:cs="Arial" w:eastAsia="Arial" w:hAnsi="Arial"/>
                <w:sz w:val="18"/>
                <w:szCs w:val="18"/>
                <w:color w:val="0000FF"/>
              </w:rPr>
            </w:pPr>
            <w:hyperlink r:id="rId239">
              <w:r>
                <w:rPr>
                  <w:rFonts w:ascii="Arial" w:cs="Arial" w:eastAsia="Arial" w:hAnsi="Arial"/>
                  <w:sz w:val="18"/>
                  <w:szCs w:val="18"/>
                  <w:color w:val="0000FF"/>
                </w:rPr>
                <w:t>Amended and Restated Certificate of Incorporation of the Registrant</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80" w:type="dxa"/>
            <w:vAlign w:val="bottom"/>
          </w:tcPr>
          <w:p>
            <w:pPr>
              <w:jc w:val="center"/>
              <w:ind w:left="56"/>
              <w:spacing w:after="0"/>
              <w:rPr>
                <w:sz w:val="20"/>
                <w:szCs w:val="20"/>
                <w:color w:val="auto"/>
              </w:rPr>
            </w:pPr>
            <w:r>
              <w:rPr>
                <w:rFonts w:ascii="Arial" w:cs="Arial" w:eastAsia="Arial" w:hAnsi="Arial"/>
                <w:sz w:val="18"/>
                <w:szCs w:val="18"/>
                <w:color w:val="auto"/>
                <w:w w:val="88"/>
              </w:rPr>
              <w:t>September 29, 2020</w:t>
            </w:r>
          </w:p>
        </w:tc>
        <w:tc>
          <w:tcPr>
            <w:tcW w:w="0" w:type="dxa"/>
            <w:vAlign w:val="bottom"/>
          </w:tcPr>
          <w:p>
            <w:pPr>
              <w:spacing w:after="0"/>
              <w:rPr>
                <w:sz w:val="1"/>
                <w:szCs w:val="1"/>
                <w:color w:val="auto"/>
              </w:rPr>
            </w:pPr>
          </w:p>
        </w:tc>
      </w:tr>
      <w:tr>
        <w:trPr>
          <w:trHeight w:val="466"/>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5"/>
              </w:rPr>
              <w:t>3.2</w:t>
            </w:r>
          </w:p>
        </w:tc>
        <w:tc>
          <w:tcPr>
            <w:tcW w:w="4940" w:type="dxa"/>
            <w:vAlign w:val="bottom"/>
            <w:tcBorders>
              <w:top w:val="single" w:sz="8" w:color="0000FF"/>
            </w:tcBorders>
            <w:gridSpan w:val="6"/>
          </w:tcPr>
          <w:p>
            <w:pPr>
              <w:spacing w:after="0"/>
              <w:rPr>
                <w:rFonts w:ascii="Arial" w:cs="Arial" w:eastAsia="Arial" w:hAnsi="Arial"/>
                <w:sz w:val="18"/>
                <w:szCs w:val="18"/>
                <w:color w:val="0000FF"/>
              </w:rPr>
            </w:pPr>
            <w:hyperlink r:id="rId240">
              <w:r>
                <w:rPr>
                  <w:rFonts w:ascii="Arial" w:cs="Arial" w:eastAsia="Arial" w:hAnsi="Arial"/>
                  <w:sz w:val="18"/>
                  <w:szCs w:val="18"/>
                  <w:color w:val="0000FF"/>
                </w:rPr>
                <w:t>Amended and Restated Bylaws of the Registrant</w:t>
              </w:r>
            </w:hyperlink>
          </w:p>
        </w:tc>
        <w:tc>
          <w:tcPr>
            <w:tcW w:w="6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80" w:type="dxa"/>
            <w:vAlign w:val="bottom"/>
          </w:tcPr>
          <w:p>
            <w:pPr>
              <w:jc w:val="center"/>
              <w:ind w:left="56"/>
              <w:spacing w:after="0"/>
              <w:rPr>
                <w:sz w:val="20"/>
                <w:szCs w:val="20"/>
                <w:color w:val="auto"/>
              </w:rPr>
            </w:pPr>
            <w:r>
              <w:rPr>
                <w:rFonts w:ascii="Arial" w:cs="Arial" w:eastAsia="Arial" w:hAnsi="Arial"/>
                <w:sz w:val="18"/>
                <w:szCs w:val="18"/>
                <w:color w:val="auto"/>
                <w:w w:val="91"/>
              </w:rPr>
              <w:t>May 10, 2023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87"/>
              </w:rPr>
              <w:t>31.1+</w:t>
            </w:r>
          </w:p>
        </w:tc>
        <w:tc>
          <w:tcPr>
            <w:tcW w:w="55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0"/>
              </w:rPr>
              <w:t>15d-14(a) under the Securities Exchange Act of 1934, as Adopted Pursuant</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87"/>
              </w:rPr>
              <w:t>31.2+</w:t>
            </w:r>
          </w:p>
        </w:tc>
        <w:tc>
          <w:tcPr>
            <w:tcW w:w="55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0"/>
              </w:rPr>
              <w:t>15d-14(a) under the Securities Exchange Act of 1934, as Adopted Pursuant</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3"/>
              </w:rPr>
              <w:t>32.1+†</w:t>
            </w:r>
          </w:p>
        </w:tc>
        <w:tc>
          <w:tcPr>
            <w:tcW w:w="53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w:t>
            </w:r>
          </w:p>
        </w:tc>
        <w:tc>
          <w:tcPr>
            <w:tcW w:w="16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2"/>
          </w:tcPr>
          <w:p>
            <w:pPr>
              <w:spacing w:after="0" w:line="196" w:lineRule="exact"/>
              <w:rPr>
                <w:sz w:val="20"/>
                <w:szCs w:val="20"/>
                <w:color w:val="auto"/>
              </w:rPr>
            </w:pPr>
            <w:r>
              <w:rPr>
                <w:rFonts w:ascii="Arial" w:cs="Arial" w:eastAsia="Arial" w:hAnsi="Arial"/>
                <w:sz w:val="18"/>
                <w:szCs w:val="18"/>
                <w:color w:val="0000FF"/>
                <w:w w:val="96"/>
              </w:rPr>
              <w:t>1350, as Adopted Pursuant to Section 906 of the Sarbanes-Oxley Act of</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2002.</w:t>
            </w:r>
          </w:p>
        </w:tc>
        <w:tc>
          <w:tcPr>
            <w:tcW w:w="20" w:type="dxa"/>
            <w:vAlign w:val="bottom"/>
            <w:tcBorders>
              <w:top w:val="single" w:sz="8" w:color="0000FF"/>
              <w:bottom w:val="single" w:sz="8" w:color="0000EE"/>
            </w:tcBorders>
          </w:tcPr>
          <w:p>
            <w:pPr>
              <w:spacing w:after="0"/>
              <w:rPr>
                <w:sz w:val="17"/>
                <w:szCs w:val="17"/>
                <w:color w:val="auto"/>
              </w:rPr>
            </w:pP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3"/>
              </w:rPr>
              <w:t>32.2+†</w:t>
            </w:r>
          </w:p>
        </w:tc>
        <w:tc>
          <w:tcPr>
            <w:tcW w:w="5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w:t>
            </w:r>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2"/>
          </w:tcPr>
          <w:p>
            <w:pPr>
              <w:spacing w:after="0" w:line="196" w:lineRule="exact"/>
              <w:rPr>
                <w:sz w:val="20"/>
                <w:szCs w:val="20"/>
                <w:color w:val="auto"/>
              </w:rPr>
            </w:pPr>
            <w:r>
              <w:rPr>
                <w:rFonts w:ascii="Arial" w:cs="Arial" w:eastAsia="Arial" w:hAnsi="Arial"/>
                <w:sz w:val="18"/>
                <w:szCs w:val="18"/>
                <w:color w:val="0000FF"/>
                <w:w w:val="96"/>
              </w:rPr>
              <w:t>1350, as Adopted Pursuant to Section 906 of the Sarbanes-Oxley Act of</w:t>
            </w: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2002.</w:t>
            </w:r>
          </w:p>
        </w:tc>
        <w:tc>
          <w:tcPr>
            <w:tcW w:w="20" w:type="dxa"/>
            <w:vAlign w:val="bottom"/>
            <w:tcBorders>
              <w:top w:val="single" w:sz="8" w:color="0000FF"/>
              <w:bottom w:val="single" w:sz="8" w:color="0000EE"/>
            </w:tcBorders>
          </w:tcPr>
          <w:p>
            <w:pPr>
              <w:spacing w:after="0"/>
              <w:rPr>
                <w:sz w:val="17"/>
                <w:szCs w:val="17"/>
                <w:color w:val="auto"/>
              </w:rPr>
            </w:pPr>
          </w:p>
        </w:tc>
        <w:tc>
          <w:tcPr>
            <w:tcW w:w="3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2"/>
              </w:rPr>
              <w:t>101.INS</w:t>
            </w:r>
          </w:p>
        </w:tc>
        <w:tc>
          <w:tcPr>
            <w:tcW w:w="554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3"/>
              </w:rPr>
              <w:t>101.SCH</w:t>
            </w:r>
          </w:p>
        </w:tc>
        <w:tc>
          <w:tcPr>
            <w:tcW w:w="55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7"/>
              </w:rPr>
              <w:t>101.CAL</w:t>
            </w:r>
          </w:p>
        </w:tc>
        <w:tc>
          <w:tcPr>
            <w:tcW w:w="55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0"/>
              </w:rPr>
              <w:t>101.DEF</w:t>
            </w:r>
          </w:p>
        </w:tc>
        <w:tc>
          <w:tcPr>
            <w:tcW w:w="55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98"/>
              </w:rPr>
              <w:t>101.LAB</w:t>
            </w:r>
          </w:p>
        </w:tc>
        <w:tc>
          <w:tcPr>
            <w:tcW w:w="55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3"/>
              <w:spacing w:after="0"/>
              <w:rPr>
                <w:sz w:val="20"/>
                <w:szCs w:val="20"/>
                <w:color w:val="auto"/>
              </w:rPr>
            </w:pPr>
            <w:r>
              <w:rPr>
                <w:rFonts w:ascii="Arial" w:cs="Arial" w:eastAsia="Arial" w:hAnsi="Arial"/>
                <w:sz w:val="18"/>
                <w:szCs w:val="18"/>
                <w:color w:val="auto"/>
                <w:w w:val="88"/>
              </w:rPr>
              <w:t>101.PRE</w:t>
            </w:r>
          </w:p>
        </w:tc>
        <w:tc>
          <w:tcPr>
            <w:tcW w:w="55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080" w:right="5020" w:hanging="734"/>
        <w:spacing w:after="0" w:line="277"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56" w:lineRule="exact"/>
        <w:rPr>
          <w:rFonts w:ascii="Arial" w:cs="Arial" w:eastAsia="Arial" w:hAnsi="Arial"/>
          <w:sz w:val="18"/>
          <w:szCs w:val="18"/>
          <w:color w:val="auto"/>
        </w:rPr>
      </w:pPr>
    </w:p>
    <w:p>
      <w:pPr>
        <w:jc w:val="both"/>
        <w:ind w:firstLine="8"/>
        <w:spacing w:after="0" w:line="259"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9512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00" w:type="dxa"/>
            <w:vAlign w:val="bottom"/>
            <w:gridSpan w:val="2"/>
          </w:tcPr>
          <w:p>
            <w:pPr>
              <w:ind w:left="1920"/>
              <w:spacing w:after="0"/>
              <w:rPr>
                <w:sz w:val="20"/>
                <w:szCs w:val="20"/>
                <w:color w:val="auto"/>
              </w:rPr>
            </w:pPr>
            <w:r>
              <w:rPr>
                <w:rFonts w:ascii="Arial" w:cs="Arial" w:eastAsia="Arial" w:hAnsi="Arial"/>
                <w:sz w:val="18"/>
                <w:szCs w:val="18"/>
                <w:b w:val="1"/>
                <w:bCs w:val="1"/>
                <w:color w:val="auto"/>
              </w:rPr>
              <w:t>PMV Pharmaceuticals, Inc.</w:t>
            </w:r>
          </w:p>
        </w:tc>
      </w:tr>
      <w:tr>
        <w:trPr>
          <w:trHeight w:val="472"/>
        </w:trPr>
        <w:tc>
          <w:tcPr>
            <w:tcW w:w="3720" w:type="dxa"/>
            <w:vAlign w:val="bottom"/>
          </w:tcPr>
          <w:p>
            <w:pPr>
              <w:spacing w:after="0"/>
              <w:rPr>
                <w:sz w:val="20"/>
                <w:szCs w:val="20"/>
                <w:color w:val="auto"/>
              </w:rPr>
            </w:pPr>
            <w:r>
              <w:rPr>
                <w:rFonts w:ascii="Arial" w:cs="Arial" w:eastAsia="Arial" w:hAnsi="Arial"/>
                <w:sz w:val="18"/>
                <w:szCs w:val="18"/>
                <w:color w:val="auto"/>
              </w:rPr>
              <w:t>Date: November 9, 2023</w:t>
            </w:r>
          </w:p>
        </w:tc>
        <w:tc>
          <w:tcPr>
            <w:tcW w:w="2340" w:type="dxa"/>
            <w:vAlign w:val="bottom"/>
          </w:tcPr>
          <w:p>
            <w:pPr>
              <w:ind w:left="19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H. Mack</w:t>
            </w:r>
          </w:p>
        </w:tc>
      </w:tr>
      <w:tr>
        <w:trPr>
          <w:trHeight w:val="209"/>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David H. Mack, Ph.D.</w:t>
            </w:r>
          </w:p>
        </w:tc>
      </w:tr>
      <w:tr>
        <w:trPr>
          <w:trHeight w:val="229"/>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59"/>
        </w:trPr>
        <w:tc>
          <w:tcPr>
            <w:tcW w:w="3720" w:type="dxa"/>
            <w:vAlign w:val="bottom"/>
          </w:tcPr>
          <w:p>
            <w:pPr>
              <w:spacing w:after="0"/>
              <w:rPr>
                <w:sz w:val="24"/>
                <w:szCs w:val="24"/>
                <w:color w:val="auto"/>
              </w:rPr>
            </w:pPr>
          </w:p>
        </w:tc>
        <w:tc>
          <w:tcPr>
            <w:tcW w:w="7500" w:type="dxa"/>
            <w:vAlign w:val="bottom"/>
            <w:gridSpan w:val="2"/>
          </w:tcPr>
          <w:p>
            <w:pPr>
              <w:ind w:left="1920"/>
              <w:spacing w:after="0"/>
              <w:rPr>
                <w:sz w:val="20"/>
                <w:szCs w:val="20"/>
                <w:color w:val="auto"/>
              </w:rPr>
            </w:pPr>
            <w:r>
              <w:rPr>
                <w:rFonts w:ascii="Arial" w:cs="Arial" w:eastAsia="Arial" w:hAnsi="Arial"/>
                <w:sz w:val="18"/>
                <w:szCs w:val="18"/>
                <w:b w:val="1"/>
                <w:bCs w:val="1"/>
                <w:color w:val="auto"/>
              </w:rPr>
              <w:t>PMV Pharmaceuticals, Inc.</w:t>
            </w:r>
          </w:p>
        </w:tc>
      </w:tr>
      <w:tr>
        <w:trPr>
          <w:trHeight w:val="472"/>
        </w:trPr>
        <w:tc>
          <w:tcPr>
            <w:tcW w:w="3720" w:type="dxa"/>
            <w:vAlign w:val="bottom"/>
          </w:tcPr>
          <w:p>
            <w:pPr>
              <w:spacing w:after="0"/>
              <w:rPr>
                <w:sz w:val="20"/>
                <w:szCs w:val="20"/>
                <w:color w:val="auto"/>
              </w:rPr>
            </w:pPr>
            <w:r>
              <w:rPr>
                <w:rFonts w:ascii="Arial" w:cs="Arial" w:eastAsia="Arial" w:hAnsi="Arial"/>
                <w:sz w:val="18"/>
                <w:szCs w:val="18"/>
                <w:color w:val="auto"/>
              </w:rPr>
              <w:t>Date: November 9, 2023</w:t>
            </w:r>
          </w:p>
        </w:tc>
        <w:tc>
          <w:tcPr>
            <w:tcW w:w="2340" w:type="dxa"/>
            <w:vAlign w:val="bottom"/>
          </w:tcPr>
          <w:p>
            <w:pPr>
              <w:ind w:left="19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Winston Kung</w:t>
            </w:r>
          </w:p>
        </w:tc>
      </w:tr>
      <w:tr>
        <w:trPr>
          <w:trHeight w:val="224"/>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Winston Kung</w:t>
            </w:r>
          </w:p>
        </w:tc>
      </w:tr>
    </w:tbl>
    <w:p>
      <w:pPr>
        <w:jc w:val="center"/>
        <w:ind w:left="6060"/>
        <w:spacing w:after="0"/>
        <w:rPr>
          <w:sz w:val="20"/>
          <w:szCs w:val="20"/>
          <w:color w:val="auto"/>
        </w:rPr>
      </w:pPr>
      <w:r>
        <w:rPr>
          <w:rFonts w:ascii="Arial" w:cs="Arial" w:eastAsia="Arial" w:hAnsi="Arial"/>
          <w:sz w:val="18"/>
          <w:szCs w:val="18"/>
          <w:color w:val="auto"/>
        </w:rPr>
        <w:t>Chief Operating Officer and</w:t>
      </w:r>
    </w:p>
    <w:p>
      <w:pPr>
        <w:spacing w:after="0" w:line="8"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PMV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020" w:val="left"/>
          <w:tab w:leader="none" w:pos="816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23495</wp:posOffset>
            </wp:positionV>
            <wp:extent cx="303466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H. Mack, Ph.D.</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jc w:val="center"/>
        <w:ind w:left="6440"/>
        <w:spacing w:after="0"/>
        <w:rPr>
          <w:sz w:val="20"/>
          <w:szCs w:val="20"/>
          <w:color w:val="auto"/>
        </w:rPr>
      </w:pPr>
      <w:r>
        <w:rPr>
          <w:rFonts w:ascii="Arial" w:cs="Arial" w:eastAsia="Arial" w:hAnsi="Arial"/>
          <w:sz w:val="18"/>
          <w:szCs w:val="18"/>
          <w:b w:val="1"/>
          <w:bCs w:val="1"/>
          <w:color w:val="auto"/>
        </w:rPr>
        <w:t>and Director</w:t>
      </w:r>
    </w:p>
    <w:p>
      <w:pPr>
        <w:spacing w:after="0" w:line="9" w:lineRule="exact"/>
        <w:rPr>
          <w:sz w:val="20"/>
          <w:szCs w:val="20"/>
          <w:color w:val="auto"/>
        </w:rPr>
      </w:pPr>
    </w:p>
    <w:p>
      <w:pPr>
        <w:jc w:val="center"/>
        <w:ind w:left="64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Winston Kung,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PMV Pharmaceuticals,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020" w:val="left"/>
          <w:tab w:leader="none" w:pos="82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23495</wp:posOffset>
            </wp:positionV>
            <wp:extent cx="30346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Winston Kung</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September 30, 2023,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32486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7"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David H. Mack, Ph.D.</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September 30, 2023,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32486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7"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Winston Kung</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39" Type="http://schemas.openxmlformats.org/officeDocument/2006/relationships/hyperlink" Target="https://www.sec.gov/Archives/edgar/data/1699382/000119312520257820/d95525dex31.htm" TargetMode="External"/><Relationship Id="rId240" Type="http://schemas.openxmlformats.org/officeDocument/2006/relationships/hyperlink" Target="https://www.sec.gov/Archives/edgar/data/1699382/000119312520257820/d9552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2023-11-09T07:12:55Z</dcterms:created>
  <dcterms:modified xsi:type="dcterms:W3CDTF">2023-11-09T07:12:55Z</dcterms:modified>
</cp:coreProperties>
</file>