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-582930</wp:posOffset>
            </wp:positionV>
            <wp:extent cx="7620" cy="583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356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-591185</wp:posOffset>
            </wp:positionV>
            <wp:extent cx="762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182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-567055</wp:posOffset>
            </wp:positionV>
            <wp:extent cx="1270000" cy="54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441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38735</wp:posOffset>
            </wp:positionV>
            <wp:extent cx="6972935" cy="1680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021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Thompson Peter A.</w:t>
        </w:r>
      </w:hyperlink>
    </w:p>
    <w:p>
      <w:pPr>
        <w:spacing w:after="0" w:line="278"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jc w:val="center"/>
        <w:ind w:right="206"/>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PMV Pharmaceuticals,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PMVP</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09/25/2020</w:t>
      </w:r>
    </w:p>
    <w:p>
      <w:pPr>
        <w:spacing w:after="0" w:line="20" w:lineRule="exact"/>
        <w:rPr>
          <w:sz w:val="24"/>
          <w:szCs w:val="24"/>
          <w:color w:val="auto"/>
        </w:rPr>
      </w:pPr>
      <w:r>
        <w:rPr>
          <w:sz w:val="24"/>
          <w:szCs w:val="24"/>
          <w:color w:val="auto"/>
        </w:rPr>
        <w:br w:type="column"/>
      </w:r>
    </w:p>
    <w:p>
      <w:pPr>
        <w:ind w:left="-6" w:right="740" w:firstLine="6"/>
        <w:spacing w:after="0" w:line="273"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4"/>
        <w:spacing w:after="0"/>
        <w:tabs>
          <w:tab w:leader="none" w:pos="494" w:val="left"/>
          <w:tab w:leader="none" w:pos="1754" w:val="left"/>
          <w:tab w:leader="none" w:pos="2074"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4" w:lineRule="exact"/>
        <w:rPr>
          <w:sz w:val="24"/>
          <w:szCs w:val="24"/>
          <w:color w:val="auto"/>
        </w:rPr>
      </w:pPr>
    </w:p>
    <w:p>
      <w:pPr>
        <w:sectPr>
          <w:pgSz w:w="11900" w:h="16838" w:orient="portrait"/>
          <w:cols w:equalWidth="0" w:num="3">
            <w:col w:w="3180" w:space="720"/>
            <w:col w:w="3106" w:space="720"/>
            <w:col w:w="3354"/>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520" w:type="dxa"/>
            <w:vAlign w:val="bottom"/>
            <w:gridSpan w:val="7"/>
            <w:vMerge w:val="restart"/>
          </w:tcPr>
          <w:p>
            <w:pPr>
              <w:jc w:val="center"/>
              <w:ind w:right="22"/>
              <w:spacing w:after="0"/>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2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CRANBURY</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08512</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20" w:type="dxa"/>
            <w:vAlign w:val="bottom"/>
            <w:tcBorders>
              <w:top w:val="single" w:sz="8" w:color="2C2C2C"/>
            </w:tcBorders>
            <w:gridSpan w:val="12"/>
          </w:tcPr>
          <w:p>
            <w:pPr>
              <w:jc w:val="center"/>
              <w:ind w:right="12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3"/>
          </w:tcPr>
          <w:p>
            <w:pPr>
              <w:jc w:val="center"/>
              <w:ind w:left="669"/>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5"/>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09/25/2020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rPr>
              <w:t>P</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475,000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475,000</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09/29/2020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4,025,076</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34"/>
              <w:spacing w:after="0"/>
              <w:rPr>
                <w:sz w:val="20"/>
                <w:szCs w:val="20"/>
                <w:color w:val="auto"/>
              </w:rPr>
            </w:pPr>
            <w:r>
              <w:rPr>
                <w:rFonts w:ascii="Times New Roman" w:cs="Times New Roman" w:eastAsia="Times New Roman" w:hAnsi="Times New Roman"/>
                <w:sz w:val="10"/>
                <w:szCs w:val="10"/>
                <w:color w:val="008000"/>
              </w:rPr>
              <w:t>(3)</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4,500,076</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09/29/2020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1,076,891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34"/>
              <w:spacing w:after="0"/>
              <w:rPr>
                <w:sz w:val="20"/>
                <w:szCs w:val="20"/>
                <w:color w:val="auto"/>
              </w:rPr>
            </w:pPr>
            <w:r>
              <w:rPr>
                <w:rFonts w:ascii="Times New Roman" w:cs="Times New Roman" w:eastAsia="Times New Roman" w:hAnsi="Times New Roman"/>
                <w:sz w:val="10"/>
                <w:szCs w:val="10"/>
                <w:color w:val="008000"/>
              </w:rPr>
              <w:t>(3)</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5,576,967</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09/29/2020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518,191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34"/>
              <w:spacing w:after="0"/>
              <w:rPr>
                <w:sz w:val="20"/>
                <w:szCs w:val="20"/>
                <w:color w:val="auto"/>
              </w:rPr>
            </w:pPr>
            <w:r>
              <w:rPr>
                <w:rFonts w:ascii="Times New Roman" w:cs="Times New Roman" w:eastAsia="Times New Roman" w:hAnsi="Times New Roman"/>
                <w:sz w:val="10"/>
                <w:szCs w:val="10"/>
                <w:color w:val="008000"/>
              </w:rPr>
              <w:t>(3)</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6,095,158</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09/29/2020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380,133</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34"/>
              <w:spacing w:after="0"/>
              <w:rPr>
                <w:sz w:val="20"/>
                <w:szCs w:val="20"/>
                <w:color w:val="auto"/>
              </w:rPr>
            </w:pPr>
            <w:r>
              <w:rPr>
                <w:rFonts w:ascii="Times New Roman" w:cs="Times New Roman" w:eastAsia="Times New Roman" w:hAnsi="Times New Roman"/>
                <w:sz w:val="10"/>
                <w:szCs w:val="10"/>
                <w:color w:val="008000"/>
              </w:rPr>
              <w:t>(3)</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6,475,291</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(1)(2)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09/29/2020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114,039</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34"/>
              <w:spacing w:after="0"/>
              <w:rPr>
                <w:sz w:val="20"/>
                <w:szCs w:val="20"/>
                <w:color w:val="auto"/>
              </w:rPr>
            </w:pPr>
            <w:r>
              <w:rPr>
                <w:rFonts w:ascii="Times New Roman" w:cs="Times New Roman" w:eastAsia="Times New Roman" w:hAnsi="Times New Roman"/>
                <w:sz w:val="10"/>
                <w:szCs w:val="10"/>
                <w:color w:val="008000"/>
              </w:rPr>
              <w:t>(3)</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114,039</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(2)(4)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3"/>
            <w:vMerge w:val="restart"/>
          </w:tcPr>
          <w:p>
            <w:pPr>
              <w:jc w:val="center"/>
              <w:ind w:left="669"/>
              <w:spacing w:after="0"/>
              <w:rPr>
                <w:sz w:val="20"/>
                <w:szCs w:val="20"/>
                <w:color w:val="auto"/>
              </w:rPr>
            </w:pPr>
            <w:r>
              <w:rPr>
                <w:rFonts w:ascii="Times New Roman" w:cs="Times New Roman" w:eastAsia="Times New Roman" w:hAnsi="Times New Roman"/>
                <w:sz w:val="16"/>
                <w:szCs w:val="16"/>
                <w:color w:val="0000FF"/>
              </w:rPr>
              <w:t>09/25/2020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rPr>
              <w:t>P</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475,000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475,000</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60" w:type="dxa"/>
            <w:vAlign w:val="bottom"/>
            <w:gridSpan w:val="1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3"/>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4,025,076</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3"/>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100" w:type="dxa"/>
            <w:vAlign w:val="bottom"/>
          </w:tcPr>
          <w:p>
            <w:pPr>
              <w:spacing w:after="0"/>
              <w:rPr>
                <w:sz w:val="4"/>
                <w:szCs w:val="4"/>
                <w:color w:val="auto"/>
              </w:rPr>
            </w:pPr>
          </w:p>
        </w:tc>
        <w:tc>
          <w:tcPr>
            <w:tcW w:w="740" w:type="dxa"/>
            <w:vAlign w:val="bottom"/>
            <w:gridSpan w:val="2"/>
            <w:vMerge w:val="restart"/>
          </w:tcPr>
          <w:p>
            <w:pPr>
              <w:jc w:val="center"/>
              <w:ind w:right="2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4"/>
              <w:spacing w:after="0" w:line="100" w:lineRule="exact"/>
              <w:rPr>
                <w:sz w:val="20"/>
                <w:szCs w:val="20"/>
                <w:color w:val="auto"/>
              </w:rPr>
            </w:pPr>
            <w:r>
              <w:rPr>
                <w:rFonts w:ascii="Times New Roman" w:cs="Times New Roman" w:eastAsia="Times New Roman" w:hAnsi="Times New Roman"/>
                <w:sz w:val="11"/>
                <w:szCs w:val="11"/>
                <w:color w:val="0000FF"/>
              </w:rPr>
              <w:t>4,025,076</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1,076,891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3"/>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100" w:type="dxa"/>
            <w:vAlign w:val="bottom"/>
          </w:tcPr>
          <w:p>
            <w:pPr>
              <w:spacing w:after="0"/>
              <w:rPr>
                <w:sz w:val="4"/>
                <w:szCs w:val="4"/>
                <w:color w:val="auto"/>
              </w:rPr>
            </w:pPr>
          </w:p>
        </w:tc>
        <w:tc>
          <w:tcPr>
            <w:tcW w:w="740" w:type="dxa"/>
            <w:vAlign w:val="bottom"/>
            <w:gridSpan w:val="2"/>
            <w:vMerge w:val="restart"/>
          </w:tcPr>
          <w:p>
            <w:pPr>
              <w:jc w:val="center"/>
              <w:ind w:right="2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4"/>
              <w:spacing w:after="0" w:line="100" w:lineRule="exact"/>
              <w:rPr>
                <w:sz w:val="20"/>
                <w:szCs w:val="20"/>
                <w:color w:val="auto"/>
              </w:rPr>
            </w:pPr>
            <w:r>
              <w:rPr>
                <w:rFonts w:ascii="Times New Roman" w:cs="Times New Roman" w:eastAsia="Times New Roman" w:hAnsi="Times New Roman"/>
                <w:sz w:val="11"/>
                <w:szCs w:val="11"/>
                <w:color w:val="0000FF"/>
              </w:rPr>
              <w:t>1,076,891</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518,191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3"/>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100" w:type="dxa"/>
            <w:vAlign w:val="bottom"/>
          </w:tcPr>
          <w:p>
            <w:pPr>
              <w:spacing w:after="0"/>
              <w:rPr>
                <w:sz w:val="4"/>
                <w:szCs w:val="4"/>
                <w:color w:val="auto"/>
              </w:rPr>
            </w:pPr>
          </w:p>
        </w:tc>
        <w:tc>
          <w:tcPr>
            <w:tcW w:w="740" w:type="dxa"/>
            <w:vAlign w:val="bottom"/>
            <w:gridSpan w:val="2"/>
            <w:vMerge w:val="restart"/>
          </w:tcPr>
          <w:p>
            <w:pPr>
              <w:jc w:val="center"/>
              <w:ind w:right="2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4"/>
              <w:spacing w:after="0" w:line="100" w:lineRule="exact"/>
              <w:rPr>
                <w:sz w:val="20"/>
                <w:szCs w:val="20"/>
                <w:color w:val="auto"/>
              </w:rPr>
            </w:pPr>
            <w:r>
              <w:rPr>
                <w:rFonts w:ascii="Times New Roman" w:cs="Times New Roman" w:eastAsia="Times New Roman" w:hAnsi="Times New Roman"/>
                <w:sz w:val="11"/>
                <w:szCs w:val="11"/>
                <w:color w:val="0000FF"/>
              </w:rPr>
              <w:t>518,191</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380,133</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3"/>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100" w:type="dxa"/>
            <w:vAlign w:val="bottom"/>
          </w:tcPr>
          <w:p>
            <w:pPr>
              <w:spacing w:after="0"/>
              <w:rPr>
                <w:sz w:val="4"/>
                <w:szCs w:val="4"/>
                <w:color w:val="auto"/>
              </w:rPr>
            </w:pPr>
          </w:p>
        </w:tc>
        <w:tc>
          <w:tcPr>
            <w:tcW w:w="740" w:type="dxa"/>
            <w:vAlign w:val="bottom"/>
            <w:gridSpan w:val="2"/>
            <w:vMerge w:val="restart"/>
          </w:tcPr>
          <w:p>
            <w:pPr>
              <w:jc w:val="center"/>
              <w:ind w:right="2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4"/>
              <w:spacing w:after="0" w:line="100" w:lineRule="exact"/>
              <w:rPr>
                <w:sz w:val="20"/>
                <w:szCs w:val="20"/>
                <w:color w:val="auto"/>
              </w:rPr>
            </w:pPr>
            <w:r>
              <w:rPr>
                <w:rFonts w:ascii="Times New Roman" w:cs="Times New Roman" w:eastAsia="Times New Roman" w:hAnsi="Times New Roman"/>
                <w:sz w:val="11"/>
                <w:szCs w:val="11"/>
                <w:color w:val="0000FF"/>
              </w:rPr>
              <w:t>380,133</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(1)(2)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114,039</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left="3"/>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100" w:type="dxa"/>
            <w:vAlign w:val="bottom"/>
          </w:tcPr>
          <w:p>
            <w:pPr>
              <w:spacing w:after="0"/>
              <w:rPr>
                <w:sz w:val="4"/>
                <w:szCs w:val="4"/>
                <w:color w:val="auto"/>
              </w:rPr>
            </w:pPr>
          </w:p>
        </w:tc>
        <w:tc>
          <w:tcPr>
            <w:tcW w:w="740" w:type="dxa"/>
            <w:vAlign w:val="bottom"/>
            <w:gridSpan w:val="2"/>
            <w:vMerge w:val="restart"/>
          </w:tcPr>
          <w:p>
            <w:pPr>
              <w:jc w:val="center"/>
              <w:ind w:right="2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4"/>
              <w:spacing w:after="0" w:line="100" w:lineRule="exact"/>
              <w:rPr>
                <w:sz w:val="20"/>
                <w:szCs w:val="20"/>
                <w:color w:val="auto"/>
              </w:rPr>
            </w:pPr>
            <w:r>
              <w:rPr>
                <w:rFonts w:ascii="Times New Roman" w:cs="Times New Roman" w:eastAsia="Times New Roman" w:hAnsi="Times New Roman"/>
                <w:sz w:val="11"/>
                <w:szCs w:val="11"/>
                <w:color w:val="0000FF"/>
              </w:rPr>
              <w:t>114,039</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-5989955</wp:posOffset>
            </wp:positionV>
            <wp:extent cx="7036435" cy="6136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61366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0000FF"/>
        </w:rPr>
        <w:t>Stock</w:t>
      </w:r>
    </w:p>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4"/>
          <w:szCs w:val="24"/>
          <w:color w:val="auto"/>
        </w:rPr>
      </w:pPr>
    </w:p>
    <w:p>
      <w:pPr>
        <w:ind w:left="40" w:right="140" w:hanging="3"/>
        <w:spacing w:after="0" w:line="248"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By virtue of such relationships, GP V and OrbiMed Advisors may be deemed to have voting and investment power with respect to the securities held by OPI V noted above and as a result may be deemed to beneficially own such securities for purposes of Rule 13d-3 under the Securities Exchange Act of 1934, as amended (the "Exchange Act"). OrbiMed Advisors exercises this investment and voting power through a management committee comprised of Carl L. Gordon, Sven H. Borho, and Jonathan T. Silverstein, each of whom disclaims beneficial ownership of the shares held by OPI V.</w:t>
      </w:r>
    </w:p>
    <w:p>
      <w:pPr>
        <w:spacing w:after="0" w:line="19" w:lineRule="exact"/>
        <w:rPr>
          <w:rFonts w:ascii="Times New Roman" w:cs="Times New Roman" w:eastAsia="Times New Roman" w:hAnsi="Times New Roman"/>
          <w:sz w:val="12"/>
          <w:szCs w:val="12"/>
          <w:color w:val="008000"/>
        </w:rPr>
      </w:pPr>
    </w:p>
    <w:p>
      <w:pPr>
        <w:jc w:val="both"/>
        <w:ind w:left="40" w:right="160" w:hanging="3"/>
        <w:spacing w:after="0" w:line="25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GP V, OrbiMed Advisors, OrbiMed Genesis GP LLC ("Genesis GP"), OrbiMed Capital LLC ("OrbiMed Capital"), Messrs. Borho and Silverstein, Dr. Gordon, and the Reporting Person disclaims beneficial ownership of the securities reported herein for purposes of Rule 16a-1(a) under the Securities and Exchange Act of 1934, as amended (the "Exchange Act"), except to the extent of its or his pecuniary interest therein, if any. This report shall not be deemed an admission that any such entity or person is a beneficial owner of such securities for the purpose of Section 16 of the Exchange Act, or for any other purpose. The Reporting Person is an employee of OrbiMed Advisors.</w:t>
      </w:r>
    </w:p>
    <w:p>
      <w:pPr>
        <w:spacing w:after="0" w:line="19" w:lineRule="exact"/>
        <w:rPr>
          <w:rFonts w:ascii="Times New Roman" w:cs="Times New Roman" w:eastAsia="Times New Roman" w:hAnsi="Times New Roman"/>
          <w:sz w:val="12"/>
          <w:szCs w:val="12"/>
          <w:color w:val="008000"/>
        </w:rPr>
      </w:pPr>
    </w:p>
    <w:p>
      <w:pPr>
        <w:ind w:left="40" w:right="560" w:hanging="3"/>
        <w:spacing w:after="0" w:line="280"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each of the Series A Preferred Stock, Series B Preferred Stock, Series C Preferred Stock and Series D Preferred Stock automatically converted into shares of Common Stock on a one to one basis immediately prior to the completion of the Issuer's initial public offering of Common Stock and have no expiration date.</w:t>
      </w:r>
    </w:p>
    <w:p>
      <w:pPr>
        <w:ind w:left="40" w:right="280" w:hanging="3"/>
        <w:spacing w:after="0" w:line="25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OrbiMed Genesis Master Fund, L.P. ("Genesis Master Fund"). Genesis GP is the general partner of Genesis Master Fund and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Genesis Master Fund.</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hanging="3"/>
        <w:spacing w:after="0" w:line="25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OrbiMed Partners Master Fund Limited ("OPM"). OrbiMed Capital is the investment advisor to OPM. OrbiMed Capital is a relying advisor of OrbiMed Advisors. OrbiMed Advisors and OrbiMed Capital exercise voting and investment power through a management committee comprised of the Carl L. Gordon, Sven H. Borho, and Jonathan T. Silverstein, each of whom disclaims beneficial ownership of the shares held by OPM.</w:t>
      </w:r>
    </w:p>
    <w:p>
      <w:pPr>
        <w:spacing w:after="0" w:line="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03" w:lineRule="exact"/>
        <w:rPr>
          <w:sz w:val="20"/>
          <w:szCs w:val="20"/>
          <w:color w:val="auto"/>
        </w:rPr>
      </w:pPr>
    </w:p>
    <w:tbl>
      <w:tblPr>
        <w:tblLayout w:type="fixed"/>
        <w:tblInd w:w="6563"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David H. Mack, attorney-in-</w:t>
            </w:r>
          </w:p>
        </w:tc>
        <w:tc>
          <w:tcPr>
            <w:tcW w:w="160" w:type="dxa"/>
            <w:vAlign w:val="bottom"/>
          </w:tcPr>
          <w:p>
            <w:pPr>
              <w:spacing w:after="0"/>
              <w:rPr>
                <w:sz w:val="17"/>
                <w:szCs w:val="17"/>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w w:val="98"/>
              </w:rPr>
              <w:t>09/29/2020</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1"/>
              </w:rPr>
              <w:t>fact</w:t>
            </w:r>
          </w:p>
        </w:tc>
        <w:tc>
          <w:tcPr>
            <w:tcW w:w="1960" w:type="dxa"/>
            <w:vAlign w:val="bottom"/>
            <w:gridSpan w:val="2"/>
            <w:vMerge w:val="restart"/>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3740" w:hanging="3"/>
        <w:spacing w:after="0" w:line="32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7522"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2020-09-29T16:30:51Z</dcterms:created>
  <dcterms:modified xsi:type="dcterms:W3CDTF">2020-09-29T16:30:51Z</dcterms:modified>
</cp:coreProperties>
</file>