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69353Y 10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color w:val="auto"/>
        </w:rPr>
        <w:t>CUSIP No. 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0" w:hanging="46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Nextech V Oncology S.C.S., SICAV-SIF</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60" w:hanging="46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40" w:hanging="790"/>
        <w:spacing w:after="0" w:line="207" w:lineRule="exact"/>
        <w:tabs>
          <w:tab w:leader="none" w:pos="15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40" w:hanging="790"/>
        <w:spacing w:after="0" w:line="207" w:lineRule="exact"/>
        <w:tabs>
          <w:tab w:leader="none" w:pos="15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60" w:hanging="469"/>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60" w:right="7860" w:hanging="469"/>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6694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-533400</wp:posOffset>
            </wp:positionV>
            <wp:extent cx="66948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-944880</wp:posOffset>
            </wp:positionV>
            <wp:extent cx="619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-1159510</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-1776730</wp:posOffset>
            </wp:positionV>
            <wp:extent cx="6694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1,385,807 shares</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1,385,807 shares</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080" w:right="7280" w:hanging="655"/>
        <w:spacing w:after="0" w:line="277" w:lineRule="auto"/>
        <w:tabs>
          <w:tab w:leader="none" w:pos="208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760" w:right="5680" w:hanging="469"/>
        <w:spacing w:after="0" w:line="277" w:lineRule="auto"/>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1,385,807 shares</w:t>
      </w:r>
    </w:p>
    <w:p>
      <w:pPr>
        <w:spacing w:after="0" w:line="353" w:lineRule="exact"/>
        <w:rPr>
          <w:rFonts w:ascii="Arial" w:cs="Arial" w:eastAsia="Arial" w:hAnsi="Arial"/>
          <w:sz w:val="18"/>
          <w:szCs w:val="18"/>
          <w:color w:val="auto"/>
        </w:rPr>
      </w:pPr>
    </w:p>
    <w:p>
      <w:pPr>
        <w:ind w:left="760" w:hanging="469"/>
        <w:spacing w:after="0" w:line="207" w:lineRule="exact"/>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60" w:hanging="469"/>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3.1% (2)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60" w:hanging="469"/>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420" w:right="260" w:hanging="412"/>
        <w:spacing w:after="0" w:line="286" w:lineRule="auto"/>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Schedule 13G is filed by Nextech V Oncology S.C.S., SICAV-SIF (“Nextech V LP”), Nextech V GP S.à. r.l. (“Nextech V GP”), Thomas Lips (“Lips”), Dalia Bleyer (“Bleyer”) and Ian Charoub (“Charoub” and together with Nextech V LP, Nextech V GP, Lips and Bleyer, collectively, the “Reporting Persons”). The Reporting Persons expressly disclaim status as a “group” for purposes of this Schedule 13G.</w:t>
      </w:r>
    </w:p>
    <w:p>
      <w:pPr>
        <w:spacing w:after="0" w:line="192" w:lineRule="exact"/>
        <w:rPr>
          <w:rFonts w:ascii="Arial" w:cs="Arial" w:eastAsia="Arial" w:hAnsi="Arial"/>
          <w:sz w:val="17"/>
          <w:szCs w:val="17"/>
          <w:color w:val="auto"/>
        </w:rPr>
      </w:pPr>
    </w:p>
    <w:p>
      <w:pPr>
        <w:jc w:val="both"/>
        <w:ind w:left="420" w:right="200" w:hanging="412"/>
        <w:spacing w:after="0" w:line="263"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percent of class was calculated based on 45,380,354 shares of common stock outstanding as of November 10, 2021, as disclosed in the Issuer’s Quarterly Report on Form 10-Q for the period ended September 30, 2021, as filed with the Securities and Exchange Commission on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-1134110</wp:posOffset>
            </wp:positionV>
            <wp:extent cx="6694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-1682750</wp:posOffset>
            </wp:positionV>
            <wp:extent cx="6694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-2231390</wp:posOffset>
            </wp:positionV>
            <wp:extent cx="66948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-2642870</wp:posOffset>
            </wp:positionV>
            <wp:extent cx="6694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-3191510</wp:posOffset>
            </wp:positionV>
            <wp:extent cx="58464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auto"/>
        </w:rPr>
        <w:t>CUSIP No. 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0" w:right="8420" w:hanging="469"/>
        <w:spacing w:after="0" w:line="342"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Names of Reporting Persons Nextech V GP S.à r.l.</w:t>
      </w:r>
    </w:p>
    <w:p>
      <w:pPr>
        <w:spacing w:after="0" w:line="339" w:lineRule="exact"/>
        <w:rPr>
          <w:rFonts w:ascii="Arial" w:cs="Arial" w:eastAsia="Arial" w:hAnsi="Arial"/>
          <w:sz w:val="16"/>
          <w:szCs w:val="16"/>
          <w:color w:val="auto"/>
        </w:rPr>
      </w:pPr>
    </w:p>
    <w:p>
      <w:pPr>
        <w:ind w:left="760" w:hanging="469"/>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40" w:hanging="790"/>
        <w:spacing w:after="0" w:line="207" w:lineRule="exact"/>
        <w:tabs>
          <w:tab w:leader="none" w:pos="154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40" w:hanging="790"/>
        <w:spacing w:after="0" w:line="207" w:lineRule="exact"/>
        <w:tabs>
          <w:tab w:leader="none" w:pos="1540"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60" w:hanging="469"/>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60" w:right="7860" w:hanging="469"/>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Luxembourg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66948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-533400</wp:posOffset>
            </wp:positionV>
            <wp:extent cx="66948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-944880</wp:posOffset>
            </wp:positionV>
            <wp:extent cx="6197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-1159510</wp:posOffset>
            </wp:positionV>
            <wp:extent cx="6197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-1776730</wp:posOffset>
            </wp:positionV>
            <wp:extent cx="6694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1,385,807 shares</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1,385,807 shares</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080" w:right="7280" w:hanging="655"/>
        <w:spacing w:after="0" w:line="277" w:lineRule="auto"/>
        <w:tabs>
          <w:tab w:leader="none" w:pos="208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86" w:lineRule="exact"/>
        <w:rPr>
          <w:rFonts w:ascii="Arial" w:cs="Arial" w:eastAsia="Arial" w:hAnsi="Arial"/>
          <w:sz w:val="18"/>
          <w:szCs w:val="18"/>
          <w:color w:val="auto"/>
        </w:rPr>
      </w:pPr>
    </w:p>
    <w:p>
      <w:pPr>
        <w:ind w:left="760" w:right="5680" w:hanging="469"/>
        <w:spacing w:after="0" w:line="277" w:lineRule="auto"/>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1,385,807 shares</w:t>
      </w:r>
    </w:p>
    <w:p>
      <w:pPr>
        <w:spacing w:after="0" w:line="353" w:lineRule="exact"/>
        <w:rPr>
          <w:rFonts w:ascii="Arial" w:cs="Arial" w:eastAsia="Arial" w:hAnsi="Arial"/>
          <w:sz w:val="18"/>
          <w:szCs w:val="18"/>
          <w:color w:val="auto"/>
        </w:rPr>
      </w:pPr>
    </w:p>
    <w:p>
      <w:pPr>
        <w:ind w:left="760" w:hanging="469"/>
        <w:spacing w:after="0" w:line="207" w:lineRule="exact"/>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60" w:hanging="469"/>
        <w:spacing w:after="0"/>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3.1% (2)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60" w:hanging="469"/>
        <w:spacing w:after="0"/>
        <w:tabs>
          <w:tab w:leader="none" w:pos="7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420" w:right="380" w:hanging="412"/>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97" w:lineRule="exact"/>
        <w:rPr>
          <w:rFonts w:ascii="Arial" w:cs="Arial" w:eastAsia="Arial" w:hAnsi="Arial"/>
          <w:sz w:val="18"/>
          <w:szCs w:val="18"/>
          <w:color w:val="auto"/>
        </w:rPr>
      </w:pPr>
    </w:p>
    <w:p>
      <w:pPr>
        <w:jc w:val="both"/>
        <w:ind w:left="420" w:right="220" w:hanging="412"/>
        <w:spacing w:after="0" w:line="263"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 of class was calculated based on 45,380,354 shares of common stock outstanding as of November 10, 2021 as disclosed in the Issuer’s Quarterly Report on Form 10-Q for the period ended September 30, 2021, as filed with the Securities and Exchange Commission on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-996950</wp:posOffset>
            </wp:positionV>
            <wp:extent cx="6694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-1545590</wp:posOffset>
            </wp:positionV>
            <wp:extent cx="66948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-2094230</wp:posOffset>
            </wp:positionV>
            <wp:extent cx="66948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-2505710</wp:posOffset>
            </wp:positionV>
            <wp:extent cx="66948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-3054350</wp:posOffset>
            </wp:positionV>
            <wp:extent cx="5846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auto"/>
        </w:rPr>
        <w:t>CUSIP No. 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0" w:right="8420" w:hanging="469"/>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 Thomas Lips</w:t>
      </w:r>
    </w:p>
    <w:p>
      <w:pPr>
        <w:spacing w:after="0" w:line="386" w:lineRule="exact"/>
        <w:rPr>
          <w:rFonts w:ascii="Arial" w:cs="Arial" w:eastAsia="Arial" w:hAnsi="Arial"/>
          <w:sz w:val="18"/>
          <w:szCs w:val="18"/>
          <w:color w:val="auto"/>
        </w:rPr>
      </w:pPr>
    </w:p>
    <w:p>
      <w:pPr>
        <w:ind w:left="760" w:hanging="469"/>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40" w:hanging="790"/>
        <w:spacing w:after="0" w:line="207" w:lineRule="exact"/>
        <w:tabs>
          <w:tab w:leader="none" w:pos="154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40" w:hanging="790"/>
        <w:spacing w:after="0" w:line="207" w:lineRule="exact"/>
        <w:tabs>
          <w:tab w:leader="none" w:pos="154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60" w:hanging="469"/>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60" w:right="7860" w:hanging="469"/>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Switzerland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6694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-533400</wp:posOffset>
            </wp:positionV>
            <wp:extent cx="66948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-944880</wp:posOffset>
            </wp:positionV>
            <wp:extent cx="6197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-1159510</wp:posOffset>
            </wp:positionV>
            <wp:extent cx="6197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-1776730</wp:posOffset>
            </wp:positionV>
            <wp:extent cx="6694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1,385,807 shares</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080" w:right="7280" w:hanging="655"/>
        <w:spacing w:after="0" w:line="308" w:lineRule="auto"/>
        <w:tabs>
          <w:tab w:leader="none" w:pos="2080" w:val="left"/>
        </w:tabs>
        <w:numPr>
          <w:ilvl w:val="2"/>
          <w:numId w:val="12"/>
        </w:numPr>
        <w:rPr>
          <w:rFonts w:ascii="Arial" w:cs="Arial" w:eastAsia="Arial" w:hAnsi="Arial"/>
          <w:sz w:val="17"/>
          <w:szCs w:val="17"/>
          <w:color w:val="auto"/>
        </w:rPr>
      </w:pPr>
      <w:r>
        <w:rPr>
          <w:rFonts w:ascii="Arial" w:cs="Arial" w:eastAsia="Arial" w:hAnsi="Arial"/>
          <w:sz w:val="17"/>
          <w:szCs w:val="17"/>
          <w:color w:val="auto"/>
        </w:rPr>
        <w:t>Shared Dispositive Power 1,385,807 shares</w:t>
      </w:r>
    </w:p>
    <w:p>
      <w:pPr>
        <w:spacing w:after="0" w:line="362" w:lineRule="exact"/>
        <w:rPr>
          <w:rFonts w:ascii="Arial" w:cs="Arial" w:eastAsia="Arial" w:hAnsi="Arial"/>
          <w:sz w:val="17"/>
          <w:szCs w:val="17"/>
          <w:color w:val="auto"/>
        </w:rPr>
      </w:pPr>
    </w:p>
    <w:p>
      <w:pPr>
        <w:ind w:left="760" w:right="5680" w:hanging="469"/>
        <w:spacing w:after="0" w:line="277" w:lineRule="auto"/>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1,385,807 shares</w:t>
      </w:r>
    </w:p>
    <w:p>
      <w:pPr>
        <w:spacing w:after="0" w:line="353" w:lineRule="exact"/>
        <w:rPr>
          <w:rFonts w:ascii="Arial" w:cs="Arial" w:eastAsia="Arial" w:hAnsi="Arial"/>
          <w:sz w:val="18"/>
          <w:szCs w:val="18"/>
          <w:color w:val="auto"/>
        </w:rPr>
      </w:pPr>
    </w:p>
    <w:p>
      <w:pPr>
        <w:ind w:left="760" w:hanging="469"/>
        <w:spacing w:after="0" w:line="207" w:lineRule="exact"/>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60" w:hanging="469"/>
        <w:spacing w:after="0"/>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3.1% (2)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60" w:hanging="469"/>
        <w:spacing w:after="0"/>
        <w:tabs>
          <w:tab w:leader="none" w:pos="7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420" w:right="380" w:hanging="412"/>
        <w:spacing w:after="0" w:line="27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97" w:lineRule="exact"/>
        <w:rPr>
          <w:rFonts w:ascii="Arial" w:cs="Arial" w:eastAsia="Arial" w:hAnsi="Arial"/>
          <w:sz w:val="18"/>
          <w:szCs w:val="18"/>
          <w:color w:val="auto"/>
        </w:rPr>
      </w:pPr>
    </w:p>
    <w:p>
      <w:pPr>
        <w:jc w:val="both"/>
        <w:ind w:left="420" w:right="220" w:hanging="412"/>
        <w:spacing w:after="0" w:line="263"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percent of class was calculated based on 45,380,354 shares of common stock outstanding as of November 10, 2021 as disclosed in the Issuer’s Quarterly Report on Form 10-Q for the period ended September 30, 2021, as filed with the Securities and Exchange Commission on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-996950</wp:posOffset>
            </wp:positionV>
            <wp:extent cx="66948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-1545590</wp:posOffset>
            </wp:positionV>
            <wp:extent cx="66948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-2094230</wp:posOffset>
            </wp:positionV>
            <wp:extent cx="66948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-2505710</wp:posOffset>
            </wp:positionV>
            <wp:extent cx="66948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-3054350</wp:posOffset>
            </wp:positionV>
            <wp:extent cx="58464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auto"/>
        </w:rPr>
        <w:t>CUSIP No. 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0" w:right="8420" w:hanging="469"/>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 Dalia Bleyer</w:t>
      </w:r>
    </w:p>
    <w:p>
      <w:pPr>
        <w:spacing w:after="0" w:line="386" w:lineRule="exact"/>
        <w:rPr>
          <w:rFonts w:ascii="Arial" w:cs="Arial" w:eastAsia="Arial" w:hAnsi="Arial"/>
          <w:sz w:val="18"/>
          <w:szCs w:val="18"/>
          <w:color w:val="auto"/>
        </w:rPr>
      </w:pPr>
    </w:p>
    <w:p>
      <w:pPr>
        <w:ind w:left="760" w:hanging="46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40" w:hanging="790"/>
        <w:spacing w:after="0" w:line="207" w:lineRule="exact"/>
        <w:tabs>
          <w:tab w:leader="none" w:pos="154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40" w:hanging="790"/>
        <w:spacing w:after="0" w:line="207" w:lineRule="exact"/>
        <w:tabs>
          <w:tab w:leader="none" w:pos="1540"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60" w:hanging="469"/>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60" w:right="7860" w:hanging="469"/>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Lithuania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66948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-533400</wp:posOffset>
            </wp:positionV>
            <wp:extent cx="66948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-944880</wp:posOffset>
            </wp:positionV>
            <wp:extent cx="6197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-1159510</wp:posOffset>
            </wp:positionV>
            <wp:extent cx="6197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-1776730</wp:posOffset>
            </wp:positionV>
            <wp:extent cx="66948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1,385,807 shares</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080" w:right="7280" w:hanging="655"/>
        <w:spacing w:after="0" w:line="308" w:lineRule="auto"/>
        <w:tabs>
          <w:tab w:leader="none" w:pos="2080" w:val="left"/>
        </w:tabs>
        <w:numPr>
          <w:ilvl w:val="2"/>
          <w:numId w:val="16"/>
        </w:numPr>
        <w:rPr>
          <w:rFonts w:ascii="Arial" w:cs="Arial" w:eastAsia="Arial" w:hAnsi="Arial"/>
          <w:sz w:val="17"/>
          <w:szCs w:val="17"/>
          <w:color w:val="auto"/>
        </w:rPr>
      </w:pPr>
      <w:r>
        <w:rPr>
          <w:rFonts w:ascii="Arial" w:cs="Arial" w:eastAsia="Arial" w:hAnsi="Arial"/>
          <w:sz w:val="17"/>
          <w:szCs w:val="17"/>
          <w:color w:val="auto"/>
        </w:rPr>
        <w:t>Shared Dispositive Power 1,385,807 shares</w:t>
      </w:r>
    </w:p>
    <w:p>
      <w:pPr>
        <w:spacing w:after="0" w:line="362" w:lineRule="exact"/>
        <w:rPr>
          <w:rFonts w:ascii="Arial" w:cs="Arial" w:eastAsia="Arial" w:hAnsi="Arial"/>
          <w:sz w:val="17"/>
          <w:szCs w:val="17"/>
          <w:color w:val="auto"/>
        </w:rPr>
      </w:pPr>
    </w:p>
    <w:p>
      <w:pPr>
        <w:ind w:left="760" w:right="5680" w:hanging="469"/>
        <w:spacing w:after="0" w:line="277" w:lineRule="auto"/>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1,385,807 shares</w:t>
      </w:r>
    </w:p>
    <w:p>
      <w:pPr>
        <w:spacing w:after="0" w:line="353" w:lineRule="exact"/>
        <w:rPr>
          <w:rFonts w:ascii="Arial" w:cs="Arial" w:eastAsia="Arial" w:hAnsi="Arial"/>
          <w:sz w:val="18"/>
          <w:szCs w:val="18"/>
          <w:color w:val="auto"/>
        </w:rPr>
      </w:pPr>
    </w:p>
    <w:p>
      <w:pPr>
        <w:ind w:left="760" w:hanging="469"/>
        <w:spacing w:after="0" w:line="207" w:lineRule="exact"/>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60" w:hanging="469"/>
        <w:spacing w:after="0"/>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3.1% (2)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60" w:hanging="469"/>
        <w:spacing w:after="0"/>
        <w:tabs>
          <w:tab w:leader="none" w:pos="7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420" w:right="380" w:hanging="412"/>
        <w:spacing w:after="0" w:line="277"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97" w:lineRule="exact"/>
        <w:rPr>
          <w:rFonts w:ascii="Arial" w:cs="Arial" w:eastAsia="Arial" w:hAnsi="Arial"/>
          <w:sz w:val="18"/>
          <w:szCs w:val="18"/>
          <w:color w:val="auto"/>
        </w:rPr>
      </w:pPr>
    </w:p>
    <w:p>
      <w:pPr>
        <w:jc w:val="both"/>
        <w:ind w:left="420" w:right="220" w:hanging="412"/>
        <w:spacing w:after="0" w:line="263"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percent of class was calculated based on 45,380,354 shares of common stock outstanding as of November 10, 2021 as disclosed in the Issuer’s Quarterly Report on Form 10-Q for the period ended September 30, 2021, as filed with the Securities and Exchange Commission on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-996950</wp:posOffset>
            </wp:positionV>
            <wp:extent cx="66948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-1545590</wp:posOffset>
            </wp:positionV>
            <wp:extent cx="66948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-2094230</wp:posOffset>
            </wp:positionV>
            <wp:extent cx="66948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-2505710</wp:posOffset>
            </wp:positionV>
            <wp:extent cx="66948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-3054350</wp:posOffset>
            </wp:positionV>
            <wp:extent cx="58464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auto"/>
        </w:rPr>
        <w:t>CUSIP No. 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0" w:right="8420" w:hanging="469"/>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Names of Reporting Persons Ian Charoub</w:t>
      </w:r>
    </w:p>
    <w:p>
      <w:pPr>
        <w:spacing w:after="0" w:line="386" w:lineRule="exact"/>
        <w:rPr>
          <w:rFonts w:ascii="Arial" w:cs="Arial" w:eastAsia="Arial" w:hAnsi="Arial"/>
          <w:sz w:val="18"/>
          <w:szCs w:val="18"/>
          <w:color w:val="auto"/>
        </w:rPr>
      </w:pPr>
    </w:p>
    <w:p>
      <w:pPr>
        <w:ind w:left="760" w:hanging="469"/>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40" w:hanging="790"/>
        <w:spacing w:after="0" w:line="207" w:lineRule="exact"/>
        <w:tabs>
          <w:tab w:leader="none" w:pos="154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40" w:hanging="790"/>
        <w:spacing w:after="0" w:line="207" w:lineRule="exact"/>
        <w:tabs>
          <w:tab w:leader="none" w:pos="1540"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60" w:hanging="469"/>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760" w:right="7860" w:hanging="469"/>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Palestine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14605</wp:posOffset>
            </wp:positionV>
            <wp:extent cx="66948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-533400</wp:posOffset>
            </wp:positionV>
            <wp:extent cx="66948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-944880</wp:posOffset>
            </wp:positionV>
            <wp:extent cx="6197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-1159510</wp:posOffset>
            </wp:positionV>
            <wp:extent cx="61976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-1776730</wp:posOffset>
            </wp:positionV>
            <wp:extent cx="6694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38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1,385,807 shares</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120" w:type="dxa"/>
            <w:vAlign w:val="bottom"/>
          </w:tcPr>
          <w:p>
            <w:pPr>
              <w:spacing w:after="0"/>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860" w:type="dxa"/>
            <w:vAlign w:val="bottom"/>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080" w:right="7280" w:hanging="655"/>
        <w:spacing w:after="0" w:line="308" w:lineRule="auto"/>
        <w:tabs>
          <w:tab w:leader="none" w:pos="2080" w:val="left"/>
        </w:tabs>
        <w:numPr>
          <w:ilvl w:val="2"/>
          <w:numId w:val="20"/>
        </w:numPr>
        <w:rPr>
          <w:rFonts w:ascii="Arial" w:cs="Arial" w:eastAsia="Arial" w:hAnsi="Arial"/>
          <w:sz w:val="17"/>
          <w:szCs w:val="17"/>
          <w:color w:val="auto"/>
        </w:rPr>
      </w:pPr>
      <w:r>
        <w:rPr>
          <w:rFonts w:ascii="Arial" w:cs="Arial" w:eastAsia="Arial" w:hAnsi="Arial"/>
          <w:sz w:val="17"/>
          <w:szCs w:val="17"/>
          <w:color w:val="auto"/>
        </w:rPr>
        <w:t>Shared Dispositive Power 1,385,807 shares</w:t>
      </w:r>
    </w:p>
    <w:p>
      <w:pPr>
        <w:spacing w:after="0" w:line="362" w:lineRule="exact"/>
        <w:rPr>
          <w:rFonts w:ascii="Arial" w:cs="Arial" w:eastAsia="Arial" w:hAnsi="Arial"/>
          <w:sz w:val="17"/>
          <w:szCs w:val="17"/>
          <w:color w:val="auto"/>
        </w:rPr>
      </w:pPr>
    </w:p>
    <w:p>
      <w:pPr>
        <w:ind w:left="760" w:right="5680" w:hanging="469"/>
        <w:spacing w:after="0" w:line="277"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1,385,807 shares</w:t>
      </w:r>
    </w:p>
    <w:p>
      <w:pPr>
        <w:spacing w:after="0" w:line="353" w:lineRule="exact"/>
        <w:rPr>
          <w:rFonts w:ascii="Arial" w:cs="Arial" w:eastAsia="Arial" w:hAnsi="Arial"/>
          <w:sz w:val="18"/>
          <w:szCs w:val="18"/>
          <w:color w:val="auto"/>
        </w:rPr>
      </w:pPr>
    </w:p>
    <w:p>
      <w:pPr>
        <w:ind w:left="760" w:hanging="469"/>
        <w:spacing w:after="0" w:line="207" w:lineRule="exact"/>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760" w:hanging="469"/>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3.1% (2)</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760" w:hanging="469"/>
        <w:spacing w:after="0"/>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420" w:right="380" w:hanging="412"/>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Schedule 13G is filed by the Reporting Persons. The Reporting Persons expressly disclaim status as a “group” for purposes of this Schedule 13G.</w:t>
      </w:r>
    </w:p>
    <w:p>
      <w:pPr>
        <w:spacing w:after="0" w:line="197" w:lineRule="exact"/>
        <w:rPr>
          <w:rFonts w:ascii="Arial" w:cs="Arial" w:eastAsia="Arial" w:hAnsi="Arial"/>
          <w:sz w:val="18"/>
          <w:szCs w:val="18"/>
          <w:color w:val="auto"/>
        </w:rPr>
      </w:pPr>
    </w:p>
    <w:p>
      <w:pPr>
        <w:jc w:val="both"/>
        <w:ind w:left="420" w:right="220" w:hanging="412"/>
        <w:spacing w:after="0" w:line="263"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percent of class was calculated based on 45,380,354 shares of common stock outstanding as of November 10, 2021 as disclosed in the Issuer’s Quarterly Report on Form 10-Q for the period ended September 30, 2021, as filed with the Securities and Exchange Commission on November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-996950</wp:posOffset>
            </wp:positionV>
            <wp:extent cx="66948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-1545590</wp:posOffset>
            </wp:positionV>
            <wp:extent cx="6694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-2094230</wp:posOffset>
            </wp:positionV>
            <wp:extent cx="66948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-2505710</wp:posOffset>
            </wp:positionV>
            <wp:extent cx="66948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-3054350</wp:posOffset>
            </wp:positionV>
            <wp:extent cx="58464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380" w:hanging="468"/>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PMV Pharmaceuticals, Inc.</w:t>
      </w:r>
    </w:p>
    <w:p>
      <w:pPr>
        <w:spacing w:after="0" w:line="238" w:lineRule="exact"/>
        <w:rPr>
          <w:rFonts w:ascii="Arial" w:cs="Arial" w:eastAsia="Arial" w:hAnsi="Arial"/>
          <w:sz w:val="18"/>
          <w:szCs w:val="18"/>
          <w:color w:val="auto"/>
        </w:rPr>
      </w:pPr>
    </w:p>
    <w:p>
      <w:pPr>
        <w:ind w:left="1380" w:hanging="468"/>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1380" w:right="8200"/>
        <w:spacing w:after="0" w:line="342" w:lineRule="auto"/>
        <w:rPr>
          <w:rFonts w:ascii="Arial" w:cs="Arial" w:eastAsia="Arial" w:hAnsi="Arial"/>
          <w:sz w:val="18"/>
          <w:szCs w:val="18"/>
          <w:color w:val="auto"/>
        </w:rPr>
      </w:pPr>
      <w:r>
        <w:rPr>
          <w:rFonts w:ascii="Arial" w:cs="Arial" w:eastAsia="Arial" w:hAnsi="Arial"/>
          <w:sz w:val="16"/>
          <w:szCs w:val="16"/>
          <w:color w:val="auto"/>
        </w:rPr>
        <w:t>8 Clarke Drive, Suite 3 Cranbury, NJ 08512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-48895</wp:posOffset>
            </wp:positionV>
            <wp:extent cx="62661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-743585</wp:posOffset>
            </wp:positionV>
            <wp:extent cx="62661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380" w:hanging="468"/>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Reporting Persons Filing:</w:t>
      </w:r>
    </w:p>
    <w:p>
      <w:pPr>
        <w:spacing w:after="0" w:line="210" w:lineRule="exact"/>
        <w:rPr>
          <w:rFonts w:ascii="Arial" w:cs="Arial" w:eastAsia="Arial" w:hAnsi="Arial"/>
          <w:sz w:val="18"/>
          <w:szCs w:val="18"/>
          <w:color w:val="auto"/>
        </w:rPr>
      </w:pPr>
    </w:p>
    <w:p>
      <w:pPr>
        <w:ind w:left="1380" w:right="5580"/>
        <w:spacing w:after="0" w:line="258" w:lineRule="auto"/>
        <w:rPr>
          <w:rFonts w:ascii="Arial" w:cs="Arial" w:eastAsia="Arial" w:hAnsi="Arial"/>
          <w:sz w:val="18"/>
          <w:szCs w:val="18"/>
          <w:color w:val="auto"/>
        </w:rPr>
      </w:pPr>
      <w:r>
        <w:rPr>
          <w:rFonts w:ascii="Arial" w:cs="Arial" w:eastAsia="Arial" w:hAnsi="Arial"/>
          <w:sz w:val="18"/>
          <w:szCs w:val="18"/>
          <w:color w:val="auto"/>
        </w:rPr>
        <w:t>Nextech V Oncology S.C.S., SICAV-SIF (“Nextech V LP”) Nextech V GP S.à r.l. (“Nextech V GP”)</w:t>
      </w:r>
    </w:p>
    <w:p>
      <w:pPr>
        <w:spacing w:after="0" w:line="1" w:lineRule="exact"/>
        <w:rPr>
          <w:rFonts w:ascii="Arial" w:cs="Arial" w:eastAsia="Arial" w:hAnsi="Arial"/>
          <w:sz w:val="18"/>
          <w:szCs w:val="18"/>
          <w:color w:val="auto"/>
        </w:rPr>
      </w:pPr>
    </w:p>
    <w:p>
      <w:pPr>
        <w:ind w:left="1380" w:right="8020"/>
        <w:spacing w:after="0" w:line="302" w:lineRule="auto"/>
        <w:rPr>
          <w:rFonts w:ascii="Arial" w:cs="Arial" w:eastAsia="Arial" w:hAnsi="Arial"/>
          <w:sz w:val="18"/>
          <w:szCs w:val="18"/>
          <w:color w:val="auto"/>
        </w:rPr>
      </w:pPr>
      <w:r>
        <w:rPr>
          <w:rFonts w:ascii="Arial" w:cs="Arial" w:eastAsia="Arial" w:hAnsi="Arial"/>
          <w:sz w:val="16"/>
          <w:szCs w:val="16"/>
          <w:color w:val="auto"/>
        </w:rPr>
        <w:t>Thomas Lips (“Lips”) Dalia Bleyer (“Bleyer”) Ian Charoub (“Charoub”)</w:t>
      </w:r>
    </w:p>
    <w:p>
      <w:pPr>
        <w:spacing w:after="0" w:line="168" w:lineRule="exact"/>
        <w:rPr>
          <w:rFonts w:ascii="Arial" w:cs="Arial" w:eastAsia="Arial" w:hAnsi="Arial"/>
          <w:sz w:val="18"/>
          <w:szCs w:val="18"/>
          <w:color w:val="auto"/>
        </w:rPr>
      </w:pPr>
    </w:p>
    <w:p>
      <w:pPr>
        <w:ind w:left="1380" w:hanging="468"/>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380" w:right="7700"/>
        <w:spacing w:after="0" w:line="286" w:lineRule="auto"/>
        <w:rPr>
          <w:rFonts w:ascii="Arial" w:cs="Arial" w:eastAsia="Arial" w:hAnsi="Arial"/>
          <w:sz w:val="18"/>
          <w:szCs w:val="18"/>
          <w:color w:val="auto"/>
        </w:rPr>
      </w:pPr>
      <w:r>
        <w:rPr>
          <w:rFonts w:ascii="Arial" w:cs="Arial" w:eastAsia="Arial" w:hAnsi="Arial"/>
          <w:sz w:val="17"/>
          <w:szCs w:val="17"/>
          <w:color w:val="auto"/>
        </w:rPr>
        <w:t>8 rue Lou Hemmer L-1748 Luxembourg-Findel Grand-Duché de Luxembourg</w:t>
      </w:r>
    </w:p>
    <w:p>
      <w:pPr>
        <w:spacing w:after="0" w:line="178" w:lineRule="exact"/>
        <w:rPr>
          <w:rFonts w:ascii="Arial" w:cs="Arial" w:eastAsia="Arial" w:hAnsi="Arial"/>
          <w:sz w:val="18"/>
          <w:szCs w:val="18"/>
          <w:color w:val="auto"/>
        </w:rPr>
      </w:pPr>
    </w:p>
    <w:p>
      <w:pPr>
        <w:ind w:left="1380" w:hanging="468"/>
        <w:spacing w:after="0"/>
        <w:tabs>
          <w:tab w:leader="none" w:pos="1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-267335</wp:posOffset>
            </wp:positionV>
            <wp:extent cx="6266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-1099185</wp:posOffset>
            </wp:positionV>
            <wp:extent cx="62661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line="205"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Entities:</w:t>
            </w:r>
          </w:p>
        </w:tc>
        <w:tc>
          <w:tcPr>
            <w:tcW w:w="1780" w:type="dxa"/>
            <w:vAlign w:val="bottom"/>
          </w:tcPr>
          <w:p>
            <w:pPr>
              <w:ind w:left="240"/>
              <w:spacing w:after="0"/>
              <w:rPr>
                <w:sz w:val="20"/>
                <w:szCs w:val="20"/>
                <w:color w:val="auto"/>
              </w:rPr>
            </w:pPr>
            <w:r>
              <w:rPr>
                <w:rFonts w:ascii="Arial" w:cs="Arial" w:eastAsia="Arial" w:hAnsi="Arial"/>
                <w:sz w:val="18"/>
                <w:szCs w:val="18"/>
                <w:color w:val="auto"/>
              </w:rPr>
              <w:t>Nextech V LP</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60" w:type="dxa"/>
            <w:vAlign w:val="bottom"/>
          </w:tcPr>
          <w:p>
            <w:pPr>
              <w:ind w:left="200"/>
              <w:spacing w:after="0"/>
              <w:rPr>
                <w:sz w:val="20"/>
                <w:szCs w:val="20"/>
                <w:color w:val="auto"/>
              </w:rPr>
            </w:pPr>
            <w:r>
              <w:rPr>
                <w:rFonts w:ascii="Arial" w:cs="Arial" w:eastAsia="Arial" w:hAnsi="Arial"/>
                <w:sz w:val="18"/>
                <w:szCs w:val="18"/>
                <w:color w:val="auto"/>
              </w:rPr>
              <w:t>Luxembourg</w:t>
            </w:r>
          </w:p>
        </w:tc>
      </w:tr>
      <w:tr>
        <w:trPr>
          <w:trHeight w:val="230"/>
        </w:trPr>
        <w:tc>
          <w:tcPr>
            <w:tcW w:w="1100" w:type="dxa"/>
            <w:vAlign w:val="bottom"/>
          </w:tcPr>
          <w:p>
            <w:pPr>
              <w:spacing w:after="0"/>
              <w:rPr>
                <w:sz w:val="20"/>
                <w:szCs w:val="20"/>
                <w:color w:val="auto"/>
              </w:rPr>
            </w:pPr>
          </w:p>
        </w:tc>
        <w:tc>
          <w:tcPr>
            <w:tcW w:w="1780" w:type="dxa"/>
            <w:vAlign w:val="bottom"/>
          </w:tcPr>
          <w:p>
            <w:pPr>
              <w:ind w:left="240"/>
              <w:spacing w:after="0"/>
              <w:rPr>
                <w:sz w:val="20"/>
                <w:szCs w:val="20"/>
                <w:color w:val="auto"/>
              </w:rPr>
            </w:pPr>
            <w:r>
              <w:rPr>
                <w:rFonts w:ascii="Arial" w:cs="Arial" w:eastAsia="Arial" w:hAnsi="Arial"/>
                <w:sz w:val="18"/>
                <w:szCs w:val="18"/>
                <w:color w:val="auto"/>
              </w:rPr>
              <w:t>Nextech V GP</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60" w:type="dxa"/>
            <w:vAlign w:val="bottom"/>
          </w:tcPr>
          <w:p>
            <w:pPr>
              <w:ind w:left="200"/>
              <w:spacing w:after="0"/>
              <w:rPr>
                <w:sz w:val="20"/>
                <w:szCs w:val="20"/>
                <w:color w:val="auto"/>
              </w:rPr>
            </w:pPr>
            <w:r>
              <w:rPr>
                <w:rFonts w:ascii="Arial" w:cs="Arial" w:eastAsia="Arial" w:hAnsi="Arial"/>
                <w:sz w:val="18"/>
                <w:szCs w:val="18"/>
                <w:color w:val="auto"/>
              </w:rPr>
              <w:t>Luxembourg</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Individuals:</w:t>
            </w:r>
          </w:p>
        </w:tc>
        <w:tc>
          <w:tcPr>
            <w:tcW w:w="1780" w:type="dxa"/>
            <w:vAlign w:val="bottom"/>
          </w:tcPr>
          <w:p>
            <w:pPr>
              <w:ind w:left="240"/>
              <w:spacing w:after="0"/>
              <w:rPr>
                <w:sz w:val="20"/>
                <w:szCs w:val="20"/>
                <w:color w:val="auto"/>
              </w:rPr>
            </w:pPr>
            <w:r>
              <w:rPr>
                <w:rFonts w:ascii="Arial" w:cs="Arial" w:eastAsia="Arial" w:hAnsi="Arial"/>
                <w:sz w:val="18"/>
                <w:szCs w:val="18"/>
                <w:color w:val="auto"/>
              </w:rPr>
              <w:t>Lips</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60" w:type="dxa"/>
            <w:vAlign w:val="bottom"/>
          </w:tcPr>
          <w:p>
            <w:pPr>
              <w:ind w:left="200"/>
              <w:spacing w:after="0"/>
              <w:rPr>
                <w:sz w:val="20"/>
                <w:szCs w:val="20"/>
                <w:color w:val="auto"/>
              </w:rPr>
            </w:pPr>
            <w:r>
              <w:rPr>
                <w:rFonts w:ascii="Arial" w:cs="Arial" w:eastAsia="Arial" w:hAnsi="Arial"/>
                <w:sz w:val="18"/>
                <w:szCs w:val="18"/>
                <w:color w:val="auto"/>
              </w:rPr>
              <w:t>Switzerland</w:t>
            </w:r>
          </w:p>
        </w:tc>
      </w:tr>
      <w:tr>
        <w:trPr>
          <w:trHeight w:val="216"/>
        </w:trPr>
        <w:tc>
          <w:tcPr>
            <w:tcW w:w="1100" w:type="dxa"/>
            <w:vAlign w:val="bottom"/>
          </w:tcPr>
          <w:p>
            <w:pPr>
              <w:spacing w:after="0"/>
              <w:rPr>
                <w:sz w:val="18"/>
                <w:szCs w:val="18"/>
                <w:color w:val="auto"/>
              </w:rPr>
            </w:pPr>
          </w:p>
        </w:tc>
        <w:tc>
          <w:tcPr>
            <w:tcW w:w="1780" w:type="dxa"/>
            <w:vAlign w:val="bottom"/>
          </w:tcPr>
          <w:p>
            <w:pPr>
              <w:ind w:left="240"/>
              <w:spacing w:after="0"/>
              <w:rPr>
                <w:sz w:val="20"/>
                <w:szCs w:val="20"/>
                <w:color w:val="auto"/>
              </w:rPr>
            </w:pPr>
            <w:r>
              <w:rPr>
                <w:rFonts w:ascii="Arial" w:cs="Arial" w:eastAsia="Arial" w:hAnsi="Arial"/>
                <w:sz w:val="18"/>
                <w:szCs w:val="18"/>
                <w:color w:val="auto"/>
              </w:rPr>
              <w:t>Dalia Bleyer</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60" w:type="dxa"/>
            <w:vAlign w:val="bottom"/>
          </w:tcPr>
          <w:p>
            <w:pPr>
              <w:ind w:left="200"/>
              <w:spacing w:after="0"/>
              <w:rPr>
                <w:sz w:val="20"/>
                <w:szCs w:val="20"/>
                <w:color w:val="auto"/>
              </w:rPr>
            </w:pPr>
            <w:r>
              <w:rPr>
                <w:rFonts w:ascii="Arial" w:cs="Arial" w:eastAsia="Arial" w:hAnsi="Arial"/>
                <w:sz w:val="18"/>
                <w:szCs w:val="18"/>
                <w:color w:val="auto"/>
              </w:rPr>
              <w:t>Lithuania</w:t>
            </w:r>
          </w:p>
        </w:tc>
      </w:tr>
      <w:tr>
        <w:trPr>
          <w:trHeight w:val="230"/>
        </w:trPr>
        <w:tc>
          <w:tcPr>
            <w:tcW w:w="1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Ian Charoub</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2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Palestine</w:t>
            </w:r>
          </w:p>
        </w:tc>
      </w:tr>
    </w:tbl>
    <w:p>
      <w:pPr>
        <w:spacing w:after="0" w:line="202" w:lineRule="exact"/>
        <w:rPr>
          <w:sz w:val="20"/>
          <w:szCs w:val="20"/>
          <w:color w:val="auto"/>
        </w:rPr>
      </w:pPr>
    </w:p>
    <w:p>
      <w:pPr>
        <w:ind w:left="1380" w:right="7300" w:hanging="468"/>
        <w:spacing w:after="0" w:line="572" w:lineRule="auto"/>
        <w:tabs>
          <w:tab w:leader="none" w:pos="1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Title of Class of Securities: Common stock, par value $0.00001</w:t>
      </w:r>
    </w:p>
    <w:p>
      <w:pPr>
        <w:ind w:left="1380" w:right="8680" w:hanging="468"/>
        <w:spacing w:after="0" w:line="569" w:lineRule="auto"/>
        <w:tabs>
          <w:tab w:leader="none" w:pos="1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CUSIP Number: 69353Y 10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-132715</wp:posOffset>
            </wp:positionV>
            <wp:extent cx="6266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6618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-690245</wp:posOffset>
            </wp:positionV>
            <wp:extent cx="62661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66180" cy="8255"/>
                    </a:xfrm>
                    <a:prstGeom prst="rect">
                      <a:avLst/>
                    </a:prstGeom>
                    <a:noFill/>
                  </pic:spPr>
                </pic:pic>
              </a:graphicData>
            </a:graphic>
          </wp:anchor>
        </w:drawing>
      </w: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information regarding the aggregate number and percentage of the class of securities of the issuer identified in Item 1 is provided as of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Sole</w:t>
            </w: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Shared</w:t>
            </w: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Sole</w:t>
            </w: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Shared</w:t>
            </w:r>
          </w:p>
        </w:tc>
        <w:tc>
          <w:tcPr>
            <w:tcW w:w="13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200" w:type="dxa"/>
            <w:vAlign w:val="bottom"/>
          </w:tcPr>
          <w:p>
            <w:pPr>
              <w:ind w:left="160"/>
              <w:spacing w:after="0"/>
              <w:rPr>
                <w:sz w:val="20"/>
                <w:szCs w:val="20"/>
                <w:color w:val="auto"/>
              </w:rPr>
            </w:pPr>
            <w:r>
              <w:rPr>
                <w:rFonts w:ascii="Arial" w:cs="Arial" w:eastAsia="Arial" w:hAnsi="Arial"/>
                <w:sz w:val="18"/>
                <w:szCs w:val="18"/>
                <w:b w:val="1"/>
                <w:bCs w:val="1"/>
                <w:color w:val="auto"/>
              </w:rPr>
              <w:t>Reporting</w:t>
            </w: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 Held</w:t>
            </w: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Voting</w:t>
            </w: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Voting</w:t>
            </w: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Dispositive</w:t>
            </w: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Dispositive</w:t>
            </w: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Beneficial</w:t>
            </w: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1200" w:type="dxa"/>
            <w:vAlign w:val="bottom"/>
          </w:tcPr>
          <w:p>
            <w:pPr>
              <w:ind w:left="260"/>
              <w:spacing w:after="0"/>
              <w:rPr>
                <w:sz w:val="20"/>
                <w:szCs w:val="20"/>
                <w:color w:val="auto"/>
              </w:rPr>
            </w:pPr>
            <w:r>
              <w:rPr>
                <w:rFonts w:ascii="Arial" w:cs="Arial" w:eastAsia="Arial" w:hAnsi="Arial"/>
                <w:sz w:val="18"/>
                <w:szCs w:val="18"/>
                <w:b w:val="1"/>
                <w:bCs w:val="1"/>
                <w:color w:val="auto"/>
              </w:rPr>
              <w:t>Persons</w:t>
            </w:r>
          </w:p>
        </w:tc>
        <w:tc>
          <w:tcPr>
            <w:tcW w:w="1520" w:type="dxa"/>
            <w:vAlign w:val="bottom"/>
          </w:tcPr>
          <w:p>
            <w:pPr>
              <w:jc w:val="right"/>
              <w:ind w:right="510"/>
              <w:spacing w:after="0"/>
              <w:rPr>
                <w:sz w:val="20"/>
                <w:szCs w:val="20"/>
                <w:color w:val="auto"/>
              </w:rPr>
            </w:pPr>
            <w:r>
              <w:rPr>
                <w:rFonts w:ascii="Arial" w:cs="Arial" w:eastAsia="Arial" w:hAnsi="Arial"/>
                <w:sz w:val="18"/>
                <w:szCs w:val="18"/>
                <w:b w:val="1"/>
                <w:bCs w:val="1"/>
                <w:color w:val="auto"/>
              </w:rPr>
              <w:t>Directly</w:t>
            </w: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Power</w:t>
            </w:r>
          </w:p>
        </w:tc>
        <w:tc>
          <w:tcPr>
            <w:tcW w:w="1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Power (1)</w:t>
            </w: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Power</w:t>
            </w: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Power (1)</w:t>
            </w:r>
          </w:p>
        </w:tc>
        <w:tc>
          <w:tcPr>
            <w:tcW w:w="1380" w:type="dxa"/>
            <w:vAlign w:val="bottom"/>
          </w:tcPr>
          <w:p>
            <w:pPr>
              <w:jc w:val="right"/>
              <w:ind w:right="250"/>
              <w:spacing w:after="0"/>
              <w:rPr>
                <w:sz w:val="20"/>
                <w:szCs w:val="20"/>
                <w:color w:val="auto"/>
              </w:rPr>
            </w:pPr>
            <w:r>
              <w:rPr>
                <w:rFonts w:ascii="Arial" w:cs="Arial" w:eastAsia="Arial" w:hAnsi="Arial"/>
                <w:sz w:val="18"/>
                <w:szCs w:val="18"/>
                <w:b w:val="1"/>
                <w:bCs w:val="1"/>
                <w:color w:val="auto"/>
              </w:rPr>
              <w:t>Ownership</w:t>
            </w: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of Class (1) (2)</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Nextech V LP</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1,385,807</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1,385,807</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1,385,807</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1,385,807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Nextech V GP</w:t>
            </w: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(1)</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1,385,807</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1,385,807</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1,385,807</w:t>
            </w:r>
          </w:p>
        </w:tc>
        <w:tc>
          <w:tcPr>
            <w:tcW w:w="1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Lips (1)</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1,385,807</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1,385,807</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1,385,807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Bleyer (1)</w:t>
            </w: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0</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1,385,807</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0</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1,385,807</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1,385,807</w:t>
            </w:r>
          </w:p>
        </w:tc>
        <w:tc>
          <w:tcPr>
            <w:tcW w:w="14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Charoub (1)</w:t>
            </w:r>
          </w:p>
        </w:tc>
        <w:tc>
          <w:tcPr>
            <w:tcW w:w="1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1,385,807</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w:t>
            </w: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1,385,807</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1,385,807</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ind w:left="340" w:right="80" w:hanging="332"/>
        <w:spacing w:after="0" w:line="25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shares are held by Nextech V LP. Nextech V GP serves as the sole general partner of Nextech V LP and has sole voting and investment control over the shares owned by Nextech V LP and may be deemed to own beneficially the shares held by Nextech V LP. Nextech V GP owns no securities of the Issuer directly. Bleyer, Lips and Charoub are members of the board of managers of Nextech V GP and share voting and dispositive power over the shares held by Nextech V LP, and may be deemed to own beneficially the shares held by Nextech V LP. The managing members own no securities of the Issuer directly.</w:t>
      </w:r>
    </w:p>
    <w:p>
      <w:pPr>
        <w:spacing w:after="0" w:line="18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percent of class was calculated based on 45,380,354 shares of common stock outstanding as of November 10, 2021 as disclosed in the Issuer’s Quarterly Report on Form 10-Q for the period ended September 30, 2021, as filed with the Securities and Exchange Commission on November 12, 2021.</w:t>
      </w:r>
    </w:p>
    <w:p>
      <w:pPr>
        <w:spacing w:after="0" w:line="1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29" w:lineRule="exact"/>
        <w:rPr>
          <w:sz w:val="20"/>
          <w:szCs w:val="20"/>
          <w:color w:val="auto"/>
        </w:rPr>
      </w:pPr>
    </w:p>
    <w:p>
      <w:pPr>
        <w:ind w:left="920" w:right="3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20" w:right="180" w:hanging="903"/>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Nextech V Oncology S.C.S., SICAV-SIF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Nextech V GP S.à r.l.</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143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Dalia Bleyer, Managing Member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Thomas 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143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Thomas Lips, Managing Member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Nextech V GP S.à r.l.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1431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Dalia Bleyer, Managing Member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Thomas 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143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Thomas Lips, Managing Member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Dalia Bleyer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Thomas 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Thomas Lips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Ian Charoub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Ian Charoub</w:t>
      </w: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0575" cy="154305"/>
                    </a:xfrm>
                    <a:prstGeom prst="rect">
                      <a:avLst/>
                    </a:prstGeom>
                    <a:noFill/>
                  </pic:spPr>
                </pic:pic>
              </a:graphicData>
            </a:graphic>
          </wp:anchor>
        </w:drawing>
      </w:r>
    </w:p>
    <w:p>
      <w:pPr>
        <w:spacing w:after="0" w:line="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0" w:lineRule="exact"/>
        <w:rPr>
          <w:sz w:val="20"/>
          <w:szCs w:val="20"/>
          <w:color w:val="auto"/>
        </w:rPr>
      </w:pPr>
    </w:p>
    <w:p>
      <w:pPr>
        <w:spacing w:after="0" w:line="2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4" w:right="5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 Joint Filing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 w:name="page11"/>
    <w:bookmarkEnd w:id="10"/>
    <w:p>
      <w:pPr>
        <w:jc w:val="center"/>
        <w:ind w:right="-27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JOINT FILING STATEMENT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the undersigned, hereby express our agreement that the attached Schedule 13G (or any amendments thereto) relating to the Common Stock of PMV Pharmaceuticals, Inc. is filed on behalf of each of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Nextech V Oncology S.C.S., SICAV-SIF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Nextech V GP S.à r.l.</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143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Dalia Bleyer, Managing Member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Thomas 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143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Thomas Lips, Managing Member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Nextech V GP S.à r.l.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143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Dalia Bleyer, Managing Member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Thomas 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143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Thomas Lips, Managing Member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Dalia Bleyer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Dalia Bleyer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Thomas 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Thomas Lips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/s/ Ian Charoub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571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Ian Charoub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60"/>
      </w:cols>
      <w:pgMar w:left="320" w:top="908"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lvl w:ilvl="1">
      <w:lvlJc w:val="left"/>
      <w:lvlText w:val="(%2)"/>
      <w:numFmt w:val="lowerLetter"/>
      <w:start w:val="1"/>
    </w:lvl>
  </w:abstractNum>
  <w:abstractNum w:abstractNumId="3">
    <w:nsid w:val="1BEFD79F"/>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4">
    <w:nsid w:val="41A7C4C9"/>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5">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4E6AFB66"/>
    <w:multiLevelType w:val="hybridMultilevel"/>
    <w:lvl w:ilvl="0">
      <w:lvlJc w:val="left"/>
      <w:lvlText w:val="%1."/>
      <w:numFmt w:val="decimal"/>
      <w:start w:val="1"/>
    </w:lvl>
    <w:lvl w:ilvl="1">
      <w:lvlJc w:val="left"/>
      <w:lvlText w:val="(%2)"/>
      <w:numFmt w:val="lowerLetter"/>
      <w:start w:val="1"/>
    </w:lvl>
  </w:abstractNum>
  <w:abstractNum w:abstractNumId="7">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8">
    <w:nsid w:val="519B500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9">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3F2DBA31"/>
    <w:multiLevelType w:val="hybridMultilevel"/>
    <w:lvl w:ilvl="0">
      <w:lvlJc w:val="left"/>
      <w:lvlText w:val="%1."/>
      <w:numFmt w:val="decimal"/>
      <w:start w:val="1"/>
    </w:lvl>
    <w:lvl w:ilvl="1">
      <w:lvlJc w:val="left"/>
      <w:lvlText w:val="(%2)"/>
      <w:numFmt w:val="lowerLetter"/>
      <w:start w:val="1"/>
    </w:lvl>
  </w:abstractNum>
  <w:abstractNum w:abstractNumId="11">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2">
    <w:nsid w:val="257130A3"/>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3">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436C6125"/>
    <w:multiLevelType w:val="hybridMultilevel"/>
    <w:lvl w:ilvl="0">
      <w:lvlJc w:val="left"/>
      <w:lvlText w:val="%1."/>
      <w:numFmt w:val="decimal"/>
      <w:start w:val="1"/>
    </w:lvl>
    <w:lvl w:ilvl="1">
      <w:lvlJc w:val="left"/>
      <w:lvlText w:val="(%2)"/>
      <w:numFmt w:val="lowerLetter"/>
      <w:start w:val="1"/>
    </w:lvl>
  </w:abstractNum>
  <w:abstractNum w:abstractNumId="15">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6">
    <w:nsid w:val="333AB105"/>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7">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2443A858"/>
    <w:multiLevelType w:val="hybridMultilevel"/>
    <w:lvl w:ilvl="0">
      <w:lvlJc w:val="left"/>
      <w:lvlText w:val="%1."/>
      <w:numFmt w:val="decimal"/>
      <w:start w:val="1"/>
    </w:lvl>
    <w:lvl w:ilvl="1">
      <w:lvlJc w:val="left"/>
      <w:lvlText w:val="(%2)"/>
      <w:numFmt w:val="lowerLetter"/>
      <w:start w:val="1"/>
    </w:lvl>
  </w:abstractNum>
  <w:abstractNum w:abstractNumId="19">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0">
    <w:nsid w:val="6763845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1">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4"/>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2022-02-14T15:09:11Z</dcterms:created>
  <dcterms:modified xsi:type="dcterms:W3CDTF">2022-02-14T15:09:11Z</dcterms:modified>
</cp:coreProperties>
</file>