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00"/>
        <w:spacing w:after="0"/>
        <w:rPr>
          <w:sz w:val="20"/>
          <w:szCs w:val="20"/>
          <w:color w:val="auto"/>
        </w:rPr>
      </w:pPr>
      <w:r>
        <w:rPr>
          <w:rFonts w:ascii="Times New Roman" w:cs="Times New Roman" w:eastAsia="Times New Roman" w:hAnsi="Times New Roman"/>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4549140</wp:posOffset>
            </wp:positionH>
            <wp:positionV relativeFrom="paragraph">
              <wp:posOffset>-127635</wp:posOffset>
            </wp:positionV>
            <wp:extent cx="2348865"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48865" cy="711835"/>
                    </a:xfrm>
                    <a:prstGeom prst="rect">
                      <a:avLst/>
                    </a:prstGeom>
                    <a:noFill/>
                  </pic:spPr>
                </pic:pic>
              </a:graphicData>
            </a:graphic>
          </wp:anchor>
        </w:drawing>
      </w:r>
    </w:p>
    <w:p>
      <w:pPr>
        <w:spacing w:after="0" w:line="7" w:lineRule="exact"/>
        <w:rPr>
          <w:sz w:val="24"/>
          <w:szCs w:val="24"/>
          <w:color w:val="auto"/>
        </w:rPr>
      </w:pPr>
    </w:p>
    <w:tbl>
      <w:tblPr>
        <w:tblLayout w:type="fixed"/>
        <w:tblInd w:w="7320" w:type="dxa"/>
        <w:tblCellMar>
          <w:top w:w="0" w:type="dxa"/>
          <w:left w:w="0" w:type="dxa"/>
          <w:bottom w:w="0" w:type="dxa"/>
          <w:right w:w="0" w:type="dxa"/>
        </w:tblCellMar>
      </w:tblPr>
      <w:tr>
        <w:trPr>
          <w:trHeight w:val="211"/>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OMB Number: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3235-0145</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Expires: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28, 2010</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average burden hours per</w:t>
            </w: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response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214630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PMV Pharmaceuticals,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69353Y 103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Page 1 of 9 Pages</w:t>
      </w:r>
    </w:p>
    <w:p>
      <w:pPr>
        <w:sectPr>
          <w:pgSz w:w="11900" w:h="16838" w:orient="portrait"/>
          <w:cols w:equalWidth="0" w:num="1">
            <w:col w:w="10940"/>
          </w:cols>
          <w:pgMar w:left="440" w:top="243"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8"/>
        </w:trPr>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 No. 69353Y 103</w:t>
            </w:r>
          </w:p>
        </w:tc>
        <w:tc>
          <w:tcPr>
            <w:tcW w:w="120" w:type="dxa"/>
            <w:vAlign w:val="bottom"/>
          </w:tcPr>
          <w:p>
            <w:pPr>
              <w:spacing w:after="0"/>
              <w:rPr>
                <w:sz w:val="20"/>
                <w:szCs w:val="20"/>
                <w:color w:val="auto"/>
              </w:rPr>
            </w:pPr>
          </w:p>
        </w:tc>
        <w:tc>
          <w:tcPr>
            <w:tcW w:w="686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13G</w:t>
            </w:r>
          </w:p>
        </w:tc>
        <w:tc>
          <w:tcPr>
            <w:tcW w:w="23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w w:val="98"/>
              </w:rPr>
              <w:t>Page 2 of 9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68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InterWest Partners X, LP (“IWP X”)</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60" w:type="dxa"/>
            <w:vAlign w:val="bottom"/>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8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w:t>
            </w:r>
          </w:p>
        </w:tc>
        <w:tc>
          <w:tcPr>
            <w:tcW w:w="69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8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California</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1,614,911</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520" w:type="dxa"/>
            <w:vAlign w:val="bottom"/>
            <w:tcBorders>
              <w:left w:val="single" w:sz="8" w:color="auto"/>
              <w:right w:val="single" w:sz="8" w:color="auto"/>
            </w:tcBorders>
            <w:gridSpan w:val="3"/>
            <w:vMerge w:val="continue"/>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right w:val="single" w:sz="8" w:color="auto"/>
            </w:tcBorders>
          </w:tcPr>
          <w:p>
            <w:pPr>
              <w:spacing w:after="0"/>
              <w:rPr>
                <w:sz w:val="11"/>
                <w:szCs w:val="11"/>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2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4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Borders>
              <w:right w:val="single" w:sz="8" w:color="auto"/>
            </w:tcBorders>
            <w:vMerge w:val="restart"/>
          </w:tcPr>
          <w:p>
            <w:pPr>
              <w:jc w:val="center"/>
              <w:ind w:right="215"/>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860" w:type="dxa"/>
            <w:vAlign w:val="bottom"/>
            <w:vMerge w:val="continue"/>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4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860" w:type="dxa"/>
            <w:vAlign w:val="bottom"/>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180" w:type="dxa"/>
            <w:vAlign w:val="bottom"/>
            <w:tcBorders>
              <w:right w:val="single" w:sz="8" w:color="auto"/>
            </w:tcBorders>
            <w:gridSpan w:val="2"/>
            <w:vMerge w:val="restart"/>
          </w:tcPr>
          <w:p>
            <w:pPr>
              <w:jc w:val="center"/>
              <w:ind w:right="115"/>
              <w:spacing w:after="0"/>
              <w:rPr>
                <w:sz w:val="20"/>
                <w:szCs w:val="20"/>
                <w:color w:val="auto"/>
              </w:rPr>
            </w:pPr>
            <w:r>
              <w:rPr>
                <w:rFonts w:ascii="Times New Roman" w:cs="Times New Roman" w:eastAsia="Times New Roman" w:hAnsi="Times New Roman"/>
                <w:sz w:val="18"/>
                <w:szCs w:val="18"/>
                <w:color w:val="auto"/>
              </w:rPr>
              <w:t>OWNED BY</w:t>
            </w: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860" w:type="dxa"/>
            <w:vAlign w:val="bottom"/>
            <w:tcBorders>
              <w:bottom w:val="single" w:sz="8" w:color="auto"/>
            </w:tcBorders>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180" w:type="dxa"/>
            <w:vAlign w:val="bottom"/>
            <w:tcBorders>
              <w:right w:val="single" w:sz="8" w:color="auto"/>
            </w:tcBorders>
            <w:gridSpan w:val="2"/>
            <w:vMerge w:val="continue"/>
          </w:tcPr>
          <w:p>
            <w:pPr>
              <w:spacing w:after="0"/>
              <w:rPr>
                <w:sz w:val="6"/>
                <w:szCs w:val="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tcPr>
          <w:p>
            <w:pPr>
              <w:spacing w:after="0"/>
              <w:rPr>
                <w:sz w:val="6"/>
                <w:szCs w:val="6"/>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22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60" w:type="dxa"/>
            <w:vAlign w:val="bottom"/>
            <w:vMerge w:val="continue"/>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20" w:type="dxa"/>
            <w:vAlign w:val="bottom"/>
            <w:tcBorders>
              <w:left w:val="single" w:sz="8" w:color="auto"/>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860" w:type="dxa"/>
            <w:vAlign w:val="bottom"/>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tcPr>
          <w:p>
            <w:pPr>
              <w:jc w:val="center"/>
              <w:ind w:right="215"/>
              <w:spacing w:after="0"/>
              <w:rPr>
                <w:sz w:val="20"/>
                <w:szCs w:val="20"/>
                <w:color w:val="auto"/>
              </w:rPr>
            </w:pPr>
            <w:r>
              <w:rPr>
                <w:rFonts w:ascii="Times New Roman" w:cs="Times New Roman" w:eastAsia="Times New Roman" w:hAnsi="Times New Roman"/>
                <w:sz w:val="18"/>
                <w:szCs w:val="18"/>
                <w:color w:val="auto"/>
              </w:rPr>
              <w:t>PERSON</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8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1,614,911</w:t>
            </w:r>
          </w:p>
        </w:tc>
        <w:tc>
          <w:tcPr>
            <w:tcW w:w="2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right w:val="single" w:sz="8" w:color="auto"/>
            </w:tcBorders>
          </w:tcPr>
          <w:p>
            <w:pPr>
              <w:ind w:left="160"/>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6860" w:type="dxa"/>
            <w:vAlign w:val="bottom"/>
            <w:tcBorders>
              <w:bottom w:val="single" w:sz="8" w:color="auto"/>
            </w:tcBorders>
            <w:vMerge w:val="continue"/>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tcPr>
          <w:p>
            <w:pPr>
              <w:spacing w:after="0"/>
              <w:rPr>
                <w:sz w:val="19"/>
                <w:szCs w:val="19"/>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gridSpan w:val="2"/>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1,614,911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3.5% (1)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34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45,665,428 shares of the Issuer’s Common Stock outstanding as of November 8, 2022, as reported in the Issuer’s Form 10-Q filed with the Securities and Exchange Commission (the “SEC”) on November 8, 2022.</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Page 2 of 9 Pages</w:t>
      </w:r>
    </w:p>
    <w:p>
      <w:pPr>
        <w:sectPr>
          <w:pgSz w:w="11900" w:h="16838" w:orient="portrait"/>
          <w:cols w:equalWidth="0" w:num="1">
            <w:col w:w="11024"/>
          </w:cols>
          <w:pgMar w:left="436" w:top="266" w:right="439" w:bottom="1440" w:gutter="0" w:footer="0" w:header="0"/>
        </w:sectPr>
      </w:pPr>
    </w:p>
    <w:bookmarkStart w:id="2" w:name="page3"/>
    <w:bookmarkEnd w:id="2"/>
    <w:p>
      <w:pPr>
        <w:ind w:left="4"/>
        <w:spacing w:after="0"/>
        <w:tabs>
          <w:tab w:leader="none" w:pos="5564" w:val="left"/>
          <w:tab w:leader="none" w:pos="96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3 of 9 Pages</w:t>
      </w:r>
    </w:p>
    <w:p>
      <w:pPr>
        <w:spacing w:after="0" w:line="175" w:lineRule="exact"/>
        <w:rPr>
          <w:sz w:val="20"/>
          <w:szCs w:val="20"/>
          <w:color w:val="auto"/>
        </w:rPr>
      </w:pPr>
    </w:p>
    <w:p>
      <w:pPr>
        <w:ind w:left="624" w:hanging="377"/>
        <w:spacing w:after="0"/>
        <w:tabs>
          <w:tab w:leader="none" w:pos="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InterWest Management Partners X, LLC (the General Partner of InterWest Partners X, LP)</w:t>
      </w:r>
    </w:p>
    <w:p>
      <w:pPr>
        <w:spacing w:after="0" w:line="36" w:lineRule="exact"/>
        <w:rPr>
          <w:sz w:val="20"/>
          <w:szCs w:val="20"/>
          <w:color w:val="auto"/>
        </w:rPr>
      </w:pPr>
    </w:p>
    <w:p>
      <w:pPr>
        <w:ind w:left="624" w:hanging="377"/>
        <w:spacing w:after="0"/>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4"/>
        <w:spacing w:after="0" w:line="207" w:lineRule="exact"/>
        <w:tabs>
          <w:tab w:leader="none" w:pos="140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4" w:hanging="377"/>
        <w:spacing w:after="0"/>
        <w:tabs>
          <w:tab w:leader="none" w:pos="6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California</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1,614,911</w:t>
            </w:r>
          </w:p>
        </w:tc>
        <w:tc>
          <w:tcPr>
            <w:tcW w:w="0" w:type="dxa"/>
            <w:vAlign w:val="bottom"/>
          </w:tcPr>
          <w:p>
            <w:pPr>
              <w:spacing w:after="0"/>
              <w:rPr>
                <w:sz w:val="1"/>
                <w:szCs w:val="1"/>
                <w:color w:val="auto"/>
              </w:rPr>
            </w:pPr>
          </w:p>
        </w:tc>
      </w:tr>
      <w:tr>
        <w:trPr>
          <w:trHeight w:val="130"/>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vMerge w:val="continue"/>
          </w:tcPr>
          <w:p>
            <w:pPr>
              <w:spacing w:after="0"/>
              <w:rPr>
                <w:sz w:val="9"/>
                <w:szCs w:val="9"/>
                <w:color w:val="auto"/>
              </w:rPr>
            </w:pPr>
          </w:p>
        </w:tc>
        <w:tc>
          <w:tcPr>
            <w:tcW w:w="9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1,614,911</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15"/>
                <w:szCs w:val="15"/>
                <w:color w:val="auto"/>
              </w:rPr>
            </w:pPr>
          </w:p>
        </w:tc>
        <w:tc>
          <w:tcPr>
            <w:tcW w:w="9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04" w:hanging="357"/>
        <w:spacing w:after="0"/>
        <w:tabs>
          <w:tab w:leader="none" w:pos="6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1,614,911</w:t>
      </w:r>
    </w:p>
    <w:p>
      <w:pPr>
        <w:spacing w:after="0" w:line="36" w:lineRule="exact"/>
        <w:rPr>
          <w:sz w:val="20"/>
          <w:szCs w:val="20"/>
          <w:color w:val="auto"/>
        </w:rPr>
      </w:pPr>
    </w:p>
    <w:p>
      <w:pPr>
        <w:ind w:left="624" w:hanging="467"/>
        <w:spacing w:after="0"/>
        <w:tabs>
          <w:tab w:leader="none" w:pos="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4" w:hanging="467"/>
        <w:spacing w:after="0"/>
        <w:tabs>
          <w:tab w:leader="none" w:pos="6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6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(1)</w:t>
      </w:r>
    </w:p>
    <w:p>
      <w:pPr>
        <w:spacing w:after="0" w:line="36" w:lineRule="exact"/>
        <w:rPr>
          <w:rFonts w:ascii="Times New Roman" w:cs="Times New Roman" w:eastAsia="Times New Roman" w:hAnsi="Times New Roman"/>
          <w:sz w:val="18"/>
          <w:szCs w:val="18"/>
          <w:color w:val="auto"/>
        </w:rPr>
      </w:pPr>
    </w:p>
    <w:p>
      <w:pPr>
        <w:ind w:left="624" w:right="7900" w:hanging="467"/>
        <w:spacing w:after="0" w:line="547" w:lineRule="auto"/>
        <w:tabs>
          <w:tab w:leader="none" w:pos="62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1"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45,665,428 shares of the Issuer’s Common Stock outstanding as of November 8, 2022, as reported in the Issuer’s Form 10-Q filed with the Securities and Exchange Commission (the “SEC”) on November 8, 2022.</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Page 3 of 9 Pages</w:t>
      </w:r>
    </w:p>
    <w:p>
      <w:pPr>
        <w:sectPr>
          <w:pgSz w:w="11900" w:h="16838" w:orient="portrait"/>
          <w:cols w:equalWidth="0" w:num="1">
            <w:col w:w="11024"/>
          </w:cols>
          <w:pgMar w:left="436" w:top="266" w:right="439" w:bottom="1440" w:gutter="0" w:footer="0" w:header="0"/>
        </w:sectPr>
      </w:pPr>
    </w:p>
    <w:bookmarkStart w:id="3" w:name="page4"/>
    <w:bookmarkEnd w:id="3"/>
    <w:p>
      <w:pPr>
        <w:spacing w:after="0"/>
        <w:tabs>
          <w:tab w:leader="none" w:pos="5560" w:val="left"/>
          <w:tab w:leader="none" w:pos="9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4 of 9 Pages</w:t>
      </w:r>
    </w:p>
    <w:p>
      <w:pPr>
        <w:spacing w:after="0" w:line="175" w:lineRule="exact"/>
        <w:rPr>
          <w:sz w:val="20"/>
          <w:szCs w:val="20"/>
          <w:color w:val="auto"/>
        </w:rPr>
      </w:pPr>
    </w:p>
    <w:p>
      <w:pPr>
        <w:ind w:left="620" w:hanging="377"/>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Keval Desai (a Venture Member of InterWest Management Partners X, LLC)</w:t>
      </w:r>
    </w:p>
    <w:p>
      <w:pPr>
        <w:spacing w:after="0" w:line="36" w:lineRule="exact"/>
        <w:rPr>
          <w:sz w:val="20"/>
          <w:szCs w:val="20"/>
          <w:color w:val="auto"/>
        </w:rPr>
      </w:pPr>
    </w:p>
    <w:p>
      <w:pPr>
        <w:ind w:left="620" w:hanging="377"/>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20,237</w:t>
            </w:r>
          </w:p>
        </w:tc>
        <w:tc>
          <w:tcPr>
            <w:tcW w:w="0" w:type="dxa"/>
            <w:vAlign w:val="bottom"/>
          </w:tcPr>
          <w:p>
            <w:pPr>
              <w:spacing w:after="0"/>
              <w:rPr>
                <w:sz w:val="1"/>
                <w:szCs w:val="1"/>
                <w:color w:val="auto"/>
              </w:rPr>
            </w:pPr>
          </w:p>
        </w:tc>
      </w:tr>
      <w:tr>
        <w:trPr>
          <w:trHeight w:val="130"/>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vMerge w:val="continue"/>
          </w:tcPr>
          <w:p>
            <w:pPr>
              <w:spacing w:after="0"/>
              <w:rPr>
                <w:sz w:val="9"/>
                <w:szCs w:val="9"/>
                <w:color w:val="auto"/>
              </w:rPr>
            </w:pPr>
          </w:p>
        </w:tc>
        <w:tc>
          <w:tcPr>
            <w:tcW w:w="9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1,614,911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20,237</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15"/>
                <w:szCs w:val="15"/>
                <w:color w:val="auto"/>
              </w:rPr>
            </w:pPr>
          </w:p>
        </w:tc>
        <w:tc>
          <w:tcPr>
            <w:tcW w:w="9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1,614,911</w:t>
      </w:r>
    </w:p>
    <w:p>
      <w:pPr>
        <w:spacing w:after="0" w:line="36" w:lineRule="exact"/>
        <w:rPr>
          <w:sz w:val="20"/>
          <w:szCs w:val="20"/>
          <w:color w:val="auto"/>
        </w:rPr>
      </w:pPr>
    </w:p>
    <w:p>
      <w:pPr>
        <w:ind w:left="600" w:hanging="357"/>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1,635,148</w:t>
      </w:r>
    </w:p>
    <w:p>
      <w:pPr>
        <w:spacing w:after="0" w:line="36" w:lineRule="exact"/>
        <w:rPr>
          <w:sz w:val="20"/>
          <w:szCs w:val="20"/>
          <w:color w:val="auto"/>
        </w:rPr>
      </w:pPr>
    </w:p>
    <w:p>
      <w:pPr>
        <w:ind w:left="620" w:hanging="467"/>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340" w:hanging="467"/>
        <w:spacing w:after="0" w:line="400"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3.6%</w:t>
      </w:r>
    </w:p>
    <w:p>
      <w:pPr>
        <w:ind w:left="600" w:hanging="447"/>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w:t>
      </w:r>
    </w:p>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Neither the filing of this statement on Schedule 13G nor any of its contents shall be deemed to constitute an admission by Keval Desai that he is the beneficial owner of any of the Common Stock referred to herein for purposes of Section 13(d) of the Securities Exchange Act of 1934, as amended, or for any other purpose.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4 of 9 Pages</w:t>
      </w:r>
    </w:p>
    <w:p>
      <w:pPr>
        <w:sectPr>
          <w:pgSz w:w="11900" w:h="16838" w:orient="portrait"/>
          <w:cols w:equalWidth="0" w:num="1">
            <w:col w:w="11020"/>
          </w:cols>
          <w:pgMar w:left="440" w:top="266" w:right="439" w:bottom="1440" w:gutter="0" w:footer="0" w:header="0"/>
        </w:sectPr>
      </w:pPr>
    </w:p>
    <w:bookmarkStart w:id="4" w:name="page5"/>
    <w:bookmarkEnd w:id="4"/>
    <w:p>
      <w:pPr>
        <w:spacing w:after="0"/>
        <w:tabs>
          <w:tab w:leader="none" w:pos="5560" w:val="left"/>
          <w:tab w:leader="none" w:pos="9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5 of 9 Pages</w:t>
      </w:r>
    </w:p>
    <w:p>
      <w:pPr>
        <w:spacing w:after="0" w:line="175" w:lineRule="exact"/>
        <w:rPr>
          <w:sz w:val="20"/>
          <w:szCs w:val="20"/>
          <w:color w:val="auto"/>
        </w:rPr>
      </w:pPr>
    </w:p>
    <w:p>
      <w:pPr>
        <w:ind w:left="620" w:hanging="377"/>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Gilbert H. Kliman (a Managing Director of InterWest Management Partners X, LLC)</w:t>
      </w:r>
    </w:p>
    <w:p>
      <w:pPr>
        <w:spacing w:after="0" w:line="36" w:lineRule="exact"/>
        <w:rPr>
          <w:sz w:val="20"/>
          <w:szCs w:val="20"/>
          <w:color w:val="auto"/>
        </w:rPr>
      </w:pPr>
    </w:p>
    <w:p>
      <w:pPr>
        <w:ind w:left="620" w:hanging="377"/>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99,629</w:t>
            </w:r>
          </w:p>
        </w:tc>
        <w:tc>
          <w:tcPr>
            <w:tcW w:w="0" w:type="dxa"/>
            <w:vAlign w:val="bottom"/>
          </w:tcPr>
          <w:p>
            <w:pPr>
              <w:spacing w:after="0"/>
              <w:rPr>
                <w:sz w:val="1"/>
                <w:szCs w:val="1"/>
                <w:color w:val="auto"/>
              </w:rPr>
            </w:pPr>
          </w:p>
        </w:tc>
      </w:tr>
      <w:tr>
        <w:trPr>
          <w:trHeight w:val="130"/>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vMerge w:val="continue"/>
          </w:tcPr>
          <w:p>
            <w:pPr>
              <w:spacing w:after="0"/>
              <w:rPr>
                <w:sz w:val="9"/>
                <w:szCs w:val="9"/>
                <w:color w:val="auto"/>
              </w:rPr>
            </w:pPr>
          </w:p>
        </w:tc>
        <w:tc>
          <w:tcPr>
            <w:tcW w:w="9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1,614,911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99,629</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15"/>
                <w:szCs w:val="15"/>
                <w:color w:val="auto"/>
              </w:rPr>
            </w:pPr>
          </w:p>
        </w:tc>
        <w:tc>
          <w:tcPr>
            <w:tcW w:w="9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1,614,911</w:t>
      </w:r>
    </w:p>
    <w:p>
      <w:pPr>
        <w:spacing w:after="0" w:line="36" w:lineRule="exact"/>
        <w:rPr>
          <w:sz w:val="20"/>
          <w:szCs w:val="20"/>
          <w:color w:val="auto"/>
        </w:rPr>
      </w:pPr>
    </w:p>
    <w:p>
      <w:pPr>
        <w:ind w:left="600" w:hanging="357"/>
        <w:spacing w:after="0"/>
        <w:tabs>
          <w:tab w:leader="none" w:pos="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1,714,540</w:t>
      </w:r>
    </w:p>
    <w:p>
      <w:pPr>
        <w:spacing w:after="0" w:line="36" w:lineRule="exact"/>
        <w:rPr>
          <w:sz w:val="20"/>
          <w:szCs w:val="20"/>
          <w:color w:val="auto"/>
        </w:rPr>
      </w:pPr>
    </w:p>
    <w:p>
      <w:pPr>
        <w:ind w:left="620" w:hanging="467"/>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340" w:hanging="467"/>
        <w:spacing w:after="0" w:line="400"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3.8%</w:t>
      </w:r>
    </w:p>
    <w:p>
      <w:pPr>
        <w:ind w:left="600" w:hanging="447"/>
        <w:spacing w:after="0"/>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w:t>
      </w:r>
    </w:p>
    <w:p>
      <w:pPr>
        <w:spacing w:after="0" w:line="25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Neither the filing of this statement on Schedule 13G nor any of its contents shall be deemed to constitute an admission by Gilbert H. Kliman that he is the beneficial owner of any of the Common Stock referred to herein for purposes of Section 13(d) of the Securities Exchange Act of 1934, as amended, or for any other purpose.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5 of 9 Pages</w:t>
      </w:r>
    </w:p>
    <w:p>
      <w:pPr>
        <w:sectPr>
          <w:pgSz w:w="11900" w:h="16838" w:orient="portrait"/>
          <w:cols w:equalWidth="0" w:num="1">
            <w:col w:w="11020"/>
          </w:cols>
          <w:pgMar w:left="440" w:top="266" w:right="439" w:bottom="1440" w:gutter="0" w:footer="0" w:header="0"/>
        </w:sectPr>
      </w:pPr>
    </w:p>
    <w:bookmarkStart w:id="5" w:name="page6"/>
    <w:bookmarkEnd w:id="5"/>
    <w:p>
      <w:pPr>
        <w:spacing w:after="0"/>
        <w:tabs>
          <w:tab w:leader="none" w:pos="5560" w:val="left"/>
          <w:tab w:leader="none" w:pos="9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 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6 of 9 Pages</w:t>
      </w:r>
    </w:p>
    <w:p>
      <w:pPr>
        <w:spacing w:after="0" w:line="175" w:lineRule="exact"/>
        <w:rPr>
          <w:sz w:val="20"/>
          <w:szCs w:val="20"/>
          <w:color w:val="auto"/>
        </w:rPr>
      </w:pPr>
    </w:p>
    <w:p>
      <w:pPr>
        <w:ind w:left="620" w:hanging="377"/>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Khaled A. Nasr (a Venture Member of InterWest Management Partners X, LLC)</w:t>
      </w:r>
    </w:p>
    <w:p>
      <w:pPr>
        <w:spacing w:after="0" w:line="36" w:lineRule="exact"/>
        <w:rPr>
          <w:sz w:val="20"/>
          <w:szCs w:val="20"/>
          <w:color w:val="auto"/>
        </w:rPr>
      </w:pPr>
    </w:p>
    <w:p>
      <w:pPr>
        <w:ind w:left="620" w:hanging="377"/>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United States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6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30,192</w:t>
            </w:r>
          </w:p>
        </w:tc>
        <w:tc>
          <w:tcPr>
            <w:tcW w:w="0" w:type="dxa"/>
            <w:vAlign w:val="bottom"/>
          </w:tcPr>
          <w:p>
            <w:pPr>
              <w:spacing w:after="0"/>
              <w:rPr>
                <w:sz w:val="1"/>
                <w:szCs w:val="1"/>
                <w:color w:val="auto"/>
              </w:rPr>
            </w:pPr>
          </w:p>
        </w:tc>
      </w:tr>
      <w:tr>
        <w:trPr>
          <w:trHeight w:val="130"/>
        </w:trPr>
        <w:tc>
          <w:tcPr>
            <w:tcW w:w="1300" w:type="dxa"/>
            <w:vAlign w:val="bottom"/>
            <w:vMerge w:val="continue"/>
          </w:tcPr>
          <w:p>
            <w:pPr>
              <w:spacing w:after="0"/>
              <w:rPr>
                <w:sz w:val="11"/>
                <w:szCs w:val="11"/>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vMerge w:val="continue"/>
          </w:tcPr>
          <w:p>
            <w:pPr>
              <w:spacing w:after="0"/>
              <w:rPr>
                <w:sz w:val="9"/>
                <w:szCs w:val="9"/>
                <w:color w:val="auto"/>
              </w:rPr>
            </w:pPr>
          </w:p>
        </w:tc>
        <w:tc>
          <w:tcPr>
            <w:tcW w:w="9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9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1,614,911</w:t>
            </w:r>
          </w:p>
        </w:tc>
        <w:tc>
          <w:tcPr>
            <w:tcW w:w="0" w:type="dxa"/>
            <w:vAlign w:val="bottom"/>
          </w:tcPr>
          <w:p>
            <w:pPr>
              <w:spacing w:after="0"/>
              <w:rPr>
                <w:sz w:val="1"/>
                <w:szCs w:val="1"/>
                <w:color w:val="auto"/>
              </w:rPr>
            </w:pPr>
          </w:p>
        </w:tc>
      </w:tr>
      <w:tr>
        <w:trPr>
          <w:trHeight w:val="12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10"/>
                <w:szCs w:val="10"/>
                <w:color w:val="auto"/>
              </w:rPr>
            </w:pPr>
          </w:p>
        </w:tc>
        <w:tc>
          <w:tcPr>
            <w:tcW w:w="90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vMerge w:val="continue"/>
          </w:tcPr>
          <w:p>
            <w:pPr>
              <w:spacing w:after="0"/>
              <w:rPr>
                <w:sz w:val="13"/>
                <w:szCs w:val="13"/>
                <w:color w:val="auto"/>
              </w:rPr>
            </w:pPr>
          </w:p>
        </w:tc>
        <w:tc>
          <w:tcPr>
            <w:tcW w:w="9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30,192</w:t>
            </w:r>
          </w:p>
        </w:tc>
        <w:tc>
          <w:tcPr>
            <w:tcW w:w="0" w:type="dxa"/>
            <w:vAlign w:val="bottom"/>
          </w:tcPr>
          <w:p>
            <w:pPr>
              <w:spacing w:after="0"/>
              <w:rPr>
                <w:sz w:val="1"/>
                <w:szCs w:val="1"/>
                <w:color w:val="auto"/>
              </w:rPr>
            </w:pPr>
          </w:p>
        </w:tc>
      </w:tr>
      <w:tr>
        <w:trPr>
          <w:trHeight w:val="180"/>
        </w:trPr>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15"/>
                <w:szCs w:val="15"/>
                <w:color w:val="auto"/>
              </w:rPr>
            </w:pPr>
          </w:p>
        </w:tc>
        <w:tc>
          <w:tcPr>
            <w:tcW w:w="9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1,614,911</w:t>
      </w:r>
    </w:p>
    <w:p>
      <w:pPr>
        <w:spacing w:after="0" w:line="36" w:lineRule="exact"/>
        <w:rPr>
          <w:sz w:val="20"/>
          <w:szCs w:val="20"/>
          <w:color w:val="auto"/>
        </w:rPr>
      </w:pPr>
    </w:p>
    <w:p>
      <w:pPr>
        <w:ind w:left="600" w:hanging="357"/>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1,645,103</w:t>
      </w:r>
    </w:p>
    <w:p>
      <w:pPr>
        <w:spacing w:after="0" w:line="36" w:lineRule="exact"/>
        <w:rPr>
          <w:sz w:val="20"/>
          <w:szCs w:val="20"/>
          <w:color w:val="auto"/>
        </w:rPr>
      </w:pPr>
    </w:p>
    <w:p>
      <w:pPr>
        <w:ind w:left="620" w:hanging="467"/>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340" w:hanging="467"/>
        <w:spacing w:after="0" w:line="400" w:lineRule="auto"/>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3.6%</w:t>
      </w:r>
    </w:p>
    <w:p>
      <w:pPr>
        <w:ind w:left="600" w:hanging="447"/>
        <w:spacing w:after="0"/>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IN</w:t>
      </w:r>
    </w:p>
    <w:p>
      <w:pPr>
        <w:spacing w:after="0" w:line="25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Neither the filing of this statement on Schedule 13G nor any of its contents shall be deemed to constitute an admission by Khaled A. Nasr that he is the beneficial owner of any of the Common Stock referred to herein for purposes of Section 13(d) of the Securities Exchange Act of 1934, as amended, or for any other purpose.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6 of 9 Pages</w:t>
      </w:r>
    </w:p>
    <w:p>
      <w:pPr>
        <w:sectPr>
          <w:pgSz w:w="11900" w:h="16838" w:orient="portrait"/>
          <w:cols w:equalWidth="0" w:num="1">
            <w:col w:w="11020"/>
          </w:cols>
          <w:pgMar w:left="440" w:top="266"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69353Y 103</w:t>
            </w:r>
          </w:p>
        </w:tc>
        <w:tc>
          <w:tcPr>
            <w:tcW w:w="41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22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8"/>
              </w:rPr>
              <w:t>Page 7 of 9 Pages</w:t>
            </w:r>
          </w:p>
        </w:tc>
      </w:tr>
      <w:tr>
        <w:trPr>
          <w:trHeight w:val="364"/>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160" w:type="dxa"/>
            <w:vAlign w:val="bottom"/>
          </w:tcPr>
          <w:p>
            <w:pPr>
              <w:spacing w:after="0"/>
              <w:rPr>
                <w:sz w:val="24"/>
                <w:szCs w:val="24"/>
                <w:color w:val="auto"/>
              </w:rPr>
            </w:pPr>
          </w:p>
        </w:tc>
        <w:tc>
          <w:tcPr>
            <w:tcW w:w="3220" w:type="dxa"/>
            <w:vAlign w:val="bottom"/>
          </w:tcPr>
          <w:p>
            <w:pPr>
              <w:spacing w:after="0"/>
              <w:rPr>
                <w:sz w:val="24"/>
                <w:szCs w:val="24"/>
                <w:color w:val="auto"/>
              </w:rPr>
            </w:pPr>
          </w:p>
        </w:tc>
      </w:tr>
    </w:tbl>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ISSUER: </w:t>
      </w:r>
      <w:r>
        <w:rPr>
          <w:rFonts w:ascii="Times New Roman" w:cs="Times New Roman" w:eastAsia="Times New Roman" w:hAnsi="Times New Roman"/>
          <w:sz w:val="18"/>
          <w:szCs w:val="18"/>
          <w:color w:val="auto"/>
        </w:rPr>
        <w:t>PMV Pharmaceuticals, Inc.</w:t>
      </w:r>
    </w:p>
    <w:p>
      <w:pPr>
        <w:spacing w:after="0" w:line="130" w:lineRule="exact"/>
        <w:rPr>
          <w:rFonts w:ascii="Times New Roman" w:cs="Times New Roman" w:eastAsia="Times New Roman" w:hAnsi="Times New Roman"/>
          <w:sz w:val="18"/>
          <w:szCs w:val="18"/>
          <w:b w:val="1"/>
          <w:bCs w:val="1"/>
          <w:color w:val="auto"/>
        </w:rPr>
      </w:pPr>
    </w:p>
    <w:p>
      <w:pPr>
        <w:ind w:left="444" w:right="5680" w:hanging="444"/>
        <w:spacing w:after="0" w:line="412" w:lineRule="auto"/>
        <w:tabs>
          <w:tab w:leader="none" w:pos="436"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ISSUER’S PRINCIPAL EXECUTIVE OFFICE: </w:t>
      </w:r>
      <w:r>
        <w:rPr>
          <w:rFonts w:ascii="Times New Roman" w:cs="Times New Roman" w:eastAsia="Times New Roman" w:hAnsi="Times New Roman"/>
          <w:sz w:val="18"/>
          <w:szCs w:val="18"/>
          <w:color w:val="auto"/>
        </w:rPr>
        <w:t>8 Clarke Dr., Suite 3, Cranbury, NJ 08512</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1"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PERSON(S) FILING:</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InterWest Partners X, LP (“IWP X”)</w:t>
      </w:r>
    </w:p>
    <w:p>
      <w:pPr>
        <w:spacing w:after="0" w:line="27" w:lineRule="exact"/>
        <w:rPr>
          <w:rFonts w:ascii="Times New Roman" w:cs="Times New Roman" w:eastAsia="Times New Roman" w:hAnsi="Times New Roman"/>
          <w:sz w:val="18"/>
          <w:szCs w:val="18"/>
          <w:b w:val="1"/>
          <w:bCs w:val="1"/>
          <w:color w:val="auto"/>
        </w:rPr>
      </w:pPr>
    </w:p>
    <w:p>
      <w:pPr>
        <w:ind w:left="444" w:right="684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InterWest Management Partners X, LLC (“IMP X”) Keval Desai (“Desai”)</w:t>
      </w:r>
    </w:p>
    <w:p>
      <w:pPr>
        <w:ind w:left="444" w:right="8400"/>
        <w:spacing w:after="0" w:line="29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Gilbert H. Kliman (“Kliman”) Khaled A. Nasr (“Nasr”)</w:t>
      </w:r>
    </w:p>
    <w:p>
      <w:pPr>
        <w:spacing w:after="0" w:line="58" w:lineRule="exact"/>
        <w:rPr>
          <w:rFonts w:ascii="Times New Roman" w:cs="Times New Roman" w:eastAsia="Times New Roman" w:hAnsi="Times New Roman"/>
          <w:sz w:val="18"/>
          <w:szCs w:val="18"/>
          <w:b w:val="1"/>
          <w:bCs w:val="1"/>
          <w:color w:val="auto"/>
        </w:rPr>
      </w:pPr>
    </w:p>
    <w:p>
      <w:pPr>
        <w:ind w:left="444" w:right="4440" w:hanging="444"/>
        <w:spacing w:after="0" w:line="383" w:lineRule="auto"/>
        <w:tabs>
          <w:tab w:leader="none" w:pos="43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PRINCIPAL BUSINESS OFFICE OR, IF NONE, RESIDENCE: </w:t>
      </w:r>
      <w:r>
        <w:rPr>
          <w:rFonts w:ascii="Times New Roman" w:cs="Times New Roman" w:eastAsia="Times New Roman" w:hAnsi="Times New Roman"/>
          <w:sz w:val="18"/>
          <w:szCs w:val="18"/>
          <w:color w:val="auto"/>
        </w:rPr>
        <w:t>467 First Street, Suite 201, Los Altos, CA 94022</w:t>
      </w:r>
    </w:p>
    <w:p>
      <w:pPr>
        <w:ind w:left="424" w:hanging="424"/>
        <w:spacing w:after="0"/>
        <w:tabs>
          <w:tab w:leader="none" w:pos="424"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CITIZENSHIP/PLACE OF ORGANIZATION:</w:t>
      </w:r>
    </w:p>
    <w:p>
      <w:pPr>
        <w:sectPr>
          <w:pgSz w:w="11900" w:h="16838" w:orient="portrait"/>
          <w:cols w:equalWidth="0" w:num="1">
            <w:col w:w="11024"/>
          </w:cols>
          <w:pgMar w:left="436" w:top="266" w:right="439" w:bottom="1440" w:gutter="0" w:footer="0" w:header="0"/>
        </w:sectPr>
      </w:pPr>
    </w:p>
    <w:p>
      <w:pPr>
        <w:spacing w:after="0" w:line="13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IWP X:</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IMP X:</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Desai:</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Kliman:</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Nasr: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108" w:lineRule="exact"/>
        <w:rPr>
          <w:sz w:val="20"/>
          <w:szCs w:val="20"/>
          <w:color w:val="auto"/>
        </w:rPr>
      </w:pPr>
    </w:p>
    <w:p>
      <w:pPr>
        <w:sectPr>
          <w:pgSz w:w="11900" w:h="16838" w:orient="portrait"/>
          <w:cols w:equalWidth="0" w:num="2">
            <w:col w:w="1204" w:space="720"/>
            <w:col w:w="9100"/>
          </w:cols>
          <w:pgMar w:left="436" w:top="266" w:right="439" w:bottom="1440" w:gutter="0" w:footer="0" w:header="0"/>
          <w:type w:val="continuous"/>
        </w:sectPr>
      </w:pPr>
    </w:p>
    <w:p>
      <w:pPr>
        <w:ind w:left="424" w:hanging="424"/>
        <w:spacing w:after="0"/>
        <w:tabs>
          <w:tab w:leader="none" w:pos="42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Common Stock</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 69353Y 103</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NOT APPLICABLE.</w:t>
      </w:r>
    </w:p>
    <w:p>
      <w:pPr>
        <w:spacing w:after="0" w:line="158"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Page 7 of 9 Pages</w:t>
      </w:r>
    </w:p>
    <w:p>
      <w:pPr>
        <w:sectPr>
          <w:pgSz w:w="11900" w:h="16838" w:orient="portrait"/>
          <w:cols w:equalWidth="0" w:num="1">
            <w:col w:w="11024"/>
          </w:cols>
          <w:pgMar w:left="436" w:top="266" w:right="439" w:bottom="1440" w:gutter="0" w:footer="0" w:header="0"/>
          <w:type w:val="continuous"/>
        </w:sectPr>
      </w:pPr>
    </w:p>
    <w:bookmarkStart w:id="7" w:name="page8"/>
    <w:bookmarkEnd w:id="7"/>
    <w:tbl>
      <w:tblPr>
        <w:tblLayout w:type="fixed"/>
        <w:tblInd w:w="4"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69353Y 103</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gridSpan w:val="3"/>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13G</w:t>
            </w: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68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 OWNERSHIP.</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4280" w:type="dxa"/>
            <w:vAlign w:val="bottom"/>
          </w:tcPr>
          <w:p>
            <w:pPr>
              <w:spacing w:after="0"/>
              <w:rPr>
                <w:sz w:val="23"/>
                <w:szCs w:val="23"/>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IWP X</w:t>
            </w:r>
          </w:p>
        </w:tc>
        <w:tc>
          <w:tcPr>
            <w:tcW w:w="160" w:type="dxa"/>
            <w:vAlign w:val="bottom"/>
          </w:tcPr>
          <w:p>
            <w:pPr>
              <w:spacing w:after="0"/>
              <w:rPr>
                <w:sz w:val="23"/>
                <w:szCs w:val="23"/>
                <w:color w:val="auto"/>
              </w:rPr>
            </w:pP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IMP X (1)</w:t>
            </w:r>
          </w:p>
        </w:tc>
        <w:tc>
          <w:tcPr>
            <w:tcW w:w="14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Desai (2)</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Kliman (2)</w:t>
            </w:r>
          </w:p>
        </w:tc>
        <w:tc>
          <w:tcPr>
            <w:tcW w:w="180" w:type="dxa"/>
            <w:vAlign w:val="bottom"/>
          </w:tcPr>
          <w:p>
            <w:pPr>
              <w:spacing w:after="0"/>
              <w:rPr>
                <w:sz w:val="23"/>
                <w:szCs w:val="23"/>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Nasr (2)</w:t>
            </w: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Beneficial Ownership</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1,614,911</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1,614,911</w:t>
            </w:r>
          </w:p>
        </w:tc>
        <w:tc>
          <w:tcPr>
            <w:tcW w:w="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1,635,148</w:t>
            </w:r>
          </w:p>
        </w:tc>
        <w:tc>
          <w:tcPr>
            <w:tcW w:w="6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1,714,540</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1,645,103</w:t>
            </w:r>
          </w:p>
        </w:tc>
        <w:tc>
          <w:tcPr>
            <w:tcW w:w="42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Class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3.5%(3)</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1,614,911</w:t>
            </w:r>
          </w:p>
        </w:tc>
        <w:tc>
          <w:tcPr>
            <w:tcW w:w="15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1,614,911</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20,237</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99,629</w:t>
            </w: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30,192</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1,614,911</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1,614,911</w:t>
            </w: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1,614,911</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1,614,911</w:t>
            </w:r>
          </w:p>
        </w:tc>
        <w:tc>
          <w:tcPr>
            <w:tcW w:w="15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1,614,911</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20,237</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99,629</w:t>
            </w: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30,192</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15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1,614,911</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1,614,911</w:t>
            </w: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1,614,911</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 X is the general partner of IWP X.</w:t>
      </w:r>
    </w:p>
    <w:p>
      <w:pPr>
        <w:spacing w:after="0" w:line="27"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Kliman is a Managing Director of IMP X. Desai and Nasr are Venture Members of IMP X. The Managing Directors and Venture Members of IMP X share voting and investment control over shares held by IWP X.</w:t>
      </w:r>
    </w:p>
    <w:p>
      <w:pPr>
        <w:ind w:left="424" w:right="340" w:hanging="424"/>
        <w:spacing w:after="0" w:line="26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45,665,428 shares of the Issuer’s Common Stock outstanding as of November 8, 2022, as reported in the Issuer’s Form 10-Q filed with the Securities and Exchange Commission (the “SEC”) on November 8, 2022.</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121" w:lineRule="exact"/>
        <w:rPr>
          <w:sz w:val="20"/>
          <w:szCs w:val="20"/>
          <w:color w:val="auto"/>
        </w:rPr>
      </w:pPr>
    </w:p>
    <w:p>
      <w:pPr>
        <w:ind w:left="4" w:right="3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121" w:lineRule="exact"/>
        <w:rPr>
          <w:sz w:val="20"/>
          <w:szCs w:val="20"/>
          <w:color w:val="auto"/>
        </w:rPr>
      </w:pPr>
    </w:p>
    <w:p>
      <w:pPr>
        <w:ind w:left="4" w:right="320"/>
        <w:spacing w:after="0" w:line="266" w:lineRule="auto"/>
        <w:rPr>
          <w:sz w:val="20"/>
          <w:szCs w:val="20"/>
          <w:color w:val="auto"/>
        </w:rPr>
      </w:pPr>
      <w:r>
        <w:rPr>
          <w:rFonts w:ascii="Times New Roman" w:cs="Times New Roman" w:eastAsia="Times New Roman" w:hAnsi="Times New Roman"/>
          <w:sz w:val="18"/>
          <w:szCs w:val="18"/>
          <w:color w:val="auto"/>
        </w:rPr>
        <w:t>Under certain circumstances set forth in the limited liability company operating agreement of IMP X, the members of such limited liability company have the right to receive dividends from, or the proceeds from the sale of, the common stock of Issuer beneficially owned by such limited liability company.</w:t>
      </w:r>
    </w:p>
    <w:p>
      <w:pPr>
        <w:spacing w:after="0" w:line="280"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reporting person is a member of a group as defined in section 240.13d-1(b)(1)(iii)(H) of the Act.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NOTICE OF DISSOLUTION OF THE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Page 8 of 9 Pages</w:t>
      </w:r>
    </w:p>
    <w:p>
      <w:pPr>
        <w:sectPr>
          <w:pgSz w:w="11900" w:h="16838" w:orient="portrait"/>
          <w:cols w:equalWidth="0" w:num="1">
            <w:col w:w="11024"/>
          </w:cols>
          <w:pgMar w:left="436" w:top="266" w:right="439" w:bottom="1440" w:gutter="0" w:footer="0" w:header="0"/>
        </w:sectPr>
      </w:pPr>
    </w:p>
    <w:bookmarkStart w:id="8" w:name="page9"/>
    <w:bookmarkEnd w:id="8"/>
    <w:p>
      <w:pPr>
        <w:spacing w:after="0"/>
        <w:tabs>
          <w:tab w:leader="none" w:pos="5560" w:val="left"/>
          <w:tab w:leader="none" w:pos="9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 103</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9 of 9 Pages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Filing Statement attached as Exhibit 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INTERWEST PARTNERS X, LP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InterWest Management Partners X, LLC, its General Partner</w:t>
            </w: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Karen A. Wilson, Power of Attorney</w:t>
            </w:r>
          </w:p>
        </w:tc>
      </w:tr>
      <w:tr>
        <w:trPr>
          <w:trHeight w:val="228"/>
        </w:trPr>
        <w:tc>
          <w:tcPr>
            <w:tcW w:w="80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1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INTERWEST MANAGEMENT PARTNERS X, LLC</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Karen A. Wilson, Power of Attorney</w:t>
            </w:r>
          </w:p>
        </w:tc>
      </w:tr>
      <w:tr>
        <w:trPr>
          <w:trHeight w:val="228"/>
        </w:trPr>
        <w:tc>
          <w:tcPr>
            <w:tcW w:w="80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Keval Desai by Karen A. Wilson, Power of Attorney</w:t>
            </w:r>
          </w:p>
        </w:tc>
      </w:t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Keval Desai</w:t>
            </w: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Gilbert H. Kliman by Karen A. Wilson, Power of Attorney</w:t>
            </w:r>
          </w:p>
        </w:tc>
      </w:t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Gilbert H. Kliman</w:t>
            </w:r>
          </w:p>
        </w:tc>
      </w:tr>
      <w:tr>
        <w:trPr>
          <w:trHeight w:val="41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Khaled A. Nasr</w:t>
            </w:r>
          </w:p>
        </w:tc>
      </w:tr>
      <w:tr>
        <w:trPr>
          <w:trHeight w:val="2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Khaled A. Nasr</w:t>
            </w: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9 of 9 Pages</w:t>
      </w:r>
    </w:p>
    <w:p>
      <w:pPr>
        <w:sectPr>
          <w:pgSz w:w="11900" w:h="16838" w:orient="portrait"/>
          <w:cols w:equalWidth="0" w:num="1">
            <w:col w:w="11020"/>
          </w:cols>
          <w:pgMar w:left="440" w:top="266" w:right="439" w:bottom="1440" w:gutter="0" w:footer="0" w:header="0"/>
        </w:sectPr>
      </w:pPr>
    </w:p>
    <w:bookmarkStart w:id="9" w:name="page10"/>
    <w:bookmarkEnd w:id="9"/>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the undersigned, hereby express our agreement that the attached Schedule 13G is filed on behalf of each of us.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INTERWEST PARTNERS X, LP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InterWest Management Partners X, LLC, its General Partner</w:t>
            </w: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A. Wilson, Power of Attorney</w:t>
            </w:r>
          </w:p>
        </w:tc>
      </w:tr>
      <w:tr>
        <w:trPr>
          <w:trHeight w:val="228"/>
        </w:trPr>
        <w:tc>
          <w:tcPr>
            <w:tcW w:w="7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INTERWEST MANAGEMENT PARTNERS X, LLC</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Karen A. Wilson, Power of Attorney</w:t>
            </w:r>
          </w:p>
        </w:tc>
      </w:tr>
      <w:tr>
        <w:trPr>
          <w:trHeight w:val="228"/>
        </w:trPr>
        <w:tc>
          <w:tcPr>
            <w:tcW w:w="7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42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Keval Desai by Karen A. Wilson, Power of Attorney</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Keval Desai</w:t>
            </w:r>
          </w:p>
        </w:tc>
      </w:tr>
      <w:tr>
        <w:trPr>
          <w:trHeight w:val="42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Gilbert H. Kliman by Karen A. Wilson, Power of Attorney</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Gilbert H. Kliman</w:t>
            </w:r>
          </w:p>
        </w:tc>
      </w:tr>
      <w:tr>
        <w:trPr>
          <w:trHeight w:val="42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Khaled A. Nasr</w:t>
            </w:r>
          </w:p>
        </w:tc>
      </w:tr>
      <w:tr>
        <w:trPr>
          <w:trHeight w:val="22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Khaled A. Nasr</w:t>
            </w:r>
          </w:p>
        </w:tc>
      </w:tr>
    </w:tbl>
    <w:p>
      <w:pPr>
        <w:spacing w:after="0" w:line="1" w:lineRule="exact"/>
        <w:rPr>
          <w:sz w:val="20"/>
          <w:szCs w:val="20"/>
          <w:color w:val="auto"/>
        </w:rPr>
      </w:pPr>
    </w:p>
    <w:sectPr>
      <w:pgSz w:w="11900" w:h="16838" w:orient="portrait"/>
      <w:cols w:equalWidth="0" w:num="1">
        <w:col w:w="10019"/>
      </w:cols>
      <w:pgMar w:left="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lvl w:ilvl="1">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bullet"/>
      <w:start w:val="1"/>
    </w:lvl>
  </w:abstractNum>
  <w:abstractNum w:abstractNumId="4">
    <w:nsid w:val="3F2DBA31"/>
    <w:multiLevelType w:val="hybridMultilevel"/>
    <w:lvl w:ilvl="0">
      <w:lvlJc w:val="left"/>
      <w:lvlText w:val="2"/>
      <w:numFmt w:val="bullet"/>
      <w:start w:val="1"/>
    </w:lvl>
  </w:abstractNum>
  <w:abstractNum w:abstractNumId="5">
    <w:nsid w:val="7C83E458"/>
    <w:multiLevelType w:val="hybridMultilevel"/>
    <w:lvl w:ilvl="0">
      <w:lvlJc w:val="left"/>
      <w:lvlText w:val="3"/>
      <w:numFmt w:val="bullet"/>
      <w:start w:val="1"/>
    </w:lvl>
  </w:abstractNum>
  <w:abstractNum w:abstractNumId="6">
    <w:nsid w:val="257130A3"/>
    <w:multiLevelType w:val="hybridMultilevel"/>
    <w:lvl w:ilvl="0">
      <w:lvlJc w:val="left"/>
      <w:lvlText w:val="4"/>
      <w:numFmt w:val="bullet"/>
      <w:start w:val="1"/>
    </w:lvl>
  </w:abstractNum>
  <w:abstractNum w:abstractNumId="7">
    <w:nsid w:val="62BBD95A"/>
    <w:multiLevelType w:val="hybridMultilevel"/>
    <w:lvl w:ilvl="0">
      <w:lvlJc w:val="left"/>
      <w:lvlText w:val="9"/>
      <w:numFmt w:val="bullet"/>
      <w:start w:val="1"/>
    </w:lvl>
  </w:abstractNum>
  <w:abstractNum w:abstractNumId="8">
    <w:nsid w:val="436C6125"/>
    <w:multiLevelType w:val="hybridMultilevel"/>
    <w:lvl w:ilvl="0">
      <w:lvlJc w:val="left"/>
      <w:lvlText w:val="%1"/>
      <w:numFmt w:val="decimal"/>
      <w:start w:val="1"/>
    </w:lvl>
    <w:lvl w:ilvl="1">
      <w:lvlJc w:val="left"/>
      <w:lvlText w:val="%2"/>
      <w:numFmt w:val="decimal"/>
      <w:start w:val="10"/>
    </w:lvl>
  </w:abstractNum>
  <w:abstractNum w:abstractNumId="9">
    <w:nsid w:val="628C895D"/>
    <w:multiLevelType w:val="hybridMultilevel"/>
    <w:lvl w:ilvl="0">
      <w:lvlJc w:val="left"/>
      <w:lvlText w:val="(%1)"/>
      <w:numFmt w:val="decimal"/>
      <w:start w:val="1"/>
    </w:lvl>
    <w:lvl w:ilvl="1">
      <w:lvlJc w:val="left"/>
      <w:lvlText w:val="%2"/>
      <w:numFmt w:val="decimal"/>
      <w:start w:val="1"/>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2"/>
      <w:numFmt w:val="bullet"/>
      <w:start w:val="1"/>
    </w:lvl>
  </w:abstractNum>
  <w:abstractNum w:abstractNumId="12">
    <w:nsid w:val="2443A858"/>
    <w:multiLevelType w:val="hybridMultilevel"/>
    <w:lvl w:ilvl="0">
      <w:lvlJc w:val="left"/>
      <w:lvlText w:val="3"/>
      <w:numFmt w:val="bullet"/>
      <w:start w:val="1"/>
    </w:lvl>
  </w:abstractNum>
  <w:abstractNum w:abstractNumId="13">
    <w:nsid w:val="2D1D5AE9"/>
    <w:multiLevelType w:val="hybridMultilevel"/>
    <w:lvl w:ilvl="0">
      <w:lvlJc w:val="left"/>
      <w:lvlText w:val="4"/>
      <w:numFmt w:val="bullet"/>
      <w:start w:val="1"/>
    </w:lvl>
  </w:abstractNum>
  <w:abstractNum w:abstractNumId="14">
    <w:nsid w:val="6763845E"/>
    <w:multiLevelType w:val="hybridMultilevel"/>
    <w:lvl w:ilvl="0">
      <w:lvlJc w:val="left"/>
      <w:lvlText w:val="9"/>
      <w:numFmt w:val="bullet"/>
      <w:start w:val="1"/>
    </w:lvl>
  </w:abstractNum>
  <w:abstractNum w:abstractNumId="15">
    <w:nsid w:val="75A2A8D4"/>
    <w:multiLevelType w:val="hybridMultilevel"/>
    <w:lvl w:ilvl="0">
      <w:lvlJc w:val="left"/>
      <w:lvlText w:val="%1"/>
      <w:numFmt w:val="decimal"/>
      <w:start w:val="10"/>
    </w:lvl>
  </w:abstractNum>
  <w:abstractNum w:abstractNumId="16">
    <w:nsid w:val="8EDBDAB"/>
    <w:multiLevelType w:val="hybridMultilevel"/>
    <w:lvl w:ilvl="0">
      <w:lvlJc w:val="left"/>
      <w:lvlText w:val="1"/>
      <w:numFmt w:val="bullet"/>
      <w:start w:val="1"/>
    </w:lvl>
  </w:abstractNum>
  <w:abstractNum w:abstractNumId="17">
    <w:nsid w:val="79838CB2"/>
    <w:multiLevelType w:val="hybridMultilevel"/>
    <w:lvl w:ilvl="0">
      <w:lvlJc w:val="left"/>
      <w:lvlText w:val="2"/>
      <w:numFmt w:val="bullet"/>
      <w:start w:val="1"/>
    </w:lvl>
  </w:abstractNum>
  <w:abstractNum w:abstractNumId="18">
    <w:nsid w:val="4353D0CD"/>
    <w:multiLevelType w:val="hybridMultilevel"/>
    <w:lvl w:ilvl="0">
      <w:lvlJc w:val="left"/>
      <w:lvlText w:val="3"/>
      <w:numFmt w:val="bullet"/>
      <w:start w:val="1"/>
    </w:lvl>
  </w:abstractNum>
  <w:abstractNum w:abstractNumId="19">
    <w:nsid w:val="B03E0C6"/>
    <w:multiLevelType w:val="hybridMultilevel"/>
    <w:lvl w:ilvl="0">
      <w:lvlJc w:val="left"/>
      <w:lvlText w:val="4"/>
      <w:numFmt w:val="bullet"/>
      <w:start w:val="1"/>
    </w:lvl>
  </w:abstractNum>
  <w:abstractNum w:abstractNumId="20">
    <w:nsid w:val="189A769B"/>
    <w:multiLevelType w:val="hybridMultilevel"/>
    <w:lvl w:ilvl="0">
      <w:lvlJc w:val="left"/>
      <w:lvlText w:val="9"/>
      <w:numFmt w:val="bullet"/>
      <w:start w:val="1"/>
    </w:lvl>
  </w:abstractNum>
  <w:abstractNum w:abstractNumId="21">
    <w:nsid w:val="54E49EB4"/>
    <w:multiLevelType w:val="hybridMultilevel"/>
    <w:lvl w:ilvl="0">
      <w:lvlJc w:val="left"/>
      <w:lvlText w:val="%1"/>
      <w:numFmt w:val="decimal"/>
      <w:start w:val="10"/>
    </w:lvl>
  </w:abstractNum>
  <w:abstractNum w:abstractNumId="22">
    <w:nsid w:val="71F32454"/>
    <w:multiLevelType w:val="hybridMultilevel"/>
    <w:lvl w:ilvl="0">
      <w:lvlJc w:val="left"/>
      <w:lvlText w:val="1"/>
      <w:numFmt w:val="bullet"/>
      <w:start w:val="1"/>
    </w:lvl>
  </w:abstractNum>
  <w:abstractNum w:abstractNumId="23">
    <w:nsid w:val="2CA88611"/>
    <w:multiLevelType w:val="hybridMultilevel"/>
    <w:lvl w:ilvl="0">
      <w:lvlJc w:val="left"/>
      <w:lvlText w:val="2"/>
      <w:numFmt w:val="bullet"/>
      <w:start w:val="1"/>
    </w:lvl>
  </w:abstractNum>
  <w:abstractNum w:abstractNumId="24">
    <w:nsid w:val="836C40E"/>
    <w:multiLevelType w:val="hybridMultilevel"/>
    <w:lvl w:ilvl="0">
      <w:lvlJc w:val="left"/>
      <w:lvlText w:val="3"/>
      <w:numFmt w:val="bullet"/>
      <w:start w:val="1"/>
    </w:lvl>
  </w:abstractNum>
  <w:abstractNum w:abstractNumId="25">
    <w:nsid w:val="2901D82"/>
    <w:multiLevelType w:val="hybridMultilevel"/>
    <w:lvl w:ilvl="0">
      <w:lvlJc w:val="left"/>
      <w:lvlText w:val="4"/>
      <w:numFmt w:val="bullet"/>
      <w:start w:val="1"/>
    </w:lvl>
  </w:abstractNum>
  <w:abstractNum w:abstractNumId="26">
    <w:nsid w:val="3A95F874"/>
    <w:multiLevelType w:val="hybridMultilevel"/>
    <w:lvl w:ilvl="0">
      <w:lvlJc w:val="left"/>
      <w:lvlText w:val="9"/>
      <w:numFmt w:val="bullet"/>
      <w:start w:val="1"/>
    </w:lvl>
  </w:abstractNum>
  <w:abstractNum w:abstractNumId="27">
    <w:nsid w:val="8138641"/>
    <w:multiLevelType w:val="hybridMultilevel"/>
    <w:lvl w:ilvl="0">
      <w:lvlJc w:val="left"/>
      <w:lvlText w:val="%1"/>
      <w:numFmt w:val="decimal"/>
      <w:start w:val="10"/>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4"/>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2023-02-10T12:02:48Z</dcterms:created>
  <dcterms:modified xsi:type="dcterms:W3CDTF">2023-02-10T12:02:48Z</dcterms:modified>
</cp:coreProperties>
</file>