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9"/>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80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8"/>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One Research Way, Princeton, NJ, 08540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On November 12, 2025, PMV Pharmaceuticals, Inc. issued a press release announcing its financial results for the third quarter ended September 30, 2025. The full text of the press release is attached as Exhibit 99.1 to this Current Report on Form 8-K and is incorporated herein by reference.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612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612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vMerge w:val="restart"/>
          </w:tcPr>
          <w:p>
            <w:pPr>
              <w:spacing w:after="0"/>
              <w:rPr>
                <w:sz w:val="24"/>
                <w:szCs w:val="24"/>
                <w:color w:val="auto"/>
              </w:rPr>
            </w:pPr>
          </w:p>
        </w:tc>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9"/>
              </w:rPr>
              <w:t>Press Release issued by PMV Pharmaceuticals, Inc., dated November 12, 2025.</w:t>
            </w:r>
          </w:p>
        </w:tc>
        <w:tc>
          <w:tcPr>
            <w:tcW w:w="38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vMerge w:val="continue"/>
          </w:tcPr>
          <w:p>
            <w:pPr>
              <w:spacing w:after="0"/>
              <w:rPr>
                <w:sz w:val="15"/>
                <w:szCs w:val="15"/>
                <w:color w:val="auto"/>
              </w:rPr>
            </w:pPr>
          </w:p>
        </w:tc>
        <w:tc>
          <w:tcPr>
            <w:tcW w:w="5740" w:type="dxa"/>
            <w:vAlign w:val="bottom"/>
            <w:tcBorders>
              <w:bottom w:val="single" w:sz="8" w:color="0000FF"/>
            </w:tcBorders>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6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24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5"/>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PMV Pharmaceuticals Reports Third Quarter 2025 Financial Results and Corporate Highlights</w:t>
      </w:r>
    </w:p>
    <w:p>
      <w:pPr>
        <w:spacing w:after="0" w:line="245" w:lineRule="exact"/>
        <w:rPr>
          <w:sz w:val="20"/>
          <w:szCs w:val="20"/>
          <w:color w:val="auto"/>
        </w:rPr>
      </w:pPr>
    </w:p>
    <w:p>
      <w:pPr>
        <w:ind w:left="520" w:right="20" w:hanging="511"/>
        <w:spacing w:after="0" w:line="243"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Updated clinical results from Phase 2 pivotal portion of the PYNNACLE study evaluating rezatapopt featured in late-breaking oral presentation at the 2025 AACR-NCI-EORTC International Conference on Molecular Targets and Cancer Therapeutics</w:t>
      </w:r>
    </w:p>
    <w:p>
      <w:pPr>
        <w:spacing w:after="0" w:line="1" w:lineRule="exact"/>
        <w:rPr>
          <w:rFonts w:ascii="Times New Roman" w:cs="Times New Roman" w:eastAsia="Times New Roman" w:hAnsi="Times New Roman"/>
          <w:sz w:val="18"/>
          <w:szCs w:val="18"/>
          <w:color w:val="auto"/>
        </w:rPr>
      </w:pPr>
    </w:p>
    <w:p>
      <w:pPr>
        <w:ind w:left="520" w:hanging="511"/>
        <w:spacing w:after="0" w:line="234"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34% overall response rate (ORR) observed among 103 evaluable patients across all cohorts with a median duration of response of 7.6 months</w:t>
      </w:r>
    </w:p>
    <w:p>
      <w:pPr>
        <w:ind w:left="520" w:hanging="511"/>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46% ORR observed among 48 evaluable patients in ovarian cancer cohort with a median duration of response of 8.0 months</w:t>
      </w:r>
    </w:p>
    <w:p>
      <w:pPr>
        <w:spacing w:after="0" w:line="8"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Rezatapopt New Drug Application submission for platinum resistant/refractory ovarian cancer planned in first quarter of 2027</w:t>
      </w:r>
    </w:p>
    <w:p>
      <w:pPr>
        <w:spacing w:after="0" w:line="8" w:lineRule="exact"/>
        <w:rPr>
          <w:rFonts w:ascii="Times New Roman" w:cs="Times New Roman" w:eastAsia="Times New Roman" w:hAnsi="Times New Roman"/>
          <w:sz w:val="18"/>
          <w:szCs w:val="18"/>
          <w:color w:val="auto"/>
        </w:rPr>
      </w:pPr>
    </w:p>
    <w:p>
      <w:pPr>
        <w:ind w:left="520" w:right="20" w:hanging="511"/>
        <w:spacing w:after="0" w:line="249"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$129.3 million as of September 30, 2025, providing expected cash runway to end of first quarter of 2027</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9"/>
          <w:szCs w:val="19"/>
          <w:b w:val="1"/>
          <w:bCs w:val="1"/>
          <w:color w:val="auto"/>
        </w:rPr>
        <w:t xml:space="preserve">PRINCETON, N.J., </w:t>
      </w:r>
      <w:r>
        <w:rPr>
          <w:rFonts w:ascii="Arial" w:cs="Arial" w:eastAsia="Arial" w:hAnsi="Arial"/>
          <w:sz w:val="19"/>
          <w:szCs w:val="19"/>
          <w:color w:val="auto"/>
        </w:rPr>
        <w:t>November 12, 2025 (GLOBE NEWSWIRE) - PMV Pharmaceuticals, Inc. (“PMV Pharma” or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Nasdaq: PMVP), a precision oncology company pioneering the discovery and development of small molecule therapies targeting p53, today reported financial results for the third quarter ended September 30, 2025, and provided a corporate update.</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 am incredibly proud of our team and their commitment to rapidly and efficiently advancing the PYNNACLE study,” said David Mack, Ph.D., President and Chief Executive Officer of PMV Pharma. “We are excited by the data emerging from this study and look forward to submitting an NDA in the first quarter of 2027 for platinum-resistant/refractory ovarian cancer.”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Highlights</w:t>
      </w:r>
    </w:p>
    <w:p>
      <w:pPr>
        <w:spacing w:after="0" w:line="96" w:lineRule="exact"/>
        <w:rPr>
          <w:sz w:val="20"/>
          <w:szCs w:val="20"/>
          <w:color w:val="auto"/>
        </w:rPr>
      </w:pPr>
    </w:p>
    <w:p>
      <w:pPr>
        <w:jc w:val="both"/>
        <w:ind w:left="520" w:hanging="512"/>
        <w:spacing w:after="0" w:line="241" w:lineRule="auto"/>
        <w:tabs>
          <w:tab w:leader="none" w:pos="5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Updated clinical results from the Phase 2 pivotal portion of the PYNNACLE study evaluating rezatapopt were featured in late-breaking oral and poster presentations at the 2025 AACR-NCI-EORTC International Conference on Molecular Targets and Cancer Therapeutics on October 24, 2025.</w:t>
      </w:r>
    </w:p>
    <w:p>
      <w:pPr>
        <w:spacing w:after="0" w:line="62" w:lineRule="exact"/>
        <w:rPr>
          <w:sz w:val="20"/>
          <w:szCs w:val="20"/>
          <w:color w:val="auto"/>
        </w:rPr>
      </w:pPr>
    </w:p>
    <w:p>
      <w:pPr>
        <w:jc w:val="both"/>
        <w:ind w:left="1540" w:hanging="514"/>
        <w:spacing w:after="0" w:line="241" w:lineRule="auto"/>
        <w:tabs>
          <w:tab w:leader="none" w:pos="15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Confirmed responses were observed in patients whose tumors were TP53 Y220C mutated and KRAS wild-type in eight tumor types including ovarian, lung, breast, endometrial, head and neck, colorectal, gallbladder cancers, and ampullary carcinoma.</w:t>
      </w:r>
    </w:p>
    <w:p>
      <w:pPr>
        <w:spacing w:after="0" w:line="62" w:lineRule="exact"/>
        <w:rPr>
          <w:rFonts w:ascii="Times New Roman" w:cs="Times New Roman" w:eastAsia="Times New Roman" w:hAnsi="Times New Roman"/>
          <w:sz w:val="20"/>
          <w:szCs w:val="20"/>
          <w:color w:val="auto"/>
        </w:rPr>
      </w:pPr>
    </w:p>
    <w:p>
      <w:pPr>
        <w:jc w:val="both"/>
        <w:ind w:left="1540" w:hanging="514"/>
        <w:spacing w:after="0" w:line="231" w:lineRule="auto"/>
        <w:tabs>
          <w:tab w:leader="none" w:pos="15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Overall response rate (ORR) of 34% (35/103 patients) per investigator assessment according to Response Evaluation Criteria in Solid Tumors (RECIST) version 1.1, including confirmed and unconfirmed responses. The cohort-specific ORRs were as follows:</w:t>
      </w:r>
    </w:p>
    <w:p>
      <w:pPr>
        <w:spacing w:after="0" w:line="1" w:lineRule="exact"/>
        <w:rPr>
          <w:rFonts w:ascii="Times New Roman" w:cs="Times New Roman" w:eastAsia="Times New Roman" w:hAnsi="Times New Roman"/>
          <w:sz w:val="20"/>
          <w:szCs w:val="20"/>
          <w:color w:val="auto"/>
        </w:rPr>
      </w:pPr>
    </w:p>
    <w:p>
      <w:pPr>
        <w:ind w:left="2560" w:hanging="381"/>
        <w:spacing w:after="0" w:line="305" w:lineRule="auto"/>
        <w:tabs>
          <w:tab w:leader="none" w:pos="2339" w:val="left"/>
        </w:tabs>
        <w:numPr>
          <w:ilvl w:val="1"/>
          <w:numId w:val="5"/>
        </w:numPr>
        <w:rPr>
          <w:rFonts w:ascii="Wingdings" w:cs="Wingdings" w:eastAsia="Wingdings" w:hAnsi="Wingdings"/>
          <w:sz w:val="16"/>
          <w:szCs w:val="16"/>
          <w:b w:val="1"/>
          <w:bCs w:val="1"/>
          <w:color w:val="auto"/>
        </w:rPr>
      </w:pPr>
      <w:r>
        <w:rPr>
          <w:rFonts w:ascii="Arial" w:cs="Arial" w:eastAsia="Arial" w:hAnsi="Arial"/>
          <w:sz w:val="16"/>
          <w:szCs w:val="16"/>
          <w:color w:val="auto"/>
        </w:rPr>
        <w:t>Ovarian cancer: 46% ORR (22/48 patients, including one confirmed complete response, 18 confirmed partial responses, and three unconfirmed partial responses [uPR])</w:t>
      </w:r>
    </w:p>
    <w:p>
      <w:pPr>
        <w:ind w:left="2340" w:hanging="161"/>
        <w:spacing w:after="0"/>
        <w:tabs>
          <w:tab w:leader="none" w:pos="2340" w:val="left"/>
        </w:tabs>
        <w:numPr>
          <w:ilvl w:val="1"/>
          <w:numId w:val="5"/>
        </w:numPr>
        <w:rPr>
          <w:rFonts w:ascii="Wingdings" w:cs="Wingdings" w:eastAsia="Wingdings" w:hAnsi="Wingdings"/>
          <w:sz w:val="18"/>
          <w:szCs w:val="18"/>
          <w:b w:val="1"/>
          <w:bCs w:val="1"/>
          <w:color w:val="auto"/>
        </w:rPr>
      </w:pPr>
      <w:r>
        <w:rPr>
          <w:rFonts w:ascii="Arial" w:cs="Arial" w:eastAsia="Arial" w:hAnsi="Arial"/>
          <w:sz w:val="18"/>
          <w:szCs w:val="18"/>
          <w:color w:val="auto"/>
        </w:rPr>
        <w:t>Breast cancer: 17% ORR (2/12 patients)</w:t>
      </w:r>
    </w:p>
    <w:p>
      <w:pPr>
        <w:spacing w:after="0" w:line="27" w:lineRule="exact"/>
        <w:rPr>
          <w:rFonts w:ascii="Wingdings" w:cs="Wingdings" w:eastAsia="Wingdings" w:hAnsi="Wingdings"/>
          <w:sz w:val="18"/>
          <w:szCs w:val="18"/>
          <w:b w:val="1"/>
          <w:bCs w:val="1"/>
          <w:color w:val="auto"/>
        </w:rPr>
      </w:pPr>
    </w:p>
    <w:p>
      <w:pPr>
        <w:ind w:left="2340" w:hanging="161"/>
        <w:spacing w:after="0"/>
        <w:tabs>
          <w:tab w:leader="none" w:pos="2340" w:val="left"/>
        </w:tabs>
        <w:numPr>
          <w:ilvl w:val="1"/>
          <w:numId w:val="5"/>
        </w:numPr>
        <w:rPr>
          <w:rFonts w:ascii="Wingdings" w:cs="Wingdings" w:eastAsia="Wingdings" w:hAnsi="Wingdings"/>
          <w:sz w:val="18"/>
          <w:szCs w:val="18"/>
          <w:b w:val="1"/>
          <w:bCs w:val="1"/>
          <w:color w:val="auto"/>
        </w:rPr>
      </w:pPr>
      <w:r>
        <w:rPr>
          <w:rFonts w:ascii="Arial" w:cs="Arial" w:eastAsia="Arial" w:hAnsi="Arial"/>
          <w:sz w:val="18"/>
          <w:szCs w:val="18"/>
          <w:color w:val="auto"/>
        </w:rPr>
        <w:t>Endometrial cancer: 60% ORR (3/5 patients, including one uPR)</w:t>
      </w:r>
    </w:p>
    <w:p>
      <w:pPr>
        <w:spacing w:after="0" w:line="9" w:lineRule="exact"/>
        <w:rPr>
          <w:rFonts w:ascii="Wingdings" w:cs="Wingdings" w:eastAsia="Wingdings" w:hAnsi="Wingdings"/>
          <w:sz w:val="18"/>
          <w:szCs w:val="18"/>
          <w:b w:val="1"/>
          <w:bCs w:val="1"/>
          <w:color w:val="auto"/>
        </w:rPr>
      </w:pPr>
    </w:p>
    <w:p>
      <w:pPr>
        <w:ind w:left="2340" w:hanging="161"/>
        <w:spacing w:after="0"/>
        <w:tabs>
          <w:tab w:leader="none" w:pos="2340" w:val="left"/>
        </w:tabs>
        <w:numPr>
          <w:ilvl w:val="1"/>
          <w:numId w:val="5"/>
        </w:numPr>
        <w:rPr>
          <w:rFonts w:ascii="Wingdings" w:cs="Wingdings" w:eastAsia="Wingdings" w:hAnsi="Wingdings"/>
          <w:sz w:val="18"/>
          <w:szCs w:val="18"/>
          <w:b w:val="1"/>
          <w:bCs w:val="1"/>
          <w:color w:val="auto"/>
        </w:rPr>
      </w:pPr>
      <w:r>
        <w:rPr>
          <w:rFonts w:ascii="Arial" w:cs="Arial" w:eastAsia="Arial" w:hAnsi="Arial"/>
          <w:sz w:val="18"/>
          <w:szCs w:val="18"/>
          <w:color w:val="auto"/>
        </w:rPr>
        <w:t>Lung cancer: 21% ORR (4/19 patients, including one uPR)</w:t>
      </w:r>
    </w:p>
    <w:p>
      <w:pPr>
        <w:spacing w:after="0" w:line="45" w:lineRule="exact"/>
        <w:rPr>
          <w:rFonts w:ascii="Wingdings" w:cs="Wingdings" w:eastAsia="Wingdings" w:hAnsi="Wingdings"/>
          <w:sz w:val="18"/>
          <w:szCs w:val="18"/>
          <w:b w:val="1"/>
          <w:bCs w:val="1"/>
          <w:color w:val="auto"/>
        </w:rPr>
      </w:pPr>
    </w:p>
    <w:p>
      <w:pPr>
        <w:ind w:left="2340" w:hanging="161"/>
        <w:spacing w:after="0"/>
        <w:tabs>
          <w:tab w:leader="none" w:pos="2340" w:val="left"/>
        </w:tabs>
        <w:numPr>
          <w:ilvl w:val="1"/>
          <w:numId w:val="5"/>
        </w:numPr>
        <w:rPr>
          <w:rFonts w:ascii="Wingdings" w:cs="Wingdings" w:eastAsia="Wingdings" w:hAnsi="Wingdings"/>
          <w:sz w:val="18"/>
          <w:szCs w:val="18"/>
          <w:b w:val="1"/>
          <w:bCs w:val="1"/>
          <w:color w:val="auto"/>
        </w:rPr>
      </w:pPr>
      <w:r>
        <w:rPr>
          <w:rFonts w:ascii="Arial" w:cs="Arial" w:eastAsia="Arial" w:hAnsi="Arial"/>
          <w:sz w:val="18"/>
          <w:szCs w:val="18"/>
          <w:color w:val="auto"/>
        </w:rPr>
        <w:t>Other solid tumors: 21% ORR (4/19 patients)</w:t>
      </w:r>
    </w:p>
    <w:p>
      <w:pPr>
        <w:spacing w:after="0" w:line="27" w:lineRule="exact"/>
        <w:rPr>
          <w:sz w:val="20"/>
          <w:szCs w:val="20"/>
          <w:color w:val="auto"/>
        </w:rPr>
      </w:pPr>
    </w:p>
    <w:p>
      <w:pPr>
        <w:ind w:left="1540" w:hanging="379"/>
        <w:spacing w:after="0" w:line="252" w:lineRule="auto"/>
        <w:tabs>
          <w:tab w:leader="none" w:pos="1386"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Across all cohorts, the median time to response was 1.3 months and the median duration of response was 7.6 months. In the ovarian cancer cohort, the 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1540"/>
        <w:spacing w:after="0"/>
        <w:rPr>
          <w:sz w:val="20"/>
          <w:szCs w:val="20"/>
          <w:color w:val="auto"/>
        </w:rPr>
      </w:pPr>
      <w:r>
        <w:rPr>
          <w:rFonts w:ascii="Arial" w:cs="Arial" w:eastAsia="Arial" w:hAnsi="Arial"/>
          <w:sz w:val="20"/>
          <w:szCs w:val="20"/>
          <w:color w:val="auto"/>
        </w:rPr>
        <w:t>time to response was 1.3 months and median duration of response was 8.0 months.</w:t>
      </w:r>
    </w:p>
    <w:p>
      <w:pPr>
        <w:spacing w:after="0" w:line="4" w:lineRule="exact"/>
        <w:rPr>
          <w:sz w:val="20"/>
          <w:szCs w:val="20"/>
          <w:color w:val="auto"/>
        </w:rPr>
      </w:pPr>
    </w:p>
    <w:p>
      <w:pPr>
        <w:ind w:left="1540" w:hanging="379"/>
        <w:spacing w:after="0" w:line="232" w:lineRule="auto"/>
        <w:tabs>
          <w:tab w:leader="none" w:pos="1373"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Post the September 4, 2025 data cutoff date, four uPRs were confirmed and one uPR (ovarian cancer) remains on treatment.</w:t>
      </w:r>
    </w:p>
    <w:p>
      <w:pPr>
        <w:ind w:left="1540" w:hanging="379"/>
        <w:spacing w:after="0" w:line="235" w:lineRule="auto"/>
        <w:tabs>
          <w:tab w:leader="none" w:pos="1359"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 poster entitled “Natural history and prognostic value of TP53 Y220C mutation in advanced solid tumors: A real-world study,” was also presented at the 2025 AACR-NCI-EORTC International Conference on Molecular Targets and Cancer Therapeutics which concluded that patients with </w:t>
      </w:r>
      <w:r>
        <w:rPr>
          <w:rFonts w:ascii="Arial" w:cs="Arial" w:eastAsia="Arial" w:hAnsi="Arial"/>
          <w:sz w:val="20"/>
          <w:szCs w:val="20"/>
          <w:i w:val="1"/>
          <w:iCs w:val="1"/>
          <w:color w:val="auto"/>
        </w:rPr>
        <w:t>TP53</w:t>
      </w:r>
      <w:r>
        <w:rPr>
          <w:rFonts w:ascii="Arial" w:cs="Arial" w:eastAsia="Arial" w:hAnsi="Arial"/>
          <w:sz w:val="20"/>
          <w:szCs w:val="20"/>
          <w:color w:val="auto"/>
        </w:rPr>
        <w:t xml:space="preserve"> Y220C-mutated solid tumors had poor prognoses and reduced overall survival compared to patients without a </w:t>
      </w:r>
      <w:r>
        <w:rPr>
          <w:rFonts w:ascii="Arial" w:cs="Arial" w:eastAsia="Arial" w:hAnsi="Arial"/>
          <w:sz w:val="20"/>
          <w:szCs w:val="20"/>
          <w:i w:val="1"/>
          <w:iCs w:val="1"/>
          <w:color w:val="auto"/>
        </w:rPr>
        <w:t>TP53 Y220C</w:t>
      </w:r>
      <w:r>
        <w:rPr>
          <w:rFonts w:ascii="Arial" w:cs="Arial" w:eastAsia="Arial" w:hAnsi="Arial"/>
          <w:sz w:val="20"/>
          <w:szCs w:val="20"/>
          <w:color w:val="auto"/>
        </w:rPr>
        <w:t xml:space="preserve"> mutation.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Financial Results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PMV Pharma ended the third quarter with $129.3 million in cash, cash equivalents, and marketable securities, compared to $148.3 million as of June 30, 2025. Net cash used in operations was $56.4 million for the nine months ended September 30, 2025, compared to $34.6 million for the nine months ended September 30, 2024.</w:t>
      </w:r>
    </w:p>
    <w:p>
      <w:pPr>
        <w:spacing w:after="0" w:line="63" w:lineRule="exact"/>
        <w:rPr>
          <w:sz w:val="20"/>
          <w:szCs w:val="20"/>
          <w:color w:val="auto"/>
        </w:rPr>
      </w:pPr>
    </w:p>
    <w:p>
      <w:pPr>
        <w:ind w:left="520" w:hanging="512"/>
        <w:spacing w:after="0" w:line="256" w:lineRule="auto"/>
        <w:tabs>
          <w:tab w:leader="none" w:pos="5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Net loss for the quarter ended September 30, 2025, was $21.1 million compared to $19.2 million for the quarter ended September 30, 2024. The net loss increase was primarily due to increased research and development (R&amp;D) costs.</w:t>
      </w:r>
    </w:p>
    <w:p>
      <w:pPr>
        <w:spacing w:after="0" w:line="48" w:lineRule="exact"/>
        <w:rPr>
          <w:rFonts w:ascii="Times New Roman" w:cs="Times New Roman" w:eastAsia="Times New Roman" w:hAnsi="Times New Roman"/>
          <w:sz w:val="20"/>
          <w:szCs w:val="20"/>
          <w:color w:val="auto"/>
        </w:rPr>
      </w:pPr>
    </w:p>
    <w:p>
      <w:pPr>
        <w:jc w:val="both"/>
        <w:ind w:left="520" w:hanging="512"/>
        <w:spacing w:after="0" w:line="241" w:lineRule="auto"/>
        <w:tabs>
          <w:tab w:leader="none" w:pos="5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R&amp;D expenses were $18.2 million for the quarter ended September 30, 2025, compared to $16.9 million for the quarter ended September 30, 2024. The increase in R&amp;D expenses was primarily due to increased contractual research organization costs for the advancement of the rezatapopt program.</w:t>
      </w:r>
    </w:p>
    <w:p>
      <w:pPr>
        <w:spacing w:after="0" w:line="62" w:lineRule="exact"/>
        <w:rPr>
          <w:rFonts w:ascii="Times New Roman" w:cs="Times New Roman" w:eastAsia="Times New Roman" w:hAnsi="Times New Roman"/>
          <w:sz w:val="20"/>
          <w:szCs w:val="20"/>
          <w:color w:val="auto"/>
        </w:rPr>
      </w:pPr>
    </w:p>
    <w:p>
      <w:pPr>
        <w:jc w:val="both"/>
        <w:ind w:left="520" w:hanging="512"/>
        <w:spacing w:after="0" w:line="241" w:lineRule="auto"/>
        <w:tabs>
          <w:tab w:leader="none" w:pos="5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General and administrative (G&amp;A) expenses were $4.3 million for the quarter ended September 30, 2025, compared to $4.9 million for the quarter ended September 30, 2024. The decrease in G&amp;A expenses was primarily due to reduced spend for stock-based compensation and facility and operational expenses.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Rezatapopt</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PYNNACLE Clinical Trial</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ongoing Phase 1/2 PYNNACLE clinical trial is evaluating rezatapopt in patients with advanced solid tumors harboring a TP53 Y220C mutation. The primary objective of the Phase 1 portion of the clinical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TP53 Y220C and KRAS wild-type advanced solid tumors. For more information about the Phase 1/2 PYNNACLE clinical trial, refer to www.clinicaltrials.gov (NCT trial identifier NCT04585750).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PMV Pharma</w:t>
      </w:r>
    </w:p>
    <w:p>
      <w:pPr>
        <w:spacing w:after="0" w:line="204"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 xml:space="preserve">PMV Pharma is a precision oncology company pioneering the discovery and development of small molecule therapies targeting p53. TP53 mutations are found in approximately half of all cancers. Our co-founder, Dr. Arnold Levine, established the field of p53 biology when he discovered the p53 protein in 1979. Bringing together leaders in the field to utilize over four decades of p53 biology, PMV Pharma combines unique biological understanding with a pharmaceutical development focus. PMV Pharma is headquartered in Princeton, New Jersey. For more information, please visit </w:t>
      </w:r>
      <w:r>
        <w:rPr>
          <w:rFonts w:ascii="Arial" w:cs="Arial" w:eastAsia="Arial" w:hAnsi="Arial"/>
          <w:sz w:val="17"/>
          <w:szCs w:val="17"/>
          <w:color w:val="03AFFD"/>
        </w:rPr>
        <w:t>www.pmvpharma.com</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18"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as a monotherapy, expectations regarding timing, number of patients and treatment durations for our interim data readouts, expectations regarding timing and success of the Phase 2 portion of the current clinical trial for rezatapopt and filing of an NDA for platinum-resistant/refractory ovarian cancer,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including the successful filing of NDAs,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3, 2025, the Company’s Quarterly Report on Form 10-Q for the three months ended March 31, 2025, filed with the SEC on May 9, 2025, and the Company’s Quarterly Report on Form 10-Q for the three months ended June 30, 2025, filed with the SEC on August 7, 2025,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and per share amounts)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880" w:type="dxa"/>
            <w:vAlign w:val="bottom"/>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0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auto"/>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36,337</w:t>
            </w:r>
          </w:p>
        </w:tc>
        <w:tc>
          <w:tcPr>
            <w:tcW w:w="142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40,876</w:t>
            </w:r>
          </w:p>
        </w:tc>
        <w:tc>
          <w:tcPr>
            <w:tcW w:w="0" w:type="dxa"/>
            <w:vAlign w:val="bottom"/>
          </w:tcPr>
          <w:p>
            <w:pPr>
              <w:spacing w:after="0"/>
              <w:rPr>
                <w:sz w:val="1"/>
                <w:szCs w:val="1"/>
                <w:color w:val="auto"/>
              </w:rPr>
            </w:pPr>
          </w:p>
        </w:tc>
      </w:tr>
      <w:tr>
        <w:trPr>
          <w:trHeight w:val="27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800" w:type="dxa"/>
            <w:vAlign w:val="bottom"/>
          </w:tcPr>
          <w:p>
            <w:pPr>
              <w:spacing w:after="0"/>
              <w:rPr>
                <w:sz w:val="23"/>
                <w:szCs w:val="23"/>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92,913</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128,578</w:t>
            </w:r>
          </w:p>
        </w:tc>
        <w:tc>
          <w:tcPr>
            <w:tcW w:w="0" w:type="dxa"/>
            <w:vAlign w:val="bottom"/>
          </w:tcPr>
          <w:p>
            <w:pPr>
              <w:spacing w:after="0"/>
              <w:rPr>
                <w:sz w:val="1"/>
                <w:szCs w:val="1"/>
                <w:color w:val="auto"/>
              </w:rPr>
            </w:pPr>
          </w:p>
        </w:tc>
      </w:tr>
      <w:tr>
        <w:trPr>
          <w:trHeight w:val="27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3,199</w:t>
            </w:r>
          </w:p>
        </w:tc>
        <w:tc>
          <w:tcPr>
            <w:tcW w:w="260" w:type="dxa"/>
            <w:vAlign w:val="bottom"/>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6,204</w:t>
            </w:r>
          </w:p>
        </w:tc>
        <w:tc>
          <w:tcPr>
            <w:tcW w:w="0" w:type="dxa"/>
            <w:vAlign w:val="bottom"/>
          </w:tcPr>
          <w:p>
            <w:pPr>
              <w:spacing w:after="0"/>
              <w:rPr>
                <w:sz w:val="1"/>
                <w:szCs w:val="1"/>
                <w:color w:val="auto"/>
              </w:rPr>
            </w:pPr>
          </w:p>
        </w:tc>
      </w:tr>
      <w:tr>
        <w:trPr>
          <w:trHeight w:val="25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80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132,449</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175,658</w:t>
            </w:r>
          </w:p>
        </w:tc>
        <w:tc>
          <w:tcPr>
            <w:tcW w:w="0" w:type="dxa"/>
            <w:vAlign w:val="bottom"/>
          </w:tcPr>
          <w:p>
            <w:pPr>
              <w:spacing w:after="0"/>
              <w:rPr>
                <w:sz w:val="1"/>
                <w:szCs w:val="1"/>
                <w:color w:val="auto"/>
              </w:rPr>
            </w:pPr>
          </w:p>
        </w:tc>
      </w:tr>
      <w:tr>
        <w:trPr>
          <w:trHeight w:val="27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800" w:type="dxa"/>
            <w:vAlign w:val="bottom"/>
          </w:tcPr>
          <w:p>
            <w:pPr>
              <w:spacing w:after="0"/>
              <w:rPr>
                <w:sz w:val="23"/>
                <w:szCs w:val="23"/>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13,843</w:t>
            </w:r>
          </w:p>
        </w:tc>
        <w:tc>
          <w:tcPr>
            <w:tcW w:w="0" w:type="dxa"/>
            <w:vAlign w:val="bottom"/>
          </w:tcPr>
          <w:p>
            <w:pPr>
              <w:spacing w:after="0"/>
              <w:rPr>
                <w:sz w:val="1"/>
                <w:szCs w:val="1"/>
                <w:color w:val="auto"/>
              </w:rPr>
            </w:pPr>
          </w:p>
        </w:tc>
      </w:tr>
      <w:tr>
        <w:trPr>
          <w:trHeight w:val="27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133,844</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191,288</w:t>
            </w:r>
          </w:p>
        </w:tc>
        <w:tc>
          <w:tcPr>
            <w:tcW w:w="0" w:type="dxa"/>
            <w:vAlign w:val="bottom"/>
          </w:tcPr>
          <w:p>
            <w:pPr>
              <w:spacing w:after="0"/>
              <w:rPr>
                <w:sz w:val="1"/>
                <w:szCs w:val="1"/>
                <w:color w:val="auto"/>
              </w:rPr>
            </w:pPr>
          </w:p>
        </w:tc>
      </w:tr>
      <w:tr>
        <w:trPr>
          <w:trHeight w:val="21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7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3,399</w:t>
            </w:r>
          </w:p>
        </w:tc>
        <w:tc>
          <w:tcPr>
            <w:tcW w:w="14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6,579</w:t>
            </w:r>
          </w:p>
        </w:tc>
        <w:tc>
          <w:tcPr>
            <w:tcW w:w="0" w:type="dxa"/>
            <w:vAlign w:val="bottom"/>
          </w:tcPr>
          <w:p>
            <w:pPr>
              <w:spacing w:after="0"/>
              <w:rPr>
                <w:sz w:val="1"/>
                <w:szCs w:val="1"/>
                <w:color w:val="auto"/>
              </w:rPr>
            </w:pPr>
          </w:p>
        </w:tc>
      </w:tr>
      <w:tr>
        <w:trPr>
          <w:trHeight w:val="27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8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8,515</w:t>
            </w:r>
          </w:p>
        </w:tc>
        <w:tc>
          <w:tcPr>
            <w:tcW w:w="26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7,439</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5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12,304</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14,370</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tcBorders>
              <w:bottom w:val="single" w:sz="8" w:color="CFF0FC"/>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12,845</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15,208</w:t>
            </w:r>
          </w:p>
        </w:tc>
        <w:tc>
          <w:tcPr>
            <w:tcW w:w="0" w:type="dxa"/>
            <w:vAlign w:val="bottom"/>
          </w:tcPr>
          <w:p>
            <w:pPr>
              <w:spacing w:after="0"/>
              <w:rPr>
                <w:sz w:val="1"/>
                <w:szCs w:val="1"/>
                <w:color w:val="auto"/>
              </w:rPr>
            </w:pPr>
          </w:p>
        </w:tc>
      </w:tr>
      <w:tr>
        <w:trPr>
          <w:trHeight w:val="228"/>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7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549,325</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544,653</w:t>
            </w:r>
          </w:p>
        </w:tc>
        <w:tc>
          <w:tcPr>
            <w:tcW w:w="0" w:type="dxa"/>
            <w:vAlign w:val="bottom"/>
          </w:tcPr>
          <w:p>
            <w:pPr>
              <w:spacing w:after="0"/>
              <w:rPr>
                <w:sz w:val="1"/>
                <w:szCs w:val="1"/>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80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(428,417)</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(368,712)</w:t>
            </w:r>
          </w:p>
        </w:tc>
        <w:tc>
          <w:tcPr>
            <w:tcW w:w="0" w:type="dxa"/>
            <w:vAlign w:val="bottom"/>
          </w:tcPr>
          <w:p>
            <w:pPr>
              <w:spacing w:after="0"/>
              <w:rPr>
                <w:sz w:val="1"/>
                <w:szCs w:val="1"/>
                <w:color w:val="auto"/>
              </w:rPr>
            </w:pPr>
          </w:p>
        </w:tc>
      </w:tr>
      <w:tr>
        <w:trPr>
          <w:trHeight w:val="229"/>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120,999</w:t>
            </w:r>
          </w:p>
        </w:tc>
        <w:tc>
          <w:tcPr>
            <w:tcW w:w="2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176,080</w:t>
            </w:r>
          </w:p>
        </w:tc>
        <w:tc>
          <w:tcPr>
            <w:tcW w:w="0" w:type="dxa"/>
            <w:vAlign w:val="bottom"/>
          </w:tcPr>
          <w:p>
            <w:pPr>
              <w:spacing w:after="0"/>
              <w:rPr>
                <w:sz w:val="1"/>
                <w:szCs w:val="1"/>
                <w:color w:val="auto"/>
              </w:rPr>
            </w:pPr>
          </w:p>
        </w:tc>
      </w:tr>
      <w:tr>
        <w:trPr>
          <w:trHeight w:val="228"/>
        </w:trPr>
        <w:tc>
          <w:tcPr>
            <w:tcW w:w="7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133,844</w:t>
            </w:r>
          </w:p>
        </w:tc>
        <w:tc>
          <w:tcPr>
            <w:tcW w:w="260" w:type="dxa"/>
            <w:vAlign w:val="bottom"/>
            <w:vMerge w:val="restart"/>
            <w:shd w:val="clear" w:color="auto" w:fill="CFF0FC"/>
          </w:tcPr>
          <w:p>
            <w:pPr>
              <w:spacing w:after="0"/>
              <w:rPr>
                <w:sz w:val="19"/>
                <w:szCs w:val="19"/>
                <w:color w:val="auto"/>
              </w:rPr>
            </w:pPr>
          </w:p>
        </w:tc>
        <w:tc>
          <w:tcPr>
            <w:tcW w:w="1160" w:type="dxa"/>
            <w:vAlign w:val="bottom"/>
            <w:vMerge w:val="restart"/>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191,288</w:t>
            </w:r>
          </w:p>
        </w:tc>
        <w:tc>
          <w:tcPr>
            <w:tcW w:w="0" w:type="dxa"/>
            <w:vAlign w:val="bottom"/>
          </w:tcPr>
          <w:p>
            <w:pPr>
              <w:spacing w:after="0"/>
              <w:rPr>
                <w:sz w:val="1"/>
                <w:szCs w:val="1"/>
                <w:color w:val="auto"/>
              </w:rPr>
            </w:pPr>
          </w:p>
        </w:tc>
      </w:tr>
      <w:tr>
        <w:trPr>
          <w:trHeight w:val="103"/>
        </w:trPr>
        <w:tc>
          <w:tcPr>
            <w:tcW w:w="7100" w:type="dxa"/>
            <w:vAlign w:val="bottom"/>
            <w:tcBorders>
              <w:bottom w:val="single" w:sz="8" w:color="CFF0FC"/>
            </w:tcBorders>
            <w:shd w:val="clear" w:color="auto" w:fill="CFF0FC"/>
          </w:tcPr>
          <w:p>
            <w:pPr>
              <w:spacing w:after="0"/>
              <w:rPr>
                <w:sz w:val="8"/>
                <w:szCs w:val="8"/>
                <w:color w:val="auto"/>
              </w:rPr>
            </w:pPr>
          </w:p>
        </w:tc>
        <w:tc>
          <w:tcPr>
            <w:tcW w:w="800" w:type="dxa"/>
            <w:vAlign w:val="bottom"/>
            <w:tcBorders>
              <w:bottom w:val="single" w:sz="8" w:color="auto"/>
            </w:tcBorders>
            <w:vMerge w:val="continue"/>
            <w:shd w:val="clear" w:color="auto" w:fill="CFF0FC"/>
          </w:tcPr>
          <w:p>
            <w:pPr>
              <w:spacing w:after="0"/>
              <w:rPr>
                <w:sz w:val="8"/>
                <w:szCs w:val="8"/>
                <w:color w:val="auto"/>
              </w:rPr>
            </w:pPr>
          </w:p>
        </w:tc>
        <w:tc>
          <w:tcPr>
            <w:tcW w:w="1080" w:type="dxa"/>
            <w:vAlign w:val="bottom"/>
            <w:tcBorders>
              <w:bottom w:val="single" w:sz="8" w:color="auto"/>
            </w:tcBorders>
            <w:vMerge w:val="continue"/>
            <w:shd w:val="clear" w:color="auto" w:fill="CFF0FC"/>
          </w:tcPr>
          <w:p>
            <w:pPr>
              <w:spacing w:after="0"/>
              <w:rPr>
                <w:sz w:val="8"/>
                <w:szCs w:val="8"/>
                <w:color w:val="auto"/>
              </w:rPr>
            </w:pPr>
          </w:p>
        </w:tc>
        <w:tc>
          <w:tcPr>
            <w:tcW w:w="260" w:type="dxa"/>
            <w:vAlign w:val="bottom"/>
            <w:tcBorders>
              <w:bottom w:val="single" w:sz="8" w:color="CFF0FC"/>
            </w:tcBorders>
            <w:vMerge w:val="continue"/>
            <w:shd w:val="clear" w:color="auto" w:fill="CFF0FC"/>
          </w:tcPr>
          <w:p>
            <w:pPr>
              <w:spacing w:after="0"/>
              <w:rPr>
                <w:sz w:val="8"/>
                <w:szCs w:val="8"/>
                <w:color w:val="auto"/>
              </w:rPr>
            </w:pPr>
          </w:p>
        </w:tc>
        <w:tc>
          <w:tcPr>
            <w:tcW w:w="1160" w:type="dxa"/>
            <w:vAlign w:val="bottom"/>
            <w:tcBorders>
              <w:bottom w:val="single" w:sz="8" w:color="auto"/>
            </w:tcBorders>
            <w:vMerge w:val="continue"/>
            <w:shd w:val="clear" w:color="auto" w:fill="CFF0FC"/>
          </w:tcPr>
          <w:p>
            <w:pPr>
              <w:spacing w:after="0"/>
              <w:rPr>
                <w:sz w:val="8"/>
                <w:szCs w:val="8"/>
                <w:color w:val="auto"/>
              </w:rPr>
            </w:pPr>
          </w:p>
        </w:tc>
        <w:tc>
          <w:tcPr>
            <w:tcW w:w="840" w:type="dxa"/>
            <w:vAlign w:val="bottom"/>
            <w:tcBorders>
              <w:bottom w:val="single" w:sz="8" w:color="auto"/>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-2382520</wp:posOffset>
            </wp:positionV>
            <wp:extent cx="163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-2365375</wp:posOffset>
            </wp:positionV>
            <wp:extent cx="163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-2528570</wp:posOffset>
            </wp:positionV>
            <wp:extent cx="1631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-1499870</wp:posOffset>
            </wp:positionV>
            <wp:extent cx="163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-1169670</wp:posOffset>
            </wp:positionV>
            <wp:extent cx="18859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-389255</wp:posOffset>
            </wp:positionV>
            <wp:extent cx="18859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163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163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00" w:type="dxa"/>
            <w:vAlign w:val="bottom"/>
            <w:gridSpan w:val="3"/>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3"/>
        </w:trPr>
        <w:tc>
          <w:tcPr>
            <w:tcW w:w="4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23"/>
        </w:trPr>
        <w:tc>
          <w:tcPr>
            <w:tcW w:w="4660" w:type="dxa"/>
            <w:vAlign w:val="bottom"/>
          </w:tcPr>
          <w:p>
            <w:pPr>
              <w:spacing w:after="0"/>
              <w:rPr>
                <w:sz w:val="19"/>
                <w:szCs w:val="19"/>
                <w:color w:val="auto"/>
              </w:rPr>
            </w:pPr>
          </w:p>
        </w:tc>
        <w:tc>
          <w:tcPr>
            <w:tcW w:w="15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18,210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16,947</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54,050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44,760</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4,312</w:t>
            </w:r>
          </w:p>
        </w:tc>
        <w:tc>
          <w:tcPr>
            <w:tcW w:w="2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4,941</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12,914</w:t>
            </w:r>
          </w:p>
        </w:tc>
        <w:tc>
          <w:tcPr>
            <w:tcW w:w="2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15,520</w:t>
            </w:r>
          </w:p>
        </w:tc>
      </w:tr>
      <w:tr>
        <w:trPr>
          <w:trHeight w:val="21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22,522</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21,888</w:t>
            </w:r>
          </w:p>
        </w:tc>
        <w:tc>
          <w:tcPr>
            <w:tcW w:w="2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66,964</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60,280</w:t>
            </w:r>
          </w:p>
        </w:tc>
      </w:tr>
      <w:tr>
        <w:trPr>
          <w:trHeight w:val="209"/>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(22,522)</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(21,888)</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7"/>
              </w:rPr>
              <w:t>(66,964)</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(60,280)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1,480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2,615</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5,105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8,368</w:t>
            </w:r>
          </w:p>
        </w:tc>
      </w:tr>
      <w:tr>
        <w:trPr>
          <w:trHeight w:val="216"/>
        </w:trPr>
        <w:tc>
          <w:tcPr>
            <w:tcW w:w="46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w:t>
            </w:r>
          </w:p>
        </w:tc>
        <w:tc>
          <w:tcPr>
            <w:tcW w:w="7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1,457</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2,736</w:t>
            </w:r>
          </w:p>
        </w:tc>
        <w:tc>
          <w:tcPr>
            <w:tcW w:w="2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5,061</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8,471</w:t>
            </w:r>
          </w:p>
        </w:tc>
      </w:tr>
      <w:tr>
        <w:trPr>
          <w:trHeight w:val="191"/>
        </w:trPr>
        <w:tc>
          <w:tcPr>
            <w:tcW w:w="4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7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9,152)</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(61,903)</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(51,809)</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(16,100)</w:t>
            </w:r>
          </w:p>
        </w:tc>
      </w:tr>
      <w:tr>
        <w:trPr>
          <w:trHeight w:val="209"/>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(21,059)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(19,226)</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(59,705)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(35,709)</w:t>
            </w:r>
          </w:p>
        </w:tc>
      </w:tr>
      <w:tr>
        <w:trPr>
          <w:trHeight w:val="198"/>
        </w:trPr>
        <w:tc>
          <w:tcPr>
            <w:tcW w:w="46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gain (loss) on available for sale investments,</w:t>
            </w:r>
          </w:p>
        </w:tc>
        <w:tc>
          <w:tcPr>
            <w:tcW w:w="7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34"/>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7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7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r>
      <w:tr>
        <w:trPr>
          <w:trHeight w:val="210"/>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(20,989)</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(18,631)</w:t>
            </w:r>
          </w:p>
        </w:tc>
        <w:tc>
          <w:tcPr>
            <w:tcW w:w="260" w:type="dxa"/>
            <w:vAlign w:val="bottom"/>
          </w:tcPr>
          <w:p>
            <w:pPr>
              <w:spacing w:after="0"/>
              <w:rPr>
                <w:sz w:val="18"/>
                <w:szCs w:val="18"/>
                <w:color w:val="auto"/>
              </w:rPr>
            </w:pPr>
          </w:p>
        </w:tc>
        <w:tc>
          <w:tcPr>
            <w:tcW w:w="7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7"/>
              </w:rPr>
              <w:t>(59,753)</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35,523)</w:t>
            </w:r>
          </w:p>
        </w:tc>
      </w:tr>
      <w:tr>
        <w:trPr>
          <w:trHeight w:val="20"/>
        </w:trPr>
        <w:tc>
          <w:tcPr>
            <w:tcW w:w="4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46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4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66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520" w:type="dxa"/>
            <w:vAlign w:val="bottom"/>
            <w:gridSpan w:val="2"/>
            <w:shd w:val="clear" w:color="auto" w:fill="CFF0FC"/>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52,993,238</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8"/>
              </w:rPr>
              <w:t>51,574,027</w:t>
            </w:r>
          </w:p>
        </w:tc>
        <w:tc>
          <w:tcPr>
            <w:tcW w:w="1700" w:type="dxa"/>
            <w:vAlign w:val="bottom"/>
            <w:gridSpan w:val="3"/>
            <w:shd w:val="clear" w:color="auto" w:fill="CFF0FC"/>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52,322,523</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8"/>
              </w:rPr>
              <w:t>51,499,818</w:t>
            </w:r>
          </w:p>
        </w:tc>
      </w:tr>
      <w:tr>
        <w:trPr>
          <w:trHeight w:val="2026"/>
        </w:trPr>
        <w:tc>
          <w:tcPr>
            <w:tcW w:w="4660" w:type="dxa"/>
            <w:vAlign w:val="bottom"/>
            <w:tcBorders>
              <w:top w:val="single" w:sz="8" w:color="CFF0FC"/>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-3938270</wp:posOffset>
            </wp:positionV>
            <wp:extent cx="18796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960" cy="17970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-3938270</wp:posOffset>
            </wp:positionV>
            <wp:extent cx="18796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960"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-3938270</wp:posOffset>
            </wp:positionV>
            <wp:extent cx="18859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-3235325</wp:posOffset>
            </wp:positionV>
            <wp:extent cx="18796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7960" cy="17970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-3235325</wp:posOffset>
            </wp:positionV>
            <wp:extent cx="18796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7960"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-3235325</wp:posOffset>
            </wp:positionV>
            <wp:extent cx="18859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-1336675</wp:posOffset>
            </wp:positionV>
            <wp:extent cx="1625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-1319530</wp:posOffset>
            </wp:positionV>
            <wp:extent cx="1625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-1336675</wp:posOffset>
            </wp:positionV>
            <wp:extent cx="1625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-1319530</wp:posOffset>
            </wp:positionV>
            <wp:extent cx="1625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-1336675</wp:posOffset>
            </wp:positionV>
            <wp:extent cx="1631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-1319530</wp:posOffset>
            </wp:positionV>
            <wp:extent cx="1631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lvl w:ilvl="1">
      <w:lvlJc w:val="left"/>
      <w:lvlText w:val="§"/>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2025-11-12T07:12:10Z</dcterms:created>
  <dcterms:modified xsi:type="dcterms:W3CDTF">2025-11-12T07:12:10Z</dcterms:modified>
</cp:coreProperties>
</file>