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 w:lineRule="exact"/>
        <w:rPr>
          <w:sz w:val="24"/>
          <w:szCs w:val="24"/>
          <w:color w:val="auto"/>
        </w:rPr>
      </w:pPr>
    </w:p>
    <w:p>
      <w:pPr>
        <w:ind w:left="3820" w:right="1620" w:hanging="3799"/>
        <w:spacing w:after="0" w:line="344"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2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1"/>
        </w:trPr>
        <w:tc>
          <w:tcPr>
            <w:tcW w:w="4320" w:type="dxa"/>
            <w:vAlign w:val="bottom"/>
          </w:tcPr>
          <w:p>
            <w:pPr>
              <w:jc w:val="center"/>
              <w:ind w:right="183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One Research Way</w:t>
            </w:r>
          </w:p>
        </w:tc>
        <w:tc>
          <w:tcPr>
            <w:tcW w:w="3060" w:type="dxa"/>
            <w:vAlign w:val="bottom"/>
          </w:tcPr>
          <w:p>
            <w:pPr>
              <w:spacing w:after="0"/>
              <w:rPr>
                <w:sz w:val="24"/>
                <w:szCs w:val="24"/>
                <w:color w:val="auto"/>
              </w:rPr>
            </w:pPr>
          </w:p>
        </w:tc>
      </w:tr>
      <w:tr>
        <w:trPr>
          <w:trHeight w:val="238"/>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3"/>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8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140" w:firstLine="50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26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5" w:lineRule="exact"/>
        <w:rPr>
          <w:sz w:val="24"/>
          <w:szCs w:val="24"/>
          <w:color w:val="auto"/>
        </w:rPr>
      </w:pPr>
    </w:p>
    <w:p>
      <w:pPr>
        <w:ind w:right="2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520"/>
        <w:spacing w:after="0" w:line="196" w:lineRule="exact"/>
        <w:tabs>
          <w:tab w:leader="none" w:pos="89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right="4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May 9, 2024, the registrant had 51,443,488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5"/>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tcBorders>
              <w:left w:val="single" w:sz="8" w:color="0000FF"/>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vMerge w:val="continue"/>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22"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80"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a tumor-agnostic indication;</w:t>
      </w:r>
    </w:p>
    <w:p>
      <w:pPr>
        <w:spacing w:after="0" w:line="6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6" w:right="39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w:t>
      </w:r>
    </w:p>
    <w:p>
      <w:pPr>
        <w:spacing w:after="0" w:line="117" w:lineRule="exact"/>
        <w:rPr>
          <w:rFonts w:ascii="Times New Roman" w:cs="Times New Roman" w:eastAsia="Times New Roman" w:hAnsi="Times New Roman"/>
          <w:sz w:val="18"/>
          <w:szCs w:val="18"/>
          <w:color w:val="auto"/>
        </w:rPr>
      </w:pPr>
    </w:p>
    <w:p>
      <w:pPr>
        <w:ind w:left="900" w:righ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assumptions, projections and expectations regarding future cost savings and expenses associated with the announced restructuring plan and reduction in force; and</w:t>
      </w:r>
    </w:p>
    <w:p>
      <w:pPr>
        <w:spacing w:after="0" w:line="53" w:lineRule="exact"/>
        <w:rPr>
          <w:rFonts w:ascii="Times New Roman" w:cs="Times New Roman" w:eastAsia="Times New Roman" w:hAnsi="Times New Roman"/>
          <w:sz w:val="18"/>
          <w:szCs w:val="18"/>
          <w:color w:val="auto"/>
        </w:rPr>
      </w:pPr>
    </w:p>
    <w:p>
      <w:pPr>
        <w:jc w:val="both"/>
        <w:ind w:left="900" w:right="18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macroeconomic and geopolitical environment, including inflation, rising interest rates, increased volatility in the debt and equity markets, instability in the global banking system, global pandemics and other public health emergencies, and geopolitical conflicts, and their potentially material adverse impact on our business and the execution of our clinical trials.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2023, filed with the United States Securities and Exchange Commission on February 29, 2024,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3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150,285</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236,876</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24,200</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$0.00001 par value, 5,000,000 shares authorized at March 31, 2024 and December</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2023. No shares issued or outstanding at March 31, 2024 and December 31, 2023.</w:t>
            </w:r>
          </w:p>
        </w:tc>
        <w:tc>
          <w:tcPr>
            <w:tcW w:w="26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$0.00001 par value, 1,000,000,000 shares authorized; 51,445,862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51,445,862 shares issued and outstanding at March 31, 2024 and December 31, 2023, respectively.</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538,078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(325,273 )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(310,003 )</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(129 )</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212,676</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236,876</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-2999740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-2039620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-1722120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6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280" w:type="dxa"/>
            <w:vAlign w:val="bottom"/>
          </w:tcPr>
          <w:p>
            <w:pPr>
              <w:spacing w:after="0"/>
              <w:rPr>
                <w:sz w:val="20"/>
                <w:szCs w:val="20"/>
                <w:color w:val="auto"/>
              </w:rPr>
            </w:pPr>
          </w:p>
        </w:tc>
      </w:tr>
      <w:tr>
        <w:trPr>
          <w:trHeight w:val="247"/>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80" w:type="dxa"/>
            <w:vAlign w:val="bottom"/>
          </w:tcPr>
          <w:p>
            <w:pPr>
              <w:spacing w:after="0"/>
              <w:rPr>
                <w:sz w:val="20"/>
                <w:szCs w:val="20"/>
                <w:color w:val="auto"/>
              </w:rPr>
            </w:pPr>
          </w:p>
        </w:tc>
      </w:tr>
      <w:tr>
        <w:trPr>
          <w:trHeight w:val="23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(18,221 )</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(21,480 )</w:t>
            </w: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8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1"/>
                <w:szCs w:val="21"/>
                <w:color w:val="auto"/>
              </w:rPr>
            </w:pPr>
          </w:p>
        </w:tc>
      </w:tr>
      <w:tr>
        <w:trPr>
          <w:trHeight w:val="23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232"/>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(15,270 )</w:t>
            </w:r>
          </w:p>
        </w:tc>
        <w:tc>
          <w:tcPr>
            <w:tcW w:w="3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(19,128 )</w:t>
            </w:r>
          </w:p>
        </w:tc>
      </w:tr>
      <w:tr>
        <w:trPr>
          <w:trHeight w:val="24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2"/>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(15,270 )</w:t>
            </w:r>
          </w:p>
        </w:tc>
        <w:tc>
          <w:tcPr>
            <w:tcW w:w="3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(19,128 )</w:t>
            </w: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(319 )</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3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(34 )</w:t>
            </w:r>
          </w:p>
        </w:tc>
        <w:tc>
          <w:tcPr>
            <w:tcW w:w="36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1"/>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(353 )</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shd w:val="clear" w:color="auto" w:fill="CFF0FC"/>
          </w:tcPr>
          <w:p>
            <w:pPr>
              <w:spacing w:after="0"/>
              <w:rPr>
                <w:sz w:val="20"/>
                <w:szCs w:val="20"/>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3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(18,799 )</w:t>
            </w: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4"/>
        </w:trPr>
        <w:tc>
          <w:tcPr>
            <w:tcW w:w="7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43"/>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(0.42 )</w:t>
            </w: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3"/>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51,445,862</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45,773,357</w:t>
            </w:r>
          </w:p>
        </w:tc>
        <w:tc>
          <w:tcPr>
            <w:tcW w:w="2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-2605405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-2605405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-1653540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-1653540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-1336675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-1336675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-702310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-702310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3"/>
            <w:vMerge w:val="restart"/>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5"/>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1"/>
                <w:szCs w:val="11"/>
                <w:color w:val="auto"/>
              </w:rPr>
            </w:pPr>
          </w:p>
        </w:tc>
        <w:tc>
          <w:tcPr>
            <w:tcW w:w="10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45,771,332</w:t>
            </w:r>
          </w:p>
        </w:tc>
        <w:tc>
          <w:tcPr>
            <w:tcW w:w="880" w:type="dxa"/>
            <w:vAlign w:val="bottom"/>
            <w:gridSpan w:val="2"/>
            <w:shd w:val="clear" w:color="auto" w:fill="CFF0FC"/>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487,516</w:t>
            </w:r>
          </w:p>
        </w:tc>
        <w:tc>
          <w:tcPr>
            <w:tcW w:w="4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(445 )</w:t>
            </w:r>
          </w:p>
        </w:tc>
        <w:tc>
          <w:tcPr>
            <w:tcW w:w="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(241,043 )</w:t>
            </w:r>
          </w:p>
        </w:tc>
        <w:tc>
          <w:tcPr>
            <w:tcW w:w="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(19,128 )</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(19,128 )</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 on available for sale investments</w:t>
            </w:r>
          </w:p>
        </w:tc>
        <w:tc>
          <w:tcPr>
            <w:tcW w:w="1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45,774,761</w:t>
            </w:r>
          </w:p>
        </w:tc>
        <w:tc>
          <w:tcPr>
            <w:tcW w:w="880" w:type="dxa"/>
            <w:vAlign w:val="bottom"/>
            <w:gridSpan w:val="2"/>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490,460</w:t>
            </w:r>
          </w:p>
        </w:tc>
        <w:tc>
          <w:tcPr>
            <w:tcW w:w="4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(116 )</w:t>
            </w: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(260,171 )</w:t>
            </w: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3"/>
            <w:vMerge w:val="restart"/>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5"/>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1"/>
                <w:szCs w:val="11"/>
                <w:color w:val="auto"/>
              </w:rPr>
            </w:pPr>
          </w:p>
        </w:tc>
        <w:tc>
          <w:tcPr>
            <w:tcW w:w="10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6"/>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880" w:type="dxa"/>
            <w:vAlign w:val="bottom"/>
            <w:gridSpan w:val="2"/>
            <w:shd w:val="clear" w:color="auto" w:fill="CFF0FC"/>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535,468</w:t>
            </w:r>
          </w:p>
        </w:tc>
        <w:tc>
          <w:tcPr>
            <w:tcW w:w="4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(310,003 )</w:t>
            </w:r>
          </w:p>
        </w:tc>
        <w:tc>
          <w:tcPr>
            <w:tcW w:w="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(15,270 )</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(15,270 )</w:t>
            </w:r>
          </w:p>
        </w:tc>
        <w:tc>
          <w:tcPr>
            <w:tcW w:w="0" w:type="dxa"/>
            <w:vAlign w:val="bottom"/>
          </w:tcPr>
          <w:p>
            <w:pPr>
              <w:spacing w:after="0"/>
              <w:rPr>
                <w:sz w:val="1"/>
                <w:szCs w:val="1"/>
                <w:color w:val="auto"/>
              </w:rPr>
            </w:pPr>
          </w:p>
        </w:tc>
      </w:tr>
      <w:tr>
        <w:trPr>
          <w:trHeight w:val="239"/>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(319 )</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27"/>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(34 )</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538,078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(129 )</w:t>
            </w:r>
          </w:p>
        </w:tc>
        <w:tc>
          <w:tcPr>
            <w:tcW w:w="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(325,273 )</w:t>
            </w:r>
          </w:p>
        </w:tc>
        <w:tc>
          <w:tcPr>
            <w:tcW w:w="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-1859915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-1859915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-1859915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-1859915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-1859915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(15,270 )</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(19,128 )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9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(1,628 )</w:t>
            </w:r>
          </w:p>
        </w:tc>
        <w:tc>
          <w:tcPr>
            <w:tcW w:w="9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income</w:t>
            </w:r>
          </w:p>
        </w:tc>
        <w:tc>
          <w:tcPr>
            <w:tcW w:w="9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(92 )</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(169 )</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9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(2,384 )</w:t>
            </w:r>
          </w:p>
        </w:tc>
        <w:tc>
          <w:tcPr>
            <w:tcW w:w="9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(1,520 )</w:t>
            </w:r>
          </w:p>
        </w:tc>
      </w:tr>
      <w:tr>
        <w:trPr>
          <w:trHeight w:val="24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(16,184 )</w:t>
            </w:r>
          </w:p>
        </w:tc>
        <w:tc>
          <w:tcPr>
            <w:tcW w:w="9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(15,012 )</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(594 )</w:t>
            </w:r>
          </w:p>
        </w:tc>
        <w:tc>
          <w:tcPr>
            <w:tcW w:w="9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(30,489 )</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(23,502 )</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57,249</w:t>
            </w:r>
          </w:p>
        </w:tc>
        <w:tc>
          <w:tcPr>
            <w:tcW w:w="3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73,303</w:t>
            </w:r>
          </w:p>
        </w:tc>
        <w:tc>
          <w:tcPr>
            <w:tcW w:w="100" w:type="dxa"/>
            <w:vAlign w:val="bottom"/>
          </w:tcPr>
          <w:p>
            <w:pPr>
              <w:spacing w:after="0"/>
              <w:rPr>
                <w:sz w:val="21"/>
                <w:szCs w:val="21"/>
                <w:color w:val="auto"/>
              </w:rPr>
            </w:pPr>
          </w:p>
        </w:tc>
      </w:tr>
      <w:tr>
        <w:trPr>
          <w:trHeight w:val="236"/>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26,166</w:t>
            </w:r>
          </w:p>
        </w:tc>
        <w:tc>
          <w:tcPr>
            <w:tcW w:w="3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 issued under the 2020 EIP</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9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(34 )</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3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109,119</w:t>
            </w:r>
          </w:p>
        </w:tc>
        <w:tc>
          <w:tcPr>
            <w:tcW w:w="100" w:type="dxa"/>
            <w:vAlign w:val="bottom"/>
          </w:tcPr>
          <w:p>
            <w:pPr>
              <w:spacing w:after="0"/>
              <w:rPr>
                <w:sz w:val="21"/>
                <w:szCs w:val="21"/>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96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3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143,764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96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-2553970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-1602740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-1285240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86" w:lineRule="exact"/>
        <w:rPr>
          <w:sz w:val="20"/>
          <w:szCs w:val="20"/>
          <w:color w:val="auto"/>
        </w:rPr>
      </w:pPr>
    </w:p>
    <w:p>
      <w:pPr>
        <w:ind w:left="520" w:right="798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or “We”) was incorporated in the state of Delaware in March 2013. Since inception, the Company has devoted substantially all of its time and efforts to performing research and development activities and raising capital. We are a precision oncology company pioneering the discovery and development of small molecule, tumor-agnostic therapies targeting p53. The Company’s headquarters are located at One Research Way, Princeton, New Jersey.</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jc w:val="both"/>
        <w:ind w:right="100" w:firstLine="509"/>
        <w:spacing w:after="0" w:line="257"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months ended March 31, 2024, the Company incurred a net loss of $15,270. For the three months ended March 31, 2024, the Company used $16,184 of cash for operations. At March 31, 2024, the Company had an accumulated deficit of $325,273. Cash, cash equivalents, and marketable securities were $213,059 as of March 31, 2024.</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condensed consolidated financial statements for the year ended December 31, 2023, included in the Company’s Annual Report on Form 10-K filed with the United States Securities and Exchange Commission (the “SEC”) on February 29, 2024. Since the date of those condensed consolidated financial statements, there have been no changes to its significant accounting policies.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interim period reporting requirements of Form 10-Q and Article 10 of Regulation S-X. The condensed consolidated balance sheet as of March 31, 2024, the condensed consolidated statements of operations and comprehensive loss, stockholders’ equity, and statements of cash flows for the three months ended March 31, 2024 and 2023,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2024, or for any other subsequent interim period. The condensed consolidated balance sheet as of December 31, 2023, has been derived from our audited condensed consolidated financial statements.</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our accounts and the accounts of our wholly owned subsidiary, PMV Pharma Australia Pvt Ltd. All significant intercompany transactions and balances have been eliminated upon consolidation. These condensed consolidated financial statements are presented in United States ("U.S.") Dollars, which is also the functional currency of the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research and development costs, accrued research and development costs and related prepaid expenses. Actual results could differ materially from those estimates.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three months ended March 31, 2024 and 2023, the Company recorded $1,628 and $712 of accretion, respectively.</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Restricted cash as of March 31, 2024 and December 31, 2023 included a $822 deposit at the Company’s commercial bank underlying a stand-by letter of credit issued in favor of a landlord (See Note 6) and is classified in current assets.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and Accumulated Other Comprehensive Income (Loss)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leases are for office and laboratory space.</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54"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21"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Company’s financial assets consist of money market funds, U.S. government debt securities and corporate debt securities. The following tables show the Company’s cash equivalents and available-for-sale securities’ carrying amounts and fair values as of March 31, 2024, and December 31,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1"/>
                <w:szCs w:val="11"/>
                <w:color w:val="auto"/>
              </w:rPr>
            </w:pPr>
          </w:p>
        </w:tc>
        <w:tc>
          <w:tcPr>
            <w:tcW w:w="106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8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1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52,012</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46,440</w:t>
            </w: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30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213,180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213,052</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140,656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72,396</w:t>
            </w: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Priced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70,043</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64,466</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FF0FC"/>
          </w:tcPr>
          <w:p>
            <w:pPr>
              <w:spacing w:after="0"/>
              <w:rPr>
                <w:sz w:val="24"/>
                <w:szCs w:val="24"/>
                <w:color w:val="auto"/>
              </w:rPr>
            </w:pPr>
          </w:p>
        </w:tc>
        <w:tc>
          <w:tcPr>
            <w:tcW w:w="30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228,359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228,550</w:t>
            </w:r>
          </w:p>
        </w:tc>
        <w:tc>
          <w:tcPr>
            <w:tcW w:w="260" w:type="dxa"/>
            <w:vAlign w:val="bottom"/>
            <w:tcBorders>
              <w:left w:val="single" w:sz="8" w:color="CFF0FC"/>
              <w:right w:val="single" w:sz="8" w:color="CFF0FC"/>
            </w:tcBorders>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135,568</w:t>
            </w: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92,982</w:t>
            </w:r>
          </w:p>
        </w:tc>
        <w:tc>
          <w:tcPr>
            <w:tcW w:w="12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9"/>
        </w:trPr>
        <w:tc>
          <w:tcPr>
            <w:tcW w:w="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9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618"/>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-2476500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-2459355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-2476500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-2459355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-2459355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-2459355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-2459355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-2459355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-908050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-890905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-908050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-890905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-908050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-890905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-908050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-890905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-908050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-890905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-908050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-890905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March 31, 2024, the Company had aggregate cash and cash equivalents of $47,654, including cash equivalents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$47,647, consisting of money market funds and corporate securities. As of December 31, 2023, the Company had aggregate cash and cash equivalents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$37,706, including cash equivalents of $37,694, consisting of money market funds. Money market funds and certificates of deposit are classified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of the fair value hierarchy because they are valued using quoted market prices in active markets, whereas corporate debt securities are classified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level 2 of the fair value hierarchy because they are valued using inputs other than quoted prices that are observable for the asset or liability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w:t>
      </w:r>
    </w:p>
    <w:p>
      <w:pPr>
        <w:spacing w:after="0" w:line="95"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$165,405 as of March 31, 2024, consisted of corporate debt securities of $44,031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$121,374. There were $150,285 current marketable securities and $15,120 noncurrent marketable securities as of March 31, 2024. Marketable securities of $190,856 as of December 31, 2023, consisted of corporate debt securities of $70,043 and government debt securities of $120,813. There were $165,351 current marketable securities and $25,505 noncurrent marketable securities as of December 31, 2023.</w:t>
      </w:r>
    </w:p>
    <w:p>
      <w:pPr>
        <w:spacing w:after="0" w:line="7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aggregated gross unrealized losses of available-for-sale investments were not material, and accordingly, no allowance for credit losses was recorded.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(3,632 )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(3,270 )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$362 and $171,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right="8600" w:hanging="512"/>
        <w:spacing w:after="0" w:line="400" w:lineRule="auto"/>
        <w:tabs>
          <w:tab w:leader="none" w:pos="191" w:val="left"/>
        </w:tabs>
        <w:numPr>
          <w:ilvl w:val="0"/>
          <w:numId w:val="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Operating Leases</w:t>
      </w: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June 2015, the Company executed a noncancelable operating lease for approximately 13,000 square feet of laboratory, research and development, and office space in Cranbury, New Jersey. This location operated as the Company's headquarters until March 2023.</w:t>
      </w:r>
    </w:p>
    <w:p>
      <w:pPr>
        <w:spacing w:after="0" w:line="54"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In June 2017, the Company obtained an additional noncancelable operating lease for approximately 6,000 square feet of laboratory space in the same corporate center. Both leases were set to expire in June 2022. In January 2022, the Company signed a lease extension for both leases for up to one additional year through June 2023, with the option to terminate upon 120 days of written notice, with an increase in base rent as per the lease extension. The lease was terminated as of June 2023.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7"/>
          <w:szCs w:val="17"/>
          <w:color w:val="auto"/>
        </w:rPr>
        <w:t>In August 2018, the Company executed two noncancelable operating leases. One lease for approximately 6,000 square feet for vivarium, laboratory and general office space in South Brunswick, New Jersey. The lease was set to expire in July 2022. In January 2022, the Company signed a lease extension for up to one additional year through July 2023, with the option to terminate upon 120 days of written notice, with an increase in base rent as per the lease extension. The lease was terminated as of June 2023. The second lease is for office space in Lexington, Massachusetts, that expired in August 2023.</w:t>
      </w:r>
    </w:p>
    <w:p>
      <w:pPr>
        <w:spacing w:after="0" w:line="5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at One Research Way in Princeton, New Jersey. That lease term extends through 2032, has a five-year extension option, and replaced the Company’s two existing facilities as the Company’s headquarters in March 2023. Payment under this lease will total $19,889 through May 2032. The Company received a lease incentive of $4,046 from the lessor for a buildout of laboratory, vivarium, and office space, to be reimbursed to the Company in 2022 and 2023. Management estimated the timing and amounts of reimbursements and included them as a reduction of lease payments when initially measuring the lease liability and right-of-use asset upon commencement. Since the inception date of the lease, $3,806 reimbursements were received. For the three months ended March 31, 2024, no reimbursements were received.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months ended March 31, 2024 and 2023,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70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FF0FC"/>
          </w:tcPr>
          <w:p>
            <w:pPr>
              <w:spacing w:after="0"/>
              <w:rPr>
                <w:sz w:val="20"/>
                <w:szCs w:val="20"/>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r>
      <w:tr>
        <w:trPr>
          <w:trHeight w:val="27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-638175</wp:posOffset>
            </wp:positionV>
            <wp:extent cx="9398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-638175</wp:posOffset>
            </wp:positionV>
            <wp:extent cx="939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March 31, 2024, and December 31, 2023,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 (in thousands, except lease term and discount rate data):</w:t>
            </w: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1240" w:type="dxa"/>
            <w:vAlign w:val="bottom"/>
            <w:shd w:val="clear" w:color="auto" w:fill="CFF0FC"/>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40" w:type="dxa"/>
            <w:vAlign w:val="bottom"/>
            <w:shd w:val="clear" w:color="auto" w:fill="CFF0FC"/>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40" w:type="dxa"/>
            <w:vAlign w:val="bottom"/>
            <w:tcBorders>
              <w:bottom w:val="single" w:sz="8" w:color="auto"/>
            </w:tcBorders>
            <w:shd w:val="clear" w:color="auto" w:fill="CFF0FC"/>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4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5.75 %</w:t>
            </w: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-465455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for the three months ended March 31, 2024 and 2023, respectively,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328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1260" w:type="dxa"/>
            <w:vAlign w:val="bottom"/>
            <w:shd w:val="clear" w:color="auto" w:fill="CFF0FC"/>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5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FF0FC"/>
          </w:tcPr>
          <w:p>
            <w:pPr>
              <w:spacing w:after="0"/>
              <w:rPr>
                <w:sz w:val="20"/>
                <w:szCs w:val="20"/>
                <w:color w:val="auto"/>
              </w:rPr>
            </w:pPr>
          </w:p>
        </w:tc>
      </w:tr>
    </w:tbl>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March 31, 2024, under operating leases by fiscal year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FF0FC"/>
          </w:tcPr>
          <w:p>
            <w:pPr>
              <w:spacing w:after="0"/>
              <w:rPr>
                <w:sz w:val="21"/>
                <w:szCs w:val="21"/>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0"/>
                <w:szCs w:val="20"/>
                <w:color w:val="auto"/>
              </w:rPr>
            </w:pPr>
          </w:p>
        </w:tc>
      </w:tr>
      <w:tr>
        <w:trPr>
          <w:trHeight w:val="24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FF0FC"/>
          </w:tcPr>
          <w:p>
            <w:pPr>
              <w:spacing w:after="0"/>
              <w:rPr>
                <w:sz w:val="21"/>
                <w:szCs w:val="21"/>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0"/>
                <w:szCs w:val="20"/>
                <w:color w:val="auto"/>
              </w:rPr>
            </w:pPr>
          </w:p>
        </w:tc>
      </w:tr>
      <w:tr>
        <w:trPr>
          <w:trHeight w:val="24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FF0FC"/>
          </w:tcPr>
          <w:p>
            <w:pPr>
              <w:spacing w:after="0"/>
              <w:rPr>
                <w:sz w:val="21"/>
                <w:szCs w:val="2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100" w:type="dxa"/>
            <w:vAlign w:val="bottom"/>
          </w:tcPr>
          <w:p>
            <w:pPr>
              <w:spacing w:after="0"/>
              <w:rPr>
                <w:sz w:val="21"/>
                <w:szCs w:val="21"/>
                <w:color w:val="auto"/>
              </w:rPr>
            </w:pPr>
          </w:p>
        </w:tc>
      </w:tr>
      <w:tr>
        <w:trPr>
          <w:trHeight w:val="23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100" w:type="dxa"/>
            <w:vAlign w:val="bottom"/>
            <w:shd w:val="clear" w:color="auto" w:fill="CFF0FC"/>
          </w:tcPr>
          <w:p>
            <w:pPr>
              <w:spacing w:after="0"/>
              <w:rPr>
                <w:sz w:val="20"/>
                <w:szCs w:val="20"/>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36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(3,377 )</w:t>
            </w:r>
          </w:p>
        </w:tc>
      </w:tr>
      <w:tr>
        <w:trPr>
          <w:trHeight w:val="276"/>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Rent expense recorded during the three months ended March 31, 2024 and 2023 was $355 and $597, respectively.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March 31, 2024 and December 31, 2023, there were 51,445,862 and 51,445,862 shares of common stock issued and outstanding, respectively.</w:t>
      </w:r>
    </w:p>
    <w:p>
      <w:pPr>
        <w:spacing w:after="0" w:line="6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March 31, 2024, no dividends on common stock had been declared by the Company.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which, the Company may offer and sell shares of its common stock having aggregate gross sales proceeds of up to $150.0 million from time to time. During the three months ended March 31, 2024, the Company did not sell any shares of its common stock under the ATM Program. As of March 31, 2024, the Company has approximately $113.8 million remaining in gross proceeds available for future issuances of common stock under the ATM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2024, the compensation committee of the Company's board of directors, as the 2020 Plan administrator, exercised its discretion under clause (ii) to increase the number of shares of common stock reserved for issuance under the 2020 Plan by 2,572,174 shares, effective as of January 1, 2024. As of March 31, 2024, there were 4,954,570 shares available for issuance under the 2020 Plan.</w:t>
      </w:r>
    </w:p>
    <w:p>
      <w:pPr>
        <w:spacing w:after="0" w:line="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compensation committee of the Company's board of directors. The RSUs have graded vesting on an annual basis for two years of continuous service, as per the 2020 Plan.</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January 18, 2024, the Company granted 952,665 RSUs to employees VP-level or higher, pursuant to an employee retention program approved by the compensation committee of the Company's board of directors. The RSUs are scheduled to vest on June 30, 2025, based on approximately one and a half years of continuous service, as per the 2020 Plan.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Company's board of directors on September 24, 2020. A total of 400,752 shares of common stock were initially reserved for issuance under this plan, which shall be increased, upon approval by the Company's board of directors, on January 1, 2021 and each January 1 thereafter, to the lesser of (i) 801,504 shares of common stock, (ii) 1% of the outstanding shares of common stock on the last day of the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immediately preceding fiscal year, or (iii) an amount determined by the board of directors or any of its committees no later than the last day of the immediately preceding fiscal year. For 2024, the 2020 ESPP reserved shares were increased under clause (ii) by 514,434 shares, effective as of January 1, 2024. As of March 31, 2024, 202,345 shares are issued or outstanding, and there were 1,571,266 shares available for issuance, under the 2020 ESPP.</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three-month period ended March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87"/>
        </w:trPr>
        <w:tc>
          <w:tcPr>
            <w:tcW w:w="4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4,474,411</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6,973,464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2,572,174</w:t>
            </w:r>
          </w:p>
        </w:tc>
        <w:tc>
          <w:tcPr>
            <w:tcW w:w="24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(2,776,030 )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2,776,030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684,015</w:t>
            </w:r>
          </w:p>
        </w:tc>
        <w:tc>
          <w:tcPr>
            <w:tcW w:w="2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(684,015 )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 (unaudited)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4,954,570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9,065,479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9,065,479</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Exercisable</w:t>
            </w:r>
          </w:p>
        </w:tc>
        <w:tc>
          <w:tcPr>
            <w:tcW w:w="1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4,506,573</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-702310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-702310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-702310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At March 31, 2024, the total compensation cost related to nonvested awards not yet recognized was $16,250. The weighted-average period over which the nonvested awards is expected to be recognized was 2.8 years.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r>
      <w:tr>
        <w:trPr>
          <w:trHeight w:val="175"/>
        </w:trPr>
        <w:tc>
          <w:tcPr>
            <w:tcW w:w="6200" w:type="dxa"/>
            <w:vAlign w:val="bottom"/>
          </w:tcPr>
          <w:p>
            <w:pPr>
              <w:spacing w:after="0"/>
              <w:rPr>
                <w:sz w:val="15"/>
                <w:szCs w:val="15"/>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58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- 4.26%</w:t>
            </w:r>
          </w:p>
        </w:tc>
        <w:tc>
          <w:tcPr>
            <w:tcW w:w="220" w:type="dxa"/>
            <w:vAlign w:val="bottom"/>
            <w:shd w:val="clear" w:color="auto" w:fill="CFF0FC"/>
          </w:tcPr>
          <w:p>
            <w:pPr>
              <w:spacing w:after="0"/>
              <w:rPr>
                <w:sz w:val="20"/>
                <w:szCs w:val="20"/>
                <w:color w:val="auto"/>
              </w:rPr>
            </w:pPr>
          </w:p>
        </w:tc>
        <w:tc>
          <w:tcPr>
            <w:tcW w:w="2360" w:type="dxa"/>
            <w:vAlign w:val="bottom"/>
            <w:tcBorders>
              <w:top w:val="single" w:sz="8" w:color="auto"/>
            </w:tcBorders>
            <w:shd w:val="clear" w:color="auto" w:fill="CFF0FC"/>
          </w:tcPr>
          <w:p>
            <w:pPr>
              <w:jc w:val="center"/>
              <w:ind w:left="22"/>
              <w:spacing w:after="0"/>
              <w:rPr>
                <w:sz w:val="20"/>
                <w:szCs w:val="20"/>
                <w:color w:val="auto"/>
              </w:rPr>
            </w:pPr>
            <w:r>
              <w:rPr>
                <w:rFonts w:ascii="Times New Roman" w:cs="Times New Roman" w:eastAsia="Times New Roman" w:hAnsi="Times New Roman"/>
                <w:sz w:val="18"/>
                <w:szCs w:val="18"/>
                <w:color w:val="auto"/>
                <w:w w:val="98"/>
              </w:rPr>
              <w:t>3.58%</w:t>
            </w:r>
          </w:p>
        </w:tc>
        <w:tc>
          <w:tcPr>
            <w:tcW w:w="100" w:type="dxa"/>
            <w:vAlign w:val="bottom"/>
            <w:shd w:val="clear" w:color="auto" w:fill="CCEEFF"/>
          </w:tcPr>
          <w:p>
            <w:pPr>
              <w:spacing w:after="0"/>
              <w:rPr>
                <w:sz w:val="20"/>
                <w:szCs w:val="20"/>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258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5"/>
              </w:rPr>
              <w:t>6.25</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36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0%</w:t>
            </w:r>
          </w:p>
        </w:tc>
        <w:tc>
          <w:tcPr>
            <w:tcW w:w="2580" w:type="dxa"/>
            <w:vAlign w:val="bottom"/>
            <w:gridSpan w:val="2"/>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21"/>
                <w:szCs w:val="2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86.76%</w:t>
            </w:r>
          </w:p>
        </w:tc>
        <w:tc>
          <w:tcPr>
            <w:tcW w:w="258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7"/>
              </w:rPr>
              <w:t>79.90%</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ESPP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r>
      <w:tr>
        <w:trPr>
          <w:trHeight w:val="175"/>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54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Borders>
              <w:top w:val="single" w:sz="8" w:color="auto"/>
            </w:tcBorders>
            <w:shd w:val="clear" w:color="auto" w:fill="CFF0FC"/>
          </w:tcPr>
          <w:p>
            <w:pPr>
              <w:jc w:val="center"/>
              <w:ind w:left="98"/>
              <w:spacing w:after="0"/>
              <w:rPr>
                <w:sz w:val="20"/>
                <w:szCs w:val="20"/>
                <w:color w:val="auto"/>
              </w:rPr>
            </w:pPr>
            <w:r>
              <w:rPr>
                <w:rFonts w:ascii="Times New Roman" w:cs="Times New Roman" w:eastAsia="Times New Roman" w:hAnsi="Times New Roman"/>
                <w:sz w:val="18"/>
                <w:szCs w:val="18"/>
                <w:color w:val="auto"/>
                <w:w w:val="98"/>
              </w:rPr>
              <w:t>5.43%</w:t>
            </w:r>
          </w:p>
        </w:tc>
        <w:tc>
          <w:tcPr>
            <w:tcW w:w="220" w:type="dxa"/>
            <w:vAlign w:val="bottom"/>
            <w:shd w:val="clear" w:color="auto" w:fill="CFF0FC"/>
          </w:tcPr>
          <w:p>
            <w:pPr>
              <w:spacing w:after="0"/>
              <w:rPr>
                <w:sz w:val="20"/>
                <w:szCs w:val="20"/>
                <w:color w:val="auto"/>
              </w:rPr>
            </w:pPr>
          </w:p>
        </w:tc>
        <w:tc>
          <w:tcPr>
            <w:tcW w:w="2320" w:type="dxa"/>
            <w:vAlign w:val="bottom"/>
            <w:tcBorders>
              <w:top w:val="single" w:sz="8" w:color="auto"/>
            </w:tcBorders>
            <w:shd w:val="clear" w:color="auto" w:fill="CFF0FC"/>
          </w:tcPr>
          <w:p>
            <w:pPr>
              <w:jc w:val="center"/>
              <w:ind w:left="22"/>
              <w:spacing w:after="0"/>
              <w:rPr>
                <w:sz w:val="20"/>
                <w:szCs w:val="20"/>
                <w:color w:val="auto"/>
              </w:rPr>
            </w:pPr>
            <w:r>
              <w:rPr>
                <w:rFonts w:ascii="Times New Roman" w:cs="Times New Roman" w:eastAsia="Times New Roman" w:hAnsi="Times New Roman"/>
                <w:sz w:val="18"/>
                <w:szCs w:val="18"/>
                <w:color w:val="auto"/>
                <w:w w:val="98"/>
              </w:rPr>
              <w:t>4.65%</w:t>
            </w:r>
          </w:p>
        </w:tc>
        <w:tc>
          <w:tcPr>
            <w:tcW w:w="100" w:type="dxa"/>
            <w:vAlign w:val="bottom"/>
            <w:shd w:val="clear" w:color="auto" w:fill="CCECFF"/>
          </w:tcPr>
          <w:p>
            <w:pPr>
              <w:spacing w:after="0"/>
              <w:rPr>
                <w:sz w:val="20"/>
                <w:szCs w:val="20"/>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40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0.49</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5"/>
              </w:rPr>
              <w:t>0.49</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shd w:val="clear" w:color="auto" w:fill="CFF0FC"/>
          </w:tcPr>
          <w:p>
            <w:pPr>
              <w:jc w:val="center"/>
              <w:ind w:left="78"/>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2"/>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CFF"/>
          </w:tcPr>
          <w:p>
            <w:pPr>
              <w:spacing w:after="0"/>
              <w:rPr>
                <w:sz w:val="21"/>
                <w:szCs w:val="2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76.22%</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7"/>
              </w:rPr>
              <w:t>76.33%</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ectPr>
          <w:pgSz w:w="11900" w:h="16838" w:orient="portrait"/>
          <w:cols w:equalWidth="0" w:num="1">
            <w:col w:w="11240"/>
          </w:cols>
          <w:pgMar w:left="320" w:top="765"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March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68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87"/>
        </w:trPr>
        <w:tc>
          <w:tcPr>
            <w:tcW w:w="5980" w:type="dxa"/>
            <w:vAlign w:val="bottom"/>
          </w:tcPr>
          <w:p>
            <w:pPr>
              <w:spacing w:after="0"/>
              <w:rPr>
                <w:sz w:val="16"/>
                <w:szCs w:val="16"/>
                <w:color w:val="auto"/>
              </w:rPr>
            </w:pPr>
          </w:p>
        </w:tc>
        <w:tc>
          <w:tcPr>
            <w:tcW w:w="16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6"/>
                <w:szCs w:val="16"/>
                <w:color w:val="auto"/>
              </w:rPr>
            </w:pPr>
          </w:p>
        </w:tc>
      </w:tr>
      <w:tr>
        <w:trPr>
          <w:trHeight w:val="237"/>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236,296</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952,665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r>
      <w:tr>
        <w:trPr>
          <w:trHeight w:val="243"/>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(52,550 )</w:t>
            </w:r>
          </w:p>
        </w:tc>
        <w:tc>
          <w:tcPr>
            <w:tcW w:w="32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21"/>
                <w:szCs w:val="21"/>
                <w:color w:val="auto"/>
              </w:rPr>
            </w:pPr>
          </w:p>
        </w:tc>
      </w:tr>
      <w:tr>
        <w:trPr>
          <w:trHeight w:val="236"/>
        </w:trPr>
        <w:tc>
          <w:tcPr>
            <w:tcW w:w="5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shares at March 31, 2024</w:t>
            </w:r>
          </w:p>
        </w:tc>
        <w:tc>
          <w:tcPr>
            <w:tcW w:w="16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1,136,411</w:t>
            </w: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FF0FC"/>
            </w:tcBorders>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there was $2,196 of unrecognized compensation cost related to RSUs that are expected to vest. These costs are expected to be recognized over a weighted average remaining vesting period of 1.1 years.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and RSUs granted and common stock issued under the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were allocated to research and development and general and administrative expense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60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26"/>
        </w:trPr>
        <w:tc>
          <w:tcPr>
            <w:tcW w:w="6040" w:type="dxa"/>
            <w:vAlign w:val="bottom"/>
          </w:tcPr>
          <w:p>
            <w:pPr>
              <w:spacing w:after="0"/>
              <w:rPr>
                <w:sz w:val="19"/>
                <w:szCs w:val="19"/>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shd w:val="clear" w:color="auto" w:fill="CFF0FC"/>
          </w:tcPr>
          <w:p>
            <w:pPr>
              <w:jc w:val="right"/>
              <w:ind w:right="14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4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FF0FC"/>
          </w:tcPr>
          <w:p>
            <w:pPr>
              <w:spacing w:after="0"/>
              <w:rPr>
                <w:sz w:val="20"/>
                <w:szCs w:val="20"/>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Pr>
          <w:p>
            <w:pPr>
              <w:spacing w:after="0"/>
              <w:rPr>
                <w:sz w:val="21"/>
                <w:szCs w:val="21"/>
                <w:color w:val="auto"/>
              </w:rPr>
            </w:pPr>
          </w:p>
        </w:tc>
      </w:tr>
      <w:tr>
        <w:trPr>
          <w:trHeight w:val="276"/>
        </w:trPr>
        <w:tc>
          <w:tcPr>
            <w:tcW w:w="6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0" w:type="dxa"/>
            <w:vAlign w:val="bottom"/>
            <w:tcBorders>
              <w:bottom w:val="single" w:sz="8" w:color="auto"/>
            </w:tcBorders>
            <w:shd w:val="clear" w:color="auto" w:fill="CFF0FC"/>
          </w:tcPr>
          <w:p>
            <w:pPr>
              <w:jc w:val="right"/>
              <w:ind w:right="14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60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26"/>
        </w:trPr>
        <w:tc>
          <w:tcPr>
            <w:tcW w:w="6040" w:type="dxa"/>
            <w:vAlign w:val="bottom"/>
          </w:tcPr>
          <w:p>
            <w:pPr>
              <w:spacing w:after="0"/>
              <w:rPr>
                <w:sz w:val="19"/>
                <w:szCs w:val="19"/>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shd w:val="clear" w:color="auto" w:fill="CFF0FC"/>
          </w:tcPr>
          <w:p>
            <w:pPr>
              <w:jc w:val="right"/>
              <w:ind w:right="14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FF0FC"/>
          </w:tcPr>
          <w:p>
            <w:pPr>
              <w:spacing w:after="0"/>
              <w:rPr>
                <w:sz w:val="20"/>
                <w:szCs w:val="20"/>
                <w:color w:val="auto"/>
              </w:rPr>
            </w:pPr>
          </w:p>
        </w:tc>
      </w:tr>
      <w:tr>
        <w:trPr>
          <w:trHeight w:val="23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r>
      <w:tr>
        <w:trPr>
          <w:trHeight w:val="247"/>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0"/>
                <w:szCs w:val="20"/>
                <w:color w:val="auto"/>
              </w:rPr>
            </w:pPr>
          </w:p>
        </w:tc>
      </w:tr>
      <w:tr>
        <w:trPr>
          <w:trHeight w:val="20"/>
        </w:trPr>
        <w:tc>
          <w:tcPr>
            <w:tcW w:w="60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a full valuation allowance on federal and state net deferred tax assets since management does not forecast the Company to be in a taxable position in the near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awards at each period end from the computation of diluted net loss per share attributable to common stockholders for the periods indicated because including them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had an anti-dilutive effect. The following common stock equivalents were excluded from the calculation of diluted net loss per share:</w:t>
      </w:r>
    </w:p>
    <w:p>
      <w:pPr>
        <w:spacing w:after="0" w:line="23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38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9,065,479</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5,310,011</w:t>
            </w:r>
          </w:p>
        </w:tc>
        <w:tc>
          <w:tcPr>
            <w:tcW w:w="100" w:type="dxa"/>
            <w:vAlign w:val="bottom"/>
            <w:shd w:val="clear" w:color="auto" w:fill="CFF0FC"/>
          </w:tcPr>
          <w:p>
            <w:pPr>
              <w:spacing w:after="0"/>
              <w:rPr>
                <w:sz w:val="20"/>
                <w:szCs w:val="20"/>
                <w:color w:val="auto"/>
              </w:rPr>
            </w:pPr>
          </w:p>
        </w:tc>
      </w:tr>
      <w:tr>
        <w:trPr>
          <w:trHeight w:val="239"/>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1,136,411</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100" w:type="dxa"/>
            <w:vAlign w:val="bottom"/>
          </w:tcPr>
          <w:p>
            <w:pPr>
              <w:spacing w:after="0"/>
              <w:rPr>
                <w:sz w:val="20"/>
                <w:szCs w:val="20"/>
                <w:color w:val="auto"/>
              </w:rPr>
            </w:pPr>
          </w:p>
        </w:tc>
      </w:tr>
      <w:tr>
        <w:trPr>
          <w:trHeight w:val="247"/>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260" w:type="dxa"/>
            <w:vAlign w:val="bottom"/>
            <w:tcBorders>
              <w:bottom w:val="single" w:sz="8" w:color="CFF0FC"/>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10,213,295</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5,732,884</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-187960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consulting agreements with three members of its board of directors; one of which waived his consulting fees starting as of September 2021. Total consulting fees paid during the three months ended March 31, 2024 and 2023 were $37 and $8, respectively. There were no amounts owed under the consulting agreements as of March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Restructuring</w:t>
      </w:r>
    </w:p>
    <w:p>
      <w:pPr>
        <w:spacing w:after="0" w:line="121"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announced a restructuring plan involving the reduction of its workforce by approximately 30% of the Company's employees. Substantially all of the costs under the restructuring plan were incurred during the three months ended March 31, 2024. The remaining expected costs are not expected to be material and will be complete by September 30, 2024. The Company is taking these steps in order to streamline operations, reduce costs and preserve capital as it advances into late-stage development for its lead product candidate, PC14586.</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reduction in force, the Company incurred an aggregate non-recurring charge of $675, consisting primarily of employee severance and benefit costs associated with the restructuring. The Company has recorded these charges in research and development expenses in the accompanying condensed consolidated statement of operations based on responsibilities of the impacted employees. The restructuring expenditure of $675 was recognized in March 2024.</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sets forth information regarding the balances and activity associated with the Company's accrued employee severance and benefits costs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6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Expenses, net</w:t>
            </w:r>
          </w:p>
        </w:tc>
        <w:tc>
          <w:tcPr>
            <w:tcW w:w="240" w:type="dxa"/>
            <w:vAlign w:val="bottom"/>
          </w:tcPr>
          <w:p>
            <w:pPr>
              <w:spacing w:after="0"/>
              <w:rPr>
                <w:sz w:val="13"/>
                <w:szCs w:val="13"/>
                <w:color w:val="auto"/>
              </w:rPr>
            </w:pPr>
          </w:p>
        </w:tc>
        <w:tc>
          <w:tcPr>
            <w:tcW w:w="194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vMerge w:val="restart"/>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16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6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Employee severance and benefit</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(392 )</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Subsequent Event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unused net operating loss (“NOL”) carryforwards and R&amp;D tax credits to other New Jersey-based corporate taxpayers. We have applied for and received preliminary confirmation for our sale of NOLs and R&amp;D tax credits related to the tax years ended December 31, 2015 to 2020 in the amount of approximately $16,176, which we expect to recognize in the second quarter of 2024, upon receipt of the certificates for the refund. Subsequent to March 31, 2024, the Company received the entire $16,176 of expected cash for the NOL and R&amp;D tax credit sales.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consolidated financial statements and the related notes and other financial information included in this Quarterly Report on Form 10-Q and our audited condensed consolidated financial statements and notes thereto as of and for the years ended December 31, 2023 and 2022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2023 filed with the Securities and Exchange Commission, or the SEC, on February 29, 2024. Unless the context requires otherwise, references in this Quarterly Report on Form 10-Q to “we,” “us,” and “our” refer to PMV Pharmaceuticals, Inc.</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2023, as updated by our subsequent filings under the Securities Exchange Act of 1934, as amended. Furthermore, past operating results are not necessarily indicative of results that may occur in future periods.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During the three months ended March 31, 2024, the Company incurred net losses of $15.3 million. As of March 31, 2024, we had an accumulated deficit of $325.3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PC14586 (rezatapopt). In October 2020, we were granted FDA Fast Track Designation of PC14586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We dosed our first patient in the pivotal Phase 2 monotherapy portion of our PYNNACLE trial in the first quarter of 2024. In addition, in December 2022, we opened a separate Phase 1b arm within the existing Phase 1/2 PYNNACLE trial combining PC14586 with KEYTRUDA® (pembrolizumab) in collaboration with Merck and Co. In March 2024, Phase 1 data from the PYNNACLE clinical trial for PC14586 was presented at the 2024 SGO Annual Meeting on Women's Cancer.</w:t>
      </w:r>
    </w:p>
    <w:p>
      <w:pPr>
        <w:spacing w:after="0" w:line="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75"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materials to be used during the development and commercialization of our product candidates. We do not currently have a sales force.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(rezatapopt). We initiated a Phase 1/2 clinical trial in October 2020 for our lead product candidate, PC14586. In October 2020, we were granted FDA Fast Track Designation of PC14586 for the treatment of patients with locally advanced or metastatic solid tumors that have a p53 Y220C mutation. In October 2023, we presented our updated Phase 1 clinical data for PC14586 at the 2023 AACR-NCI-EORTC International Conference on Molecular Targets and Cancer Therapeutics Meeting. We dosed our first patient in the first quarter of 2024 in the registrational, tumor-agnostic PYNNACLE Phase 2 trial of PC14586 in patients with advanced solid tumors harboring a TP53 Y220C mutation and KRAS wild-type (WT). In December 2022, we opened a separate Phase 1b arm within the existing Phase 1/2 PYNNACLE trial combining PC14586 with KEYTRUDA® (pembrolizumab) in collaboration with Merck and Co. In March 2024, Phase 1 data from the PYNNACLE clinical trial for PC14586 was presented at the 2024 SGO Annual Meeting on Women's Cancer.</w:t>
      </w:r>
    </w:p>
    <w:p>
      <w:pPr>
        <w:spacing w:after="0" w:line="8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also expect to increase our general and administrative expenses as we advance our product candidates through preclinical research and development, manufacturing, clinical development, and commercialization.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9" w:name="page20"/>
    <w:bookmarkEnd w:id="19"/>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32"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4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613"/>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613"/>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300" w:type="dxa"/>
            <w:vAlign w:val="bottom"/>
          </w:tcPr>
          <w:p>
            <w:pPr>
              <w:spacing w:after="0"/>
              <w:rPr>
                <w:sz w:val="16"/>
                <w:szCs w:val="16"/>
                <w:color w:val="auto"/>
              </w:rPr>
            </w:pPr>
          </w:p>
        </w:tc>
        <w:tc>
          <w:tcPr>
            <w:tcW w:w="17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16"/>
                <w:szCs w:val="16"/>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(1,887 )</w:t>
            </w:r>
          </w:p>
        </w:tc>
      </w:tr>
      <w:tr>
        <w:trPr>
          <w:trHeight w:val="243"/>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(1,372 )</w:t>
            </w:r>
          </w:p>
        </w:tc>
      </w:tr>
      <w:tr>
        <w:trPr>
          <w:trHeight w:val="241"/>
        </w:trPr>
        <w:tc>
          <w:tcPr>
            <w:tcW w:w="540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5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(3,259 )</w:t>
            </w:r>
          </w:p>
        </w:tc>
      </w:tr>
      <w:tr>
        <w:trPr>
          <w:trHeight w:val="243"/>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(18,221 )</w:t>
            </w:r>
          </w:p>
        </w:tc>
        <w:tc>
          <w:tcPr>
            <w:tcW w:w="28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(21,480 )</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FF0FC"/>
          </w:tcPr>
          <w:p>
            <w:pPr>
              <w:spacing w:after="0"/>
              <w:rPr>
                <w:sz w:val="20"/>
                <w:szCs w:val="20"/>
                <w:color w:val="auto"/>
              </w:rPr>
            </w:pPr>
          </w:p>
        </w:tc>
      </w:tr>
      <w:tr>
        <w:trPr>
          <w:trHeight w:val="237"/>
        </w:trPr>
        <w:tc>
          <w:tcPr>
            <w:tcW w:w="5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FF0FC"/>
          </w:tcPr>
          <w:p>
            <w:pPr>
              <w:spacing w:after="0"/>
              <w:rPr>
                <w:sz w:val="21"/>
                <w:szCs w:val="21"/>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41"/>
        </w:trPr>
        <w:tc>
          <w:tcPr>
            <w:tcW w:w="54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0"/>
                <w:szCs w:val="20"/>
                <w:color w:val="auto"/>
              </w:rPr>
            </w:pPr>
          </w:p>
        </w:tc>
      </w:tr>
      <w:tr>
        <w:trPr>
          <w:trHeight w:val="241"/>
        </w:trPr>
        <w:tc>
          <w:tcPr>
            <w:tcW w:w="5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30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(15,270 )</w:t>
            </w:r>
          </w:p>
        </w:tc>
        <w:tc>
          <w:tcPr>
            <w:tcW w:w="28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(19,128 )</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20"/>
                <w:szCs w:val="20"/>
                <w:color w:val="auto"/>
              </w:rPr>
            </w:pPr>
          </w:p>
        </w:tc>
      </w:tr>
      <w:tr>
        <w:trPr>
          <w:trHeight w:val="243"/>
        </w:trPr>
        <w:tc>
          <w:tcPr>
            <w:tcW w:w="5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40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59"/>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(15,270 )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(19,128 )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shd w:val="clear" w:color="auto" w:fill="CFF0FC"/>
          </w:tcPr>
          <w:p>
            <w:pPr>
              <w:spacing w:after="0"/>
              <w:rPr>
                <w:sz w:val="22"/>
                <w:szCs w:val="22"/>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-2228215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-2228215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-1602105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-1602105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-342265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-342265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2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4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jc w:val="right"/>
              <w:ind w:right="638"/>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jc w:val="right"/>
              <w:ind w:right="615"/>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(2,050 )</w:t>
            </w: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(1,887 )</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$13.2 million for the three months ended March 31, 2024, compared to $15.1 million for the three months ended March 31, 2023. The decrease of $1.9 million, compared to the three months ended March 31, 2023, was primarily due to the following:</w:t>
      </w:r>
    </w:p>
    <w:p>
      <w:pPr>
        <w:spacing w:after="0" w:line="54"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decrease in research and development expenses largely driven by decreased contractual research organization costs, offset by</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increase in personnel related costs and stock-based compensation as a result of the non-recurring charges from our reduction in force initiated in January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three months ended March 31, 2024, compared to $6.4 million for the three months ended March 31, 2023. The decrease of $1.4 million, compared to the three months ended March 31, 2023, was primarily due to following:</w:t>
      </w:r>
    </w:p>
    <w:p>
      <w:pPr>
        <w:spacing w:after="0" w:line="54" w:lineRule="exact"/>
        <w:rPr>
          <w:sz w:val="20"/>
          <w:szCs w:val="20"/>
          <w:color w:val="auto"/>
        </w:rPr>
      </w:pPr>
    </w:p>
    <w:p>
      <w:pPr>
        <w:ind w:left="900" w:right="68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facility and equipment expenses due to expiration of three leases, $0.3 million decrease in director and officer insurance fees and legal expenses, and $0.4 million decrease in personnel expenses driven by decrease in headcount.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$3.0 million for the three months ended March 31, 2024, compared to $2.4 million for the three months March 31, 2023. The increase of $0.6 million compared to the three months ended March 31, 2023, is driven by increased interest rates from cash and investments in marketable securities and U.S treasuries during the three months ended March 31, 2024.</w:t>
      </w:r>
    </w:p>
    <w:p>
      <w:pPr>
        <w:spacing w:after="0" w:line="28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tcPr>
          <w:p>
            <w:pPr>
              <w:spacing w:after="0"/>
              <w:rPr>
                <w:sz w:val="20"/>
                <w:szCs w:val="20"/>
                <w:color w:val="auto"/>
              </w:rPr>
            </w:pPr>
          </w:p>
        </w:tc>
      </w:tr>
      <w:tr>
        <w:trPr>
          <w:trHeight w:val="247"/>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150,285</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(15,066 )</w:t>
            </w:r>
          </w:p>
        </w:tc>
      </w:tr>
      <w:tr>
        <w:trPr>
          <w:trHeight w:val="243"/>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(10,385 )</w:t>
            </w:r>
          </w:p>
        </w:tc>
      </w:tr>
      <w:tr>
        <w:trPr>
          <w:trHeight w:val="20"/>
        </w:trPr>
        <w:tc>
          <w:tcPr>
            <w:tcW w:w="5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213,059</w:t>
            </w:r>
          </w:p>
        </w:tc>
        <w:tc>
          <w:tcPr>
            <w:tcW w:w="36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228,562</w:t>
            </w: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(15,503 )</w:t>
            </w:r>
          </w:p>
        </w:tc>
      </w:tr>
      <w:tr>
        <w:trPr>
          <w:trHeight w:val="223"/>
        </w:trPr>
        <w:tc>
          <w:tcPr>
            <w:tcW w:w="54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(4,949 )</w:t>
            </w:r>
          </w:p>
        </w:tc>
      </w:tr>
      <w:tr>
        <w:trPr>
          <w:trHeight w:val="247"/>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(12,058 )</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(14,029 )</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FF0FC"/>
          </w:tcPr>
          <w:p>
            <w:pPr>
              <w:spacing w:after="0"/>
              <w:rPr>
                <w:sz w:val="21"/>
                <w:szCs w:val="2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working capital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190,402</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193,380</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(2,978 )</w:t>
            </w: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-830580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-813435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-830580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-813435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-187960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March 31, 2024, we had cash, cash equivalents and marketable securities of $213.1 million and an accumulated deficit of $325.3 million.</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a shelf registration statement on Form S-3 on file with the SEC, which registers the offering, issuance, and sale of up to $200 million of various equity and debt securities and up to $150 million of common stock pursuant to our at-the-market equity offering program, dated October 4, 2021, or the ATM Program. During the three months ended March 31, 2024, the Company did not sell any shares of its common stock under the ATM Program. As of March 31, 2024, we have approximately $113.8 million remaining in gross proceeds available for future issuances of common stock under the ATM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That lease term extends through 2032 and has a five-year extension option. Amounts related to future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1" w:name="page22"/>
    <w:bookmarkEnd w:id="21"/>
    <w:p>
      <w:pPr>
        <w:ind w:right="480"/>
        <w:spacing w:after="0" w:line="282" w:lineRule="auto"/>
        <w:rPr>
          <w:sz w:val="20"/>
          <w:szCs w:val="20"/>
          <w:color w:val="auto"/>
        </w:rPr>
      </w:pPr>
      <w:r>
        <w:rPr>
          <w:rFonts w:ascii="Times New Roman" w:cs="Times New Roman" w:eastAsia="Times New Roman" w:hAnsi="Times New Roman"/>
          <w:sz w:val="18"/>
          <w:szCs w:val="18"/>
          <w:color w:val="auto"/>
        </w:rPr>
        <w:t>lease payments as of March 31, 2024, totaled $14.8 million, with $1.4 million, net $0.2 million of cash reimbursements, to be paid within the next 12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On January 18, 2024, we announced a restructuring plan involving the reduction of our workforce by approximately 30% of our employees. We expect the reduction in workforce to be substantially completed by June 30, 2024, and fully completed by the end of the third quarter of 2024. As announced, we are taking these steps in order to streamline operations, reduce costs and preserve capital as we advance our lead candidate, PC14586, into late-stage development.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incurred an accumulated deficit of $325.3 million through March 31, 2024. We expect to incur substantial additional losses in the future as we expand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activities. For the three months ended March 31, 2024 and 2023, our cash operating expenditures were $16.2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million, respectively. Based on our research and development plans, we expect that our cash, cash equivalents and marketable securities as of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2024 will be sufficient to fund our operations to the end of 2026.</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78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implementing our announced reduction in force and related reorganization; and</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555"/>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55"/>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(16,184 )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(15,012 )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26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(34 )</w:t>
            </w: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$16.2 million, which consisted primarily of net loss of $15.3 million partially offset by non-cash charges of $1.3 million. Changes in our net operating assets decreased operating cash by $2.2 million. The non-cash charges primarily consisted of stock-based compensation of $2.6 million, accretion of discounts on marketable securities of $1.6 million, depreciation of $0.4 million, and non-cash lease income of $0.1 million. The change in our net operating assets and liabilities was primarily due to an increase in prepaid expenses and other assets, a decrease in outstanding payables and an increase in accrued expenses.</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$15.0 million, which consisted primarily of net loss of $19.1 million partially offset by non-cash charges of $2.3 million. Changes in our net operating assets increased operating cash by $1.8 million. The non-cash charges primarily consisted of stock-based compensation of $2.9 million, accretion of discounts on marketable securities of $0.7 million, depreciation of $0.2 million, and non-cash lease expense of $0.1 million. The change in our net operating assets and liabilities was primarily due to a decrease in prepaid expenses and other assets, an increase in accrued expenses, offset by a decrease in outstanding payables.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$26.2 million of cash during the three months ended March 31, 2024, which consisted primarily of maturities of marketable securities of $57.2 million, partially offset by purchases of marketable securities of $30.5 million, along with purchase of property and equipment of $0.6 million.</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provided $49.6 million of cash during the three months ended March 31, 2023, which consisted primarily of maturities of marketable securities of $73.3 million, purchases of marketable securities of $23.5 million, along with purchase of property and equipment of $0.2 million.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2024 and 2023, net cash provided by financing activities was zero.</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requires us to make estimates and judgments that affect the amounts reported in those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three-month period ended March 31, 2024, there were no material changes to our critical accounting policies from those described in our audited condensed consolidated financial statements for the year ended December 31, 2023, included in our Annual Report on Form 10-K filed with the SEC on February 29, 2024, except as noted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consolidated financial statements for the three months ended March 31, 2024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$213.1 million and restricted cash of $0.8 million as of March 31, 2024. The Company’s cash equivalents consist of interest-bearing U.S. treasury securities, money market funds, and corporate debt securities. Our exposure due to changes in interest rates is not material due to the nature and amount of our money-market funds and marketable securities.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4" w:name="page25"/>
    <w:bookmarkEnd w:id="24"/>
    <w:p>
      <w:pPr>
        <w:spacing w:after="0" w:line="261" w:lineRule="auto"/>
        <w:rPr>
          <w:sz w:val="20"/>
          <w:szCs w:val="20"/>
          <w:color w:val="auto"/>
        </w:rPr>
      </w:pPr>
      <w:r>
        <w:rPr>
          <w:rFonts w:ascii="Times New Roman" w:cs="Times New Roman" w:eastAsia="Times New Roman" w:hAnsi="Times New Roman"/>
          <w:sz w:val="18"/>
          <w:szCs w:val="18"/>
          <w:color w:val="auto"/>
        </w:rPr>
        <w:t>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March 31, 2024.</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Other than as described below, there have been no additional material changes to the Company’s risk factors as set forth in Part I, Item 1A of the Company’s Annual Report on Form 10-K for the fiscal year ended December 31, 2023, as filed with the SEC on February 29, 2024.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2023, as filed with the SEC on February 29, 2024.</w:t>
      </w:r>
    </w:p>
    <w:p>
      <w:pPr>
        <w:spacing w:after="0" w:line="68" w:lineRule="exact"/>
        <w:rPr>
          <w:sz w:val="20"/>
          <w:szCs w:val="20"/>
          <w:color w:val="auto"/>
        </w:rPr>
      </w:pPr>
    </w:p>
    <w:p>
      <w:pPr>
        <w:jc w:val="both"/>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use of tariffs and other traditional trade tools, the U.S. government has made and continues to make significant additional changes in U.S. trade policy and may continue to take future actions that could negatively impact U.S. trade. In particular, the U.S. has made or considered making a broad set of trade-related or security-related policy changes with respect to specific counterparty countries, most significantly China, to create various limitations on cross-border operations.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financial condition, and results of operations would be materially adversely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registration statement on Form S-1 (File No. 333-248627) relating to the IPO was declared effective by the SEC. The IPO closed on September 25, 2020 at which time we sold 13,529,750 shares of common stock (including the exercise in full by the underwriters of their option to purchase an additional 1,764,750 shares of common stock) at a public offering price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t>of $18.00 per share. We received net proceeds from the IPO of approximately $223.2 million, after deducting the underwriting discounts and commissions of approximately $17.0 million and estimated offering related expenses of approximately $3.3 million. No offering expenses were paid or payable, directly, or indirectly, to our directors, officers, or persons owning 10% or more of any class of equity securities or to our affiliates. Goldman Sachs &amp; Co. LLC, BofA Securities, Cowen, and Evercore ISI acted as joint book-running managers for the offering.</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a shelf registration statement on Form S-3 (File No. 333-260012), which was declared effective by the SEC on April 28, 2022. The shelf registration statement consists of (i) a base prospectus pursuant to which we may offer and sell, from time to time, up to $200 million of shares of our common stock, shares of our preferred stock, various series of debt securities and warrants to purchase any of such securities in one or more registered offerings, and (ii) a prospectus supplement pursuant to which we may offer and sell, from time to time, up to $150 million of shares of common stock in "at-the-market" offerings. During the three months ended March 31, 2024, the Company did not sell any shares of its common stock under the ATM Program. As of March 31, 2024, we have approximately $113.8 million remaining in gross proceeds available for future issuances of common stock under the ATM Program.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gridSpan w:val="11"/>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80" w:type="dxa"/>
            <w:vAlign w:val="bottom"/>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gridSpan w:val="11"/>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3.1</w:t>
            </w:r>
          </w:p>
        </w:tc>
        <w:tc>
          <w:tcPr>
            <w:tcW w:w="5540" w:type="dxa"/>
            <w:vAlign w:val="bottom"/>
            <w:gridSpan w:val="13"/>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Amended and Restated Certificate of Incorporation of the Registrant</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September 29, 2020</w:t>
            </w:r>
          </w:p>
        </w:tc>
        <w:tc>
          <w:tcPr>
            <w:tcW w:w="0" w:type="dxa"/>
            <w:vAlign w:val="bottom"/>
          </w:tcPr>
          <w:p>
            <w:pPr>
              <w:spacing w:after="0"/>
              <w:rPr>
                <w:sz w:val="1"/>
                <w:szCs w:val="1"/>
                <w:color w:val="auto"/>
              </w:rPr>
            </w:pPr>
          </w:p>
        </w:tc>
      </w:tr>
      <w:tr>
        <w:trPr>
          <w:trHeight w:val="466"/>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3.2</w:t>
            </w:r>
          </w:p>
        </w:tc>
        <w:tc>
          <w:tcPr>
            <w:tcW w:w="494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Amended and Restated Bylaws of the Registrant</w:t>
              </w:r>
            </w:hyperlink>
          </w:p>
        </w:tc>
        <w:tc>
          <w:tcPr>
            <w:tcW w:w="60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May 10, 2023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5"/>
              </w:rPr>
              <w:t>10.4+</w:t>
            </w:r>
          </w:p>
        </w:tc>
        <w:tc>
          <w:tcPr>
            <w:tcW w:w="5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2020 Employee Stock Purchase Plan and forms of agreements thereunder</w:t>
            </w:r>
          </w:p>
        </w:tc>
        <w:tc>
          <w:tcPr>
            <w:tcW w:w="20" w:type="dxa"/>
            <w:vAlign w:val="bottom"/>
            <w:tcBorders>
              <w:bottom w:val="single" w:sz="8" w:color="0000EE"/>
            </w:tcBorders>
          </w:tcPr>
          <w:p>
            <w:pPr>
              <w:spacing w:after="0"/>
              <w:rPr>
                <w:sz w:val="24"/>
                <w:szCs w:val="24"/>
                <w:color w:val="auto"/>
              </w:rPr>
            </w:pPr>
          </w:p>
        </w:tc>
        <w:tc>
          <w:tcPr>
            <w:tcW w:w="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5"/>
              </w:rPr>
              <w:t>31.1+</w:t>
            </w:r>
          </w:p>
        </w:tc>
        <w:tc>
          <w:tcPr>
            <w:tcW w:w="55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6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5"/>
              </w:rPr>
              <w:t>31.2+</w:t>
            </w:r>
          </w:p>
        </w:tc>
        <w:tc>
          <w:tcPr>
            <w:tcW w:w="55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6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16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5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3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5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3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9"/>
              </w:rPr>
              <w:t>101.INS</w:t>
            </w:r>
          </w:p>
        </w:tc>
        <w:tc>
          <w:tcPr>
            <w:tcW w:w="5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101.SCH</w:t>
            </w:r>
          </w:p>
        </w:tc>
        <w:tc>
          <w:tcPr>
            <w:tcW w:w="5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Documents</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080" w:right="5020" w:hanging="734"/>
        <w:spacing w:after="0" w:line="282" w:lineRule="auto"/>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48" w:lineRule="exact"/>
        <w:rPr>
          <w:rFonts w:ascii="Times New Roman" w:cs="Times New Roman" w:eastAsia="Times New Roman" w:hAnsi="Times New Roman"/>
          <w:sz w:val="18"/>
          <w:szCs w:val="18"/>
          <w:color w:val="auto"/>
        </w:rPr>
      </w:pPr>
    </w:p>
    <w:p>
      <w:pPr>
        <w:jc w:val="both"/>
        <w:ind w:firstLine="8"/>
        <w:spacing w:after="0" w:line="261" w:lineRule="auto"/>
        <w:tabs>
          <w:tab w:leader="none" w:pos="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9512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46" w:right="5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7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5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r>
      <w:tr>
        <w:trPr>
          <w:trHeight w:val="205"/>
        </w:trPr>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David H. Mack, Ph.D.</w:t>
            </w:r>
          </w:p>
        </w:tc>
      </w:tr>
      <w:tr>
        <w:trPr>
          <w:trHeight w:val="229"/>
        </w:trPr>
        <w:tc>
          <w:tcPr>
            <w:tcW w:w="35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34"/>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59"/>
        </w:trPr>
        <w:tc>
          <w:tcPr>
            <w:tcW w:w="3520" w:type="dxa"/>
            <w:vAlign w:val="bottom"/>
          </w:tcPr>
          <w:p>
            <w:pPr>
              <w:spacing w:after="0"/>
              <w:rPr>
                <w:sz w:val="24"/>
                <w:szCs w:val="24"/>
                <w:color w:val="auto"/>
              </w:rPr>
            </w:pPr>
          </w:p>
        </w:tc>
        <w:tc>
          <w:tcPr>
            <w:tcW w:w="77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7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5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Carulli</w:t>
            </w:r>
          </w:p>
        </w:tc>
      </w:tr>
      <w:tr>
        <w:trPr>
          <w:trHeight w:val="205"/>
        </w:trPr>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Michael Carulli</w:t>
            </w:r>
          </w:p>
        </w:tc>
      </w:tr>
      <w:tr>
        <w:trPr>
          <w:trHeight w:val="234"/>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670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Updated as of: May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PMV PHARMACEUTICALS, INC.</w:t>
      </w:r>
    </w:p>
    <w:p>
      <w:pPr>
        <w:spacing w:after="0" w:line="20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2020 EMPLOYEE STOCK PURCHASE PLAN</w:t>
      </w:r>
    </w:p>
    <w:p>
      <w:pPr>
        <w:spacing w:after="0" w:line="210" w:lineRule="exact"/>
        <w:rPr>
          <w:sz w:val="20"/>
          <w:szCs w:val="20"/>
          <w:color w:val="auto"/>
        </w:rPr>
      </w:pPr>
    </w:p>
    <w:p>
      <w:pPr>
        <w:jc w:val="both"/>
        <w:ind w:left="300" w:firstLine="648"/>
        <w:spacing w:after="0" w:line="233"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“423 Component”) and a component that is not intended to qualify as an “employee stock purchase plan” under Section 423 of the Code (the “Non-423 Component”).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or by the Administrator, the Non-423 Component will operate and be administered in the same manner as the 423 Component.</w:t>
      </w:r>
    </w:p>
    <w:p>
      <w:pPr>
        <w:spacing w:after="0" w:line="182" w:lineRule="exact"/>
        <w:rPr>
          <w:sz w:val="20"/>
          <w:szCs w:val="20"/>
          <w:color w:val="auto"/>
        </w:rPr>
      </w:pPr>
    </w:p>
    <w:p>
      <w:pPr>
        <w:ind w:left="1580" w:hanging="640"/>
        <w:spacing w:after="0"/>
        <w:tabs>
          <w:tab w:leader="none" w:pos="15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0" w:firstLine="1288"/>
        <w:spacing w:after="0" w:line="258" w:lineRule="auto"/>
        <w:tabs>
          <w:tab w:leader="none" w:pos="196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any Committee designated by the Board to administer the Plan pursuant to Section 14.</w:t>
      </w:r>
    </w:p>
    <w:p>
      <w:pPr>
        <w:spacing w:after="0" w:line="158" w:lineRule="exact"/>
        <w:rPr>
          <w:rFonts w:ascii="Times New Roman" w:cs="Times New Roman" w:eastAsia="Times New Roman" w:hAnsi="Times New Roman"/>
          <w:sz w:val="22"/>
          <w:szCs w:val="22"/>
          <w:color w:val="auto"/>
        </w:rPr>
      </w:pPr>
    </w:p>
    <w:p>
      <w:pPr>
        <w:ind w:left="300" w:firstLine="1288"/>
        <w:spacing w:after="0" w:line="258" w:lineRule="auto"/>
        <w:tabs>
          <w:tab w:leader="none" w:pos="196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entity, other than a Subsidiary, in which the Company has an equity or other ownership interest.</w:t>
      </w:r>
    </w:p>
    <w:p>
      <w:pPr>
        <w:spacing w:after="0" w:line="158" w:lineRule="exact"/>
        <w:rPr>
          <w:rFonts w:ascii="Times New Roman" w:cs="Times New Roman" w:eastAsia="Times New Roman" w:hAnsi="Times New Roman"/>
          <w:sz w:val="22"/>
          <w:szCs w:val="22"/>
          <w:color w:val="auto"/>
        </w:rPr>
      </w:pPr>
    </w:p>
    <w:p>
      <w:pPr>
        <w:jc w:val="both"/>
        <w:ind w:left="300" w:firstLine="1288"/>
        <w:spacing w:after="0" w:line="236" w:lineRule="auto"/>
        <w:tabs>
          <w:tab w:leader="none" w:pos="196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81" w:lineRule="exact"/>
        <w:rPr>
          <w:rFonts w:ascii="Times New Roman" w:cs="Times New Roman" w:eastAsia="Times New Roman" w:hAnsi="Times New Roman"/>
          <w:sz w:val="22"/>
          <w:szCs w:val="22"/>
          <w:color w:val="auto"/>
        </w:rPr>
      </w:pPr>
    </w:p>
    <w:p>
      <w:pPr>
        <w:ind w:left="2240" w:hanging="652"/>
        <w:spacing w:after="0"/>
        <w:tabs>
          <w:tab w:leader="none" w:pos="22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2240" w:hanging="652"/>
        <w:spacing w:after="0"/>
        <w:tabs>
          <w:tab w:leader="none" w:pos="22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19" w:lineRule="exact"/>
        <w:rPr>
          <w:rFonts w:ascii="Times New Roman" w:cs="Times New Roman" w:eastAsia="Times New Roman" w:hAnsi="Times New Roman"/>
          <w:sz w:val="22"/>
          <w:szCs w:val="22"/>
          <w:color w:val="auto"/>
        </w:rPr>
      </w:pPr>
    </w:p>
    <w:p>
      <w:pPr>
        <w:jc w:val="both"/>
        <w:ind w:left="300" w:firstLine="2053"/>
        <w:spacing w:after="0" w:line="246" w:lineRule="auto"/>
        <w:tabs>
          <w:tab w:leader="none" w:pos="2845"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the Company which occurs on the date that any one person, or more than one person acting as a group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201930</wp:posOffset>
            </wp:positionV>
            <wp:extent cx="573468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756" w:right="1419" w:bottom="1440" w:gutter="0" w:footer="0" w:header="0"/>
        </w:sectPr>
      </w:pPr>
    </w:p>
    <w:bookmarkStart w:id="30" w:name="page31"/>
    <w:bookmarkEnd w:id="30"/>
    <w:p>
      <w:pPr>
        <w:spacing w:after="0" w:line="225" w:lineRule="exact"/>
        <w:rPr>
          <w:sz w:val="20"/>
          <w:szCs w:val="20"/>
          <w:color w:val="auto"/>
        </w:rPr>
      </w:pPr>
    </w:p>
    <w:p>
      <w:pPr>
        <w:jc w:val="both"/>
        <w:ind w:left="300"/>
        <w:spacing w:after="0" w:line="235" w:lineRule="auto"/>
        <w:rPr>
          <w:sz w:val="20"/>
          <w:szCs w:val="20"/>
          <w:color w:val="auto"/>
        </w:rPr>
      </w:pPr>
      <w:r>
        <w:rPr>
          <w:rFonts w:ascii="Times New Roman" w:cs="Times New Roman" w:eastAsia="Times New Roman" w:hAnsi="Times New Roman"/>
          <w:sz w:val="22"/>
          <w:szCs w:val="22"/>
          <w:color w:val="auto"/>
        </w:rPr>
        <w:t>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3" w:lineRule="exact"/>
        <w:rPr>
          <w:sz w:val="20"/>
          <w:szCs w:val="20"/>
          <w:color w:val="auto"/>
        </w:rPr>
      </w:pPr>
    </w:p>
    <w:p>
      <w:pPr>
        <w:jc w:val="both"/>
        <w:ind w:left="300" w:firstLine="2009"/>
        <w:spacing w:after="0" w:line="236" w:lineRule="auto"/>
        <w:rPr>
          <w:sz w:val="20"/>
          <w:szCs w:val="20"/>
          <w:color w:val="auto"/>
        </w:rPr>
      </w:pPr>
      <w:r>
        <w:rPr>
          <w:rFonts w:ascii="Times New Roman" w:cs="Times New Roman" w:eastAsia="Times New Roman" w:hAnsi="Times New Roman"/>
          <w:sz w:val="22"/>
          <w:szCs w:val="22"/>
          <w:color w:val="auto"/>
        </w:rPr>
        <w:t>(i)A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1" w:lineRule="exact"/>
        <w:rPr>
          <w:sz w:val="20"/>
          <w:szCs w:val="20"/>
          <w:color w:val="auto"/>
        </w:rPr>
      </w:pPr>
    </w:p>
    <w:p>
      <w:pPr>
        <w:jc w:val="both"/>
        <w:ind w:left="300" w:firstLine="1944"/>
        <w:spacing w:after="0" w:line="244" w:lineRule="auto"/>
        <w:rPr>
          <w:sz w:val="20"/>
          <w:szCs w:val="20"/>
          <w:color w:val="auto"/>
        </w:rPr>
      </w:pPr>
      <w:r>
        <w:rPr>
          <w:rFonts w:ascii="Times New Roman" w:cs="Times New Roman" w:eastAsia="Times New Roman" w:hAnsi="Times New Roman"/>
          <w:sz w:val="21"/>
          <w:szCs w:val="21"/>
          <w:color w:val="auto"/>
        </w:rPr>
        <w:t>(ii)A change in the ownership of a substantial portion of the Company’s assets which occurs on the date that any Person acquires (or has acquired during the twelve (12)-month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jc w:val="both"/>
        <w:ind w:left="300" w:right="20" w:firstLine="1295"/>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left="300" w:right="20" w:firstLine="1295"/>
        <w:spacing w:after="0" w:line="282" w:lineRule="auto"/>
        <w:rPr>
          <w:sz w:val="20"/>
          <w:szCs w:val="20"/>
          <w:color w:val="auto"/>
        </w:rPr>
      </w:pPr>
      <w:r>
        <w:rPr>
          <w:rFonts w:ascii="Times New Roman" w:cs="Times New Roman" w:eastAsia="Times New Roman" w:hAnsi="Times New Roman"/>
          <w:sz w:val="21"/>
          <w:szCs w:val="21"/>
          <w:color w:val="auto"/>
        </w:rPr>
        <w:t>Notwithstanding the foregoing, a transaction will not be deemed a Change in Control unless the transaction qualifies as a change in control event within the meaning of Section 409A.</w:t>
      </w:r>
    </w:p>
    <w:p>
      <w:pPr>
        <w:spacing w:after="0" w:line="135" w:lineRule="exact"/>
        <w:rPr>
          <w:sz w:val="20"/>
          <w:szCs w:val="20"/>
          <w:color w:val="auto"/>
        </w:rPr>
      </w:pPr>
    </w:p>
    <w:p>
      <w:pPr>
        <w:jc w:val="both"/>
        <w:ind w:left="300" w:firstLine="1295"/>
        <w:spacing w:after="0" w:line="255" w:lineRule="auto"/>
        <w:rPr>
          <w:sz w:val="20"/>
          <w:szCs w:val="20"/>
          <w:color w:val="auto"/>
        </w:rPr>
      </w:pPr>
      <w:r>
        <w:rPr>
          <w:rFonts w:ascii="Times New Roman" w:cs="Times New Roman" w:eastAsia="Times New Roman" w:hAnsi="Times New Roman"/>
          <w:sz w:val="21"/>
          <w:szCs w:val="21"/>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31" w:name="page32"/>
    <w:bookmarkEnd w:id="31"/>
    <w:p>
      <w:pPr>
        <w:spacing w:after="0" w:line="225" w:lineRule="exact"/>
        <w:rPr>
          <w:sz w:val="20"/>
          <w:szCs w:val="20"/>
          <w:color w:val="auto"/>
        </w:rPr>
      </w:pPr>
    </w:p>
    <w:p>
      <w:pPr>
        <w:jc w:val="both"/>
        <w:ind w:left="300" w:firstLine="1288"/>
        <w:spacing w:after="0" w:line="238" w:lineRule="auto"/>
        <w:tabs>
          <w:tab w:leader="none" w:pos="19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76" w:lineRule="exact"/>
        <w:rPr>
          <w:rFonts w:ascii="Times New Roman" w:cs="Times New Roman" w:eastAsia="Times New Roman" w:hAnsi="Times New Roman"/>
          <w:sz w:val="22"/>
          <w:szCs w:val="22"/>
          <w:color w:val="auto"/>
        </w:rPr>
      </w:pPr>
    </w:p>
    <w:p>
      <w:pPr>
        <w:ind w:left="1960" w:hanging="372"/>
        <w:spacing w:after="0"/>
        <w:tabs>
          <w:tab w:leader="none" w:pos="1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of the Board appointed in accordance with</w:t>
      </w:r>
    </w:p>
    <w:p>
      <w:pPr>
        <w:spacing w:after="0" w:line="14" w:lineRule="exact"/>
        <w:rPr>
          <w:rFonts w:ascii="Times New Roman" w:cs="Times New Roman" w:eastAsia="Times New Roman" w:hAnsi="Times New Roman"/>
          <w:sz w:val="22"/>
          <w:szCs w:val="22"/>
          <w:color w:val="auto"/>
        </w:rPr>
      </w:pPr>
    </w:p>
    <w:p>
      <w:pPr>
        <w:ind w:left="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14 hereof.</w:t>
      </w:r>
    </w:p>
    <w:p>
      <w:pPr>
        <w:spacing w:after="0" w:line="182" w:lineRule="exact"/>
        <w:rPr>
          <w:rFonts w:ascii="Times New Roman" w:cs="Times New Roman" w:eastAsia="Times New Roman" w:hAnsi="Times New Roman"/>
          <w:sz w:val="22"/>
          <w:szCs w:val="22"/>
          <w:color w:val="auto"/>
        </w:rPr>
      </w:pPr>
    </w:p>
    <w:p>
      <w:pPr>
        <w:ind w:left="2240" w:hanging="652"/>
        <w:spacing w:after="0"/>
        <w:tabs>
          <w:tab w:leader="none" w:pos="22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w:t>
      </w:r>
    </w:p>
    <w:p>
      <w:pPr>
        <w:spacing w:after="0" w:line="206" w:lineRule="exact"/>
        <w:rPr>
          <w:rFonts w:ascii="Times New Roman" w:cs="Times New Roman" w:eastAsia="Times New Roman" w:hAnsi="Times New Roman"/>
          <w:sz w:val="22"/>
          <w:szCs w:val="22"/>
          <w:color w:val="auto"/>
        </w:rPr>
      </w:pPr>
    </w:p>
    <w:p>
      <w:pPr>
        <w:ind w:left="1960" w:hanging="372"/>
        <w:spacing w:after="0"/>
        <w:tabs>
          <w:tab w:leader="none" w:pos="1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PMV Pharmaceuticals, Inc., a Delaware corporation, or any</w:t>
      </w:r>
    </w:p>
    <w:p>
      <w:pPr>
        <w:spacing w:after="0" w:line="14" w:lineRule="exact"/>
        <w:rPr>
          <w:rFonts w:ascii="Times New Roman" w:cs="Times New Roman" w:eastAsia="Times New Roman" w:hAnsi="Times New Roman"/>
          <w:sz w:val="22"/>
          <w:szCs w:val="22"/>
          <w:color w:val="auto"/>
        </w:rPr>
      </w:pPr>
    </w:p>
    <w:p>
      <w:pPr>
        <w:ind w:left="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successor thereto.</w:t>
      </w:r>
    </w:p>
    <w:p>
      <w:pPr>
        <w:spacing w:after="0" w:line="182" w:lineRule="exact"/>
        <w:rPr>
          <w:rFonts w:ascii="Times New Roman" w:cs="Times New Roman" w:eastAsia="Times New Roman" w:hAnsi="Times New Roman"/>
          <w:sz w:val="22"/>
          <w:szCs w:val="22"/>
          <w:color w:val="auto"/>
        </w:rPr>
      </w:pPr>
    </w:p>
    <w:p>
      <w:pPr>
        <w:jc w:val="both"/>
        <w:ind w:left="300" w:firstLine="1288"/>
        <w:spacing w:after="0" w:line="249" w:lineRule="auto"/>
        <w:tabs>
          <w:tab w:leader="none" w:pos="196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includes an Eligible Employee’s base straight time gross earnings but excludes payments for commissions, incentive compensation, bonuses, payments for overtime and shift premium, equity compensation income and other similar compensation. The Administrator, in its discretion, may, on a uniform and nondiscriminatory basis, establish a different definition of Compensation for a subsequent Offering Period. Further, the Administrator shall have discretion to determine the application of this definition to Participants outside the United States.</w:t>
      </w:r>
    </w:p>
    <w:p>
      <w:pPr>
        <w:spacing w:after="0" w:line="170" w:lineRule="exact"/>
        <w:rPr>
          <w:rFonts w:ascii="Times New Roman" w:cs="Times New Roman" w:eastAsia="Times New Roman" w:hAnsi="Times New Roman"/>
          <w:sz w:val="21"/>
          <w:szCs w:val="21"/>
          <w:color w:val="auto"/>
        </w:rPr>
      </w:pPr>
    </w:p>
    <w:p>
      <w:pPr>
        <w:jc w:val="both"/>
        <w:ind w:left="300" w:firstLine="1288"/>
        <w:spacing w:after="0" w:line="244" w:lineRule="auto"/>
        <w:tabs>
          <w:tab w:leader="none" w:pos="19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Contributions</w:t>
      </w:r>
      <w:r>
        <w:rPr>
          <w:rFonts w:ascii="Times New Roman" w:cs="Times New Roman" w:eastAsia="Times New Roman" w:hAnsi="Times New Roman"/>
          <w:sz w:val="22"/>
          <w:szCs w:val="22"/>
          <w:color w:val="auto"/>
        </w:rPr>
        <w:t>” means the payroll deductions and other additional payments that the Company may permit to be made by a Participant to fund the exercise of options granted pursuant to the Plan.</w:t>
      </w:r>
    </w:p>
    <w:p>
      <w:pPr>
        <w:spacing w:after="0" w:line="173" w:lineRule="exact"/>
        <w:rPr>
          <w:rFonts w:ascii="Times New Roman" w:cs="Times New Roman" w:eastAsia="Times New Roman" w:hAnsi="Times New Roman"/>
          <w:sz w:val="22"/>
          <w:szCs w:val="22"/>
          <w:color w:val="auto"/>
        </w:rPr>
      </w:pPr>
    </w:p>
    <w:p>
      <w:pPr>
        <w:jc w:val="both"/>
        <w:ind w:left="300" w:firstLine="1288"/>
        <w:spacing w:after="0" w:line="236" w:lineRule="auto"/>
        <w:tabs>
          <w:tab w:leader="none" w:pos="19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Company</w:t>
      </w:r>
      <w:r>
        <w:rPr>
          <w:rFonts w:ascii="Times New Roman" w:cs="Times New Roman" w:eastAsia="Times New Roman" w:hAnsi="Times New Roman"/>
          <w:sz w:val="22"/>
          <w:szCs w:val="22"/>
          <w:color w:val="auto"/>
        </w:rPr>
        <w:t>” 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81" w:lineRule="exact"/>
        <w:rPr>
          <w:rFonts w:ascii="Times New Roman" w:cs="Times New Roman" w:eastAsia="Times New Roman" w:hAnsi="Times New Roman"/>
          <w:sz w:val="22"/>
          <w:szCs w:val="22"/>
          <w:color w:val="auto"/>
        </w:rPr>
      </w:pPr>
    </w:p>
    <w:p>
      <w:pPr>
        <w:ind w:left="2240" w:hanging="652"/>
        <w:spacing w:after="0"/>
        <w:tabs>
          <w:tab w:leader="none" w:pos="22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rFonts w:ascii="Times New Roman" w:cs="Times New Roman" w:eastAsia="Times New Roman" w:hAnsi="Times New Roman"/>
          <w:sz w:val="22"/>
          <w:szCs w:val="22"/>
          <w:color w:val="auto"/>
        </w:rPr>
      </w:pPr>
    </w:p>
    <w:p>
      <w:pPr>
        <w:jc w:val="both"/>
        <w:ind w:left="300" w:firstLine="1288"/>
        <w:spacing w:after="0" w:line="233" w:lineRule="auto"/>
        <w:tabs>
          <w:tab w:leader="none" w:pos="19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w:t>
      </w: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32" w:name="page33"/>
    <w:bookmarkEnd w:id="32"/>
    <w:p>
      <w:pPr>
        <w:spacing w:after="0" w:line="225" w:lineRule="exact"/>
        <w:rPr>
          <w:sz w:val="20"/>
          <w:szCs w:val="20"/>
          <w:color w:val="auto"/>
        </w:rPr>
      </w:pPr>
    </w:p>
    <w:p>
      <w:pPr>
        <w:jc w:val="both"/>
        <w:ind w:left="300"/>
        <w:spacing w:after="0" w:line="233" w:lineRule="auto"/>
        <w:rPr>
          <w:sz w:val="20"/>
          <w:szCs w:val="20"/>
          <w:color w:val="auto"/>
        </w:rPr>
      </w:pPr>
      <w:r>
        <w:rPr>
          <w:rFonts w:ascii="Times New Roman" w:cs="Times New Roman" w:eastAsia="Times New Roman" w:hAnsi="Times New Roman"/>
          <w:sz w:val="22"/>
          <w:szCs w:val="22"/>
          <w:color w:val="auto"/>
        </w:rPr>
        <w:t>may, prior to an Enrollment Date for all options to be granted on such Enrollment Date in an Offering, determine (for each Offering under the 423 Component, on a uniform and nondiscriminatory basis or as otherwise permitted by U.S.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w:t>
      </w:r>
    </w:p>
    <w:p>
      <w:pPr>
        <w:spacing w:after="0" w:line="1" w:lineRule="exact"/>
        <w:rPr>
          <w:sz w:val="20"/>
          <w:szCs w:val="20"/>
          <w:color w:val="auto"/>
        </w:rPr>
      </w:pPr>
    </w:p>
    <w:p>
      <w:pPr>
        <w:jc w:val="both"/>
        <w:ind w:left="300" w:hanging="9"/>
        <w:spacing w:after="0" w:line="243" w:lineRule="auto"/>
        <w:tabs>
          <w:tab w:leader="none" w:pos="67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 Section 1.423-2(e)(2)(ii). Such exclusions may be applied with respect to an Offering under the Non- 423 Component without regard to the limitations of U.S. Treasury Regulation Section 1.423-2.</w:t>
      </w:r>
    </w:p>
    <w:p>
      <w:pPr>
        <w:spacing w:after="0" w:line="178" w:lineRule="exact"/>
        <w:rPr>
          <w:rFonts w:ascii="Times New Roman" w:cs="Times New Roman" w:eastAsia="Times New Roman" w:hAnsi="Times New Roman"/>
          <w:sz w:val="21"/>
          <w:szCs w:val="21"/>
          <w:color w:val="auto"/>
        </w:rPr>
      </w:pPr>
    </w:p>
    <w:p>
      <w:pPr>
        <w:ind w:left="2240" w:hanging="652"/>
        <w:spacing w:after="0"/>
        <w:tabs>
          <w:tab w:leader="none" w:pos="22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employer of the applicable Eligible Employee(s).</w:t>
      </w:r>
    </w:p>
    <w:p>
      <w:pPr>
        <w:spacing w:after="0" w:line="206" w:lineRule="exact"/>
        <w:rPr>
          <w:rFonts w:ascii="Times New Roman" w:cs="Times New Roman" w:eastAsia="Times New Roman" w:hAnsi="Times New Roman"/>
          <w:sz w:val="22"/>
          <w:szCs w:val="22"/>
          <w:color w:val="auto"/>
        </w:rPr>
      </w:pPr>
    </w:p>
    <w:p>
      <w:pPr>
        <w:ind w:left="2240" w:hanging="652"/>
        <w:spacing w:after="0"/>
        <w:tabs>
          <w:tab w:leader="none" w:pos="22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Enrollment Date</w:t>
      </w:r>
      <w:r>
        <w:rPr>
          <w:rFonts w:ascii="Times New Roman" w:cs="Times New Roman" w:eastAsia="Times New Roman" w:hAnsi="Times New Roman"/>
          <w:sz w:val="22"/>
          <w:szCs w:val="22"/>
          <w:color w:val="auto"/>
        </w:rPr>
        <w:t>” means the first Trading Day of each Offering Period.</w:t>
      </w:r>
    </w:p>
    <w:p>
      <w:pPr>
        <w:spacing w:after="0" w:line="206" w:lineRule="exact"/>
        <w:rPr>
          <w:rFonts w:ascii="Times New Roman" w:cs="Times New Roman" w:eastAsia="Times New Roman" w:hAnsi="Times New Roman"/>
          <w:sz w:val="22"/>
          <w:szCs w:val="22"/>
          <w:color w:val="auto"/>
        </w:rPr>
      </w:pPr>
    </w:p>
    <w:p>
      <w:pPr>
        <w:ind w:left="300" w:firstLine="1288"/>
        <w:spacing w:after="0" w:line="258" w:lineRule="auto"/>
        <w:tabs>
          <w:tab w:leader="none" w:pos="196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58" w:lineRule="exact"/>
        <w:rPr>
          <w:rFonts w:ascii="Times New Roman" w:cs="Times New Roman" w:eastAsia="Times New Roman" w:hAnsi="Times New Roman"/>
          <w:sz w:val="22"/>
          <w:szCs w:val="22"/>
          <w:color w:val="auto"/>
        </w:rPr>
      </w:pPr>
    </w:p>
    <w:p>
      <w:pPr>
        <w:jc w:val="both"/>
        <w:ind w:left="300" w:firstLine="1288"/>
        <w:spacing w:after="0" w:line="235" w:lineRule="auto"/>
        <w:tabs>
          <w:tab w:leader="none" w:pos="196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Date</w:t>
      </w:r>
      <w:r>
        <w:rPr>
          <w:rFonts w:ascii="Times New Roman" w:cs="Times New Roman" w:eastAsia="Times New Roman" w:hAnsi="Times New Roman"/>
          <w:sz w:val="22"/>
          <w:szCs w:val="22"/>
          <w:color w:val="auto"/>
        </w:rPr>
        <w:t>” means the first Trading Day on or after May 20 and November 20 of each Purchase Period. Notwithstanding the foregoing, the first Exercise Date under the Plan will be the first Trading Day on or after May 20, 2021. Notwithstanding the foregoing, in the event that an Offering Period is terminated prior to its expiration pursuant to Section 19, the Administrator, in its sole discretion, may determine that such Offering Period will terminate without options being exercised on the Exercise Date that otherwise would have occurred on the last Trading Day of such Purchase Period.</w:t>
      </w:r>
    </w:p>
    <w:p>
      <w:pPr>
        <w:spacing w:after="0" w:line="183" w:lineRule="exact"/>
        <w:rPr>
          <w:rFonts w:ascii="Times New Roman" w:cs="Times New Roman" w:eastAsia="Times New Roman" w:hAnsi="Times New Roman"/>
          <w:sz w:val="22"/>
          <w:szCs w:val="22"/>
          <w:color w:val="auto"/>
        </w:rPr>
      </w:pPr>
    </w:p>
    <w:p>
      <w:pPr>
        <w:ind w:left="300" w:firstLine="1288"/>
        <w:spacing w:after="0" w:line="258" w:lineRule="auto"/>
        <w:tabs>
          <w:tab w:leader="none" w:pos="196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a share of Common Stock determined as follows:</w:t>
      </w:r>
    </w:p>
    <w:p>
      <w:pPr>
        <w:spacing w:after="0" w:line="158" w:lineRule="exact"/>
        <w:rPr>
          <w:rFonts w:ascii="Times New Roman" w:cs="Times New Roman" w:eastAsia="Times New Roman" w:hAnsi="Times New Roman"/>
          <w:sz w:val="22"/>
          <w:szCs w:val="22"/>
          <w:color w:val="auto"/>
        </w:rPr>
      </w:pPr>
    </w:p>
    <w:p>
      <w:pPr>
        <w:jc w:val="both"/>
        <w:ind w:left="300" w:firstLine="2053"/>
        <w:spacing w:after="0" w:line="244" w:lineRule="auto"/>
        <w:tabs>
          <w:tab w:leader="none" w:pos="2845"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Enrollment Date of the first Offering Period under the Plan, the Fair Market Value will be the initial price to the public as set forth in the final prospectus included within the Registration Statement.</w:t>
      </w:r>
    </w:p>
    <w:p>
      <w:pPr>
        <w:spacing w:after="0" w:line="173" w:lineRule="exact"/>
        <w:rPr>
          <w:sz w:val="20"/>
          <w:szCs w:val="20"/>
          <w:color w:val="auto"/>
        </w:rPr>
      </w:pPr>
    </w:p>
    <w:p>
      <w:pPr>
        <w:jc w:val="both"/>
        <w:ind w:left="300" w:firstLine="2009"/>
        <w:spacing w:after="0" w:line="238" w:lineRule="auto"/>
        <w:rPr>
          <w:sz w:val="20"/>
          <w:szCs w:val="20"/>
          <w:color w:val="auto"/>
        </w:rPr>
      </w:pPr>
      <w:r>
        <w:rPr>
          <w:rFonts w:ascii="Times New Roman" w:cs="Times New Roman" w:eastAsia="Times New Roman" w:hAnsi="Times New Roman"/>
          <w:sz w:val="22"/>
          <w:szCs w:val="22"/>
          <w:color w:val="auto"/>
        </w:rPr>
        <w:t>(ii)For all other purposes,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w:t>
      </w: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33" w:name="page34"/>
    <w:bookmarkEnd w:id="33"/>
    <w:p>
      <w:pPr>
        <w:spacing w:after="0" w:line="221" w:lineRule="exact"/>
        <w:rPr>
          <w:sz w:val="20"/>
          <w:szCs w:val="20"/>
          <w:color w:val="auto"/>
        </w:rPr>
      </w:pPr>
    </w:p>
    <w:p>
      <w:pPr>
        <w:jc w:val="both"/>
        <w:ind w:left="300"/>
        <w:spacing w:after="0" w:line="252" w:lineRule="auto"/>
        <w:rPr>
          <w:sz w:val="20"/>
          <w:szCs w:val="20"/>
          <w:color w:val="auto"/>
        </w:rPr>
      </w:pPr>
      <w:r>
        <w:rPr>
          <w:rFonts w:ascii="Times New Roman" w:cs="Times New Roman" w:eastAsia="Times New Roman" w:hAnsi="Times New Roman"/>
          <w:sz w:val="21"/>
          <w:szCs w:val="21"/>
          <w:color w:val="auto"/>
        </w:rPr>
        <w:t xml:space="preserve">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 or</w:t>
      </w:r>
    </w:p>
    <w:p>
      <w:pPr>
        <w:spacing w:after="0" w:line="167" w:lineRule="exact"/>
        <w:rPr>
          <w:sz w:val="20"/>
          <w:szCs w:val="20"/>
          <w:color w:val="auto"/>
        </w:rPr>
      </w:pPr>
    </w:p>
    <w:p>
      <w:pPr>
        <w:ind w:left="300" w:right="280" w:firstLine="1944"/>
        <w:spacing w:after="0" w:line="258" w:lineRule="auto"/>
        <w:rPr>
          <w:sz w:val="20"/>
          <w:szCs w:val="20"/>
          <w:color w:val="auto"/>
        </w:rPr>
      </w:pPr>
      <w:r>
        <w:rPr>
          <w:rFonts w:ascii="Times New Roman" w:cs="Times New Roman" w:eastAsia="Times New Roman" w:hAnsi="Times New Roman"/>
          <w:sz w:val="22"/>
          <w:szCs w:val="22"/>
          <w:color w:val="auto"/>
        </w:rPr>
        <w:t>(iii)In the absence of an established market for the Common Stock, the Fair Market Value thereof will be determined in good faith by the Administrator.</w:t>
      </w:r>
    </w:p>
    <w:p>
      <w:pPr>
        <w:spacing w:after="0" w:line="158" w:lineRule="exact"/>
        <w:rPr>
          <w:sz w:val="20"/>
          <w:szCs w:val="20"/>
          <w:color w:val="auto"/>
        </w:rPr>
      </w:pPr>
    </w:p>
    <w:p>
      <w:pPr>
        <w:jc w:val="both"/>
        <w:ind w:left="300" w:right="240" w:firstLine="647"/>
        <w:spacing w:after="0" w:line="244" w:lineRule="auto"/>
        <w:rPr>
          <w:sz w:val="20"/>
          <w:szCs w:val="20"/>
          <w:color w:val="auto"/>
        </w:rPr>
      </w:pPr>
      <w:r>
        <w:rPr>
          <w:rFonts w:ascii="Times New Roman" w:cs="Times New Roman" w:eastAsia="Times New Roman" w:hAnsi="Times New Roman"/>
          <w:sz w:val="22"/>
          <w:szCs w:val="22"/>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73" w:lineRule="exact"/>
        <w:rPr>
          <w:sz w:val="20"/>
          <w:szCs w:val="20"/>
          <w:color w:val="auto"/>
        </w:rPr>
      </w:pPr>
    </w:p>
    <w:p>
      <w:pPr>
        <w:ind w:left="2240" w:hanging="652"/>
        <w:spacing w:after="0"/>
        <w:tabs>
          <w:tab w:leader="none" w:pos="22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rFonts w:ascii="Times New Roman" w:cs="Times New Roman" w:eastAsia="Times New Roman" w:hAnsi="Times New Roman"/>
          <w:sz w:val="22"/>
          <w:szCs w:val="22"/>
          <w:color w:val="auto"/>
        </w:rPr>
      </w:pPr>
    </w:p>
    <w:p>
      <w:pPr>
        <w:ind w:left="300" w:firstLine="1288"/>
        <w:spacing w:after="0" w:line="258" w:lineRule="auto"/>
        <w:tabs>
          <w:tab w:leader="none" w:pos="19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Exercise Date</w:t>
      </w:r>
      <w:r>
        <w:rPr>
          <w:rFonts w:ascii="Times New Roman" w:cs="Times New Roman" w:eastAsia="Times New Roman" w:hAnsi="Times New Roman"/>
          <w:sz w:val="22"/>
          <w:szCs w:val="22"/>
          <w:color w:val="auto"/>
        </w:rPr>
        <w:t>” means a new Exercise Date if the Administrator shortens any Offering Period then in progress.</w:t>
      </w:r>
    </w:p>
    <w:p>
      <w:pPr>
        <w:spacing w:after="0" w:line="158" w:lineRule="exact"/>
        <w:rPr>
          <w:rFonts w:ascii="Times New Roman" w:cs="Times New Roman" w:eastAsia="Times New Roman" w:hAnsi="Times New Roman"/>
          <w:sz w:val="22"/>
          <w:szCs w:val="22"/>
          <w:color w:val="auto"/>
        </w:rPr>
      </w:pPr>
    </w:p>
    <w:p>
      <w:pPr>
        <w:jc w:val="both"/>
        <w:ind w:left="300" w:firstLine="1288"/>
        <w:spacing w:after="0" w:line="247" w:lineRule="auto"/>
        <w:tabs>
          <w:tab w:leader="none" w:pos="196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Offering</w:t>
      </w:r>
      <w:r>
        <w:rPr>
          <w:rFonts w:ascii="Times New Roman" w:cs="Times New Roman" w:eastAsia="Times New Roman" w:hAnsi="Times New Roman"/>
          <w:sz w:val="21"/>
          <w:szCs w:val="21"/>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71" w:lineRule="exact"/>
        <w:rPr>
          <w:rFonts w:ascii="Times New Roman" w:cs="Times New Roman" w:eastAsia="Times New Roman" w:hAnsi="Times New Roman"/>
          <w:sz w:val="21"/>
          <w:szCs w:val="21"/>
          <w:color w:val="auto"/>
        </w:rPr>
      </w:pPr>
    </w:p>
    <w:p>
      <w:pPr>
        <w:jc w:val="both"/>
        <w:ind w:left="300" w:firstLine="1288"/>
        <w:spacing w:after="0" w:line="234" w:lineRule="auto"/>
        <w:tabs>
          <w:tab w:leader="none" w:pos="19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Periods</w:t>
      </w:r>
      <w:r>
        <w:rPr>
          <w:rFonts w:ascii="Times New Roman" w:cs="Times New Roman" w:eastAsia="Times New Roman" w:hAnsi="Times New Roman"/>
          <w:sz w:val="22"/>
          <w:szCs w:val="22"/>
          <w:color w:val="auto"/>
        </w:rPr>
        <w:t>” means the consecutive periods of approximately six (6) months during which an option granted pursuant to the Plan may be exercised, commencing on the first Trading Day on or after May 20 and November 20 of each year and terminating on the first Trading Day on or after November 20 and May 20, approximately six (6) months later; provided, however, that the first Offering Period under the Plan will commence with the first Trading Day on or after the date on which the Securities and Exchange Commission declares the Company’s Registration Statement effective and will end on the first Trading Day on or after May 20, 2021, and provided, further, that the second Offering Period under the Plan will commence on the first Trading Day on or after May 20, 2021. The duration and timing of Offering Periods may be changed pursuant to Sections 4, 20 and 30.</w:t>
      </w:r>
    </w:p>
    <w:p>
      <w:pPr>
        <w:spacing w:after="0" w:line="179" w:lineRule="exact"/>
        <w:rPr>
          <w:rFonts w:ascii="Times New Roman" w:cs="Times New Roman" w:eastAsia="Times New Roman" w:hAnsi="Times New Roman"/>
          <w:sz w:val="22"/>
          <w:szCs w:val="22"/>
          <w:color w:val="auto"/>
        </w:rPr>
      </w:pPr>
    </w:p>
    <w:p>
      <w:pPr>
        <w:ind w:left="300" w:firstLine="1288"/>
        <w:spacing w:after="0" w:line="258" w:lineRule="auto"/>
        <w:tabs>
          <w:tab w:leader="none" w:pos="19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Section 424(e) of the Code.</w:t>
      </w:r>
    </w:p>
    <w:p>
      <w:pPr>
        <w:spacing w:after="0" w:line="158" w:lineRule="exact"/>
        <w:rPr>
          <w:rFonts w:ascii="Times New Roman" w:cs="Times New Roman" w:eastAsia="Times New Roman" w:hAnsi="Times New Roman"/>
          <w:sz w:val="22"/>
          <w:szCs w:val="22"/>
          <w:color w:val="auto"/>
        </w:rPr>
      </w:pPr>
    </w:p>
    <w:p>
      <w:pPr>
        <w:ind w:left="2240" w:hanging="652"/>
        <w:spacing w:after="0"/>
        <w:tabs>
          <w:tab w:leader="none" w:pos="22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Eligible Employee who participates in the Plan.</w:t>
      </w:r>
    </w:p>
    <w:p>
      <w:pPr>
        <w:spacing w:after="0" w:line="206" w:lineRule="exact"/>
        <w:rPr>
          <w:rFonts w:ascii="Times New Roman" w:cs="Times New Roman" w:eastAsia="Times New Roman" w:hAnsi="Times New Roman"/>
          <w:sz w:val="22"/>
          <w:szCs w:val="22"/>
          <w:color w:val="auto"/>
        </w:rPr>
      </w:pPr>
    </w:p>
    <w:p>
      <w:pPr>
        <w:ind w:left="2240" w:hanging="652"/>
        <w:spacing w:after="0"/>
        <w:tabs>
          <w:tab w:leader="none" w:pos="22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PMV Pharmaceuticals, Inc. 2020 Employee Stock Purchase</w:t>
      </w:r>
    </w:p>
    <w:p>
      <w:pPr>
        <w:spacing w:after="0" w:line="25" w:lineRule="exact"/>
        <w:rPr>
          <w:rFonts w:ascii="Times New Roman" w:cs="Times New Roman" w:eastAsia="Times New Roman" w:hAnsi="Times New Roman"/>
          <w:sz w:val="21"/>
          <w:szCs w:val="21"/>
          <w:color w:val="auto"/>
        </w:rPr>
      </w:pPr>
    </w:p>
    <w:p>
      <w:pPr>
        <w:ind w:left="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34" w:name="page35"/>
    <w:bookmarkEnd w:id="34"/>
    <w:p>
      <w:pPr>
        <w:spacing w:after="0" w:line="225" w:lineRule="exact"/>
        <w:rPr>
          <w:sz w:val="20"/>
          <w:szCs w:val="20"/>
          <w:color w:val="auto"/>
        </w:rPr>
      </w:pPr>
    </w:p>
    <w:p>
      <w:pPr>
        <w:jc w:val="both"/>
        <w:ind w:left="300" w:firstLine="1286"/>
        <w:spacing w:after="0" w:line="235" w:lineRule="auto"/>
        <w:tabs>
          <w:tab w:leader="none" w:pos="210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Period</w:t>
      </w:r>
      <w:r>
        <w:rPr>
          <w:rFonts w:ascii="Times New Roman" w:cs="Times New Roman" w:eastAsia="Times New Roman" w:hAnsi="Times New Roman"/>
          <w:sz w:val="22"/>
          <w:szCs w:val="22"/>
          <w:color w:val="auto"/>
        </w:rPr>
        <w:t>” means the period during an Offering Period during which shares of Common Stock may be purchased on a Participant’s behalf in accordance with the terms of the Plan. For the first Offering Period, the Purchase Period will commence on the first Trading Day on or after the Registration Date and terminate on the first Trading Day on or after May 20, 2021. Unless the Administrator provides otherwise, Purchase Periods for all other Offering Periods will commence on the first Trading Day of the Offering Period and terminate on the last Trading Day of the Offering Period.</w:t>
      </w:r>
    </w:p>
    <w:p>
      <w:pPr>
        <w:spacing w:after="0" w:line="183" w:lineRule="exact"/>
        <w:rPr>
          <w:rFonts w:ascii="Times New Roman" w:cs="Times New Roman" w:eastAsia="Times New Roman" w:hAnsi="Times New Roman"/>
          <w:sz w:val="22"/>
          <w:szCs w:val="22"/>
          <w:color w:val="auto"/>
        </w:rPr>
      </w:pPr>
    </w:p>
    <w:p>
      <w:pPr>
        <w:jc w:val="both"/>
        <w:ind w:left="300" w:firstLine="1286"/>
        <w:spacing w:after="0" w:line="236" w:lineRule="auto"/>
        <w:tabs>
          <w:tab w:leader="none" w:pos="211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spacing w:after="0" w:line="181" w:lineRule="exact"/>
        <w:rPr>
          <w:rFonts w:ascii="Times New Roman" w:cs="Times New Roman" w:eastAsia="Times New Roman" w:hAnsi="Times New Roman"/>
          <w:sz w:val="22"/>
          <w:szCs w:val="22"/>
          <w:color w:val="auto"/>
        </w:rPr>
      </w:pPr>
    </w:p>
    <w:p>
      <w:pPr>
        <w:jc w:val="both"/>
        <w:ind w:left="300" w:firstLine="1286"/>
        <w:spacing w:after="0" w:line="244" w:lineRule="auto"/>
        <w:tabs>
          <w:tab w:leader="none" w:pos="207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Date</w:t>
      </w:r>
      <w:r>
        <w:rPr>
          <w:rFonts w:ascii="Times New Roman" w:cs="Times New Roman" w:eastAsia="Times New Roman" w:hAnsi="Times New Roman"/>
          <w:sz w:val="22"/>
          <w:szCs w:val="22"/>
          <w:color w:val="auto"/>
        </w:rPr>
        <w:t>” means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300" w:firstLine="1286"/>
        <w:spacing w:after="0" w:line="239" w:lineRule="auto"/>
        <w:tabs>
          <w:tab w:leader="none" w:pos="206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Code and the regulations and guidance thereunder, and formal, effective guidance of either general applicability or direct applicability thereunder, and any applicable state law equivalent, as each may be promulgated, amended or modified from time to time.</w:t>
      </w:r>
    </w:p>
    <w:p>
      <w:pPr>
        <w:spacing w:after="0" w:line="180" w:lineRule="exact"/>
        <w:rPr>
          <w:rFonts w:ascii="Times New Roman" w:cs="Times New Roman" w:eastAsia="Times New Roman" w:hAnsi="Times New Roman"/>
          <w:sz w:val="22"/>
          <w:szCs w:val="22"/>
          <w:color w:val="auto"/>
        </w:rPr>
      </w:pPr>
    </w:p>
    <w:p>
      <w:pPr>
        <w:ind w:left="300" w:firstLine="1286"/>
        <w:spacing w:after="0" w:line="258" w:lineRule="auto"/>
        <w:tabs>
          <w:tab w:leader="none" w:pos="205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whether now or hereafter existing, as defined in Section 424(f) of the Code.</w:t>
      </w:r>
    </w:p>
    <w:p>
      <w:pPr>
        <w:spacing w:after="0" w:line="158" w:lineRule="exact"/>
        <w:rPr>
          <w:rFonts w:ascii="Times New Roman" w:cs="Times New Roman" w:eastAsia="Times New Roman" w:hAnsi="Times New Roman"/>
          <w:sz w:val="22"/>
          <w:szCs w:val="22"/>
          <w:color w:val="auto"/>
        </w:rPr>
      </w:pPr>
    </w:p>
    <w:p>
      <w:pPr>
        <w:jc w:val="both"/>
        <w:ind w:left="300" w:firstLine="1286"/>
        <w:spacing w:after="0" w:line="244" w:lineRule="auto"/>
        <w:tabs>
          <w:tab w:leader="none" w:pos="20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that the primary stock exchange (or national market system, or other trading platform, as applicable) upon which the Common Stock is listed is open for trading.</w:t>
      </w:r>
    </w:p>
    <w:p>
      <w:pPr>
        <w:spacing w:after="0" w:line="173" w:lineRule="exact"/>
        <w:rPr>
          <w:rFonts w:ascii="Times New Roman" w:cs="Times New Roman" w:eastAsia="Times New Roman" w:hAnsi="Times New Roman"/>
          <w:sz w:val="22"/>
          <w:szCs w:val="22"/>
          <w:color w:val="auto"/>
        </w:rPr>
      </w:pPr>
    </w:p>
    <w:p>
      <w:pPr>
        <w:jc w:val="both"/>
        <w:ind w:left="300" w:firstLine="1286"/>
        <w:spacing w:after="0" w:line="238" w:lineRule="auto"/>
        <w:tabs>
          <w:tab w:leader="none" w:pos="206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76" w:lineRule="exact"/>
        <w:rPr>
          <w:rFonts w:ascii="Times New Roman" w:cs="Times New Roman" w:eastAsia="Times New Roman" w:hAnsi="Times New Roman"/>
          <w:sz w:val="22"/>
          <w:szCs w:val="22"/>
          <w:color w:val="auto"/>
        </w:rPr>
      </w:pPr>
    </w:p>
    <w:p>
      <w:pPr>
        <w:ind w:left="1580" w:hanging="640"/>
        <w:spacing w:after="0"/>
        <w:tabs>
          <w:tab w:leader="none" w:pos="1580"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300" w:firstLine="1288"/>
        <w:spacing w:after="0" w:line="244" w:lineRule="auto"/>
        <w:tabs>
          <w:tab w:leader="none" w:pos="1966" w:val="left"/>
        </w:tabs>
        <w:numPr>
          <w:ilvl w:val="1"/>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First Offering Period</w:t>
      </w:r>
      <w:r>
        <w:rPr>
          <w:rFonts w:ascii="Times New Roman" w:cs="Times New Roman" w:eastAsia="Times New Roman" w:hAnsi="Times New Roman"/>
          <w:sz w:val="22"/>
          <w:szCs w:val="22"/>
          <w:color w:val="auto"/>
        </w:rPr>
        <w:t>. Any individual who is an Eligible Employee immediately prior to the first Offering Period automatically will be enrolled in the first Offering Period, subject to the requirements of Section 5.</w:t>
      </w:r>
    </w:p>
    <w:p>
      <w:pPr>
        <w:spacing w:after="0" w:line="173" w:lineRule="exact"/>
        <w:rPr>
          <w:rFonts w:ascii="Times New Roman" w:cs="Times New Roman" w:eastAsia="Times New Roman" w:hAnsi="Times New Roman"/>
          <w:sz w:val="22"/>
          <w:szCs w:val="22"/>
          <w:u w:val="single" w:color="auto"/>
          <w:color w:val="auto"/>
        </w:rPr>
      </w:pPr>
    </w:p>
    <w:p>
      <w:pPr>
        <w:jc w:val="both"/>
        <w:ind w:left="300" w:firstLine="1288"/>
        <w:spacing w:after="0" w:line="244" w:lineRule="auto"/>
        <w:tabs>
          <w:tab w:leader="none" w:pos="1966" w:val="left"/>
        </w:tabs>
        <w:numPr>
          <w:ilvl w:val="1"/>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Subsequent Offering Periods</w:t>
      </w:r>
      <w:r>
        <w:rPr>
          <w:rFonts w:ascii="Times New Roman" w:cs="Times New Roman" w:eastAsia="Times New Roman" w:hAnsi="Times New Roman"/>
          <w:sz w:val="22"/>
          <w:szCs w:val="22"/>
          <w:color w:val="auto"/>
        </w:rPr>
        <w:t>. Any Eligible Employee on a given Enrollment Date subsequent to the first Offering Period will be eligible to participate in the Plan, subject to the requirements of Section 5.</w:t>
      </w:r>
    </w:p>
    <w:p>
      <w:pPr>
        <w:spacing w:after="0" w:line="11" w:lineRule="exact"/>
        <w:rPr>
          <w:rFonts w:ascii="Times New Roman" w:cs="Times New Roman" w:eastAsia="Times New Roman" w:hAnsi="Times New Roman"/>
          <w:sz w:val="22"/>
          <w:szCs w:val="22"/>
          <w:u w:val="single" w:color="auto"/>
          <w:color w:val="auto"/>
        </w:rPr>
      </w:pPr>
    </w:p>
    <w:p>
      <w:pPr>
        <w:jc w:val="both"/>
        <w:ind w:left="300" w:firstLine="1288"/>
        <w:spacing w:after="0" w:line="268" w:lineRule="auto"/>
        <w:tabs>
          <w:tab w:leader="none" w:pos="1966" w:val="left"/>
        </w:tabs>
        <w:numPr>
          <w:ilvl w:val="1"/>
          <w:numId w:val="1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Non-U.S. Employees</w:t>
      </w:r>
      <w:r>
        <w:rPr>
          <w:rFonts w:ascii="Times New Roman" w:cs="Times New Roman" w:eastAsia="Times New Roman" w:hAnsi="Times New Roman"/>
          <w:sz w:val="21"/>
          <w:szCs w:val="21"/>
          <w:color w:val="auto"/>
        </w:rPr>
        <w:t>. Eligible Employees who are citizens or residents of a non-U.S. jurisdiction (without regard to whether they also are citizens or residents of the United States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-4293235</wp:posOffset>
            </wp:positionV>
            <wp:extent cx="8534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85344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6</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35" w:name="page36"/>
    <w:bookmarkEnd w:id="35"/>
    <w:p>
      <w:pPr>
        <w:spacing w:after="0" w:line="225" w:lineRule="exact"/>
        <w:rPr>
          <w:sz w:val="20"/>
          <w:szCs w:val="20"/>
          <w:color w:val="auto"/>
        </w:rPr>
      </w:pPr>
    </w:p>
    <w:p>
      <w:pPr>
        <w:jc w:val="both"/>
        <w:ind w:left="300"/>
        <w:spacing w:after="0" w:line="235" w:lineRule="auto"/>
        <w:rPr>
          <w:sz w:val="20"/>
          <w:szCs w:val="20"/>
          <w:color w:val="auto"/>
        </w:rPr>
      </w:pPr>
      <w:r>
        <w:rPr>
          <w:rFonts w:ascii="Times New Roman" w:cs="Times New Roman" w:eastAsia="Times New Roman" w:hAnsi="Times New Roman"/>
          <w:sz w:val="22"/>
          <w:szCs w:val="22"/>
          <w:color w:val="auto"/>
        </w:rPr>
        <w:t>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an Eligible Employee may be excluded from participation in the Plan or an Offering if the Administrator has determined that participation of such Eligible Employee is not advisable or practicable.</w:t>
      </w:r>
    </w:p>
    <w:p>
      <w:pPr>
        <w:spacing w:after="0" w:line="183" w:lineRule="exact"/>
        <w:rPr>
          <w:sz w:val="20"/>
          <w:szCs w:val="20"/>
          <w:color w:val="auto"/>
        </w:rPr>
      </w:pPr>
    </w:p>
    <w:p>
      <w:pPr>
        <w:jc w:val="both"/>
        <w:ind w:left="300" w:firstLine="1288"/>
        <w:spacing w:after="0" w:line="233" w:lineRule="auto"/>
        <w:tabs>
          <w:tab w:leader="none" w:pos="1966"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82" w:lineRule="exact"/>
        <w:rPr>
          <w:sz w:val="20"/>
          <w:szCs w:val="20"/>
          <w:color w:val="auto"/>
        </w:rPr>
      </w:pPr>
    </w:p>
    <w:p>
      <w:pPr>
        <w:jc w:val="both"/>
        <w:ind w:left="360" w:firstLine="571"/>
        <w:spacing w:after="0" w:line="234" w:lineRule="auto"/>
        <w:rPr>
          <w:sz w:val="20"/>
          <w:szCs w:val="20"/>
          <w:color w:val="auto"/>
        </w:rPr>
      </w:pPr>
      <w:r>
        <w:rPr>
          <w:rFonts w:ascii="Times New Roman" w:cs="Times New Roman" w:eastAsia="Times New Roman" w:hAnsi="Times New Roman"/>
          <w:sz w:val="22"/>
          <w:szCs w:val="22"/>
          <w:u w:val="single" w:color="auto"/>
          <w:color w:val="auto"/>
        </w:rPr>
        <w:t>3.Offering Periods</w:t>
      </w:r>
      <w:r>
        <w:rPr>
          <w:rFonts w:ascii="Times New Roman" w:cs="Times New Roman" w:eastAsia="Times New Roman" w:hAnsi="Times New Roman"/>
          <w:sz w:val="22"/>
          <w:szCs w:val="22"/>
          <w:color w:val="auto"/>
        </w:rPr>
        <w:t>. The Plan will be implemented by consecutive Offering Periods with a new Offering Period commencing on the first Trading Day on or after May 20 and November 20 each year, or on such other date(s) as the Administrator will determine; provided, however, that the first Offering Period under the Plan will commence with the first Trading Day on or after the Registration Date and end on the first Trading Day on or after May 20, 2021.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83" w:lineRule="exact"/>
        <w:rPr>
          <w:sz w:val="20"/>
          <w:szCs w:val="20"/>
          <w:color w:val="auto"/>
        </w:rPr>
      </w:pPr>
    </w:p>
    <w:p>
      <w:pPr>
        <w:ind w:left="1580" w:hanging="640"/>
        <w:spacing w:after="0"/>
        <w:tabs>
          <w:tab w:leader="none" w:pos="1580"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300" w:firstLine="1288"/>
        <w:spacing w:after="0" w:line="247" w:lineRule="auto"/>
        <w:tabs>
          <w:tab w:leader="none" w:pos="1966" w:val="left"/>
        </w:tabs>
        <w:numPr>
          <w:ilvl w:val="1"/>
          <w:numId w:val="1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First Offering Period</w:t>
      </w:r>
      <w:r>
        <w:rPr>
          <w:rFonts w:ascii="Times New Roman" w:cs="Times New Roman" w:eastAsia="Times New Roman" w:hAnsi="Times New Roman"/>
          <w:sz w:val="21"/>
          <w:szCs w:val="21"/>
          <w:color w:val="auto"/>
        </w:rPr>
        <w:t xml:space="preserve">. An Eligible Employee will be entitled to continue to participate in the first Offering Period pursuant to Section 3(a) only if such individual submits a subscription agreement authorizing Contributions in a form determined by the Administrator (which may be similar to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to the Company’s designated plan administrator (i) no earlier than the effective date of the Form S-8 registration statement with respect to the issuance of Common Stock under this Plan and (ii) with respect to the first Offering Period, no later than ten (10) business days following the effective date of such Form S-8 registration statement or such other date as the Administrator may determine (the “Enrollment Window”). An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7</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36" w:name="page37"/>
    <w:bookmarkEnd w:id="36"/>
    <w:p>
      <w:pPr>
        <w:spacing w:after="0" w:line="225" w:lineRule="exact"/>
        <w:rPr>
          <w:sz w:val="20"/>
          <w:szCs w:val="20"/>
          <w:color w:val="auto"/>
        </w:rPr>
      </w:pPr>
    </w:p>
    <w:p>
      <w:pPr>
        <w:ind w:left="300" w:right="200"/>
        <w:spacing w:after="0" w:line="258" w:lineRule="auto"/>
        <w:rPr>
          <w:sz w:val="20"/>
          <w:szCs w:val="20"/>
          <w:color w:val="auto"/>
        </w:rPr>
      </w:pPr>
      <w:r>
        <w:rPr>
          <w:rFonts w:ascii="Times New Roman" w:cs="Times New Roman" w:eastAsia="Times New Roman" w:hAnsi="Times New Roman"/>
          <w:sz w:val="22"/>
          <w:szCs w:val="22"/>
          <w:color w:val="auto"/>
        </w:rPr>
        <w:t>Employee’s failure to submit the subscription agreement during the Enrollment Window will result in the automatic termination of such individual’s participation in the first Offering Period.</w:t>
      </w:r>
    </w:p>
    <w:p>
      <w:pPr>
        <w:spacing w:after="0" w:line="158" w:lineRule="exact"/>
        <w:rPr>
          <w:sz w:val="20"/>
          <w:szCs w:val="20"/>
          <w:color w:val="auto"/>
        </w:rPr>
      </w:pPr>
    </w:p>
    <w:p>
      <w:pPr>
        <w:jc w:val="both"/>
        <w:ind w:left="300" w:firstLine="1288"/>
        <w:spacing w:after="0" w:line="236" w:lineRule="auto"/>
        <w:tabs>
          <w:tab w:leader="none" w:pos="1966" w:val="left"/>
        </w:tabs>
        <w:numPr>
          <w:ilvl w:val="1"/>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Subsequent Offering Periods</w:t>
      </w:r>
      <w:r>
        <w:rPr>
          <w:rFonts w:ascii="Times New Roman" w:cs="Times New Roman" w:eastAsia="Times New Roman" w:hAnsi="Times New Roman"/>
          <w:sz w:val="22"/>
          <w:szCs w:val="22"/>
          <w:color w:val="auto"/>
        </w:rPr>
        <w:t>. An Eligible Employee may participate in the Plan pursuant to Section 3(b)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181" w:lineRule="exact"/>
        <w:rPr>
          <w:rFonts w:ascii="Times New Roman" w:cs="Times New Roman" w:eastAsia="Times New Roman" w:hAnsi="Times New Roman"/>
          <w:sz w:val="22"/>
          <w:szCs w:val="22"/>
          <w:u w:val="single" w:color="auto"/>
          <w:color w:val="auto"/>
        </w:rPr>
      </w:pPr>
    </w:p>
    <w:p>
      <w:pPr>
        <w:ind w:left="1580" w:hanging="640"/>
        <w:spacing w:after="0"/>
        <w:tabs>
          <w:tab w:leader="none" w:pos="1580" w:val="left"/>
        </w:tabs>
        <w:numPr>
          <w:ilvl w:val="0"/>
          <w:numId w:val="2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Contributions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300" w:firstLine="1288"/>
        <w:spacing w:after="0" w:line="233" w:lineRule="auto"/>
        <w:tabs>
          <w:tab w:leader="none" w:pos="196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 with respect to which that Exercise Date relates.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84" w:lineRule="exact"/>
        <w:rPr>
          <w:rFonts w:ascii="Times New Roman" w:cs="Times New Roman" w:eastAsia="Times New Roman" w:hAnsi="Times New Roman"/>
          <w:sz w:val="22"/>
          <w:szCs w:val="22"/>
          <w:color w:val="auto"/>
        </w:rPr>
      </w:pPr>
    </w:p>
    <w:p>
      <w:pPr>
        <w:jc w:val="both"/>
        <w:ind w:left="300" w:firstLine="1288"/>
        <w:spacing w:after="0" w:line="236" w:lineRule="auto"/>
        <w:tabs>
          <w:tab w:leader="none" w:pos="196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spacing w:after="0" w:line="181" w:lineRule="exact"/>
        <w:rPr>
          <w:rFonts w:ascii="Times New Roman" w:cs="Times New Roman" w:eastAsia="Times New Roman" w:hAnsi="Times New Roman"/>
          <w:sz w:val="22"/>
          <w:szCs w:val="22"/>
          <w:color w:val="auto"/>
        </w:rPr>
      </w:pPr>
    </w:p>
    <w:p>
      <w:pPr>
        <w:jc w:val="both"/>
        <w:ind w:left="300" w:firstLine="1288"/>
        <w:spacing w:after="0" w:line="244" w:lineRule="auto"/>
        <w:tabs>
          <w:tab w:leader="none" w:pos="196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73" w:lineRule="exact"/>
        <w:rPr>
          <w:rFonts w:ascii="Times New Roman" w:cs="Times New Roman" w:eastAsia="Times New Roman" w:hAnsi="Times New Roman"/>
          <w:sz w:val="22"/>
          <w:szCs w:val="22"/>
          <w:color w:val="auto"/>
        </w:rPr>
      </w:pPr>
    </w:p>
    <w:p>
      <w:pPr>
        <w:jc w:val="both"/>
        <w:ind w:left="300" w:firstLine="1288"/>
        <w:spacing w:after="0" w:line="246" w:lineRule="auto"/>
        <w:tabs>
          <w:tab w:leader="none" w:pos="1966"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may discontinue his or her participation in the Plan as provided under Section 10. Until and unless determined otherwise by the Administrator, in its sole discretion, during any Purchase Period, a Participant may not increase the rate of his or her Contributions and may only decrease the rate of his or her Contributions one (1) time. A Participant may make a Contribution rate adjustment pursuant to this subsection (d) by (i) properly completing and submitting to the Company’s stock administration office (or its designee), a new subscription agreement authorizing the change in Contribution rate in the form provided by the Administrator for such purpose, or (ii) following an electronic or other procedure prescribed by the Administrator, in either case, on or before a date determined by the Administrator prior to (x) the scheduled beginning of the first Offering Period to be affected or (y) an applicable Exercise Date, as applicable. If a</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8</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37" w:name="page38"/>
    <w:bookmarkEnd w:id="37"/>
    <w:p>
      <w:pPr>
        <w:spacing w:after="0" w:line="225" w:lineRule="exact"/>
        <w:rPr>
          <w:sz w:val="20"/>
          <w:szCs w:val="20"/>
          <w:color w:val="auto"/>
        </w:rPr>
      </w:pPr>
    </w:p>
    <w:p>
      <w:pPr>
        <w:jc w:val="both"/>
        <w:ind w:left="300"/>
        <w:spacing w:after="0" w:line="233" w:lineRule="auto"/>
        <w:rPr>
          <w:sz w:val="20"/>
          <w:szCs w:val="20"/>
          <w:color w:val="auto"/>
        </w:rPr>
      </w:pPr>
      <w:r>
        <w:rPr>
          <w:rFonts w:ascii="Times New Roman" w:cs="Times New Roman" w:eastAsia="Times New Roman" w:hAnsi="Times New Roman"/>
          <w:sz w:val="22"/>
          <w:szCs w:val="22"/>
          <w:color w:val="auto"/>
        </w:rPr>
        <w:t>Participant has not followed such procedures to change the rate of Contributions, the rate of his or her Contributions will continue at the originally elected rate throughout the Purchase Period and future Offering Periods and Purchase Periods (unless the Participant’s participation is terminated as provided in Sections 10 or 11). The Administrator may, in its sole discretion, limit or amend the nature and/or number of Contribution rate changes (including to permit, prohibit and/or limit increases and/or decreases to rate changes) that may be made by Participants during any Offering Period or Purchase Period, and may establish such other conditions or limitations as it deems appropriate for Plan administration. Any change in the rate of Contributions made pursuant to this Section 6(d) will be effective as of the first full payroll period following five (5) business days after the date on which the change is made by the Participant (unless the Administrator, in its sole discretion, elects to process a given change in payroll deduction rate more quickly).</w:t>
      </w:r>
    </w:p>
    <w:p>
      <w:pPr>
        <w:spacing w:after="0" w:line="187" w:lineRule="exact"/>
        <w:rPr>
          <w:sz w:val="20"/>
          <w:szCs w:val="20"/>
          <w:color w:val="auto"/>
        </w:rPr>
      </w:pPr>
    </w:p>
    <w:p>
      <w:pPr>
        <w:jc w:val="both"/>
        <w:ind w:left="300" w:firstLine="1288"/>
        <w:spacing w:after="0" w:line="238" w:lineRule="auto"/>
        <w:tabs>
          <w:tab w:leader="none" w:pos="196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to the extent necessary to comply with Section 423(b)(8) of the Code and Section 3(d), a Participant’s Contributions may be decreased to zero percent (0%) by the Administrator at any time during a Purchase Period. Subject to Section 423(b)</w:t>
      </w:r>
    </w:p>
    <w:p>
      <w:pPr>
        <w:jc w:val="both"/>
        <w:ind w:left="300" w:hanging="8"/>
        <w:spacing w:after="0" w:line="235" w:lineRule="auto"/>
        <w:tabs>
          <w:tab w:leader="none" w:pos="60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77" w:lineRule="exact"/>
        <w:rPr>
          <w:rFonts w:ascii="Times New Roman" w:cs="Times New Roman" w:eastAsia="Times New Roman" w:hAnsi="Times New Roman"/>
          <w:sz w:val="22"/>
          <w:szCs w:val="22"/>
          <w:color w:val="auto"/>
        </w:rPr>
      </w:pPr>
    </w:p>
    <w:p>
      <w:pPr>
        <w:jc w:val="both"/>
        <w:ind w:left="300" w:firstLine="1288"/>
        <w:spacing w:after="0" w:line="238" w:lineRule="auto"/>
        <w:tabs>
          <w:tab w:leader="none" w:pos="196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provisions to the contrary in the Plan, the Administrator may allow Participants to participate in the Plan via cash contributions instead of payroll deductions if (i) payroll deductions are not permitted or advisable under Applicable Laws, (ii) the Administrator determines that cash contributions are permissible under Section 423 of the Code; or (iii) the Participants are participating in the Non-423 Component.</w:t>
      </w:r>
    </w:p>
    <w:p>
      <w:pPr>
        <w:spacing w:after="0" w:line="176" w:lineRule="exact"/>
        <w:rPr>
          <w:rFonts w:ascii="Times New Roman" w:cs="Times New Roman" w:eastAsia="Times New Roman" w:hAnsi="Times New Roman"/>
          <w:sz w:val="22"/>
          <w:szCs w:val="22"/>
          <w:color w:val="auto"/>
        </w:rPr>
      </w:pPr>
    </w:p>
    <w:p>
      <w:pPr>
        <w:jc w:val="both"/>
        <w:ind w:left="300" w:firstLine="1288"/>
        <w:spacing w:after="0" w:line="233" w:lineRule="auto"/>
        <w:tabs>
          <w:tab w:leader="none" w:pos="196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177" w:lineRule="exact"/>
        <w:rPr>
          <w:sz w:val="20"/>
          <w:szCs w:val="20"/>
          <w:color w:val="auto"/>
        </w:rPr>
      </w:pPr>
    </w:p>
    <w:p>
      <w:pPr>
        <w:jc w:val="both"/>
        <w:ind w:left="300"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6.Grant of Option</w:t>
      </w:r>
      <w:r>
        <w:rPr>
          <w:rFonts w:ascii="Times New Roman" w:cs="Times New Roman" w:eastAsia="Times New Roman" w:hAnsi="Times New Roman"/>
          <w:sz w:val="22"/>
          <w:szCs w:val="22"/>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w:t>
      </w: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9</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38" w:name="page39"/>
    <w:bookmarkEnd w:id="38"/>
    <w:p>
      <w:pPr>
        <w:spacing w:after="0" w:line="225" w:lineRule="exact"/>
        <w:rPr>
          <w:sz w:val="20"/>
          <w:szCs w:val="20"/>
          <w:color w:val="auto"/>
        </w:rPr>
      </w:pPr>
    </w:p>
    <w:p>
      <w:pPr>
        <w:jc w:val="both"/>
        <w:ind w:left="300"/>
        <w:spacing w:after="0" w:line="233" w:lineRule="auto"/>
        <w:rPr>
          <w:sz w:val="20"/>
          <w:szCs w:val="20"/>
          <w:color w:val="auto"/>
        </w:rPr>
      </w:pPr>
      <w:r>
        <w:rPr>
          <w:rFonts w:ascii="Times New Roman" w:cs="Times New Roman" w:eastAsia="Times New Roman" w:hAnsi="Times New Roman"/>
          <w:sz w:val="22"/>
          <w:szCs w:val="22"/>
          <w:color w:val="auto"/>
        </w:rPr>
        <w:t>Exercise Date by the applicable Purchase Price; provided that in no event will an Eligible Employee be permitted to purchase during each Purchase Period more than 25,000 shares of Common Stock (subject to any adjustment pursuant to Section 18, but only with respect to adjustments occurring after the Registration Date) and provided further that such purchase will be subject to the limitations set forth in Sections 3(d) and 13 and in the subscription agreement.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and/or Offering Period, as applicable. Exercise of the option will occur as provided in Section 8, unless the Participant has withdrawn pursuant to Section 10 (or Participant’s participation is terminated as provided in Section 11). The option will expire on the last day of the Offering Period.</w:t>
      </w:r>
    </w:p>
    <w:p>
      <w:pPr>
        <w:spacing w:after="0" w:line="177" w:lineRule="exact"/>
        <w:rPr>
          <w:sz w:val="20"/>
          <w:szCs w:val="20"/>
          <w:color w:val="auto"/>
        </w:rPr>
      </w:pPr>
    </w:p>
    <w:p>
      <w:pPr>
        <w:ind w:left="1580" w:hanging="640"/>
        <w:spacing w:after="0"/>
        <w:tabs>
          <w:tab w:leader="none" w:pos="1580" w:val="left"/>
        </w:tabs>
        <w:numPr>
          <w:ilvl w:val="0"/>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300" w:firstLine="1288"/>
        <w:spacing w:after="0" w:line="233" w:lineRule="auto"/>
        <w:tabs>
          <w:tab w:leader="none" w:pos="196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Participant withdraws from the Plan as provided in Section 9 (or Participant’s participation is terminated as provided in Section 11), his or her option for the purchase of shares of Common Stock will be exercised automatically on each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 9 (or the earlier termination of Participant’s participation as provided in Section 11).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82" w:lineRule="exact"/>
        <w:rPr>
          <w:rFonts w:ascii="Times New Roman" w:cs="Times New Roman" w:eastAsia="Times New Roman" w:hAnsi="Times New Roman"/>
          <w:sz w:val="22"/>
          <w:szCs w:val="22"/>
          <w:color w:val="auto"/>
        </w:rPr>
      </w:pPr>
    </w:p>
    <w:p>
      <w:pPr>
        <w:jc w:val="both"/>
        <w:ind w:left="300" w:firstLine="1288"/>
        <w:spacing w:after="0" w:line="244" w:lineRule="auto"/>
        <w:tabs>
          <w:tab w:leader="none" w:pos="196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w:t>
      </w: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10</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39" w:name="page40"/>
    <w:bookmarkEnd w:id="39"/>
    <w:p>
      <w:pPr>
        <w:spacing w:after="0" w:line="225" w:lineRule="exact"/>
        <w:rPr>
          <w:sz w:val="20"/>
          <w:szCs w:val="20"/>
          <w:color w:val="auto"/>
        </w:rPr>
      </w:pPr>
    </w:p>
    <w:p>
      <w:pPr>
        <w:jc w:val="both"/>
        <w:ind w:left="300"/>
        <w:spacing w:after="0" w:line="239" w:lineRule="auto"/>
        <w:rPr>
          <w:sz w:val="20"/>
          <w:szCs w:val="20"/>
          <w:color w:val="auto"/>
        </w:rPr>
      </w:pPr>
      <w:r>
        <w:rPr>
          <w:rFonts w:ascii="Times New Roman" w:cs="Times New Roman" w:eastAsia="Times New Roman" w:hAnsi="Times New Roman"/>
          <w:sz w:val="22"/>
          <w:szCs w:val="22"/>
          <w:color w:val="auto"/>
        </w:rPr>
        <w:t>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80" w:lineRule="exact"/>
        <w:rPr>
          <w:sz w:val="20"/>
          <w:szCs w:val="20"/>
          <w:color w:val="auto"/>
        </w:rPr>
      </w:pPr>
    </w:p>
    <w:p>
      <w:pPr>
        <w:jc w:val="both"/>
        <w:ind w:left="300" w:firstLine="648"/>
        <w:spacing w:after="0" w:line="233" w:lineRule="auto"/>
        <w:rPr>
          <w:sz w:val="20"/>
          <w:szCs w:val="20"/>
          <w:color w:val="auto"/>
        </w:rPr>
      </w:pPr>
      <w:r>
        <w:rPr>
          <w:rFonts w:ascii="Times New Roman" w:cs="Times New Roman" w:eastAsia="Times New Roman" w:hAnsi="Times New Roman"/>
          <w:sz w:val="22"/>
          <w:szCs w:val="22"/>
          <w:u w:val="single" w:color="auto"/>
          <w:color w:val="auto"/>
        </w:rPr>
        <w:t>8.Delivery</w:t>
      </w:r>
      <w:r>
        <w:rPr>
          <w:rFonts w:ascii="Times New Roman" w:cs="Times New Roman" w:eastAsia="Times New Roman" w:hAnsi="Times New Roman"/>
          <w:sz w:val="22"/>
          <w:szCs w:val="22"/>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85" w:lineRule="exact"/>
        <w:rPr>
          <w:sz w:val="20"/>
          <w:szCs w:val="20"/>
          <w:color w:val="auto"/>
        </w:rPr>
      </w:pPr>
    </w:p>
    <w:p>
      <w:pPr>
        <w:ind w:left="1580" w:hanging="640"/>
        <w:spacing w:after="0"/>
        <w:tabs>
          <w:tab w:leader="none" w:pos="1580" w:val="left"/>
        </w:tabs>
        <w:numPr>
          <w:ilvl w:val="1"/>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Withdrawal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left="300" w:right="20" w:firstLine="1288"/>
        <w:spacing w:after="0" w:line="241" w:lineRule="auto"/>
        <w:tabs>
          <w:tab w:leader="none" w:pos="1966"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withdraw all but not less than all the Contributions credited to his or her account and not yet used to exercise his or her option under the Plan at any time by</w:t>
      </w:r>
    </w:p>
    <w:p>
      <w:pPr>
        <w:spacing w:after="0" w:line="1" w:lineRule="exact"/>
        <w:rPr>
          <w:rFonts w:ascii="Times New Roman" w:cs="Times New Roman" w:eastAsia="Times New Roman" w:hAnsi="Times New Roman"/>
          <w:sz w:val="22"/>
          <w:szCs w:val="22"/>
          <w:color w:val="auto"/>
        </w:rPr>
      </w:pPr>
    </w:p>
    <w:p>
      <w:pPr>
        <w:jc w:val="both"/>
        <w:ind w:left="300" w:hanging="9"/>
        <w:spacing w:after="0" w:line="231" w:lineRule="auto"/>
        <w:tabs>
          <w:tab w:leader="none" w:pos="5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or (ii)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86" w:lineRule="exact"/>
        <w:rPr>
          <w:rFonts w:ascii="Times New Roman" w:cs="Times New Roman" w:eastAsia="Times New Roman" w:hAnsi="Times New Roman"/>
          <w:sz w:val="22"/>
          <w:szCs w:val="22"/>
          <w:color w:val="auto"/>
        </w:rPr>
      </w:pPr>
    </w:p>
    <w:p>
      <w:pPr>
        <w:jc w:val="both"/>
        <w:ind w:left="300" w:firstLine="1288"/>
        <w:spacing w:after="0" w:line="239" w:lineRule="auto"/>
        <w:tabs>
          <w:tab w:leader="none" w:pos="1966"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80" w:lineRule="exact"/>
        <w:rPr>
          <w:sz w:val="20"/>
          <w:szCs w:val="20"/>
          <w:color w:val="auto"/>
        </w:rPr>
      </w:pPr>
    </w:p>
    <w:p>
      <w:pPr>
        <w:jc w:val="both"/>
        <w:ind w:left="300"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10.Termination of Employment</w:t>
      </w:r>
      <w:r>
        <w:rPr>
          <w:rFonts w:ascii="Times New Roman" w:cs="Times New Roman" w:eastAsia="Times New Roman" w:hAnsi="Times New Roman"/>
          <w:sz w:val="22"/>
          <w:szCs w:val="22"/>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otherwise provided by the Administrator, a Participant whose</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11</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40" w:name="page41"/>
    <w:bookmarkEnd w:id="40"/>
    <w:p>
      <w:pPr>
        <w:spacing w:after="0" w:line="225" w:lineRule="exact"/>
        <w:rPr>
          <w:sz w:val="20"/>
          <w:szCs w:val="20"/>
          <w:color w:val="auto"/>
        </w:rPr>
      </w:pPr>
    </w:p>
    <w:p>
      <w:pPr>
        <w:jc w:val="both"/>
        <w:ind w:left="300"/>
        <w:spacing w:after="0" w:line="234" w:lineRule="auto"/>
        <w:rPr>
          <w:sz w:val="20"/>
          <w:szCs w:val="20"/>
          <w:color w:val="auto"/>
        </w:rPr>
      </w:pPr>
      <w:r>
        <w:rPr>
          <w:rFonts w:ascii="Times New Roman" w:cs="Times New Roman" w:eastAsia="Times New Roman" w:hAnsi="Times New Roman"/>
          <w:sz w:val="22"/>
          <w:szCs w:val="22"/>
          <w:color w:val="auto"/>
        </w:rPr>
        <w:t>employment transfers between entities through a termination with an immediate rehire (with no break in service) by the Company or a Designated Company will not be treated as terminated under the Plan. The Administrator may establish rules to govern transfers of employment among the Company and any Designated Company, consistent with any applicable requirements of Section 423 of the Code and the terms of the Plan. In addition, the Administrator may establish rules to govern transfers of employment among the Company and any Designated Company where such companies are participating in separate Offerings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spacing w:after="0" w:line="179" w:lineRule="exact"/>
        <w:rPr>
          <w:sz w:val="20"/>
          <w:szCs w:val="20"/>
          <w:color w:val="auto"/>
        </w:rPr>
      </w:pPr>
    </w:p>
    <w:p>
      <w:pPr>
        <w:jc w:val="both"/>
        <w:ind w:left="300"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11.Interest</w:t>
      </w:r>
      <w:r>
        <w:rPr>
          <w:rFonts w:ascii="Times New Roman" w:cs="Times New Roman" w:eastAsia="Times New Roman" w:hAnsi="Times New Roman"/>
          <w:sz w:val="22"/>
          <w:szCs w:val="22"/>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w:t>
      </w:r>
    </w:p>
    <w:p>
      <w:pPr>
        <w:ind w:left="300"/>
        <w:spacing w:after="0" w:line="230" w:lineRule="auto"/>
        <w:rPr>
          <w:sz w:val="20"/>
          <w:szCs w:val="20"/>
          <w:color w:val="auto"/>
        </w:rPr>
      </w:pPr>
      <w:r>
        <w:rPr>
          <w:rFonts w:ascii="Times New Roman" w:cs="Times New Roman" w:eastAsia="Times New Roman" w:hAnsi="Times New Roman"/>
          <w:sz w:val="22"/>
          <w:szCs w:val="22"/>
          <w:color w:val="auto"/>
        </w:rPr>
        <w:t>423 Component, except to the extent otherwise permitted by U.S. Treasury Regulation Section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1.423-2(f).</w:t>
      </w:r>
    </w:p>
    <w:p>
      <w:pPr>
        <w:spacing w:after="0" w:line="182" w:lineRule="exact"/>
        <w:rPr>
          <w:sz w:val="20"/>
          <w:szCs w:val="20"/>
          <w:color w:val="auto"/>
        </w:rPr>
      </w:pPr>
    </w:p>
    <w:p>
      <w:pPr>
        <w:ind w:left="1580" w:hanging="640"/>
        <w:spacing w:after="0"/>
        <w:tabs>
          <w:tab w:leader="none" w:pos="158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300" w:firstLine="1288"/>
        <w:spacing w:after="0" w:line="234" w:lineRule="auto"/>
        <w:tabs>
          <w:tab w:leader="none" w:pos="196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adjustment upon changes in capitalization of the Company as provided in Section 18 hereof, the maximum number of shares of Common Stock that will be made available for sale under the Plan will be 2,110,000 shares of Common Stock. The number of shares of Common Stock available for issuance under the Plan will be increased on the first day of each Fiscal Year beginning with the 2021 Fiscal Year equal to the least of (i) 4,220,000 shares of Common Stock, (ii) one percent (1%) of the outstanding shares of Common Stock on the last day of the immediately preceding Fiscal Year, or (iii) an amount determined by the Administrator no later than the last day of the immediately preceding Fiscal Year. The shares of Common Stock may be authorized, but unissued, or reacquired Common Stock.</w:t>
      </w:r>
    </w:p>
    <w:p>
      <w:pPr>
        <w:spacing w:after="0" w:line="183" w:lineRule="exact"/>
        <w:rPr>
          <w:rFonts w:ascii="Times New Roman" w:cs="Times New Roman" w:eastAsia="Times New Roman" w:hAnsi="Times New Roman"/>
          <w:sz w:val="22"/>
          <w:szCs w:val="22"/>
          <w:color w:val="auto"/>
        </w:rPr>
      </w:pPr>
    </w:p>
    <w:p>
      <w:pPr>
        <w:jc w:val="both"/>
        <w:ind w:left="300" w:firstLine="1288"/>
        <w:spacing w:after="0" w:line="238" w:lineRule="auto"/>
        <w:tabs>
          <w:tab w:leader="none" w:pos="196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176" w:lineRule="exact"/>
        <w:rPr>
          <w:rFonts w:ascii="Times New Roman" w:cs="Times New Roman" w:eastAsia="Times New Roman" w:hAnsi="Times New Roman"/>
          <w:sz w:val="22"/>
          <w:szCs w:val="22"/>
          <w:color w:val="auto"/>
        </w:rPr>
      </w:pPr>
    </w:p>
    <w:p>
      <w:pPr>
        <w:jc w:val="both"/>
        <w:ind w:left="300" w:firstLine="1288"/>
        <w:spacing w:after="0" w:line="244" w:lineRule="auto"/>
        <w:tabs>
          <w:tab w:leader="none" w:pos="196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to be delivered to a Participant under the Plan will be registered in the name of the Participant or, if so required under Applicable Laws, in the name of the Participant and his or her spouse.</w:t>
      </w:r>
    </w:p>
    <w:p>
      <w:pPr>
        <w:spacing w:after="0" w:line="173" w:lineRule="exact"/>
        <w:rPr>
          <w:sz w:val="20"/>
          <w:szCs w:val="20"/>
          <w:color w:val="auto"/>
        </w:rPr>
      </w:pPr>
    </w:p>
    <w:p>
      <w:pPr>
        <w:jc w:val="both"/>
        <w:ind w:left="300" w:firstLine="648"/>
        <w:spacing w:after="0" w:line="248" w:lineRule="auto"/>
        <w:rPr>
          <w:sz w:val="20"/>
          <w:szCs w:val="20"/>
          <w:color w:val="auto"/>
        </w:rPr>
      </w:pPr>
      <w:r>
        <w:rPr>
          <w:rFonts w:ascii="Times New Roman" w:cs="Times New Roman" w:eastAsia="Times New Roman" w:hAnsi="Times New Roman"/>
          <w:sz w:val="21"/>
          <w:szCs w:val="21"/>
          <w:u w:val="single" w:color="auto"/>
          <w:color w:val="auto"/>
        </w:rPr>
        <w:t>13.Administration</w:t>
      </w:r>
      <w:r>
        <w:rPr>
          <w:rFonts w:ascii="Times New Roman" w:cs="Times New Roman" w:eastAsia="Times New Roman" w:hAnsi="Times New Roman"/>
          <w:sz w:val="21"/>
          <w:szCs w:val="21"/>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or advisable for the</w:t>
      </w: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12</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41" w:name="page42"/>
    <w:bookmarkEnd w:id="41"/>
    <w:p>
      <w:pPr>
        <w:spacing w:after="0" w:line="225" w:lineRule="exact"/>
        <w:rPr>
          <w:sz w:val="20"/>
          <w:szCs w:val="20"/>
          <w:color w:val="auto"/>
        </w:rPr>
      </w:pPr>
    </w:p>
    <w:p>
      <w:pPr>
        <w:jc w:val="both"/>
        <w:ind w:left="300"/>
        <w:spacing w:after="0" w:line="232" w:lineRule="auto"/>
        <w:rPr>
          <w:sz w:val="20"/>
          <w:szCs w:val="20"/>
          <w:color w:val="auto"/>
        </w:rPr>
      </w:pPr>
      <w:r>
        <w:rPr>
          <w:rFonts w:ascii="Times New Roman" w:cs="Times New Roman" w:eastAsia="Times New Roman" w:hAnsi="Times New Roman"/>
          <w:sz w:val="22"/>
          <w:szCs w:val="22"/>
          <w:color w:val="auto"/>
        </w:rPr>
        <w:t>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rules, procedures, sub-plans and appendices may take precedence over other provisions of this Plan, with the exception of Section 13(a) hereof, but unless otherwise superseded by the terms of such rules, procedures, sub-plan or appendix, the provisions of this Plan will govern the operation of such rules, procedure,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80" w:lineRule="exact"/>
        <w:rPr>
          <w:sz w:val="20"/>
          <w:szCs w:val="20"/>
          <w:color w:val="auto"/>
        </w:rPr>
      </w:pPr>
    </w:p>
    <w:p>
      <w:pPr>
        <w:jc w:val="both"/>
        <w:ind w:left="300" w:firstLine="640"/>
        <w:spacing w:after="0" w:line="236" w:lineRule="auto"/>
        <w:tabs>
          <w:tab w:leader="none" w:pos="1285"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81" w:lineRule="exact"/>
        <w:rPr>
          <w:sz w:val="20"/>
          <w:szCs w:val="20"/>
          <w:color w:val="auto"/>
        </w:rPr>
      </w:pPr>
    </w:p>
    <w:p>
      <w:pPr>
        <w:jc w:val="both"/>
        <w:ind w:left="300" w:firstLine="648"/>
        <w:spacing w:after="0" w:line="246" w:lineRule="auto"/>
        <w:rPr>
          <w:sz w:val="20"/>
          <w:szCs w:val="20"/>
          <w:color w:val="auto"/>
        </w:rPr>
      </w:pPr>
      <w:r>
        <w:rPr>
          <w:rFonts w:ascii="Times New Roman" w:cs="Times New Roman" w:eastAsia="Times New Roman" w:hAnsi="Times New Roman"/>
          <w:sz w:val="21"/>
          <w:szCs w:val="21"/>
          <w:u w:val="single" w:color="auto"/>
          <w:color w:val="auto"/>
        </w:rPr>
        <w:t>15.Use of Funds</w:t>
      </w:r>
      <w:r>
        <w:rPr>
          <w:rFonts w:ascii="Times New Roman" w:cs="Times New Roman" w:eastAsia="Times New Roman" w:hAnsi="Times New Roman"/>
          <w:sz w:val="21"/>
          <w:szCs w:val="21"/>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 Section 1.423-2(f). Until shares of Common Stock are issued, Participants will only have the rights of an unsecured creditor with respect to such shares.</w:t>
      </w:r>
    </w:p>
    <w:p>
      <w:pPr>
        <w:spacing w:after="0" w:line="175" w:lineRule="exact"/>
        <w:rPr>
          <w:sz w:val="20"/>
          <w:szCs w:val="20"/>
          <w:color w:val="auto"/>
        </w:rPr>
      </w:pPr>
    </w:p>
    <w:p>
      <w:pPr>
        <w:jc w:val="both"/>
        <w:ind w:left="300"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16.Reports</w:t>
      </w:r>
      <w:r>
        <w:rPr>
          <w:rFonts w:ascii="Times New Roman" w:cs="Times New Roman" w:eastAsia="Times New Roman" w:hAnsi="Times New Roman"/>
          <w:sz w:val="22"/>
          <w:szCs w:val="22"/>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8" w:lineRule="exact"/>
        <w:rPr>
          <w:sz w:val="20"/>
          <w:szCs w:val="20"/>
          <w:color w:val="auto"/>
        </w:rPr>
      </w:pPr>
    </w:p>
    <w:p>
      <w:pPr>
        <w:ind w:left="1580" w:hanging="640"/>
        <w:spacing w:after="0"/>
        <w:tabs>
          <w:tab w:leader="none" w:pos="1580" w:val="left"/>
        </w:tabs>
        <w:numPr>
          <w:ilvl w:val="0"/>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Adjustments, Dissolution, Liquidation, Merger or Change in Control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left="1960" w:hanging="372"/>
        <w:spacing w:after="0"/>
        <w:tabs>
          <w:tab w:leader="none" w:pos="1960" w:val="left"/>
        </w:tabs>
        <w:numPr>
          <w:ilvl w:val="1"/>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that any dividend or other distribution (whether in the</w:t>
      </w:r>
    </w:p>
    <w:p>
      <w:pPr>
        <w:ind w:left="200"/>
        <w:spacing w:after="0" w:line="195" w:lineRule="auto"/>
        <w:rPr>
          <w:sz w:val="20"/>
          <w:szCs w:val="20"/>
          <w:color w:val="auto"/>
        </w:rPr>
      </w:pPr>
      <w:r>
        <w:rPr>
          <w:rFonts w:ascii="Times New Roman" w:cs="Times New Roman" w:eastAsia="Times New Roman" w:hAnsi="Times New Roman"/>
          <w:sz w:val="22"/>
          <w:szCs w:val="22"/>
          <w:color w:val="auto"/>
        </w:rPr>
        <w:t>13</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521335</wp:posOffset>
            </wp:positionV>
            <wp:extent cx="573468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42" w:name="page43"/>
    <w:bookmarkEnd w:id="42"/>
    <w:p>
      <w:pPr>
        <w:spacing w:after="0" w:line="374" w:lineRule="exact"/>
        <w:rPr>
          <w:sz w:val="20"/>
          <w:szCs w:val="20"/>
          <w:color w:val="auto"/>
        </w:rPr>
      </w:pPr>
    </w:p>
    <w:p>
      <w:pPr>
        <w:jc w:val="both"/>
        <w:ind w:left="300"/>
        <w:spacing w:after="0" w:line="234" w:lineRule="auto"/>
        <w:rPr>
          <w:sz w:val="20"/>
          <w:szCs w:val="20"/>
          <w:color w:val="auto"/>
        </w:rPr>
      </w:pPr>
      <w:r>
        <w:rPr>
          <w:rFonts w:ascii="Times New Roman" w:cs="Times New Roman" w:eastAsia="Times New Roman" w:hAnsi="Times New Roman"/>
          <w:sz w:val="22"/>
          <w:szCs w:val="22"/>
          <w:color w:val="auto"/>
        </w:rPr>
        <w:t>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in such manner as it may deem equitable, adjust the number and class of Common Stock that may be delivered under the Plan, the Purchase Price per share, the class and the number of shares of Common Stock covered by each option under the Plan that has not yet been exercised, and the numerical limits of Sections 7 and 13.</w:t>
      </w:r>
    </w:p>
    <w:p>
      <w:pPr>
        <w:spacing w:after="0" w:line="179" w:lineRule="exact"/>
        <w:rPr>
          <w:sz w:val="20"/>
          <w:szCs w:val="20"/>
          <w:color w:val="auto"/>
        </w:rPr>
      </w:pPr>
    </w:p>
    <w:p>
      <w:pPr>
        <w:jc w:val="both"/>
        <w:ind w:left="300" w:firstLine="1288"/>
        <w:spacing w:after="0" w:line="234" w:lineRule="auto"/>
        <w:tabs>
          <w:tab w:leader="none" w:pos="1966" w:val="left"/>
        </w:tabs>
        <w:numPr>
          <w:ilvl w:val="1"/>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83" w:lineRule="exact"/>
        <w:rPr>
          <w:rFonts w:ascii="Times New Roman" w:cs="Times New Roman" w:eastAsia="Times New Roman" w:hAnsi="Times New Roman"/>
          <w:sz w:val="22"/>
          <w:szCs w:val="22"/>
          <w:u w:val="single" w:color="auto"/>
          <w:color w:val="auto"/>
        </w:rPr>
      </w:pPr>
    </w:p>
    <w:p>
      <w:pPr>
        <w:jc w:val="both"/>
        <w:ind w:left="300" w:firstLine="1288"/>
        <w:spacing w:after="0" w:line="233" w:lineRule="auto"/>
        <w:tabs>
          <w:tab w:leader="none" w:pos="1966" w:val="left"/>
        </w:tabs>
        <w:numPr>
          <w:ilvl w:val="1"/>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Merger or Change in Control</w:t>
      </w:r>
      <w:r>
        <w:rPr>
          <w:rFonts w:ascii="Times New Roman" w:cs="Times New Roman" w:eastAsia="Times New Roman" w:hAnsi="Times New Roman"/>
          <w:sz w:val="22"/>
          <w:szCs w:val="22"/>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00" w:lineRule="exact"/>
        <w:rPr>
          <w:rFonts w:ascii="Times New Roman" w:cs="Times New Roman" w:eastAsia="Times New Roman" w:hAnsi="Times New Roman"/>
          <w:sz w:val="22"/>
          <w:szCs w:val="22"/>
          <w:u w:val="single" w:color="auto"/>
          <w:color w:val="auto"/>
        </w:rPr>
      </w:pPr>
    </w:p>
    <w:p>
      <w:pPr>
        <w:ind w:left="1580" w:hanging="640"/>
        <w:spacing w:after="0"/>
        <w:tabs>
          <w:tab w:leader="none" w:pos="1580"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300" w:firstLine="1288"/>
        <w:spacing w:after="0" w:line="235" w:lineRule="auto"/>
        <w:tabs>
          <w:tab w:leader="none" w:pos="196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18). If the Offering Periods are terminated prior to expiration, all amounts then credited to Participants’ accounts that have not been used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14</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43" w:name="page44"/>
    <w:bookmarkEnd w:id="43"/>
    <w:p>
      <w:pPr>
        <w:spacing w:after="0" w:line="225" w:lineRule="exact"/>
        <w:rPr>
          <w:sz w:val="20"/>
          <w:szCs w:val="20"/>
          <w:color w:val="auto"/>
        </w:rPr>
      </w:pPr>
    </w:p>
    <w:p>
      <w:pPr>
        <w:jc w:val="both"/>
        <w:ind w:left="300"/>
        <w:spacing w:after="0" w:line="244" w:lineRule="auto"/>
        <w:rPr>
          <w:sz w:val="20"/>
          <w:szCs w:val="20"/>
          <w:color w:val="auto"/>
        </w:rPr>
      </w:pPr>
      <w:r>
        <w:rPr>
          <w:rFonts w:ascii="Times New Roman" w:cs="Times New Roman" w:eastAsia="Times New Roman" w:hAnsi="Times New Roman"/>
          <w:sz w:val="22"/>
          <w:szCs w:val="22"/>
          <w:color w:val="auto"/>
        </w:rPr>
        <w:t>shares of Common Stock will be returned to the Participants (without interest thereon, except as otherwise required under Applicable Laws, as further set forth in Section 12 hereof) as soon as administratively practicable.</w:t>
      </w:r>
    </w:p>
    <w:p>
      <w:pPr>
        <w:spacing w:after="0" w:line="173" w:lineRule="exact"/>
        <w:rPr>
          <w:sz w:val="20"/>
          <w:szCs w:val="20"/>
          <w:color w:val="auto"/>
        </w:rPr>
      </w:pPr>
    </w:p>
    <w:p>
      <w:pPr>
        <w:jc w:val="both"/>
        <w:ind w:left="300" w:firstLine="1288"/>
        <w:spacing w:after="0" w:line="246" w:lineRule="auto"/>
        <w:tabs>
          <w:tab w:leader="none" w:pos="196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stockholder consent and without limiting Section 19(a), the Administrator will be entitled to change the Offering Periods or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70" w:lineRule="exact"/>
        <w:rPr>
          <w:rFonts w:ascii="Times New Roman" w:cs="Times New Roman" w:eastAsia="Times New Roman" w:hAnsi="Times New Roman"/>
          <w:sz w:val="21"/>
          <w:szCs w:val="21"/>
          <w:color w:val="auto"/>
        </w:rPr>
      </w:pPr>
    </w:p>
    <w:p>
      <w:pPr>
        <w:jc w:val="both"/>
        <w:ind w:left="300" w:firstLine="1288"/>
        <w:spacing w:after="0" w:line="239" w:lineRule="auto"/>
        <w:tabs>
          <w:tab w:leader="none" w:pos="196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80" w:lineRule="exact"/>
        <w:rPr>
          <w:rFonts w:ascii="Times New Roman" w:cs="Times New Roman" w:eastAsia="Times New Roman" w:hAnsi="Times New Roman"/>
          <w:sz w:val="22"/>
          <w:szCs w:val="22"/>
          <w:color w:val="auto"/>
        </w:rPr>
      </w:pPr>
    </w:p>
    <w:p>
      <w:pPr>
        <w:jc w:val="both"/>
        <w:ind w:left="300" w:firstLine="2053"/>
        <w:spacing w:after="0" w:line="244" w:lineRule="auto"/>
        <w:tabs>
          <w:tab w:leader="none" w:pos="284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73" w:lineRule="exact"/>
        <w:rPr>
          <w:sz w:val="20"/>
          <w:szCs w:val="20"/>
          <w:color w:val="auto"/>
        </w:rPr>
      </w:pPr>
    </w:p>
    <w:p>
      <w:pPr>
        <w:jc w:val="both"/>
        <w:ind w:left="300" w:firstLine="2009"/>
        <w:spacing w:after="0" w:line="244" w:lineRule="auto"/>
        <w:rPr>
          <w:sz w:val="20"/>
          <w:szCs w:val="20"/>
          <w:color w:val="auto"/>
        </w:rPr>
      </w:pPr>
      <w:r>
        <w:rPr>
          <w:rFonts w:ascii="Times New Roman" w:cs="Times New Roman" w:eastAsia="Times New Roman" w:hAnsi="Times New Roman"/>
          <w:sz w:val="22"/>
          <w:szCs w:val="22"/>
          <w:color w:val="auto"/>
        </w:rPr>
        <w:t>(ii)altering the Purchase Price for any Offering Period or Purchase Period including an Offering Period or Purchase Period underway at the time of the change in Purchase Price;</w:t>
      </w:r>
    </w:p>
    <w:p>
      <w:pPr>
        <w:spacing w:after="0" w:line="173" w:lineRule="exact"/>
        <w:rPr>
          <w:sz w:val="20"/>
          <w:szCs w:val="20"/>
          <w:color w:val="auto"/>
        </w:rPr>
      </w:pPr>
    </w:p>
    <w:p>
      <w:pPr>
        <w:jc w:val="both"/>
        <w:ind w:left="300" w:firstLine="1944"/>
        <w:spacing w:after="0" w:line="244" w:lineRule="auto"/>
        <w:rPr>
          <w:sz w:val="20"/>
          <w:szCs w:val="20"/>
          <w:color w:val="auto"/>
        </w:rPr>
      </w:pPr>
      <w:r>
        <w:rPr>
          <w:rFonts w:ascii="Times New Roman" w:cs="Times New Roman" w:eastAsia="Times New Roman" w:hAnsi="Times New Roman"/>
          <w:sz w:val="22"/>
          <w:szCs w:val="22"/>
          <w:color w:val="auto"/>
        </w:rPr>
        <w:t>(iii)shortening any Offering Period or Purchase Period by setting a New Exercise Date, including an Offering Period or Purchase Period underway at the time of the Administrator action;</w:t>
      </w:r>
    </w:p>
    <w:p>
      <w:pPr>
        <w:spacing w:after="0" w:line="173" w:lineRule="exact"/>
        <w:rPr>
          <w:sz w:val="20"/>
          <w:szCs w:val="20"/>
          <w:color w:val="auto"/>
        </w:rPr>
      </w:pPr>
    </w:p>
    <w:p>
      <w:pPr>
        <w:ind w:left="300" w:right="380" w:firstLine="1956"/>
        <w:spacing w:after="0" w:line="258" w:lineRule="auto"/>
        <w:rPr>
          <w:sz w:val="20"/>
          <w:szCs w:val="20"/>
          <w:color w:val="auto"/>
        </w:rPr>
      </w:pPr>
      <w:r>
        <w:rPr>
          <w:rFonts w:ascii="Times New Roman" w:cs="Times New Roman" w:eastAsia="Times New Roman" w:hAnsi="Times New Roman"/>
          <w:sz w:val="22"/>
          <w:szCs w:val="22"/>
          <w:color w:val="auto"/>
        </w:rPr>
        <w:t>(iv)reducing the maximum percentage of Compensation a Participant may elect to set aside as Contributions; and</w:t>
      </w:r>
    </w:p>
    <w:p>
      <w:pPr>
        <w:spacing w:after="0" w:line="158" w:lineRule="exact"/>
        <w:rPr>
          <w:sz w:val="20"/>
          <w:szCs w:val="20"/>
          <w:color w:val="auto"/>
        </w:rPr>
      </w:pPr>
    </w:p>
    <w:p>
      <w:pPr>
        <w:ind w:left="300" w:right="160" w:firstLine="2009"/>
        <w:spacing w:after="0" w:line="258" w:lineRule="auto"/>
        <w:rPr>
          <w:sz w:val="20"/>
          <w:szCs w:val="20"/>
          <w:color w:val="auto"/>
        </w:rPr>
      </w:pPr>
      <w:r>
        <w:rPr>
          <w:rFonts w:ascii="Times New Roman" w:cs="Times New Roman" w:eastAsia="Times New Roman" w:hAnsi="Times New Roman"/>
          <w:sz w:val="22"/>
          <w:szCs w:val="22"/>
          <w:color w:val="auto"/>
        </w:rPr>
        <w:t>(v)reducing the maximum number of shares of Common Stock a Participant may purchase during any Offering Period or Purchase Period.</w:t>
      </w:r>
    </w:p>
    <w:p>
      <w:pPr>
        <w:spacing w:after="0" w:line="158" w:lineRule="exact"/>
        <w:rPr>
          <w:sz w:val="20"/>
          <w:szCs w:val="20"/>
          <w:color w:val="auto"/>
        </w:rPr>
      </w:pPr>
    </w:p>
    <w:p>
      <w:pPr>
        <w:ind w:left="300" w:right="580"/>
        <w:spacing w:after="0" w:line="258" w:lineRule="auto"/>
        <w:rPr>
          <w:sz w:val="20"/>
          <w:szCs w:val="20"/>
          <w:color w:val="auto"/>
        </w:rPr>
      </w:pPr>
      <w:r>
        <w:rPr>
          <w:rFonts w:ascii="Times New Roman" w:cs="Times New Roman" w:eastAsia="Times New Roman" w:hAnsi="Times New Roman"/>
          <w:sz w:val="22"/>
          <w:szCs w:val="22"/>
          <w:color w:val="auto"/>
        </w:rPr>
        <w:t>Such modifications or amendments will not require stockholder approval or the consent of any Participants.</w:t>
      </w:r>
    </w:p>
    <w:p>
      <w:pPr>
        <w:spacing w:after="0" w:line="158" w:lineRule="exact"/>
        <w:rPr>
          <w:sz w:val="20"/>
          <w:szCs w:val="20"/>
          <w:color w:val="auto"/>
        </w:rPr>
      </w:pPr>
    </w:p>
    <w:p>
      <w:pPr>
        <w:jc w:val="both"/>
        <w:ind w:left="300"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19.Notices</w:t>
      </w:r>
      <w:r>
        <w:rPr>
          <w:rFonts w:ascii="Times New Roman" w:cs="Times New Roman" w:eastAsia="Times New Roman" w:hAnsi="Times New Roman"/>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 w:lineRule="exact"/>
        <w:rPr>
          <w:sz w:val="20"/>
          <w:szCs w:val="20"/>
          <w:color w:val="auto"/>
        </w:rPr>
      </w:pPr>
    </w:p>
    <w:p>
      <w:pPr>
        <w:jc w:val="both"/>
        <w:ind w:left="300"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20.Conditions Upon Issuance of Shares</w:t>
      </w:r>
      <w:r>
        <w:rPr>
          <w:rFonts w:ascii="Times New Roman" w:cs="Times New Roman" w:eastAsia="Times New Roman" w:hAnsi="Times New Roman"/>
          <w:sz w:val="22"/>
          <w:szCs w:val="22"/>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73"/>
        </w:trPr>
        <w:tc>
          <w:tcPr>
            <w:tcW w:w="2260" w:type="dxa"/>
            <w:vAlign w:val="bottom"/>
          </w:tcPr>
          <w:p>
            <w:pPr>
              <w:jc w:val="right"/>
              <w:ind w:right="1932"/>
              <w:spacing w:after="0"/>
              <w:rPr>
                <w:sz w:val="20"/>
                <w:szCs w:val="20"/>
                <w:color w:val="auto"/>
              </w:rPr>
            </w:pPr>
            <w:r>
              <w:rPr>
                <w:rFonts w:ascii="Times New Roman" w:cs="Times New Roman" w:eastAsia="Times New Roman" w:hAnsi="Times New Roman"/>
                <w:sz w:val="22"/>
                <w:szCs w:val="22"/>
                <w:color w:val="auto"/>
                <w:w w:val="90"/>
              </w:rPr>
              <w:t>15</w:t>
            </w:r>
          </w:p>
        </w:tc>
        <w:tc>
          <w:tcPr>
            <w:tcW w:w="2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66"/>
        </w:trPr>
        <w:tc>
          <w:tcPr>
            <w:tcW w:w="226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588645</wp:posOffset>
            </wp:positionV>
            <wp:extent cx="573468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44" w:name="page45"/>
    <w:bookmarkEnd w:id="44"/>
    <w:p>
      <w:pPr>
        <w:spacing w:after="0" w:line="225" w:lineRule="exact"/>
        <w:rPr>
          <w:sz w:val="20"/>
          <w:szCs w:val="20"/>
          <w:color w:val="auto"/>
        </w:rPr>
      </w:pPr>
    </w:p>
    <w:p>
      <w:pPr>
        <w:jc w:val="both"/>
        <w:ind w:left="300"/>
        <w:spacing w:after="0" w:line="244" w:lineRule="auto"/>
        <w:rPr>
          <w:sz w:val="20"/>
          <w:szCs w:val="20"/>
          <w:color w:val="auto"/>
        </w:rPr>
      </w:pPr>
      <w:r>
        <w:rPr>
          <w:rFonts w:ascii="Times New Roman" w:cs="Times New Roman" w:eastAsia="Times New Roman" w:hAnsi="Times New Roman"/>
          <w:sz w:val="22"/>
          <w:szCs w:val="22"/>
          <w:color w:val="auto"/>
        </w:rPr>
        <w:t>regulations promulgated thereunder, and the requirements of any stock exchange upon which the shares may then be listed, and will be further subject to the approval of counsel for the Company with respect to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16</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45" w:name="page46"/>
    <w:bookmarkEnd w:id="45"/>
    <w:p>
      <w:pPr>
        <w:spacing w:after="0" w:line="374" w:lineRule="exact"/>
        <w:rPr>
          <w:sz w:val="20"/>
          <w:szCs w:val="20"/>
          <w:color w:val="auto"/>
        </w:rPr>
      </w:pPr>
    </w:p>
    <w:p>
      <w:pPr>
        <w:jc w:val="both"/>
        <w:ind w:left="300" w:firstLine="1295"/>
        <w:spacing w:after="0" w:line="238" w:lineRule="auto"/>
        <w:rPr>
          <w:sz w:val="20"/>
          <w:szCs w:val="20"/>
          <w:color w:val="auto"/>
        </w:rPr>
      </w:pPr>
      <w:r>
        <w:rPr>
          <w:rFonts w:ascii="Times New Roman" w:cs="Times New Roman" w:eastAsia="Times New Roman" w:hAnsi="Times New Roman"/>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7" w:lineRule="exact"/>
        <w:rPr>
          <w:sz w:val="20"/>
          <w:szCs w:val="20"/>
          <w:color w:val="auto"/>
        </w:rPr>
      </w:pPr>
    </w:p>
    <w:p>
      <w:pPr>
        <w:jc w:val="both"/>
        <w:ind w:left="300" w:firstLine="640"/>
        <w:spacing w:after="0" w:line="232" w:lineRule="auto"/>
        <w:tabs>
          <w:tab w:leader="none" w:pos="1319"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The 423 Component of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shall have no obligation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203" w:lineRule="exact"/>
        <w:rPr>
          <w:sz w:val="20"/>
          <w:szCs w:val="20"/>
          <w:color w:val="auto"/>
        </w:rPr>
      </w:pPr>
    </w:p>
    <w:p>
      <w:pPr>
        <w:jc w:val="both"/>
        <w:ind w:left="300" w:right="20"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22.Term of Plan</w:t>
      </w:r>
      <w:r>
        <w:rPr>
          <w:rFonts w:ascii="Times New Roman" w:cs="Times New Roman" w:eastAsia="Times New Roman" w:hAnsi="Times New Roman"/>
          <w:sz w:val="22"/>
          <w:szCs w:val="22"/>
          <w:color w:val="auto"/>
        </w:rPr>
        <w:t>. The Plan will become effective upon the later to occur of (a) its adoption by the Board or (b) the business day immediately prior to the Registration Date. It will continue in effect for a term of twenty (20) years, unless sooner terminated under Section 19.</w:t>
      </w:r>
    </w:p>
    <w:p>
      <w:pPr>
        <w:spacing w:after="0" w:line="173" w:lineRule="exact"/>
        <w:rPr>
          <w:sz w:val="20"/>
          <w:szCs w:val="20"/>
          <w:color w:val="auto"/>
        </w:rPr>
      </w:pPr>
    </w:p>
    <w:p>
      <w:pPr>
        <w:jc w:val="both"/>
        <w:ind w:left="300"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23.Stockholder Approval</w:t>
      </w:r>
      <w:r>
        <w:rPr>
          <w:rFonts w:ascii="Times New Roman" w:cs="Times New Roman" w:eastAsia="Times New Roman" w:hAnsi="Times New Roman"/>
          <w:sz w:val="22"/>
          <w:szCs w:val="22"/>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80" w:lineRule="exact"/>
        <w:rPr>
          <w:sz w:val="20"/>
          <w:szCs w:val="20"/>
          <w:color w:val="auto"/>
        </w:rPr>
      </w:pPr>
    </w:p>
    <w:p>
      <w:pPr>
        <w:jc w:val="both"/>
        <w:ind w:left="300"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24.Governing Law</w:t>
      </w:r>
      <w:r>
        <w:rPr>
          <w:rFonts w:ascii="Times New Roman" w:cs="Times New Roman" w:eastAsia="Times New Roman" w:hAnsi="Times New Roman"/>
          <w:sz w:val="22"/>
          <w:szCs w:val="22"/>
          <w:color w:val="auto"/>
        </w:rPr>
        <w:t>. The Plan will be governed by, and construed in accordance with, the laws of the State of New Jersey (except its choice-of-law provisions).</w:t>
      </w:r>
    </w:p>
    <w:p>
      <w:pPr>
        <w:spacing w:after="0" w:line="158" w:lineRule="exact"/>
        <w:rPr>
          <w:sz w:val="20"/>
          <w:szCs w:val="20"/>
          <w:color w:val="auto"/>
        </w:rPr>
      </w:pPr>
    </w:p>
    <w:p>
      <w:pPr>
        <w:ind w:left="300" w:right="140"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25.No Right to Employment</w:t>
      </w:r>
      <w:r>
        <w:rPr>
          <w:rFonts w:ascii="Times New Roman" w:cs="Times New Roman" w:eastAsia="Times New Roman" w:hAnsi="Times New Roman"/>
          <w:sz w:val="22"/>
          <w:szCs w:val="22"/>
          <w:color w:val="auto"/>
        </w:rPr>
        <w:t>. Participation in the Plan by a Participant will not be construed as giving a Participant the right to be retained as an employee of the Company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17</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46" w:name="page47"/>
    <w:bookmarkEnd w:id="46"/>
    <w:p>
      <w:pPr>
        <w:spacing w:after="0" w:line="225" w:lineRule="exact"/>
        <w:rPr>
          <w:sz w:val="20"/>
          <w:szCs w:val="20"/>
          <w:color w:val="auto"/>
        </w:rPr>
      </w:pPr>
    </w:p>
    <w:p>
      <w:pPr>
        <w:jc w:val="both"/>
        <w:ind w:left="300"/>
        <w:spacing w:after="0" w:line="244" w:lineRule="auto"/>
        <w:rPr>
          <w:sz w:val="20"/>
          <w:szCs w:val="20"/>
          <w:color w:val="auto"/>
        </w:rPr>
      </w:pPr>
      <w:r>
        <w:rPr>
          <w:rFonts w:ascii="Times New Roman" w:cs="Times New Roman" w:eastAsia="Times New Roman" w:hAnsi="Times New Roman"/>
          <w:sz w:val="22"/>
          <w:szCs w:val="22"/>
          <w:color w:val="auto"/>
        </w:rPr>
        <w:t>Subsidiary or Affiliate, as applicable. Furthermore, the Company or a Subsidiary or Affiliate may dismiss a Participant from employment at any time, free from any liability or any claim under the Plan.</w:t>
      </w:r>
    </w:p>
    <w:p>
      <w:pPr>
        <w:spacing w:after="0" w:line="173" w:lineRule="exact"/>
        <w:rPr>
          <w:sz w:val="20"/>
          <w:szCs w:val="20"/>
          <w:color w:val="auto"/>
        </w:rPr>
      </w:pPr>
    </w:p>
    <w:p>
      <w:pPr>
        <w:jc w:val="both"/>
        <w:ind w:left="300"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26.Severability</w:t>
      </w:r>
      <w:r>
        <w:rPr>
          <w:rFonts w:ascii="Times New Roman" w:cs="Times New Roman" w:eastAsia="Times New Roman" w:hAnsi="Times New Roman"/>
          <w:sz w:val="22"/>
          <w:szCs w:val="2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77" w:lineRule="exact"/>
        <w:rPr>
          <w:sz w:val="20"/>
          <w:szCs w:val="20"/>
          <w:color w:val="auto"/>
        </w:rPr>
      </w:pPr>
    </w:p>
    <w:p>
      <w:pPr>
        <w:jc w:val="both"/>
        <w:ind w:left="300"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27.Compliance with Applicable Laws</w:t>
      </w:r>
      <w:r>
        <w:rPr>
          <w:rFonts w:ascii="Times New Roman" w:cs="Times New Roman" w:eastAsia="Times New Roman" w:hAnsi="Times New Roman"/>
          <w:sz w:val="22"/>
          <w:szCs w:val="22"/>
          <w:color w:val="auto"/>
        </w:rPr>
        <w:t>. The terms of this Plan are intended to comply with all Applicable Laws and will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18</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479425</wp:posOffset>
            </wp:positionV>
            <wp:extent cx="573468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Updated as of: May 2024</w:t>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PMV PHARMACEUTICALS, INC.</w:t>
      </w:r>
    </w:p>
    <w:p>
      <w:pPr>
        <w:spacing w:after="0" w:line="20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b w:val="1"/>
          <w:bCs w:val="1"/>
          <w:color w:val="auto"/>
        </w:rPr>
        <w:t>2020 EMPLOYEE STOCK PURCHASE PLAN</w:t>
      </w:r>
    </w:p>
    <w:p>
      <w:pPr>
        <w:spacing w:after="0" w:line="18" w:lineRule="exact"/>
        <w:rPr>
          <w:sz w:val="20"/>
          <w:szCs w:val="20"/>
          <w:color w:val="auto"/>
        </w:rPr>
      </w:pPr>
    </w:p>
    <w:p>
      <w:pPr>
        <w:ind w:left="720" w:right="2820" w:firstLine="239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SUBSCRIPTION AGREEMENT </w:t>
      </w:r>
      <w:r>
        <w:rPr>
          <w:rFonts w:ascii="Times New Roman" w:cs="Times New Roman" w:eastAsia="Times New Roman" w:hAnsi="Times New Roman"/>
          <w:sz w:val="22"/>
          <w:szCs w:val="22"/>
          <w:color w:val="auto"/>
        </w:rPr>
        <w:t>Original Application 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-31750</wp:posOffset>
            </wp:positionV>
            <wp:extent cx="274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2666365</wp:posOffset>
            </wp:positionH>
            <wp:positionV relativeFrom="paragraph">
              <wp:posOffset>-31750</wp:posOffset>
            </wp:positionV>
            <wp:extent cx="261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261620" cy="8890"/>
                    </a:xfrm>
                    <a:prstGeom prst="rect">
                      <a:avLst/>
                    </a:prstGeom>
                    <a:noFill/>
                  </pic:spPr>
                </pic:pic>
              </a:graphicData>
            </a:graphic>
          </wp:anchor>
        </w:drawing>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Change in Payroll Deduction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-13970</wp:posOffset>
            </wp:positionV>
            <wp:extent cx="274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6" w:lineRule="exact"/>
        <w:rPr>
          <w:sz w:val="20"/>
          <w:szCs w:val="20"/>
          <w:color w:val="auto"/>
        </w:rPr>
      </w:pPr>
    </w:p>
    <w:p>
      <w:pPr>
        <w:jc w:val="both"/>
        <w:ind w:left="300" w:firstLine="640"/>
        <w:spacing w:after="0" w:line="238" w:lineRule="auto"/>
        <w:tabs>
          <w:tab w:leader="none" w:pos="148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elects to participate in the PMV Pharmaceuticals, Inc. 2020 Employee Stock Purchase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subscribes to purchase shares of the Company’s Common Stock in accordance with this Subscription Agreement and the Plan. Unless otherwise defined herein, the terms defined in the 2020 Employee Stock Purchase Plan (the “Plan”) shall have the same defined meanings in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-649605</wp:posOffset>
            </wp:positionV>
            <wp:extent cx="1885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4.I hereby authorize and consent to payroll deductions from each paycheck in the amount of</w:t>
      </w:r>
    </w:p>
    <w:p>
      <w:pPr>
        <w:spacing w:after="0" w:line="26" w:lineRule="exact"/>
        <w:rPr>
          <w:sz w:val="20"/>
          <w:szCs w:val="20"/>
          <w:color w:val="auto"/>
        </w:rPr>
      </w:pPr>
    </w:p>
    <w:p>
      <w:pPr>
        <w:jc w:val="both"/>
        <w:ind w:left="300" w:hanging="8"/>
        <w:spacing w:after="0" w:line="232" w:lineRule="auto"/>
        <w:tabs>
          <w:tab w:leader="none" w:pos="53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0 to fifteen percent (15%)) of my Compensation on each payday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81" w:lineRule="exact"/>
        <w:rPr>
          <w:sz w:val="20"/>
          <w:szCs w:val="20"/>
          <w:color w:val="auto"/>
        </w:rPr>
      </w:pPr>
    </w:p>
    <w:p>
      <w:pPr>
        <w:jc w:val="both"/>
        <w:ind w:left="300" w:firstLine="648"/>
        <w:spacing w:after="0" w:line="236" w:lineRule="auto"/>
        <w:rPr>
          <w:sz w:val="20"/>
          <w:szCs w:val="20"/>
          <w:color w:val="auto"/>
        </w:rPr>
      </w:pPr>
      <w:r>
        <w:rPr>
          <w:rFonts w:ascii="Times New Roman" w:cs="Times New Roman" w:eastAsia="Times New Roman" w:hAnsi="Times New Roman"/>
          <w:sz w:val="22"/>
          <w:szCs w:val="22"/>
          <w:color w:val="auto"/>
        </w:rPr>
        <w:t>5.I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81" w:lineRule="exact"/>
        <w:rPr>
          <w:sz w:val="20"/>
          <w:szCs w:val="20"/>
          <w:color w:val="auto"/>
        </w:rPr>
      </w:pPr>
    </w:p>
    <w:p>
      <w:pPr>
        <w:jc w:val="both"/>
        <w:ind w:left="300" w:firstLine="648"/>
        <w:spacing w:after="0" w:line="258" w:lineRule="auto"/>
        <w:rPr>
          <w:sz w:val="20"/>
          <w:szCs w:val="20"/>
          <w:color w:val="auto"/>
        </w:rPr>
      </w:pPr>
      <w:r>
        <w:rPr>
          <w:rFonts w:ascii="Times New Roman" w:cs="Times New Roman" w:eastAsia="Times New Roman" w:hAnsi="Times New Roman"/>
          <w:sz w:val="22"/>
          <w:szCs w:val="22"/>
          <w:color w:val="auto"/>
        </w:rPr>
        <w:t>6.I have received a copy of the complete Plan and its accompanying prospectus. I understand that my participation in the Plan is in all respects subject to the terms of the Plan.</w:t>
      </w:r>
    </w:p>
    <w:p>
      <w:pPr>
        <w:sectPr>
          <w:pgSz w:w="11900" w:h="16838" w:orient="portrait"/>
          <w:cols w:equalWidth="0" w:num="1">
            <w:col w:w="9040"/>
          </w:cols>
          <w:pgMar w:left="1440" w:top="1404"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-6985</wp:posOffset>
            </wp:positionV>
            <wp:extent cx="1257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hanging="215"/>
        <w:spacing w:after="0" w:line="258" w:lineRule="auto"/>
        <w:rPr>
          <w:sz w:val="20"/>
          <w:szCs w:val="20"/>
          <w:color w:val="auto"/>
        </w:rPr>
      </w:pPr>
      <w:r>
        <w:rPr>
          <w:rFonts w:ascii="Times New Roman" w:cs="Times New Roman" w:eastAsia="Times New Roman" w:hAnsi="Times New Roman"/>
          <w:sz w:val="22"/>
          <w:szCs w:val="22"/>
          <w:color w:val="auto"/>
        </w:rPr>
        <w:t>7.Shares of Common Stock purchased for me under the Plan should be issued in the name(s) (Eligible Employee or Eligible Employee and spouse only).</w:t>
      </w:r>
    </w:p>
    <w:p>
      <w:pPr>
        <w:spacing w:after="0" w:line="158" w:lineRule="exact"/>
        <w:rPr>
          <w:sz w:val="20"/>
          <w:szCs w:val="20"/>
          <w:color w:val="auto"/>
        </w:rPr>
      </w:pPr>
    </w:p>
    <w:p>
      <w:pPr>
        <w:sectPr>
          <w:pgSz w:w="11900" w:h="16838" w:orient="portrait"/>
          <w:cols w:equalWidth="0" w:num="2">
            <w:col w:w="480" w:space="680"/>
            <w:col w:w="7880"/>
          </w:cols>
          <w:pgMar w:left="1440" w:top="1404" w:right="1419" w:bottom="1440" w:gutter="0" w:footer="0" w:header="0"/>
          <w:type w:val="continuous"/>
        </w:sectPr>
      </w:pPr>
    </w:p>
    <w:p>
      <w:pPr>
        <w:jc w:val="both"/>
        <w:ind w:left="3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8.If I am a U.S. taxpayer, I understand that if I dispose of any shares received by me pursuant to the Plan within two (2) years after the Enrollment Date (the first day of the Offering Period during which I purchased such shares) or one (1) year after the applicable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22"/>
          <w:szCs w:val="22"/>
          <w:u w:val="single" w:color="auto"/>
          <w:color w:val="auto"/>
        </w:rPr>
        <w:t>I hereby agree to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213995</wp:posOffset>
            </wp:positionV>
            <wp:extent cx="573468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04" w:right="1419" w:bottom="1440" w:gutter="0" w:footer="0" w:header="0"/>
          <w:type w:val="continuous"/>
        </w:sectPr>
      </w:pPr>
    </w:p>
    <w:bookmarkStart w:id="48" w:name="page49"/>
    <w:bookmarkEnd w:id="48"/>
    <w:p>
      <w:pPr>
        <w:spacing w:after="0" w:line="225" w:lineRule="exact"/>
        <w:rPr>
          <w:sz w:val="20"/>
          <w:szCs w:val="20"/>
          <w:color w:val="auto"/>
        </w:rPr>
      </w:pPr>
    </w:p>
    <w:p>
      <w:pPr>
        <w:jc w:val="both"/>
        <w:ind w:left="300"/>
        <w:spacing w:after="0" w:line="233" w:lineRule="auto"/>
        <w:rPr>
          <w:sz w:val="20"/>
          <w:szCs w:val="20"/>
          <w:color w:val="auto"/>
        </w:rPr>
      </w:pPr>
      <w:r>
        <w:rPr>
          <w:rFonts w:ascii="Times New Roman" w:cs="Times New Roman" w:eastAsia="Times New Roman" w:hAnsi="Times New Roman"/>
          <w:sz w:val="22"/>
          <w:szCs w:val="22"/>
          <w:u w:val="single" w:color="auto"/>
          <w:color w:val="auto"/>
        </w:rPr>
        <w:t>the Company in writing within thirty (30) days after the date of any disposition of my shares and I will make adequate provision for federal, state or other tax withholding obligations, if any, which arise upon the disposition of such shares</w:t>
      </w:r>
      <w:r>
        <w:rPr>
          <w:rFonts w:ascii="Times New Roman" w:cs="Times New Roman" w:eastAsia="Times New Roman" w:hAnsi="Times New Roman"/>
          <w:sz w:val="22"/>
          <w:szCs w:val="22"/>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182" w:lineRule="exact"/>
        <w:rPr>
          <w:sz w:val="20"/>
          <w:szCs w:val="20"/>
          <w:color w:val="auto"/>
        </w:rPr>
      </w:pPr>
    </w:p>
    <w:p>
      <w:pPr>
        <w:ind w:left="300" w:right="80" w:firstLine="648"/>
        <w:spacing w:after="0" w:line="258" w:lineRule="auto"/>
        <w:rPr>
          <w:sz w:val="20"/>
          <w:szCs w:val="20"/>
          <w:color w:val="auto"/>
        </w:rPr>
      </w:pPr>
      <w:r>
        <w:rPr>
          <w:rFonts w:ascii="Times New Roman" w:cs="Times New Roman" w:eastAsia="Times New Roman" w:hAnsi="Times New Roman"/>
          <w:sz w:val="22"/>
          <w:szCs w:val="22"/>
          <w:color w:val="auto"/>
        </w:rPr>
        <w:t>9.I hereby agree to be bound by the terms of the Plan. The effectiveness of this Subscription Agreement is dependent upon my eligibility to participate in the Plan.</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Employee’s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-13970</wp:posOffset>
            </wp:positionV>
            <wp:extent cx="274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-13970</wp:posOffset>
            </wp:positionV>
            <wp:extent cx="274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left="300" w:firstLine="647"/>
        <w:spacing w:after="0" w:line="244" w:lineRule="auto"/>
        <w:rPr>
          <w:sz w:val="20"/>
          <w:szCs w:val="20"/>
          <w:color w:val="auto"/>
        </w:rPr>
      </w:pPr>
      <w:r>
        <w:rPr>
          <w:rFonts w:ascii="Times New Roman" w:cs="Times New Roman" w:eastAsia="Times New Roman" w:hAnsi="Times New Roman"/>
          <w:sz w:val="22"/>
          <w:szCs w:val="22"/>
          <w:color w:val="auto"/>
        </w:rPr>
        <w:t>I UNDERSTAND THAT THIS SUBSCRIPTION AGREEMENT WILL REMAIN IN EFFECT THROUGHOUT SUCCESSIVE OFFERING PERIODS UNLESS TERMINATED BY ME.</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-13970</wp:posOffset>
            </wp:positionV>
            <wp:extent cx="1485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14859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-13970</wp:posOffset>
            </wp:positionV>
            <wp:extent cx="274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5220"/>
        <w:spacing w:after="0"/>
        <w:rPr>
          <w:sz w:val="20"/>
          <w:szCs w:val="20"/>
          <w:color w:val="auto"/>
        </w:rPr>
      </w:pPr>
      <w:r>
        <w:rPr>
          <w:rFonts w:ascii="Times New Roman" w:cs="Times New Roman" w:eastAsia="Times New Roman" w:hAnsi="Times New Roman"/>
          <w:sz w:val="22"/>
          <w:szCs w:val="22"/>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220980</wp:posOffset>
            </wp:positionV>
            <wp:extent cx="573468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5734685" cy="425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49" w:name="page50"/>
    <w:bookmarkEnd w:id="49"/>
    <w:p>
      <w:pPr>
        <w:spacing w:after="0" w:line="18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PMV PHARMACEUTICALS, INC.</w:t>
      </w:r>
    </w:p>
    <w:p>
      <w:pPr>
        <w:spacing w:after="0" w:line="20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b w:val="1"/>
          <w:bCs w:val="1"/>
          <w:color w:val="auto"/>
        </w:rPr>
        <w:t>2020 EMPLOYEE STOCK PURCHASE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WITHDRAWAL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the terms defined in the 2020 Employee Stock Purchase Plan (the “Plan”) shall have the same defined meanings in this Notice of Withdrawal.</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undersigned Participant in the Offering Period of the PMV Pharmaceuticals, Inc.</w:t>
      </w:r>
    </w:p>
    <w:p>
      <w:pPr>
        <w:spacing w:after="0" w:line="14" w:lineRule="exact"/>
        <w:rPr>
          <w:sz w:val="20"/>
          <w:szCs w:val="20"/>
          <w:color w:val="auto"/>
        </w:rPr>
      </w:pPr>
    </w:p>
    <w:p>
      <w:pPr>
        <w:jc w:val="both"/>
        <w:ind w:left="300" w:right="299"/>
        <w:spacing w:after="0" w:line="232" w:lineRule="auto"/>
        <w:rPr>
          <w:sz w:val="20"/>
          <w:szCs w:val="20"/>
          <w:color w:val="auto"/>
        </w:rPr>
      </w:pPr>
      <w:r>
        <w:rPr>
          <w:rFonts w:ascii="Times New Roman" w:cs="Times New Roman" w:eastAsia="Times New Roman" w:hAnsi="Times New Roman"/>
          <w:sz w:val="22"/>
          <w:szCs w:val="22"/>
          <w:color w:val="auto"/>
        </w:rPr>
        <w:t xml:space="preserve">2020 Employee Stock Purchase Plan that began on , (the “Enrollment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-1266190</wp:posOffset>
            </wp:positionV>
            <wp:extent cx="2228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3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 and Address of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220980</wp:posOffset>
            </wp:positionV>
            <wp:extent cx="573468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5734685" cy="4254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-13970</wp:posOffset>
            </wp:positionV>
            <wp:extent cx="2171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20" w:val="left"/>
          <w:tab w:leader="none" w:pos="81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2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225"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20" w:val="left"/>
          <w:tab w:leader="none" w:pos="81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2024,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2024,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6"/>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lvl w:ilvl="1">
      <w:lvlJc w:val="left"/>
      <w:lvlText w:val="%2"/>
      <w:numFmt w:val="decimal"/>
      <w:start w:val="104"/>
    </w:lvl>
  </w:abstractNum>
  <w:abstractNum w:abstractNumId="11">
    <w:nsid w:val="4353D0C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2">
    <w:nsid w:val="B03E0C6"/>
    <w:multiLevelType w:val="hybridMultilevel"/>
    <w:lvl w:ilvl="0">
      <w:lvlJc w:val="left"/>
      <w:lvlText w:val="(%1)"/>
      <w:numFmt w:val="lowerLetter"/>
      <w:start w:val="2"/>
    </w:lvl>
  </w:abstractNum>
  <w:abstractNum w:abstractNumId="13">
    <w:nsid w:val="189A769B"/>
    <w:multiLevelType w:val="hybridMultilevel"/>
    <w:lvl w:ilvl="0">
      <w:lvlJc w:val="left"/>
      <w:lvlText w:val="(%1)"/>
      <w:numFmt w:val="lowerRoman"/>
      <w:start w:val="4"/>
    </w:lvl>
    <w:lvl w:ilvl="1">
      <w:lvlJc w:val="left"/>
      <w:lvlText w:val="(%2)"/>
      <w:numFmt w:val="lowerLetter"/>
      <w:start w:val="11"/>
    </w:lvl>
    <w:lvl w:ilvl="2">
      <w:lvlJc w:val="left"/>
      <w:lvlText w:val="(%3)"/>
      <w:numFmt w:val="lowerRoman"/>
      <w:start w:val="1"/>
    </w:lvl>
  </w:abstractNum>
  <w:abstractNum w:abstractNumId="14">
    <w:nsid w:val="54E49EB4"/>
    <w:multiLevelType w:val="hybridMultilevel"/>
    <w:lvl w:ilvl="0">
      <w:lvlJc w:val="left"/>
      <w:lvlText w:val="(%1)"/>
      <w:numFmt w:val="lowerLetter"/>
      <w:start w:val="16"/>
    </w:lvl>
  </w:abstractNum>
  <w:abstractNum w:abstractNumId="15">
    <w:nsid w:val="71F32454"/>
    <w:multiLevelType w:val="hybridMultilevel"/>
    <w:lvl w:ilvl="0">
      <w:lvlJc w:val="left"/>
      <w:lvlText w:val="%1"/>
      <w:numFmt w:val="decimal"/>
      <w:start w:val="1"/>
    </w:lvl>
    <w:lvl w:ilvl="1">
      <w:lvlJc w:val="left"/>
      <w:lvlText w:val="(%2)"/>
      <w:numFmt w:val="lowerLetter"/>
      <w:start w:val="27"/>
    </w:lvl>
  </w:abstractNum>
  <w:abstractNum w:abstractNumId="16">
    <w:nsid w:val="2CA88611"/>
    <w:multiLevelType w:val="hybridMultilevel"/>
    <w:lvl w:ilvl="0">
      <w:lvlJc w:val="left"/>
      <w:lvlText w:val="%1."/>
      <w:numFmt w:val="decimal"/>
      <w:start w:val="2"/>
    </w:lvl>
    <w:lvl w:ilvl="1">
      <w:lvlJc w:val="left"/>
      <w:lvlText w:val="(%2)"/>
      <w:numFmt w:val="lowerLetter"/>
      <w:start w:val="1"/>
    </w:lvl>
  </w:abstractNum>
  <w:abstractNum w:abstractNumId="17">
    <w:nsid w:val="836C40E"/>
    <w:multiLevelType w:val="hybridMultilevel"/>
    <w:lvl w:ilvl="0">
      <w:lvlJc w:val="left"/>
      <w:lvlText w:val="(%1)"/>
      <w:numFmt w:val="lowerLetter"/>
      <w:start w:val="4"/>
    </w:lvl>
  </w:abstractNum>
  <w:abstractNum w:abstractNumId="18">
    <w:nsid w:val="2901D82"/>
    <w:multiLevelType w:val="hybridMultilevel"/>
    <w:lvl w:ilvl="0">
      <w:lvlJc w:val="left"/>
      <w:lvlText w:val="%1."/>
      <w:numFmt w:val="decimal"/>
      <w:start w:val="4"/>
    </w:lvl>
    <w:lvl w:ilvl="1">
      <w:lvlJc w:val="left"/>
      <w:lvlText w:val="(%2)"/>
      <w:numFmt w:val="lowerLetter"/>
      <w:start w:val="1"/>
    </w:lvl>
  </w:abstractNum>
  <w:abstractNum w:abstractNumId="19">
    <w:nsid w:val="3A95F874"/>
    <w:multiLevelType w:val="hybridMultilevel"/>
    <w:lvl w:ilvl="0">
      <w:lvlJc w:val="left"/>
      <w:lvlText w:val="%1"/>
      <w:numFmt w:val="decimal"/>
      <w:start w:val="1"/>
    </w:lvl>
    <w:lvl w:ilvl="1">
      <w:lvlJc w:val="left"/>
      <w:lvlText w:val="(%2)"/>
      <w:numFmt w:val="lowerLetter"/>
      <w:start w:val="2"/>
    </w:lvl>
  </w:abstractNum>
  <w:abstractNum w:abstractNumId="20">
    <w:nsid w:val="8138641"/>
    <w:multiLevelType w:val="hybridMultilevel"/>
    <w:lvl w:ilvl="0">
      <w:lvlJc w:val="left"/>
      <w:lvlText w:val="%1."/>
      <w:numFmt w:val="decimal"/>
      <w:start w:val="5"/>
    </w:lvl>
    <w:lvl w:ilvl="1">
      <w:lvlJc w:val="left"/>
      <w:lvlText w:val="(%2)"/>
      <w:numFmt w:val="lowerLetter"/>
      <w:start w:val="1"/>
    </w:lvl>
  </w:abstractNum>
  <w:abstractNum w:abstractNumId="21">
    <w:nsid w:val="1E7FF521"/>
    <w:multiLevelType w:val="hybridMultilevel"/>
    <w:lvl w:ilvl="0">
      <w:lvlJc w:val="left"/>
      <w:lvlText w:val="%1"/>
      <w:numFmt w:val="decimal"/>
      <w:start w:val="1"/>
    </w:lvl>
    <w:lvl w:ilvl="1">
      <w:lvlJc w:val="left"/>
      <w:lvlText w:val="(%2)"/>
      <w:numFmt w:val="lowerLetter"/>
      <w:start w:val="5"/>
    </w:lvl>
  </w:abstractNum>
  <w:abstractNum w:abstractNumId="22">
    <w:nsid w:val="7C3DBD3D"/>
    <w:multiLevelType w:val="hybridMultilevel"/>
    <w:lvl w:ilvl="0">
      <w:lvlJc w:val="left"/>
      <w:lvlText w:val="(%1)"/>
      <w:numFmt w:val="decimal"/>
      <w:start w:val="8"/>
    </w:lvl>
    <w:lvl w:ilvl="1">
      <w:lvlJc w:val="left"/>
      <w:lvlText w:val="(%2)"/>
      <w:numFmt w:val="lowerLetter"/>
      <w:start w:val="6"/>
    </w:lvl>
  </w:abstractNum>
  <w:abstractNum w:abstractNumId="23">
    <w:nsid w:val="737B8DDC"/>
    <w:multiLevelType w:val="hybridMultilevel"/>
    <w:lvl w:ilvl="0">
      <w:lvlJc w:val="left"/>
      <w:lvlText w:val="%1."/>
      <w:numFmt w:val="decimal"/>
      <w:start w:val="7"/>
    </w:lvl>
    <w:lvl w:ilvl="1">
      <w:lvlJc w:val="left"/>
      <w:lvlText w:val="(%2)"/>
      <w:numFmt w:val="lowerLetter"/>
      <w:start w:val="1"/>
    </w:lvl>
  </w:abstractNum>
  <w:abstractNum w:abstractNumId="24">
    <w:nsid w:val="6CEAF087"/>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5">
    <w:nsid w:val="22221A7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6">
    <w:nsid w:val="4516DDE9"/>
    <w:multiLevelType w:val="hybridMultilevel"/>
    <w:lvl w:ilvl="0">
      <w:lvlJc w:val="left"/>
      <w:lvlText w:val="%1."/>
      <w:numFmt w:val="decimal"/>
      <w:start w:val="12"/>
    </w:lvl>
    <w:lvl w:ilvl="1">
      <w:lvlJc w:val="left"/>
      <w:lvlText w:val="(%2)"/>
      <w:numFmt w:val="lowerLetter"/>
      <w:start w:val="1"/>
    </w:lvl>
  </w:abstractNum>
  <w:abstractNum w:abstractNumId="27">
    <w:nsid w:val="3006C83E"/>
    <w:multiLevelType w:val="hybridMultilevel"/>
    <w:lvl w:ilvl="0">
      <w:lvlJc w:val="left"/>
      <w:lvlText w:val="%1."/>
      <w:numFmt w:val="decimal"/>
      <w:start w:val="14"/>
    </w:lvl>
  </w:abstractNum>
  <w:abstractNum w:abstractNumId="28">
    <w:nsid w:val="614FD4A1"/>
    <w:multiLevelType w:val="hybridMultilevel"/>
    <w:lvl w:ilvl="0">
      <w:lvlJc w:val="left"/>
      <w:lvlText w:val="%1."/>
      <w:numFmt w:val="decimal"/>
      <w:start w:val="17"/>
    </w:lvl>
    <w:lvl w:ilvl="1">
      <w:lvlJc w:val="left"/>
      <w:lvlText w:val="(%2)"/>
      <w:numFmt w:val="lowerLetter"/>
      <w:start w:val="1"/>
    </w:lvl>
  </w:abstractNum>
  <w:abstractNum w:abstractNumId="29">
    <w:nsid w:val="419AC241"/>
    <w:multiLevelType w:val="hybridMultilevel"/>
    <w:lvl w:ilvl="0">
      <w:lvlJc w:val="left"/>
      <w:lvlText w:val="%1"/>
      <w:numFmt w:val="decimal"/>
      <w:start w:val="1"/>
    </w:lvl>
    <w:lvl w:ilvl="1">
      <w:lvlJc w:val="left"/>
      <w:lvlText w:val="(%2)"/>
      <w:numFmt w:val="lowerLetter"/>
      <w:start w:val="2"/>
    </w:lvl>
  </w:abstractNum>
  <w:abstractNum w:abstractNumId="30">
    <w:nsid w:val="5577F8E1"/>
    <w:multiLevelType w:val="hybridMultilevel"/>
    <w:lvl w:ilvl="0">
      <w:lvlJc w:val="left"/>
      <w:lvlText w:val="%1."/>
      <w:numFmt w:val="decimal"/>
      <w:start w:val="18"/>
    </w:lvl>
    <w:lvl w:ilvl="1">
      <w:lvlJc w:val="left"/>
      <w:lvlText w:val="(%2)"/>
      <w:numFmt w:val="lowerLetter"/>
      <w:start w:val="1"/>
    </w:lvl>
  </w:abstractNum>
  <w:abstractNum w:abstractNumId="31">
    <w:nsid w:val="440BADFC"/>
    <w:multiLevelType w:val="hybridMultilevel"/>
    <w:lvl w:ilvl="0">
      <w:lvlJc w:val="left"/>
      <w:lvlText w:val="(%1)"/>
      <w:numFmt w:val="lowerLetter"/>
      <w:start w:val="2"/>
    </w:lvl>
    <w:lvl w:ilvl="1">
      <w:lvlJc w:val="left"/>
      <w:lvlText w:val="(%2)"/>
      <w:numFmt w:val="lowerLetter"/>
      <w:start w:val="9"/>
    </w:lvl>
  </w:abstractNum>
  <w:abstractNum w:abstractNumId="32">
    <w:nsid w:val="5072367"/>
    <w:multiLevelType w:val="hybridMultilevel"/>
    <w:lvl w:ilvl="0">
      <w:lvlJc w:val="left"/>
      <w:lvlText w:val="%1."/>
      <w:numFmt w:val="decimal"/>
      <w:start w:val="21"/>
    </w:lvl>
  </w:abstractNum>
  <w:abstractNum w:abstractNumId="33">
    <w:nsid w:val="3804823E"/>
    <w:multiLevelType w:val="hybridMultilevel"/>
    <w:lvl w:ilvl="0">
      <w:lvlJc w:val="left"/>
      <w:lvlText w:val="%1."/>
      <w:numFmt w:val="decimal"/>
      <w:start w:val="3"/>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186" Type="http://schemas.openxmlformats.org/officeDocument/2006/relationships/hyperlink" Target="https://www.sec.gov/Archives/edgar/data/1699382/000119312520257820/d95525dex31.htm" TargetMode="External"/><Relationship Id="rId187" Type="http://schemas.openxmlformats.org/officeDocument/2006/relationships/hyperlink" Target="https://www.sec.gov/Archives/edgar/data/1699382/000095017023020100/pmvp-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2024-05-09T07:11:18Z</dcterms:created>
  <dcterms:modified xsi:type="dcterms:W3CDTF">2024-05-09T07:11:18Z</dcterms:modified>
</cp:coreProperties>
</file>