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525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525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98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Wellington Biomedical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09/24/2020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Innovation Master Investors</w:t>
              </w:r>
            </w:hyperlink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PMV Pharmaceuticals,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PMVP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980" w:gutter="0" w:footer="0" w:header="0"/>
          <w:type w:val="continuous"/>
        </w:sectPr>
      </w:pP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(Cayman) I L.P.</w:t>
        </w:r>
      </w:hyperlink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140" w:right="1337"/>
        <w:spacing w:after="0" w:line="31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WELLINGTON MANAGEMENT COMPANY LLP</w:t>
      </w: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280 CONGRESS STREET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BOSTON   MA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02210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jc w:val="right"/>
        <w:spacing w:after="0"/>
        <w:tabs>
          <w:tab w:leader="none" w:pos="1240" w:val="left"/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7"/>
          <w:szCs w:val="27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Former 10% Owner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0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980" w:gutter="0" w:footer="0" w:header="0"/>
          <w:type w:val="continuous"/>
        </w:sectPr>
      </w:pP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677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677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Series D Preferred Stock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760,267</w:t>
            </w: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-406400</wp:posOffset>
            </wp:positionV>
            <wp:extent cx="6927850" cy="2476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24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 w:right="18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shares of Series D Preferred Stock shall automatically convert into shares of Common Stock on a one to one basis immediately prior to the completion of the Issuer's initial public offering of Common Stock and have no expiration date.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Wellington Biomedical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-11430</wp:posOffset>
            </wp:positionV>
            <wp:extent cx="1149350" cy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Innovation Master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911860" cy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Investors (Cayman) I L.P.,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1307465" cy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By: Wellington Alternative </w:t>
      </w:r>
      <w: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  <w:t>09/24/2020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-31750</wp:posOffset>
            </wp:positionV>
            <wp:extent cx="1345565" cy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Investments, as General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-25400</wp:posOffset>
            </wp:positionV>
            <wp:extent cx="1186815" cy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81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5565140</wp:posOffset>
            </wp:positionH>
            <wp:positionV relativeFrom="paragraph">
              <wp:posOffset>-101600</wp:posOffset>
            </wp:positionV>
            <wp:extent cx="564515" cy="95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Partner, By: /s/ Peter N.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1178560" cy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56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McIsaac, Title: Managing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1278890" cy="95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89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Director &amp; Counsel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977265" cy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98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10" Type="http://schemas.openxmlformats.org/officeDocument/2006/relationships/hyperlink" Target="http://www.sec.gov/cgi-bin/browse-edgar?action=getcompany&amp;CIK=0001787092" TargetMode="External"/><Relationship Id="rId11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2020-09-24T18:36:30Z</dcterms:created>
  <dcterms:modified xsi:type="dcterms:W3CDTF">2020-09-24T18:36:30Z</dcterms:modified>
</cp:coreProperties>
</file>