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ind w:left="920"/>
              <w:spacing w:after="0"/>
              <w:rPr>
                <w:sz w:val="20"/>
                <w:szCs w:val="20"/>
                <w:color w:val="auto"/>
              </w:rPr>
            </w:pPr>
            <w:r>
              <w:rPr>
                <w:rFonts w:ascii="Arial" w:cs="Arial" w:eastAsia="Arial" w:hAnsi="Arial"/>
                <w:sz w:val="18"/>
                <w:szCs w:val="18"/>
                <w:b w:val="1"/>
                <w:bCs w:val="1"/>
                <w:color w:val="auto"/>
              </w:rPr>
              <w:t>001-39539</w:t>
            </w:r>
          </w:p>
        </w:tc>
        <w:tc>
          <w:tcPr>
            <w:tcW w:w="2280" w:type="dxa"/>
            <w:vAlign w:val="bottom"/>
          </w:tcPr>
          <w:p>
            <w:pPr>
              <w:jc w:val="right"/>
              <w:ind w:right="4"/>
              <w:spacing w:after="0"/>
              <w:rPr>
                <w:sz w:val="20"/>
                <w:szCs w:val="20"/>
                <w:color w:val="auto"/>
              </w:rPr>
            </w:pPr>
            <w:r>
              <w:rPr>
                <w:rFonts w:ascii="Arial" w:cs="Arial" w:eastAsia="Arial" w:hAnsi="Arial"/>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2920" w:type="dxa"/>
            <w:vAlign w:val="bottom"/>
          </w:tcPr>
          <w:p>
            <w:pPr>
              <w:ind w:left="940"/>
              <w:spacing w:after="0"/>
              <w:rPr>
                <w:sz w:val="20"/>
                <w:szCs w:val="20"/>
                <w:color w:val="auto"/>
              </w:rPr>
            </w:pPr>
            <w:r>
              <w:rPr>
                <w:rFonts w:ascii="Arial" w:cs="Arial" w:eastAsia="Arial" w:hAnsi="Arial"/>
                <w:sz w:val="13"/>
                <w:szCs w:val="13"/>
                <w:b w:val="1"/>
                <w:bCs w:val="1"/>
                <w:color w:val="auto"/>
              </w:rPr>
              <w:t>(Commission</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2920" w:type="dxa"/>
            <w:vAlign w:val="bottom"/>
          </w:tcPr>
          <w:p>
            <w:pPr>
              <w:ind w:left="920"/>
              <w:spacing w:after="0"/>
              <w:rPr>
                <w:sz w:val="20"/>
                <w:szCs w:val="20"/>
                <w:color w:val="auto"/>
              </w:rPr>
            </w:pPr>
            <w:r>
              <w:rPr>
                <w:rFonts w:ascii="Arial" w:cs="Arial" w:eastAsia="Arial" w:hAnsi="Arial"/>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4"/>
              </w:rPr>
              <w:t>Identification No.)</w:t>
            </w:r>
          </w:p>
        </w:tc>
      </w:tr>
      <w:tr>
        <w:trPr>
          <w:trHeight w:val="333"/>
        </w:trPr>
        <w:tc>
          <w:tcPr>
            <w:tcW w:w="3220" w:type="dxa"/>
            <w:vAlign w:val="bottom"/>
          </w:tcPr>
          <w:p>
            <w:pPr>
              <w:jc w:val="center"/>
              <w:ind w:right="841"/>
              <w:spacing w:after="0"/>
              <w:rPr>
                <w:sz w:val="20"/>
                <w:szCs w:val="20"/>
                <w:color w:val="auto"/>
              </w:rPr>
            </w:pPr>
            <w:r>
              <w:rPr>
                <w:rFonts w:ascii="Arial" w:cs="Arial" w:eastAsia="Arial" w:hAnsi="Arial"/>
                <w:sz w:val="18"/>
                <w:szCs w:val="18"/>
                <w:b w:val="1"/>
                <w:bCs w:val="1"/>
                <w:color w:val="auto"/>
                <w:w w:val="92"/>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5"/>
              </w:rPr>
              <w:t>Cranbury, NJ</w:t>
            </w:r>
          </w:p>
        </w:tc>
        <w:tc>
          <w:tcPr>
            <w:tcW w:w="2920" w:type="dxa"/>
            <w:vAlign w:val="bottom"/>
          </w:tcPr>
          <w:p>
            <w:pPr>
              <w:spacing w:after="0"/>
              <w:rPr>
                <w:sz w:val="19"/>
                <w:szCs w:val="19"/>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rPr>
              <w:t>08512</w:t>
            </w:r>
          </w:p>
        </w:tc>
      </w:tr>
      <w:tr>
        <w:trPr>
          <w:trHeight w:val="174"/>
        </w:trPr>
        <w:tc>
          <w:tcPr>
            <w:tcW w:w="3220" w:type="dxa"/>
            <w:vAlign w:val="bottom"/>
          </w:tcPr>
          <w:p>
            <w:pPr>
              <w:jc w:val="center"/>
              <w:ind w:right="8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Arial" w:cs="Arial" w:eastAsia="Arial" w:hAnsi="Arial"/>
                <w:sz w:val="13"/>
                <w:szCs w:val="13"/>
                <w:b w:val="1"/>
                <w:bCs w:val="1"/>
                <w:color w:val="auto"/>
                <w:w w:val="99"/>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749"/>
        <w:spacing w:after="0" w:line="308" w:lineRule="auto"/>
        <w:rPr>
          <w:sz w:val="20"/>
          <w:szCs w:val="20"/>
          <w:color w:val="auto"/>
        </w:rPr>
      </w:pPr>
      <w:r>
        <w:rPr>
          <w:rFonts w:ascii="Arial" w:cs="Arial" w:eastAsia="Arial" w:hAnsi="Arial"/>
          <w:sz w:val="17"/>
          <w:szCs w:val="17"/>
          <w:color w:val="auto"/>
        </w:rPr>
        <w:t>On March 1, 2022, PMV Pharmaceuticals, Inc. issued a press release announcing its financial results for the year ended December 31, 2021. The full text of the press release is attached as Exhibit 99.1 to this Current Report on Form 8-K and is incorporated herein by reference.</w:t>
      </w:r>
    </w:p>
    <w:p>
      <w:pPr>
        <w:spacing w:after="0" w:line="146"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440" w:type="dxa"/>
            <w:vAlign w:val="bottom"/>
            <w:gridSpan w:val="2"/>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4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536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PMV Pharmaceuticals, Inc., dated March 1, 2022.</w:t>
              </w:r>
            </w:hyperlink>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80" w:right="4620" w:hanging="5572"/>
        <w:spacing w:after="0" w:line="838" w:lineRule="auto"/>
        <w:tabs>
          <w:tab w:leader="none" w:pos="80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PMV Pharmaceuticals, Inc.</w:t>
      </w:r>
    </w:p>
    <w:p>
      <w:pPr>
        <w:spacing w:after="0" w:line="252"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Operating Officer, and</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553" w:right="379" w:bottom="1440" w:gutter="0" w:footer="0" w:header="0"/>
        </w:sectPr>
      </w:pPr>
    </w:p>
    <w:bookmarkStart w:id="3" w:name="page4"/>
    <w:bookmarkEnd w:id="3"/>
    <w:p>
      <w:pPr>
        <w:ind w:left="10180"/>
        <w:spacing w:after="0"/>
        <w:rPr>
          <w:sz w:val="20"/>
          <w:szCs w:val="20"/>
          <w:color w:val="auto"/>
        </w:rPr>
      </w:pPr>
      <w:r>
        <w:rPr>
          <w:rFonts w:ascii="Arial" w:cs="Arial" w:eastAsia="Arial" w:hAnsi="Arial"/>
          <w:sz w:val="19"/>
          <w:szCs w:val="19"/>
          <w:color w:val="auto"/>
        </w:rPr>
        <w:t>Exhibit 99.1</w:t>
      </w:r>
    </w:p>
    <w:p>
      <w:pPr>
        <w:spacing w:after="0" w:line="240" w:lineRule="exact"/>
        <w:rPr>
          <w:sz w:val="20"/>
          <w:szCs w:val="20"/>
          <w:color w:val="auto"/>
        </w:rPr>
      </w:pPr>
    </w:p>
    <w:p>
      <w:pPr>
        <w:ind w:right="820"/>
        <w:spacing w:after="0" w:line="286" w:lineRule="auto"/>
        <w:rPr>
          <w:sz w:val="20"/>
          <w:szCs w:val="20"/>
          <w:color w:val="auto"/>
        </w:rPr>
      </w:pPr>
      <w:r>
        <w:rPr>
          <w:rFonts w:ascii="Arial" w:cs="Arial" w:eastAsia="Arial" w:hAnsi="Arial"/>
          <w:sz w:val="32"/>
          <w:szCs w:val="32"/>
          <w:b w:val="1"/>
          <w:bCs w:val="1"/>
          <w:color w:val="auto"/>
        </w:rPr>
        <w:t>PMV Pharmaceuticals Reports Fourth Quarter and Full Year 2021 Financial Results and Corporate Highlights</w:t>
      </w:r>
    </w:p>
    <w:p>
      <w:pPr>
        <w:spacing w:after="0" w:line="4" w:lineRule="exact"/>
        <w:rPr>
          <w:sz w:val="20"/>
          <w:szCs w:val="20"/>
          <w:color w:val="auto"/>
        </w:rPr>
      </w:pPr>
    </w:p>
    <w:p>
      <w:pPr>
        <w:ind w:left="1220" w:right="20" w:hanging="429"/>
        <w:spacing w:after="0" w:line="26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progress with Phase 1/2 study of PC14586, a first-in-class precision oncology investigational therapy in patients with advanced solid tumors that have a p53 Y220C mutation</w:t>
      </w:r>
    </w:p>
    <w:p>
      <w:pPr>
        <w:spacing w:after="0" w:line="160" w:lineRule="exact"/>
        <w:rPr>
          <w:rFonts w:ascii="Arial" w:cs="Arial" w:eastAsia="Arial" w:hAnsi="Arial"/>
          <w:sz w:val="18"/>
          <w:szCs w:val="18"/>
          <w:color w:val="auto"/>
        </w:rPr>
      </w:pPr>
    </w:p>
    <w:p>
      <w:pPr>
        <w:ind w:left="1220" w:hanging="429"/>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Strong cash, cash equivalents and marketable securities of $314.1 million as of December 31, 2021</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CRANBURY, N.J., March 01, 2022 (GLOBE NEWSWIRE) -- PMV Pharmaceuticals, Inc. (Nasdaq: PMVP), a precision oncology company pioneering the discovery and development of small molecule, tumor-agnostic therapies targeting p53, today reported financial results for the fourth quarter and full year ended December 31, 2021 and provided corporate highlights.</w:t>
      </w:r>
    </w:p>
    <w:p>
      <w:pPr>
        <w:spacing w:after="0" w:line="31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that 2022 will be another productive year for PMV Pharma, following accomplishments across multiple fronts in 2021,” said David Mack, Ph.D., President and Chief Executive Officer. “We are encouraged by the steady progress in the development of our lead candidate PC14586, an investigational small molecule p53 Y220C reactivator, and look forward to reporting initial data from our ongoing Phase 1/2 trial in the first half of 2022. Our strong leadership and balance sheet position us to further advance our discovery pipeline of small molecule, tumor-agnostic precision medicine products that specifically target p53 mutants and targets where wild-type p53 is silenced.”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2021 and Corporate Highlights:</w:t>
      </w:r>
    </w:p>
    <w:p>
      <w:pPr>
        <w:spacing w:after="0" w:line="320" w:lineRule="exact"/>
        <w:rPr>
          <w:sz w:val="20"/>
          <w:szCs w:val="20"/>
          <w:color w:val="auto"/>
        </w:rPr>
      </w:pPr>
    </w:p>
    <w:p>
      <w:pPr>
        <w:jc w:val="both"/>
        <w:ind w:left="1300" w:hanging="442"/>
        <w:spacing w:after="0" w:line="238"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Patient enrollment in the Phase 1 portion of the Phase 1/2 clinical trial of PC14586 continues in line with the Company’s expectations. The Phase 1 dose escalation is assessing the safety, tolerability, pharmacokinetics, and preliminary anti-tumor activity of PC14586 in patients with advanced solid tumors that have a p53 Y220C mutation (NCT04585750). The Company plans to disclose initial results from this study in the first half of 2022.</w:t>
      </w:r>
    </w:p>
    <w:p>
      <w:pPr>
        <w:spacing w:after="0" w:line="96" w:lineRule="exact"/>
        <w:rPr>
          <w:rFonts w:ascii="Arial" w:cs="Arial" w:eastAsia="Arial" w:hAnsi="Arial"/>
          <w:sz w:val="18"/>
          <w:szCs w:val="18"/>
          <w:color w:val="auto"/>
        </w:rPr>
      </w:pPr>
    </w:p>
    <w:p>
      <w:pPr>
        <w:jc w:val="both"/>
        <w:ind w:left="1220" w:right="20" w:hanging="429"/>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continuing work on its p53 mutant programs, PMV expands its pipeline by advancing WIP1 (Wild-Type p53-Induced Phosphatase) inhibitor program, into lead optimization. WIP1 is a phosphatase that negatively regulates wild-type p53 as well as other proteins involved in the DNA damage response pathway.</w:t>
      </w:r>
    </w:p>
    <w:p>
      <w:pPr>
        <w:spacing w:after="0" w:line="94" w:lineRule="exact"/>
        <w:rPr>
          <w:rFonts w:ascii="Arial" w:cs="Arial" w:eastAsia="Arial" w:hAnsi="Arial"/>
          <w:sz w:val="18"/>
          <w:szCs w:val="18"/>
          <w:color w:val="auto"/>
        </w:rPr>
      </w:pPr>
    </w:p>
    <w:p>
      <w:pPr>
        <w:jc w:val="both"/>
        <w:ind w:left="1220" w:hanging="429"/>
        <w:spacing w:after="0" w:line="238"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Promotions of Binh Vu Ph.D. to Senior Vice President, Discovery Research and CMC and Melissa Dumble Ph.D. to Senior Vice President, Preclinical Development and Translational Science. Dr. Vu joined PMV Pharma in 2013 as its first employee and has been an integral part of the company over the past 8 years. He will continue to lead our discovery research and CMC activities. Dr. Dumble joined PMV Pharma in 2017 and has played an important role in developing our pipeline. She will continue to lead our preclinical development and translational science activities.</w:t>
      </w:r>
    </w:p>
    <w:p>
      <w:pPr>
        <w:spacing w:after="0" w:line="94" w:lineRule="exact"/>
        <w:rPr>
          <w:rFonts w:ascii="Arial" w:cs="Arial" w:eastAsia="Arial" w:hAnsi="Arial"/>
          <w:sz w:val="18"/>
          <w:szCs w:val="18"/>
          <w:color w:val="auto"/>
        </w:rPr>
      </w:pPr>
    </w:p>
    <w:p>
      <w:pPr>
        <w:jc w:val="both"/>
        <w:ind w:left="1220" w:hanging="429"/>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Appointment of Kirsten Flowers to our Board of Directors. Ms. Flowers is the Chief Commercial Officer of Kura Oncology, a clinical-stage precision oncology company, who has extensive commercial experience leading top-performing oncology product launches at large pharmaceutical and biotechnology organizations. Prior to Kura Oncology, she served as Senior Vice President, Commercial Operations at Array Biopharma, where she built and led the commercial organization that delivered the successful launch of Braftovi® + Mektovi® for patients with BRAF-mutant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ind w:left="1220" w:right="20"/>
        <w:spacing w:after="0"/>
        <w:rPr>
          <w:sz w:val="20"/>
          <w:szCs w:val="20"/>
          <w:color w:val="auto"/>
        </w:rPr>
      </w:pPr>
      <w:r>
        <w:rPr>
          <w:rFonts w:ascii="Arial" w:cs="Arial" w:eastAsia="Arial" w:hAnsi="Arial"/>
          <w:sz w:val="18"/>
          <w:szCs w:val="18"/>
          <w:color w:val="auto"/>
        </w:rPr>
        <w:t>Previously, she held various commercial leadership roles at Pfizer, including serving as the U.S. commercial lead for the launch of the blockbuster drug IBRANCE® in breast cancer and for the launch of INLYTA® in renal cell carcinoma.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2021 Financial Results</w:t>
      </w:r>
    </w:p>
    <w:p>
      <w:pPr>
        <w:spacing w:after="0" w:line="320" w:lineRule="exact"/>
        <w:rPr>
          <w:sz w:val="20"/>
          <w:szCs w:val="20"/>
          <w:color w:val="auto"/>
        </w:rPr>
      </w:pPr>
    </w:p>
    <w:p>
      <w:pPr>
        <w:jc w:val="both"/>
        <w:ind w:left="1220" w:right="20" w:hanging="429"/>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PMV Pharma ended the fourth quarter with $314.1 million in cash, cash equivalents, and marketable securities, compared to $361.4 million as of December 31, 2020. Net cash used in operations was $46.6 million for the twelve months ended December 31, 2021 compared to $32.7 million for the twelve months ended December 31, 2020.</w:t>
      </w:r>
    </w:p>
    <w:p>
      <w:pPr>
        <w:spacing w:after="0" w:line="94" w:lineRule="exact"/>
        <w:rPr>
          <w:rFonts w:ascii="Arial" w:cs="Arial" w:eastAsia="Arial" w:hAnsi="Arial"/>
          <w:sz w:val="18"/>
          <w:szCs w:val="18"/>
          <w:color w:val="auto"/>
        </w:rPr>
      </w:pPr>
    </w:p>
    <w:p>
      <w:pPr>
        <w:ind w:left="1220" w:right="20" w:hanging="429"/>
        <w:spacing w:after="0" w:line="246"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for the year ended December 31, 2021 was $57.8 million compared to $34.4 million for the year ended December 31, 2020.</w:t>
      </w:r>
    </w:p>
    <w:p>
      <w:pPr>
        <w:spacing w:after="0" w:line="88" w:lineRule="exact"/>
        <w:rPr>
          <w:rFonts w:ascii="Arial" w:cs="Arial" w:eastAsia="Arial" w:hAnsi="Arial"/>
          <w:sz w:val="18"/>
          <w:szCs w:val="18"/>
          <w:color w:val="auto"/>
        </w:rPr>
      </w:pPr>
    </w:p>
    <w:p>
      <w:pPr>
        <w:jc w:val="both"/>
        <w:ind w:left="1220" w:right="20" w:hanging="429"/>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(R&amp;D) expenses were $36.5 million for the year ended December 31, 2021 compared to $23.9 million for the year ended December 31, 2020. The increase in R&amp;D expenses was primarily related to increased headcount and clinical expenses related to advancing research on PC14586, the Company’s lead drug candidate.</w:t>
      </w:r>
    </w:p>
    <w:p>
      <w:pPr>
        <w:spacing w:after="0" w:line="297" w:lineRule="exact"/>
        <w:rPr>
          <w:rFonts w:ascii="Arial" w:cs="Arial" w:eastAsia="Arial" w:hAnsi="Arial"/>
          <w:sz w:val="18"/>
          <w:szCs w:val="18"/>
          <w:color w:val="auto"/>
        </w:rPr>
      </w:pPr>
    </w:p>
    <w:p>
      <w:pPr>
        <w:jc w:val="both"/>
        <w:ind w:left="1220" w:right="20" w:hanging="429"/>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(G&amp;A) expenses were $21.8 million for the year ended December 31, 2021, compared to $11.0 million for the year ended December 31, 2020. The increase in G&amp;A expenses was primarily due to expanding the infrastructure necessary for operating as a public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About PC14586</w:t>
      </w:r>
    </w:p>
    <w:p>
      <w:pPr>
        <w:spacing w:after="0" w:line="3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 suppressing function. PC14586 is being developed for the treatment of patients with locally advanced or metastatic solid tumors that have a p53 Y220C mutation.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About PMV Pharma</w:t>
      </w:r>
    </w:p>
    <w:p>
      <w:pPr>
        <w:spacing w:after="0" w:line="32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Statements contained in this press release regarding matters that are not historical facts are “forward -looking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plans for initial data disclosure and patient enrollment expectations for its current clinical trial for PC14586;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18"/>
          <w:szCs w:val="18"/>
          <w:color w:val="auto"/>
        </w:rPr>
        <w:t>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511175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0"/>
          <w:szCs w:val="20"/>
          <w:b w:val="1"/>
          <w:bCs w:val="1"/>
          <w:color w:val="auto"/>
        </w:rPr>
        <w:t>PMV Pharmaceuticals,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Condensed Balance Sheets</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(unaudited,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2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172,467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 current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4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4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476,363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(167,726)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(109,880)</w:t>
            </w:r>
          </w:p>
        </w:tc>
        <w:tc>
          <w:tcPr>
            <w:tcW w:w="20" w:type="dxa"/>
            <w:vAlign w:val="bottom"/>
          </w:tcPr>
          <w:p>
            <w:pPr>
              <w:spacing w:after="0"/>
              <w:rPr>
                <w:sz w:val="19"/>
                <w:szCs w:val="19"/>
                <w:color w:val="auto"/>
              </w:rPr>
            </w:pP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331,568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73"/>
        </w:trPr>
        <w:tc>
          <w:tcPr>
            <w:tcW w:w="54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PMV Pharmaceuticals, Inc.</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Condensed Statements of Operations and Comprehensive Loss</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auto"/>
        </w:rPr>
        <w:t>(unaudited, in thousands, except share and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6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38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1120" w:type="dxa"/>
            <w:vAlign w:val="bottom"/>
          </w:tcPr>
          <w:p>
            <w:pPr>
              <w:jc w:val="right"/>
              <w:ind w:right="132"/>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1"/>
                <w:szCs w:val="1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36,493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23,933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20,759</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67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(25,344)</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(25,352)</w:t>
            </w:r>
          </w:p>
        </w:tc>
        <w:tc>
          <w:tcPr>
            <w:tcW w:w="10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marketable securities, net of tax</w:t>
            </w: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(57,924)</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(34,437)</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0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per share—basic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45,137,656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14,364,475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3,035,243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 Contact: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3AFFD"/>
        </w:rPr>
        <w:t>investors@pmvpharma.com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2022-03-01T10:59:50Z</dcterms:created>
  <dcterms:modified xsi:type="dcterms:W3CDTF">2022-03-01T10:59:50Z</dcterms:modified>
</cp:coreProperties>
</file>