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102235</wp:posOffset>
            </wp:positionV>
            <wp:extent cx="71577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59690"/>
                    </a:xfrm>
                    <a:prstGeom prst="rect">
                      <a:avLst/>
                    </a:prstGeom>
                    <a:noFill/>
                  </pic:spPr>
                </pic:pic>
              </a:graphicData>
            </a:graphic>
          </wp:anchor>
        </w:drawing>
        <w:t>UNITED STATES</w:t>
      </w: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00" w:lineRule="exact"/>
        <w:rPr>
          <w:sz w:val="24"/>
          <w:szCs w:val="24"/>
          <w:color w:val="auto"/>
        </w:rPr>
      </w:pPr>
    </w:p>
    <w:p>
      <w:pPr>
        <w:spacing w:after="0" w:line="2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39"/>
        <w:spacing w:after="0"/>
        <w:tabs>
          <w:tab w:leader="none" w:pos="240" w:val="left"/>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tab/>
        <w:t>01</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3828415</wp:posOffset>
            </wp:positionH>
            <wp:positionV relativeFrom="paragraph">
              <wp:posOffset>-12065</wp:posOffset>
            </wp:positionV>
            <wp:extent cx="411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1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color w:val="auto"/>
        </w:rPr>
        <w:t>PMV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62165"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621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69353Y103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6216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62165"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800" w:hanging="7"/>
        <w:spacing w:after="0" w:line="563" w:lineRule="auto"/>
        <w:tabs>
          <w:tab w:leader="none" w:pos="420" w:val="left"/>
        </w:tabs>
        <w:numPr>
          <w:ilvl w:val="1"/>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13d-1(b) o Rule 13d-1(c) o Rule 13d-1(d)</w:t>
      </w:r>
    </w:p>
    <w:p>
      <w:pPr>
        <w:spacing w:after="0" w:line="1" w:lineRule="exact"/>
        <w:rPr>
          <w:rFonts w:ascii="Times New Roman" w:cs="Times New Roman" w:eastAsia="Times New Roman" w:hAnsi="Times New Roman"/>
          <w:sz w:val="17"/>
          <w:szCs w:val="17"/>
          <w:color w:val="auto"/>
        </w:rPr>
      </w:pPr>
    </w:p>
    <w:p>
      <w:pPr>
        <w:spacing w:after="0" w:line="28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9"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410845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3" w:right="359" w:bottom="1440" w:gutter="0" w:footer="0" w:header="0"/>
        </w:sectPr>
      </w:pPr>
    </w:p>
    <w:bookmarkStart w:id="1" w:name="page2"/>
    <w:bookmarkEnd w:id="1"/>
    <w:p>
      <w:pPr>
        <w:spacing w:after="0"/>
        <w:tabs>
          <w:tab w:leader="none" w:pos="920" w:val="left"/>
        </w:tabs>
        <w:rPr>
          <w:sz w:val="20"/>
          <w:szCs w:val="20"/>
          <w:color w:val="auto"/>
        </w:rPr>
      </w:pPr>
      <w:r>
        <w:rPr>
          <w:rFonts w:ascii="Times New Roman" w:cs="Times New Roman" w:eastAsia="Times New Roman" w:hAnsi="Times New Roman"/>
          <w:sz w:val="36"/>
          <w:szCs w:val="36"/>
          <w:color w:val="auto"/>
          <w:vertAlign w:val="superscript"/>
        </w:rPr>
        <w:t>CUSIP</w:t>
      </w:r>
      <w:r>
        <w:rPr>
          <w:sz w:val="20"/>
          <w:szCs w:val="20"/>
          <w:color w:val="auto"/>
        </w:rPr>
        <w:tab/>
      </w:r>
      <w:r>
        <w:rPr>
          <w:rFonts w:ascii="Times New Roman" w:cs="Times New Roman" w:eastAsia="Times New Roman" w:hAnsi="Times New Roman"/>
          <w:sz w:val="18"/>
          <w:szCs w:val="18"/>
          <w:color w:val="auto"/>
        </w:rPr>
        <w:t>69353Y103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-71120</wp:posOffset>
            </wp:positionV>
            <wp:extent cx="723900" cy="278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900" cy="27813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2802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802890"/>
                    </a:xfrm>
                    <a:prstGeom prst="rect">
                      <a:avLst/>
                    </a:prstGeom>
                    <a:noFill/>
                  </pic:spPr>
                </pic:pic>
              </a:graphicData>
            </a:graphic>
          </wp:anchor>
        </w:drawing>
      </w:r>
    </w:p>
    <w:p>
      <w:pPr>
        <w:spacing w:after="0" w:line="2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p>
      <w:pPr>
        <w:ind w:left="760" w:right="4900" w:hanging="529"/>
        <w:spacing w:after="0" w:line="181" w:lineRule="auto"/>
        <w:tabs>
          <w:tab w:leader="none" w:pos="760" w:val="left"/>
        </w:tabs>
        <w:numPr>
          <w:ilvl w:val="0"/>
          <w:numId w:val="2"/>
        </w:numPr>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5"/>
          <w:szCs w:val="15"/>
          <w:color w:val="auto"/>
        </w:rPr>
        <w:t>I.R.S. IDENTIFICATION NOS. OF ABOVE PERSONS (ENTITIES ONLY) JPMORGAN CHASE &amp; CO.</w:t>
      </w:r>
    </w:p>
    <w:p>
      <w:pPr>
        <w:spacing w:after="0" w:line="198" w:lineRule="exact"/>
        <w:rPr>
          <w:rFonts w:ascii="Times New Roman" w:cs="Times New Roman" w:eastAsia="Times New Roman" w:hAnsi="Times New Roman"/>
          <w:sz w:val="40"/>
          <w:szCs w:val="40"/>
          <w:b w:val="1"/>
          <w:bCs w:val="1"/>
          <w:color w:val="auto"/>
          <w:vertAlign w:val="subscript"/>
        </w:rPr>
      </w:pPr>
    </w:p>
    <w:p>
      <w:pPr>
        <w:ind w:left="760"/>
        <w:spacing w:after="0"/>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8"/>
          <w:szCs w:val="18"/>
          <w:color w:val="auto"/>
        </w:rPr>
        <w:t>13-2624428</w:t>
      </w:r>
    </w:p>
    <w:p>
      <w:pPr>
        <w:spacing w:after="0" w:line="90" w:lineRule="exact"/>
        <w:rPr>
          <w:rFonts w:ascii="Times New Roman" w:cs="Times New Roman" w:eastAsia="Times New Roman" w:hAnsi="Times New Roman"/>
          <w:sz w:val="40"/>
          <w:szCs w:val="40"/>
          <w:b w:val="1"/>
          <w:bCs w:val="1"/>
          <w:color w:val="auto"/>
          <w:vertAlign w:val="subscript"/>
        </w:rPr>
      </w:pPr>
    </w:p>
    <w:p>
      <w:pPr>
        <w:ind w:left="760"/>
        <w:spacing w:after="0"/>
        <w:rPr>
          <w:rFonts w:ascii="Times New Roman" w:cs="Times New Roman" w:eastAsia="Times New Roman" w:hAnsi="Times New Roman"/>
          <w:sz w:val="40"/>
          <w:szCs w:val="40"/>
          <w:b w:val="1"/>
          <w:bCs w:val="1"/>
          <w:color w:val="auto"/>
          <w:vertAlign w:val="subscript"/>
        </w:rPr>
      </w:pPr>
      <w:r>
        <w:rPr>
          <w:rFonts w:ascii="Times New Roman" w:cs="Times New Roman" w:eastAsia="Times New Roman" w:hAnsi="Times New Roman"/>
          <w:sz w:val="18"/>
          <w:szCs w:val="18"/>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ind w:left="240" w:right="10060" w:firstLine="510"/>
        <w:spacing w:after="0" w:line="208" w:lineRule="auto"/>
        <w:tabs>
          <w:tab w:leader="none" w:pos="109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o </w:t>
      </w:r>
      <w:r>
        <w:rPr>
          <w:rFonts w:ascii="Times New Roman" w:cs="Times New Roman" w:eastAsia="Times New Roman" w:hAnsi="Times New Roman"/>
          <w:sz w:val="31"/>
          <w:szCs w:val="31"/>
          <w:b w:val="1"/>
          <w:bCs w:val="1"/>
          <w:color w:val="auto"/>
        </w:rPr>
        <w:t xml:space="preserve">2  </w:t>
      </w:r>
      <w:r>
        <w:rPr>
          <w:rFonts w:ascii="Times New Roman" w:cs="Times New Roman" w:eastAsia="Times New Roman" w:hAnsi="Times New Roman"/>
          <w:sz w:val="17"/>
          <w:szCs w:val="17"/>
          <w:color w:val="auto"/>
        </w:rPr>
        <w:t>(b)</w:t>
      </w:r>
      <w:r>
        <w:rPr>
          <w:rFonts w:ascii="Times New Roman" w:cs="Times New Roman" w:eastAsia="Times New Roman" w:hAnsi="Times New Roman"/>
          <w:sz w:val="31"/>
          <w:szCs w:val="31"/>
          <w:b w:val="1"/>
          <w:bCs w:val="1"/>
          <w:color w:val="auto"/>
        </w:rPr>
        <w:t xml:space="preserve">  </w:t>
      </w:r>
      <w:r>
        <w:rPr>
          <w:rFonts w:ascii="Times New Roman" w:cs="Times New Roman" w:eastAsia="Times New Roman" w:hAnsi="Times New Roman"/>
          <w:sz w:val="17"/>
          <w:szCs w:val="17"/>
          <w:color w:val="auto"/>
        </w:rPr>
        <w:t>o</w:t>
      </w:r>
    </w:p>
    <w:p>
      <w:pPr>
        <w:spacing w:after="0" w:line="4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32"/>
          <w:szCs w:val="32"/>
          <w:b w:val="1"/>
          <w:bCs w:val="1"/>
          <w:color w:val="auto"/>
        </w:rPr>
        <w:t>3</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145" w:lineRule="exact"/>
        <w:rPr>
          <w:sz w:val="20"/>
          <w:szCs w:val="20"/>
          <w:color w:val="auto"/>
        </w:rPr>
      </w:pPr>
    </w:p>
    <w:p>
      <w:pPr>
        <w:ind w:left="760" w:hanging="529"/>
        <w:spacing w:after="0"/>
        <w:tabs>
          <w:tab w:leader="none" w:pos="760" w:val="left"/>
        </w:tabs>
        <w:numPr>
          <w:ilvl w:val="0"/>
          <w:numId w:val="4"/>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3,702,613</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8"/>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right w:val="single" w:sz="8" w:color="auto"/>
            </w:tcBorders>
          </w:tcPr>
          <w:p>
            <w:pPr>
              <w:spacing w:after="0"/>
              <w:rPr>
                <w:sz w:val="18"/>
                <w:szCs w:val="18"/>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9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4,580,459</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997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145" w:lineRule="exact"/>
        <w:rPr>
          <w:sz w:val="20"/>
          <w:szCs w:val="20"/>
          <w:color w:val="auto"/>
        </w:rPr>
      </w:pPr>
    </w:p>
    <w:p>
      <w:pPr>
        <w:ind w:left="760" w:hanging="529"/>
        <w:spacing w:after="0"/>
        <w:tabs>
          <w:tab w:leader="none" w:pos="760" w:val="left"/>
        </w:tabs>
        <w:numPr>
          <w:ilvl w:val="0"/>
          <w:numId w:val="5"/>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4,585,459</w:t>
      </w:r>
    </w:p>
    <w:p>
      <w:pPr>
        <w:spacing w:after="0" w:line="62" w:lineRule="exact"/>
        <w:rPr>
          <w:rFonts w:ascii="Times New Roman" w:cs="Times New Roman" w:eastAsia="Times New Roman" w:hAnsi="Times New Roman"/>
          <w:sz w:val="32"/>
          <w:szCs w:val="32"/>
          <w:b w:val="1"/>
          <w:bCs w:val="1"/>
          <w:color w:val="auto"/>
        </w:rPr>
      </w:pPr>
    </w:p>
    <w:p>
      <w:pPr>
        <w:ind w:left="76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10</w:t>
      </w:r>
      <w:r>
        <w:rPr>
          <w:sz w:val="20"/>
          <w:szCs w:val="20"/>
          <w:color w:val="auto"/>
        </w:rPr>
        <w:tab/>
      </w:r>
      <w:r>
        <w:rPr>
          <w:rFonts w:ascii="Times New Roman" w:cs="Times New Roman" w:eastAsia="Times New Roman" w:hAnsi="Times New Roman"/>
          <w:sz w:val="16"/>
          <w:szCs w:val="16"/>
          <w:color w:val="auto"/>
        </w:rPr>
        <w:t>o</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102" w:lineRule="exact"/>
        <w:rPr>
          <w:sz w:val="20"/>
          <w:szCs w:val="20"/>
          <w:color w:val="auto"/>
        </w:rPr>
      </w:pPr>
    </w:p>
    <w:p>
      <w:pPr>
        <w:ind w:left="16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11</w:t>
      </w:r>
      <w:r>
        <w:rPr>
          <w:sz w:val="20"/>
          <w:szCs w:val="20"/>
          <w:color w:val="auto"/>
        </w:rPr>
        <w:tab/>
      </w:r>
      <w:r>
        <w:rPr>
          <w:rFonts w:ascii="Times New Roman" w:cs="Times New Roman" w:eastAsia="Times New Roman" w:hAnsi="Times New Roman"/>
          <w:sz w:val="17"/>
          <w:szCs w:val="17"/>
          <w:color w:val="auto"/>
        </w:rPr>
        <w:t>10.0 %</w:t>
      </w:r>
    </w:p>
    <w:p>
      <w:pPr>
        <w:spacing w:after="0" w:line="1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12</w:t>
      </w:r>
      <w:r>
        <w:rPr>
          <w:sz w:val="20"/>
          <w:szCs w:val="20"/>
          <w:color w:val="auto"/>
        </w:rPr>
        <w:tab/>
      </w:r>
      <w:r>
        <w:rPr>
          <w:rFonts w:ascii="Times New Roman" w:cs="Times New Roman" w:eastAsia="Times New Roman" w:hAnsi="Times New Roman"/>
          <w:sz w:val="17"/>
          <w:szCs w:val="17"/>
          <w:color w:val="auto"/>
        </w:rPr>
        <w:t>HC</w:t>
      </w:r>
    </w:p>
    <w:p>
      <w:pPr>
        <w:spacing w:after="0" w:line="200" w:lineRule="exact"/>
        <w:rPr>
          <w:sz w:val="20"/>
          <w:szCs w:val="20"/>
          <w:color w:val="auto"/>
        </w:rPr>
      </w:pPr>
    </w:p>
    <w:p>
      <w:pPr>
        <w:spacing w:after="0" w:line="2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PMV PHARMACEUTICALS, INC.</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6480" w:hanging="644"/>
        <w:spacing w:after="0" w:line="261"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8 Clarke Drive, Suite 3</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Cranbury, NJ 08512</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JPMORGAN CHASE &amp; CO.</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5620" w:hanging="644"/>
        <w:spacing w:after="0" w:line="261"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383 Madison Avenue</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NY 10179</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300" w:right="9080" w:hanging="644"/>
        <w:spacing w:after="0" w:line="312" w:lineRule="auto"/>
        <w:tabs>
          <w:tab w:leader="none" w:pos="1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Delaware</w:t>
      </w:r>
    </w:p>
    <w:p>
      <w:pPr>
        <w:spacing w:after="0" w:line="200" w:lineRule="exact"/>
        <w:rPr>
          <w:rFonts w:ascii="Times New Roman" w:cs="Times New Roman" w:eastAsia="Times New Roman" w:hAnsi="Times New Roman"/>
          <w:sz w:val="17"/>
          <w:szCs w:val="17"/>
          <w:color w:val="auto"/>
        </w:rPr>
      </w:pPr>
    </w:p>
    <w:p>
      <w:pPr>
        <w:spacing w:after="0" w:line="209" w:lineRule="exact"/>
        <w:rPr>
          <w:rFonts w:ascii="Times New Roman" w:cs="Times New Roman" w:eastAsia="Times New Roman" w:hAnsi="Times New Roman"/>
          <w:sz w:val="17"/>
          <w:szCs w:val="17"/>
          <w:color w:val="auto"/>
        </w:rPr>
      </w:pPr>
    </w:p>
    <w:p>
      <w:pPr>
        <w:ind w:left="1300" w:right="732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 stock, par value $0.00001</w:t>
      </w:r>
    </w:p>
    <w:p>
      <w:pPr>
        <w:spacing w:after="0" w:line="200" w:lineRule="exact"/>
        <w:rPr>
          <w:rFonts w:ascii="Times New Roman" w:cs="Times New Roman" w:eastAsia="Times New Roman" w:hAnsi="Times New Roman"/>
          <w:sz w:val="18"/>
          <w:szCs w:val="18"/>
          <w:color w:val="auto"/>
        </w:rPr>
      </w:pPr>
    </w:p>
    <w:p>
      <w:pPr>
        <w:spacing w:after="0" w:line="231" w:lineRule="exact"/>
        <w:rPr>
          <w:rFonts w:ascii="Times New Roman" w:cs="Times New Roman" w:eastAsia="Times New Roman" w:hAnsi="Times New Roman"/>
          <w:sz w:val="18"/>
          <w:szCs w:val="18"/>
          <w:color w:val="auto"/>
        </w:rPr>
      </w:pPr>
    </w:p>
    <w:p>
      <w:pPr>
        <w:ind w:left="1300" w:right="8760" w:hanging="644"/>
        <w:spacing w:after="0" w:line="312" w:lineRule="auto"/>
        <w:tabs>
          <w:tab w:leader="none" w:pos="1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69353Y103</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Broker or dealer registered under section 15 of the Act (15 U.S.C. 78o).</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Bank as defined in section 3(a)(6) of the Act (15 U.S.C. 78c).</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Insurance company as defined in section 3(a)(19) of the Act (15 U.S.C. 78c).</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An investment adviser in accordance with §240.13d-1(b)(1)(ii)(E);</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An employee benefit plan or endowment fund in accordance with §240.13d-1(b)(1)(ii)(F);</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r>
        <w:rPr>
          <w:rFonts w:ascii="Times New Roman" w:cs="Times New Roman" w:eastAsia="Times New Roman" w:hAnsi="Times New Roman"/>
          <w:sz w:val="17"/>
          <w:szCs w:val="17"/>
          <w:color w:val="auto"/>
        </w:rPr>
        <w:t>A parent holding company or control person in accordance with § 240.13d-1(b)(1)(ii)(G);</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 savings associations as defined in Section 3(b) of the Federal Deposit Insurance Act (12 U.S.C. 1813);</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1304"/>
        <w:spacing w:after="0" w:line="282" w:lineRule="auto"/>
        <w:tabs>
          <w:tab w:leader="none" w:pos="13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church plan that is excluded from the definition of an investment company under section 3(c)(14) of the Investment Company Act of 1940 (15 U.S.C. 80a-3);</w:t>
      </w:r>
    </w:p>
    <w:p>
      <w:pPr>
        <w:spacing w:after="0" w:line="200" w:lineRule="exact"/>
        <w:rPr>
          <w:rFonts w:ascii="Times New Roman" w:cs="Times New Roman" w:eastAsia="Times New Roman" w:hAnsi="Times New Roman"/>
          <w:sz w:val="18"/>
          <w:szCs w:val="18"/>
          <w:color w:val="auto"/>
        </w:rPr>
      </w:pPr>
    </w:p>
    <w:p>
      <w:pPr>
        <w:spacing w:after="0" w:line="23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 non-U.S. institution in accordance with § 240.13d-1(b)(1)(ii)(J).</w:t>
      </w:r>
    </w:p>
    <w:p>
      <w:pPr>
        <w:sectPr>
          <w:pgSz w:w="11900" w:h="16838" w:orient="portrait"/>
          <w:cols w:equalWidth="0" w:num="1">
            <w:col w:w="11200"/>
          </w:cols>
          <w:pgMar w:left="320" w:top="509" w:right="379" w:bottom="0" w:gutter="0" w:footer="0" w:header="0"/>
        </w:sectPr>
      </w:pPr>
    </w:p>
    <w:bookmarkStart w:id="3" w:name="page4"/>
    <w:bookmarkEnd w:id="3"/>
    <w:p>
      <w:pPr>
        <w:ind w:left="1304" w:hanging="1304"/>
        <w:spacing w:after="0" w:line="282" w:lineRule="auto"/>
        <w:tabs>
          <w:tab w:leader="none" w:pos="6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684530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4"/>
          </w:cols>
          <w:pgMar w:left="976" w:top="607"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95"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4,585,459</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10.0 %</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3,702,613</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4,580,459</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JPMorgan Asset Management (UK) Limited</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JPMorgan Chase Bank, National Association</w:t>
      </w:r>
    </w:p>
    <w:p>
      <w:pPr>
        <w:spacing w:after="0" w:line="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J.P. Morgan Investment Management Inc.</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09" w:right="539" w:bottom="1440" w:gutter="0" w:footer="0" w:header="0"/>
        </w:sectPr>
      </w:pPr>
    </w:p>
    <w:bookmarkStart w:id="5" w:name="page6"/>
    <w:bookmarkEnd w:id="5"/>
    <w:p>
      <w:pPr>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Item</w:t>
        <w:tab/>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07" w:lineRule="exact"/>
        <w:rPr>
          <w:sz w:val="20"/>
          <w:szCs w:val="20"/>
          <w:color w:val="auto"/>
        </w:rPr>
      </w:pPr>
    </w:p>
    <w:p>
      <w:pPr>
        <w:ind w:left="6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JPMORGAN CHASE &amp; CO.</w:t>
      </w:r>
    </w:p>
    <w:p>
      <w:pPr>
        <w:sectPr>
          <w:pgSz w:w="11900" w:h="16838" w:orient="portrait"/>
          <w:cols w:equalWidth="0" w:num="1">
            <w:col w:w="11180"/>
          </w:cols>
          <w:pgMar w:left="320" w:top="752" w:right="3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07,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Rachel Tsvaygoft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Name: Rachel Tsvaygoft</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ectPr>
          <w:pgSz w:w="11900" w:h="16838" w:orient="portrait"/>
          <w:cols w:equalWidth="0" w:num="2">
            <w:col w:w="4920" w:space="720"/>
            <w:col w:w="5540"/>
          </w:cols>
          <w:pgMar w:left="320" w:top="752" w:right="39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Footnotes:</w:t>
      </w:r>
    </w:p>
    <w:p>
      <w:pPr>
        <w:sectPr>
          <w:pgSz w:w="11900" w:h="16838" w:orient="portrait"/>
          <w:cols w:equalWidth="0" w:num="1">
            <w:col w:w="11180"/>
          </w:cols>
          <w:pgMar w:left="320" w:top="752" w:right="399" w:bottom="144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sectPr>
      <w:pgSz w:w="11900" w:h="16838" w:orient="portrait"/>
      <w:cols w:equalWidth="0" w:num="1">
        <w:col w:w="11180"/>
      </w:cols>
      <w:pgMar w:left="320" w:top="75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x"/>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4"/>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1"/>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2022-07-07T09:08:24Z</dcterms:created>
  <dcterms:modified xsi:type="dcterms:W3CDTF">2022-07-07T09:08:24Z</dcterms:modified>
</cp:coreProperties>
</file>