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24,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46-3218129</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Research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2020 Equity Incentive Plan</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2020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Research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7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Kenneth A. Clark</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1"/>
              </w:rPr>
              <w:t>Winston Kung</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Tony Jeffries</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3"/>
              </w:rPr>
              <w:t>Chief Operating Officer and</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Megan J. Baier</w:t>
            </w:r>
          </w:p>
        </w:tc>
        <w:tc>
          <w:tcPr>
            <w:tcW w:w="4720" w:type="dxa"/>
            <w:vAlign w:val="bottom"/>
          </w:tcPr>
          <w:p>
            <w:pPr>
              <w:jc w:val="center"/>
              <w:ind w:left="24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2"/>
              </w:rPr>
              <w:t>PMV Pharmaceuticals, Inc.</w:t>
            </w:r>
          </w:p>
        </w:tc>
      </w:tr>
      <w:tr>
        <w:trPr>
          <w:trHeight w:val="216"/>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650 Page Mill Road</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One Research Way</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Palo Alto, CA 94304</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1"/>
              </w:rPr>
              <w:t>Princeton, NJ 08540</w:t>
            </w:r>
          </w:p>
        </w:tc>
      </w:tr>
      <w:tr>
        <w:trPr>
          <w:trHeight w:val="234"/>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(650) 493-9300</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(609) 642-6670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306" w:gutter="0" w:footer="0" w:header="0"/>
        </w:sectPr>
      </w:pPr>
    </w:p>
    <w:bookmarkStart w:id="1" w:name="page2"/>
    <w:bookmarkEnd w:id="1"/>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This Registration Statement is being filed with the Securities and Exchange Commission (the “Commission”) for the purpose of registering additional securities of the same class as other securities for which a registration statement of PMV Pharmaceuticals, Inc. (the “Registrant”) on Form S-8 relating to the same employee benefit plans is effective. The number of the Registrant’s common stock available for grant and issuance under the 2020 Equity Incentive Plan (“2020 Plan”) is subject to annual increase on the first day of each fiscal year beginning with fiscal year 2021, in an amount equal to the least of (i) 4,406,374 shares, (ii) five percent (5%) of the outstanding shares of the Registrant’s common stock on the last day of the immediately preceding fiscal year or (iii) such number of shares determined by the 2020 Plan administrator. The number of the Registrant’s common stock available for grant and issuance under the 2020 Employee Stock Purchase Plan (“2020 ESPP”) is subject to annual increase on the first day of each fiscal year beginning with fiscal year 2021 equal to the least of (i) 801,504 shares, (ii) one percent (1%) of the outstanding shares of the Registrant’s common stock on the last day of the immediately preceding fiscal year or (iii) such number of shares determined by the 2020 ESPP administrator. On January 1, 2023, the number of shares of the Registrant’s common stock available for grant and issuance under the 2020 Plan and available for issuance under the 2020 ESPP increased by 1,830,853 shares and 457,713 shares, respectively. This Registration Statement registers such additional shares of the Registrant’s common stock.</w:t>
      </w:r>
    </w:p>
    <w:p>
      <w:pPr>
        <w:spacing w:after="0" w:line="179"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The Registrant previously registered shares of common stock for issuance under the 2020 Plan and the 2020 ESPP pursuant to (i) a registration statement on Form S-8 (File No. 333-249094) filed with the Commission on September 28, 2020, (ii) a registration statement on Form S-8 (File No. 333-256346) filed with the Commission on May 21, 2021 and (iii) a registration statement on Form S-8 (File No. 333-262308) filed with the Commission on January 24, 2022 ((i), (ii) and (iii), collectively, the “Prior Registration Statements”). In accordance with General Instruction E to Form S-8, the contents of the Prior Registration Statements are hereby incorporated by reference. In accordance with the instructional note to Part I of Form S-8 promulgated by the Commission, the information specified by Part I of Form S-8 has been omitted from this Registration Statement.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248" w:lineRule="exact"/>
        <w:rPr>
          <w:sz w:val="20"/>
          <w:szCs w:val="20"/>
          <w:color w:val="auto"/>
        </w:rPr>
      </w:pPr>
    </w:p>
    <w:p>
      <w:pPr>
        <w:ind w:right="180" w:firstLine="436"/>
        <w:spacing w:after="0" w:line="277" w:lineRule="auto"/>
        <w:tabs>
          <w:tab w:leader="none" w:pos="695"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Registration Statements on Form S-8 previously filed with the Commission on </w:t>
      </w:r>
      <w:hyperlink r:id="rId20">
        <w:r>
          <w:rPr>
            <w:rFonts w:ascii="Arial" w:cs="Arial" w:eastAsia="Arial" w:hAnsi="Arial"/>
            <w:sz w:val="18"/>
            <w:szCs w:val="18"/>
            <w:u w:val="single" w:color="auto"/>
            <w:color w:val="0000EE"/>
          </w:rPr>
          <w:t>September 28,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333-249094), </w:t>
      </w:r>
      <w:hyperlink r:id="rId21">
        <w:r>
          <w:rPr>
            <w:rFonts w:ascii="Arial" w:cs="Arial" w:eastAsia="Arial" w:hAnsi="Arial"/>
            <w:sz w:val="18"/>
            <w:szCs w:val="18"/>
            <w:u w:val="single" w:color="auto"/>
            <w:color w:val="0000EE"/>
          </w:rPr>
          <w:t>May 21, 2021</w:t>
        </w:r>
        <w:r>
          <w:rPr>
            <w:rFonts w:ascii="Arial" w:cs="Arial" w:eastAsia="Arial" w:hAnsi="Arial"/>
            <w:sz w:val="18"/>
            <w:szCs w:val="18"/>
            <w:color w:val="0000EE"/>
          </w:rPr>
          <w:t xml:space="preserve">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333-256346) and</w:t>
      </w:r>
      <w:r>
        <w:rPr>
          <w:rFonts w:ascii="Arial" w:cs="Arial" w:eastAsia="Arial" w:hAnsi="Arial"/>
          <w:sz w:val="18"/>
          <w:szCs w:val="18"/>
          <w:color w:val="0000EE"/>
        </w:rPr>
        <w:t xml:space="preserve"> </w:t>
      </w:r>
      <w:hyperlink r:id="rId22">
        <w:r>
          <w:rPr>
            <w:rFonts w:ascii="Arial" w:cs="Arial" w:eastAsia="Arial" w:hAnsi="Arial"/>
            <w:sz w:val="18"/>
            <w:szCs w:val="18"/>
            <w:u w:val="single" w:color="auto"/>
            <w:color w:val="0000EE"/>
          </w:rPr>
          <w:t xml:space="preserve">January 24, 2022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333-262308);</w:t>
      </w:r>
    </w:p>
    <w:p>
      <w:pPr>
        <w:spacing w:after="0" w:line="170" w:lineRule="exact"/>
        <w:rPr>
          <w:rFonts w:ascii="Arial" w:cs="Arial" w:eastAsia="Arial" w:hAnsi="Arial"/>
          <w:sz w:val="18"/>
          <w:szCs w:val="18"/>
          <w:color w:val="0000EE"/>
        </w:rPr>
      </w:pPr>
    </w:p>
    <w:p>
      <w:pPr>
        <w:ind w:right="860"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2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(the “2021 Form 10-K”), filed with the Commission on March 1, 2022 (File No. 001-39539);</w:t>
      </w:r>
    </w:p>
    <w:p>
      <w:pPr>
        <w:spacing w:after="0" w:line="170"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1"/>
        </w:numPr>
        <w:rPr>
          <w:rFonts w:ascii="Arial" w:cs="Arial" w:eastAsia="Arial" w:hAnsi="Arial"/>
          <w:sz w:val="18"/>
          <w:szCs w:val="18"/>
          <w:color w:val="0000EE"/>
        </w:rPr>
      </w:pPr>
      <w:hyperlink r:id="rId24">
        <w:r>
          <w:rPr>
            <w:rFonts w:ascii="Arial" w:cs="Arial" w:eastAsia="Arial" w:hAnsi="Arial"/>
            <w:sz w:val="18"/>
            <w:szCs w:val="18"/>
            <w:color w:val="auto"/>
          </w:rPr>
          <w:t xml:space="preserve">The information specifically incorporated by reference into the 2021 Form 10-K from the Registrant’s definitive proxy statement on </w:t>
        </w:r>
        <w:r>
          <w:rPr>
            <w:rFonts w:ascii="Arial" w:cs="Arial" w:eastAsia="Arial" w:hAnsi="Arial"/>
            <w:sz w:val="18"/>
            <w:szCs w:val="18"/>
            <w:u w:val="single" w:color="auto"/>
            <w:color w:val="0000EE"/>
          </w:rPr>
          <w:t>Schedule</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14A</w:t>
        </w:r>
        <w:r>
          <w:rPr>
            <w:rFonts w:ascii="Arial" w:cs="Arial" w:eastAsia="Arial" w:hAnsi="Arial"/>
            <w:sz w:val="18"/>
            <w:szCs w:val="18"/>
            <w:color w:val="0000EE"/>
          </w:rPr>
          <w:t xml:space="preserve"> </w:t>
        </w:r>
        <w:r>
          <w:rPr>
            <w:rFonts w:ascii="Arial" w:cs="Arial" w:eastAsia="Arial" w:hAnsi="Arial"/>
            <w:sz w:val="18"/>
            <w:szCs w:val="18"/>
            <w:color w:val="000000"/>
          </w:rPr>
          <w:t>filed with the Commission on April 22, 2022 (File No. 001-39539);</w:t>
        </w:r>
      </w:hyperlink>
    </w:p>
    <w:p>
      <w:pPr>
        <w:spacing w:after="0" w:line="170" w:lineRule="exact"/>
        <w:rPr>
          <w:rFonts w:ascii="Arial" w:cs="Arial" w:eastAsia="Arial" w:hAnsi="Arial"/>
          <w:sz w:val="18"/>
          <w:szCs w:val="18"/>
          <w:color w:val="0000EE"/>
        </w:rPr>
      </w:pPr>
    </w:p>
    <w:p>
      <w:pPr>
        <w:ind w:right="300" w:firstLine="436"/>
        <w:spacing w:after="0" w:line="286" w:lineRule="auto"/>
        <w:tabs>
          <w:tab w:leader="none" w:pos="69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Form 10-Q for the quarter ended </w:t>
      </w:r>
      <w:hyperlink r:id="rId25">
        <w:r>
          <w:rPr>
            <w:rFonts w:ascii="Arial" w:cs="Arial" w:eastAsia="Arial" w:hAnsi="Arial"/>
            <w:sz w:val="17"/>
            <w:szCs w:val="17"/>
            <w:u w:val="single" w:color="auto"/>
            <w:color w:val="0000EE"/>
          </w:rPr>
          <w:t>March 31, 2022</w:t>
        </w:r>
      </w:hyperlink>
      <w:r>
        <w:rPr>
          <w:rFonts w:ascii="Arial" w:cs="Arial" w:eastAsia="Arial" w:hAnsi="Arial"/>
          <w:sz w:val="17"/>
          <w:szCs w:val="17"/>
          <w:color w:val="auto"/>
        </w:rPr>
        <w:t xml:space="preserve">, filed with the Commission on May 10, 2022, the Registrant’s Quarterly Report on Form 10-Q for the quarter ended </w:t>
      </w:r>
      <w:hyperlink r:id="rId26">
        <w:r>
          <w:rPr>
            <w:rFonts w:ascii="Arial" w:cs="Arial" w:eastAsia="Arial" w:hAnsi="Arial"/>
            <w:sz w:val="17"/>
            <w:szCs w:val="17"/>
            <w:u w:val="single" w:color="auto"/>
            <w:color w:val="0000EE"/>
          </w:rPr>
          <w:t>June 30, 2022</w:t>
        </w:r>
      </w:hyperlink>
      <w:r>
        <w:rPr>
          <w:rFonts w:ascii="Arial" w:cs="Arial" w:eastAsia="Arial" w:hAnsi="Arial"/>
          <w:sz w:val="17"/>
          <w:szCs w:val="17"/>
          <w:color w:val="auto"/>
        </w:rPr>
        <w:t xml:space="preserve">, filed with the Commission on August 9, 2022 and the Registrant’s Quarterly Report on Form 10-Q for the quarter ended </w:t>
      </w:r>
      <w:hyperlink r:id="rId27">
        <w:r>
          <w:rPr>
            <w:rFonts w:ascii="Arial" w:cs="Arial" w:eastAsia="Arial" w:hAnsi="Arial"/>
            <w:sz w:val="17"/>
            <w:szCs w:val="17"/>
            <w:u w:val="single" w:color="auto"/>
            <w:color w:val="0000EE"/>
          </w:rPr>
          <w:t>September 30, 2022</w:t>
        </w:r>
      </w:hyperlink>
      <w:r>
        <w:rPr>
          <w:rFonts w:ascii="Arial" w:cs="Arial" w:eastAsia="Arial" w:hAnsi="Arial"/>
          <w:sz w:val="17"/>
          <w:szCs w:val="17"/>
          <w:color w:val="auto"/>
        </w:rPr>
        <w:t>, filed with the Commission on November 8, 2022;</w:t>
      </w:r>
    </w:p>
    <w:p>
      <w:pPr>
        <w:spacing w:after="0" w:line="165" w:lineRule="exact"/>
        <w:rPr>
          <w:rFonts w:ascii="Arial" w:cs="Arial" w:eastAsia="Arial" w:hAnsi="Arial"/>
          <w:sz w:val="17"/>
          <w:szCs w:val="17"/>
          <w:color w:val="auto"/>
        </w:rPr>
      </w:pPr>
    </w:p>
    <w:p>
      <w:pPr>
        <w:ind w:right="260" w:firstLine="436"/>
        <w:spacing w:after="0" w:line="277" w:lineRule="auto"/>
        <w:tabs>
          <w:tab w:leader="none" w:pos="69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hyperlink r:id="rId28">
        <w:r>
          <w:rPr>
            <w:rFonts w:ascii="Arial" w:cs="Arial" w:eastAsia="Arial" w:hAnsi="Arial"/>
            <w:sz w:val="18"/>
            <w:szCs w:val="18"/>
            <w:u w:val="single" w:color="auto"/>
            <w:color w:val="0000EE"/>
          </w:rPr>
          <w:t>January 6, 2022</w:t>
        </w:r>
      </w:hyperlink>
      <w:r>
        <w:rPr>
          <w:rFonts w:ascii="Arial" w:cs="Arial" w:eastAsia="Arial" w:hAnsi="Arial"/>
          <w:sz w:val="18"/>
          <w:szCs w:val="18"/>
          <w:color w:val="auto"/>
        </w:rPr>
        <w:t xml:space="preserve">, </w:t>
      </w:r>
      <w:hyperlink r:id="rId29">
        <w:r>
          <w:rPr>
            <w:rFonts w:ascii="Arial" w:cs="Arial" w:eastAsia="Arial" w:hAnsi="Arial"/>
            <w:sz w:val="18"/>
            <w:szCs w:val="18"/>
            <w:u w:val="single" w:color="auto"/>
            <w:color w:val="0000EE"/>
          </w:rPr>
          <w:t>June 6,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0">
        <w:r>
          <w:rPr>
            <w:rFonts w:ascii="Arial" w:cs="Arial" w:eastAsia="Arial" w:hAnsi="Arial"/>
            <w:sz w:val="18"/>
            <w:szCs w:val="18"/>
            <w:u w:val="single" w:color="auto"/>
            <w:color w:val="0000EE"/>
          </w:rPr>
          <w:t>November 4,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and</w:t>
      </w:r>
    </w:p>
    <w:p>
      <w:pPr>
        <w:spacing w:after="0" w:line="170" w:lineRule="exact"/>
        <w:rPr>
          <w:rFonts w:ascii="Arial" w:cs="Arial" w:eastAsia="Arial" w:hAnsi="Arial"/>
          <w:sz w:val="18"/>
          <w:szCs w:val="18"/>
          <w:color w:val="auto"/>
        </w:rPr>
      </w:pPr>
    </w:p>
    <w:p>
      <w:pPr>
        <w:ind w:firstLine="436"/>
        <w:spacing w:after="0" w:line="301" w:lineRule="auto"/>
        <w:tabs>
          <w:tab w:leader="none" w:pos="69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a registration statement on </w:t>
      </w:r>
      <w:hyperlink r:id="rId31">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 No. 001-39539), filed with the Commission on September 21, 2020, pursuant to Section 12(b) of the Securities Exchange Act of 1934, as amended (the “Exchange Act”), as updated by the description of the Registrant’s common stock contained in </w:t>
      </w:r>
      <w:hyperlink r:id="rId32">
        <w:r>
          <w:rPr>
            <w:rFonts w:ascii="Arial" w:cs="Arial" w:eastAsia="Arial" w:hAnsi="Arial"/>
            <w:sz w:val="16"/>
            <w:szCs w:val="16"/>
            <w:u w:val="single" w:color="auto"/>
            <w:color w:val="0000EE"/>
          </w:rPr>
          <w:t>Exhibit 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Registrant’s Annual report on Form 10-K for the fiscal year ended December 31, 2020, filed with the Commission on March 3, 2021, including any amendment or report filed for the purpose of updating such description.</w:t>
      </w:r>
    </w:p>
    <w:p>
      <w:pPr>
        <w:sectPr>
          <w:pgSz w:w="11900" w:h="16838" w:orient="portrait"/>
          <w:cols w:equalWidth="0" w:num="1">
            <w:col w:w="11000"/>
          </w:cols>
          <w:pgMar w:left="440" w:top="270" w:right="459" w:bottom="1440" w:gutter="0" w:footer="0" w:header="0"/>
        </w:sectPr>
      </w:pPr>
    </w:p>
    <w:bookmarkStart w:id="2" w:name="page3"/>
    <w:bookmarkEnd w:id="2"/>
    <w:p>
      <w:pPr>
        <w:ind w:left="4" w:firstLine="436"/>
        <w:spacing w:after="0" w:line="270" w:lineRule="auto"/>
        <w:tabs>
          <w:tab w:leader="none" w:pos="699"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 however, that documents or information deemed to have been furnished and not filed in</w:t>
      </w:r>
      <w:r>
        <w:rPr>
          <w:rFonts w:ascii="Arial" w:cs="Arial" w:eastAsia="Arial" w:hAnsi="Arial"/>
          <w:sz w:val="17"/>
          <w:szCs w:val="17"/>
          <w:color w:val="auto"/>
        </w:rPr>
        <w:t xml:space="preserve"> </w:t>
      </w:r>
      <w:r>
        <w:rPr>
          <w:rFonts w:ascii="Arial" w:cs="Arial" w:eastAsia="Arial" w:hAnsi="Arial"/>
          <w:sz w:val="17"/>
          <w:szCs w:val="17"/>
          <w:i w:val="1"/>
          <w:iCs w:val="1"/>
          <w:color w:val="auto"/>
        </w:rPr>
        <w:t>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Item 8.</w:t>
            </w:r>
          </w:p>
        </w:tc>
        <w:tc>
          <w:tcPr>
            <w:tcW w:w="7080" w:type="dxa"/>
            <w:vAlign w:val="bottom"/>
            <w:gridSpan w:val="13"/>
          </w:tcPr>
          <w:p>
            <w:pPr>
              <w:ind w:left="360"/>
              <w:spacing w:after="0"/>
              <w:rPr>
                <w:sz w:val="20"/>
                <w:szCs w:val="20"/>
                <w:color w:val="auto"/>
              </w:rPr>
            </w:pPr>
            <w:r>
              <w:rPr>
                <w:rFonts w:ascii="Arial" w:cs="Arial" w:eastAsia="Arial" w:hAnsi="Arial"/>
                <w:sz w:val="18"/>
                <w:szCs w:val="18"/>
                <w:b w:val="1"/>
                <w:bCs w:val="1"/>
                <w:color w:val="auto"/>
              </w:rPr>
              <w:t>Exhibits.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1"/>
              </w:rPr>
              <w:t>Incorporated by Reference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2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780" w:type="dxa"/>
            <w:vAlign w:val="bottom"/>
            <w:gridSpan w:val="11"/>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Form</w:t>
            </w: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80" w:type="dxa"/>
            <w:vAlign w:val="bottom"/>
            <w:gridSpan w:val="11"/>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6980" w:type="dxa"/>
            <w:vAlign w:val="bottom"/>
            <w:gridSpan w:val="12"/>
          </w:tcPr>
          <w:p>
            <w:pPr>
              <w:spacing w:after="0"/>
              <w:rPr>
                <w:rFonts w:ascii="Arial" w:cs="Arial" w:eastAsia="Arial" w:hAnsi="Arial"/>
                <w:sz w:val="18"/>
                <w:szCs w:val="18"/>
                <w:color w:val="0000EE"/>
              </w:rPr>
            </w:pPr>
            <w:hyperlink r:id="rId34">
              <w:r>
                <w:rPr>
                  <w:rFonts w:ascii="Arial" w:cs="Arial" w:eastAsia="Arial" w:hAnsi="Arial"/>
                  <w:sz w:val="18"/>
                  <w:szCs w:val="18"/>
                  <w:color w:val="0000EE"/>
                </w:rPr>
                <w:t>Amended and Restated Certificate of Incorporation of the Registrant</w:t>
              </w:r>
            </w:hyperlink>
          </w:p>
        </w:tc>
        <w:tc>
          <w:tcPr>
            <w:tcW w:w="10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001-39539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0"/>
                <w:szCs w:val="20"/>
                <w:color w:val="auto"/>
              </w:rPr>
            </w:pPr>
            <w:r>
              <w:rPr>
                <w:rFonts w:ascii="Arial" w:cs="Arial" w:eastAsia="Arial" w:hAnsi="Arial"/>
                <w:sz w:val="18"/>
                <w:szCs w:val="18"/>
                <w:color w:val="auto"/>
                <w:w w:val="89"/>
              </w:rPr>
              <w:t>9/29/2020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4920" w:type="dxa"/>
            <w:vAlign w:val="bottom"/>
            <w:tcBorders>
              <w:top w:val="single" w:sz="8" w:color="0000EE"/>
            </w:tcBorders>
            <w:gridSpan w:val="8"/>
          </w:tcPr>
          <w:p>
            <w:pPr>
              <w:spacing w:after="0"/>
              <w:rPr>
                <w:rFonts w:ascii="Arial" w:cs="Arial" w:eastAsia="Arial" w:hAnsi="Arial"/>
                <w:sz w:val="18"/>
                <w:szCs w:val="18"/>
                <w:color w:val="0000EE"/>
              </w:rPr>
            </w:pPr>
            <w:hyperlink r:id="rId35">
              <w:r>
                <w:rPr>
                  <w:rFonts w:ascii="Arial" w:cs="Arial" w:eastAsia="Arial" w:hAnsi="Arial"/>
                  <w:sz w:val="18"/>
                  <w:szCs w:val="18"/>
                  <w:color w:val="0000EE"/>
                </w:rPr>
                <w:t>Amended and Restated Bylaws of the Registrant</w:t>
              </w:r>
            </w:hyperlink>
          </w:p>
        </w:tc>
        <w:tc>
          <w:tcPr>
            <w:tcW w:w="2160" w:type="dxa"/>
            <w:vAlign w:val="bottom"/>
            <w:gridSpan w:val="5"/>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001-39539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0"/>
                <w:szCs w:val="20"/>
                <w:color w:val="auto"/>
              </w:rPr>
            </w:pPr>
            <w:r>
              <w:rPr>
                <w:rFonts w:ascii="Arial" w:cs="Arial" w:eastAsia="Arial" w:hAnsi="Arial"/>
                <w:sz w:val="18"/>
                <w:szCs w:val="18"/>
                <w:color w:val="auto"/>
                <w:w w:val="89"/>
              </w:rPr>
              <w:t>9/29/2020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r:id="rId36">
              <w:r>
                <w:rPr>
                  <w:rFonts w:ascii="Arial" w:cs="Arial" w:eastAsia="Arial" w:hAnsi="Arial"/>
                  <w:sz w:val="18"/>
                  <w:szCs w:val="18"/>
                  <w:color w:val="0000EE"/>
                </w:rPr>
                <w:t>Specimen common stock certificate of the Registrant</w:t>
              </w:r>
            </w:hyperlink>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333-248627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0"/>
                <w:szCs w:val="20"/>
                <w:color w:val="auto"/>
              </w:rPr>
            </w:pPr>
            <w:r>
              <w:rPr>
                <w:rFonts w:ascii="Arial" w:cs="Arial" w:eastAsia="Arial" w:hAnsi="Arial"/>
                <w:sz w:val="18"/>
                <w:szCs w:val="18"/>
                <w:color w:val="auto"/>
                <w:w w:val="89"/>
              </w:rPr>
              <w:t>9/21/2020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Arial" w:cs="Arial" w:eastAsia="Arial" w:hAnsi="Arial"/>
                <w:sz w:val="18"/>
                <w:szCs w:val="18"/>
                <w:color w:val="0000EE"/>
              </w:rPr>
              <w:t>Opinion of Wilson Sonsini Goodrich &amp; Rosati, Professional Corporation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52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18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62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Consent of Wilson Sonsini Goodrich &amp; Rosati, Professional Corporation (contained in</w:t>
            </w:r>
          </w:p>
        </w:tc>
        <w:tc>
          <w:tcPr>
            <w:tcW w:w="8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gridSpan w:val="13"/>
          </w:tcPr>
          <w:p>
            <w:pPr>
              <w:spacing w:after="0" w:line="196" w:lineRule="exact"/>
              <w:rPr>
                <w:sz w:val="20"/>
                <w:szCs w:val="20"/>
                <w:color w:val="auto"/>
              </w:rPr>
            </w:pPr>
            <w:r>
              <w:rPr>
                <w:rFonts w:ascii="Arial" w:cs="Arial" w:eastAsia="Arial" w:hAnsi="Arial"/>
                <w:sz w:val="18"/>
                <w:szCs w:val="18"/>
                <w:color w:val="0000EE"/>
              </w:rPr>
              <w:t>Exhibit 5.1 hereto)</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Arial" w:cs="Arial" w:eastAsia="Arial" w:hAnsi="Arial"/>
                <w:sz w:val="18"/>
                <w:szCs w:val="18"/>
                <w:color w:val="0000EE"/>
              </w:rPr>
              <w:t>Power of Attorney (contained on signature page hereto)</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4600" w:type="dxa"/>
            <w:vAlign w:val="bottom"/>
            <w:tcBorders>
              <w:bottom w:val="single" w:sz="8" w:color="0000EE"/>
            </w:tcBorders>
            <w:gridSpan w:val="7"/>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2020 Equity Incentive Plan and forms of agreements thereunder</w:t>
              </w:r>
            </w:hyperlink>
          </w:p>
        </w:tc>
        <w:tc>
          <w:tcPr>
            <w:tcW w:w="2480" w:type="dxa"/>
            <w:vAlign w:val="bottom"/>
            <w:gridSpan w:val="6"/>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333-248627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20"/>
                <w:szCs w:val="20"/>
                <w:color w:val="auto"/>
              </w:rPr>
            </w:pPr>
            <w:r>
              <w:rPr>
                <w:rFonts w:ascii="Arial" w:cs="Arial" w:eastAsia="Arial" w:hAnsi="Arial"/>
                <w:sz w:val="18"/>
                <w:szCs w:val="18"/>
                <w:color w:val="auto"/>
                <w:w w:val="89"/>
              </w:rPr>
              <w:t>9/21/2020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7080" w:type="dxa"/>
            <w:vAlign w:val="bottom"/>
            <w:gridSpan w:val="13"/>
          </w:tcPr>
          <w:p>
            <w:pPr>
              <w:spacing w:after="0"/>
              <w:rPr>
                <w:rFonts w:ascii="Arial" w:cs="Arial" w:eastAsia="Arial" w:hAnsi="Arial"/>
                <w:sz w:val="18"/>
                <w:szCs w:val="18"/>
                <w:color w:val="0000EE"/>
              </w:rPr>
            </w:pPr>
            <w:hyperlink r:id="rId38">
              <w:r>
                <w:rPr>
                  <w:rFonts w:ascii="Arial" w:cs="Arial" w:eastAsia="Arial" w:hAnsi="Arial"/>
                  <w:sz w:val="18"/>
                  <w:szCs w:val="18"/>
                  <w:color w:val="0000EE"/>
                </w:rPr>
                <w:t>2020 Employee Stock Purchase Plan and forms of agreements thereunder</w:t>
              </w:r>
            </w:hyperlink>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333-248627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0"/>
                <w:szCs w:val="20"/>
                <w:color w:val="auto"/>
              </w:rPr>
            </w:pPr>
            <w:r>
              <w:rPr>
                <w:rFonts w:ascii="Arial" w:cs="Arial" w:eastAsia="Arial" w:hAnsi="Arial"/>
                <w:sz w:val="18"/>
                <w:szCs w:val="18"/>
                <w:color w:val="auto"/>
                <w:w w:val="89"/>
              </w:rPr>
              <w:t>9/21/2020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52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Calculation of Filing Fee Tables</w:t>
            </w:r>
          </w:p>
        </w:tc>
        <w:tc>
          <w:tcPr>
            <w:tcW w:w="18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04"/>
          </w:cols>
          <w:pgMar w:left="436"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Princeton, New Jersey, on January 24,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H. Mack,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H. Mack, Ph.D. and Winston Kung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0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 Mack</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6"/>
              </w:rPr>
              <w:t>President, Chief Executive Officer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David H. Mack, Ph.D.</w:t>
            </w:r>
          </w:p>
        </w:tc>
        <w:tc>
          <w:tcPr>
            <w:tcW w:w="374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342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Winston Kung</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Operating Officer and Chief Financial</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182"/>
        </w:trPr>
        <w:tc>
          <w:tcPr>
            <w:tcW w:w="3860" w:type="dxa"/>
            <w:vAlign w:val="bottom"/>
          </w:tcPr>
          <w:p>
            <w:pPr>
              <w:spacing w:after="0" w:line="182" w:lineRule="exact"/>
              <w:rPr>
                <w:sz w:val="20"/>
                <w:szCs w:val="20"/>
                <w:color w:val="auto"/>
              </w:rPr>
            </w:pPr>
            <w:r>
              <w:rPr>
                <w:rFonts w:ascii="Arial" w:cs="Arial" w:eastAsia="Arial" w:hAnsi="Arial"/>
                <w:sz w:val="18"/>
                <w:szCs w:val="18"/>
                <w:color w:val="auto"/>
              </w:rPr>
              <w:t>Winston Kung</w:t>
            </w:r>
          </w:p>
        </w:tc>
        <w:tc>
          <w:tcPr>
            <w:tcW w:w="374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i w:val="1"/>
                <w:iCs w:val="1"/>
                <w:color w:val="auto"/>
              </w:rPr>
              <w:t>(Principal Financial and Accounting</w:t>
            </w:r>
          </w:p>
        </w:tc>
        <w:tc>
          <w:tcPr>
            <w:tcW w:w="3420" w:type="dxa"/>
            <w:vAlign w:val="bottom"/>
          </w:tcPr>
          <w:p>
            <w:pPr>
              <w:spacing w:after="0"/>
              <w:rPr>
                <w:sz w:val="15"/>
                <w:szCs w:val="15"/>
                <w:color w:val="auto"/>
              </w:rPr>
            </w:pP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i w:val="1"/>
                <w:iCs w:val="1"/>
                <w:color w:val="auto"/>
              </w:rPr>
              <w:t>Officer)</w:t>
            </w:r>
          </w:p>
        </w:tc>
        <w:tc>
          <w:tcPr>
            <w:tcW w:w="3420" w:type="dxa"/>
            <w:vAlign w:val="bottom"/>
          </w:tcPr>
          <w:p>
            <w:pPr>
              <w:spacing w:after="0"/>
              <w:rPr>
                <w:sz w:val="20"/>
                <w:szCs w:val="20"/>
                <w:color w:val="auto"/>
              </w:rPr>
            </w:pPr>
          </w:p>
        </w:tc>
      </w:tr>
      <w:tr>
        <w:trPr>
          <w:trHeight w:val="32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Heyman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 of the Board</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Richard Heyman,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Baum</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Charles M. Baum, M.D.,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Arnold Levine</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Arnold Levine,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 Gallagher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Carol Gallagher, Pharm.D.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Stelzer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Laurie Stelzer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Kirsten Flowers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Kirsten Flowers</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9987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1499870" cy="608330"/>
                    </a:xfrm>
                    <a:prstGeom prst="rect">
                      <a:avLst/>
                    </a:prstGeom>
                    <a:noFill/>
                  </pic:spPr>
                </pic:pic>
              </a:graphicData>
            </a:graphic>
          </wp:anchor>
        </w:drawing>
      </w:r>
    </w:p>
    <w:p>
      <w:pPr>
        <w:spacing w:after="0" w:line="3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Professional Corporation</w:t>
      </w:r>
    </w:p>
    <w:p>
      <w:pPr>
        <w:spacing w:after="0" w:line="7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650 Page Mill Road</w:t>
      </w:r>
    </w:p>
    <w:p>
      <w:pPr>
        <w:spacing w:after="0" w:line="9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Palo Alto, CA 94304-1050</w:t>
      </w:r>
    </w:p>
    <w:p>
      <w:pPr>
        <w:spacing w:after="0" w:line="9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650.493.9300</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866.974.7329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Research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(609) 642-6670</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(i) 1,830,853 shares of your common stock, par value $0.00001 per share (the “EIP Shares”), reserved for issuance pursuant to the 2020 Equity Incentive Plan (the “2020 Plan”) and (ii) 457,713 shares of your common stock, par value $0.00001 per share (the “ESPP Shares” and, together with the EIP Shares, the “Shares”), reserved for issuance pursuant to the 2020 Employee Stock Purchase Plan (the “2020 ESPP” and, together with the 2020 Plan, the “Plans”).</w:t>
      </w:r>
    </w:p>
    <w:p>
      <w:pPr>
        <w:spacing w:after="0" w:line="192"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4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20"/>
          </w:cols>
          <w:pgMar w:left="440" w:top="121" w:right="439" w:bottom="1440" w:gutter="0" w:footer="0" w:header="0"/>
        </w:sectPr>
      </w:pPr>
    </w:p>
    <w:p>
      <w:pPr>
        <w:spacing w:after="0" w:line="206" w:lineRule="exact"/>
        <w:rPr>
          <w:sz w:val="20"/>
          <w:szCs w:val="20"/>
          <w:color w:val="auto"/>
        </w:rPr>
      </w:pPr>
    </w:p>
    <w:p>
      <w:pPr>
        <w:ind w:left="700"/>
        <w:spacing w:after="0"/>
        <w:tabs>
          <w:tab w:leader="none" w:pos="1480" w:val="left"/>
          <w:tab w:leader="none" w:pos="2320" w:val="left"/>
        </w:tabs>
        <w:rPr>
          <w:sz w:val="20"/>
          <w:szCs w:val="20"/>
          <w:color w:val="auto"/>
        </w:rPr>
      </w:pPr>
      <w:r>
        <w:rPr>
          <w:rFonts w:ascii="Arial" w:cs="Arial" w:eastAsia="Arial" w:hAnsi="Arial"/>
          <w:sz w:val="14"/>
          <w:szCs w:val="14"/>
          <w:color w:val="auto"/>
        </w:rPr>
        <w:t>AUSTIN</w:t>
      </w:r>
      <w:r>
        <w:rPr>
          <w:sz w:val="20"/>
          <w:szCs w:val="20"/>
          <w:color w:val="auto"/>
        </w:rPr>
        <w:tab/>
      </w:r>
      <w:r>
        <w:rPr>
          <w:rFonts w:ascii="Arial" w:cs="Arial" w:eastAsia="Arial" w:hAnsi="Arial"/>
          <w:sz w:val="14"/>
          <w:szCs w:val="14"/>
          <w:color w:val="auto"/>
        </w:rPr>
        <w:t>BEIJING</w:t>
      </w:r>
      <w:r>
        <w:rPr>
          <w:sz w:val="20"/>
          <w:szCs w:val="20"/>
          <w:color w:val="auto"/>
        </w:rPr>
        <w:tab/>
      </w:r>
      <w:r>
        <w:rPr>
          <w:rFonts w:ascii="Arial" w:cs="Arial" w:eastAsia="Arial" w:hAnsi="Arial"/>
          <w:sz w:val="13"/>
          <w:szCs w:val="13"/>
          <w:color w:val="auto"/>
        </w:rPr>
        <w:t>BOSTON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BOULDER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980" w:val="left"/>
          <w:tab w:leader="none" w:pos="2140" w:val="left"/>
          <w:tab w:leader="none" w:pos="302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HONG KONG</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3"/>
          <w:szCs w:val="13"/>
          <w:color w:val="auto"/>
        </w:rPr>
        <w:t>LOS ANGELES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NEW YORK</w:t>
      </w:r>
      <w:r>
        <w:rPr>
          <w:sz w:val="20"/>
          <w:szCs w:val="20"/>
          <w:color w:val="auto"/>
        </w:rPr>
        <w:tab/>
      </w:r>
      <w:r>
        <w:rPr>
          <w:rFonts w:ascii="Arial" w:cs="Arial" w:eastAsia="Arial" w:hAnsi="Arial"/>
          <w:sz w:val="13"/>
          <w:szCs w:val="13"/>
          <w:color w:val="auto"/>
        </w:rPr>
        <w:t>PALO ALTO</w:t>
      </w:r>
    </w:p>
    <w:p>
      <w:pPr>
        <w:spacing w:after="0" w:line="96" w:lineRule="exact"/>
        <w:rPr>
          <w:sz w:val="20"/>
          <w:szCs w:val="20"/>
          <w:color w:val="auto"/>
        </w:rPr>
      </w:pPr>
    </w:p>
    <w:p>
      <w:pPr>
        <w:sectPr>
          <w:pgSz w:w="11900" w:h="16838" w:orient="portrait"/>
          <w:cols w:equalWidth="0" w:num="4">
            <w:col w:w="2900" w:space="340"/>
            <w:col w:w="680" w:space="280"/>
            <w:col w:w="4000" w:space="300"/>
            <w:col w:w="2520"/>
          </w:cols>
          <w:pgMar w:left="440" w:top="121" w:right="439" w:bottom="1440" w:gutter="0" w:footer="0" w:header="0"/>
          <w:type w:val="continuous"/>
        </w:sectPr>
      </w:pPr>
    </w:p>
    <w:p>
      <w:pPr>
        <w:ind w:left="1220"/>
        <w:spacing w:after="0"/>
        <w:tabs>
          <w:tab w:leader="none" w:pos="2620" w:val="left"/>
          <w:tab w:leader="none" w:pos="3680" w:val="left"/>
          <w:tab w:leader="none" w:pos="5100" w:val="left"/>
          <w:tab w:leader="none" w:pos="6000" w:val="left"/>
          <w:tab w:leader="none" w:pos="7040" w:val="left"/>
          <w:tab w:leader="none" w:pos="8540" w:val="left"/>
        </w:tabs>
        <w:rPr>
          <w:sz w:val="20"/>
          <w:szCs w:val="20"/>
          <w:color w:val="auto"/>
        </w:rPr>
      </w:pPr>
      <w:r>
        <w:rPr>
          <w:rFonts w:ascii="Arial" w:cs="Arial" w:eastAsia="Arial" w:hAnsi="Arial"/>
          <w:sz w:val="14"/>
          <w:szCs w:val="14"/>
          <w:color w:val="auto"/>
        </w:rPr>
        <w:t>SALT LAKE CITY</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4"/>
          <w:szCs w:val="14"/>
          <w:color w:val="auto"/>
        </w:rPr>
        <w:t>SEATTLE</w:t>
      </w:r>
      <w:r>
        <w:rPr>
          <w:sz w:val="20"/>
          <w:szCs w:val="20"/>
          <w:color w:val="auto"/>
        </w:rPr>
        <w:tab/>
      </w:r>
      <w:r>
        <w:rPr>
          <w:rFonts w:ascii="Arial" w:cs="Arial" w:eastAsia="Arial" w:hAnsi="Arial"/>
          <w:sz w:val="14"/>
          <w:szCs w:val="14"/>
          <w:color w:val="auto"/>
        </w:rPr>
        <w:t>SHANGHAI</w:t>
      </w:r>
      <w:r>
        <w:rPr>
          <w:sz w:val="20"/>
          <w:szCs w:val="20"/>
          <w:color w:val="auto"/>
        </w:rPr>
        <w:tab/>
      </w:r>
      <w:r>
        <w:rPr>
          <w:rFonts w:ascii="Arial" w:cs="Arial" w:eastAsia="Arial" w:hAnsi="Arial"/>
          <w:sz w:val="14"/>
          <w:szCs w:val="14"/>
          <w:color w:val="auto"/>
        </w:rPr>
        <w:t>WASHINGTON, DC</w:t>
      </w:r>
      <w:r>
        <w:rPr>
          <w:sz w:val="20"/>
          <w:szCs w:val="20"/>
          <w:color w:val="auto"/>
        </w:rPr>
        <w:tab/>
      </w:r>
      <w:r>
        <w:rPr>
          <w:rFonts w:ascii="Arial" w:cs="Arial" w:eastAsia="Arial" w:hAnsi="Arial"/>
          <w:sz w:val="14"/>
          <w:szCs w:val="14"/>
          <w:color w:val="auto"/>
        </w:rPr>
        <w:t>WILMINGTON, DE</w:t>
      </w:r>
    </w:p>
    <w:p>
      <w:pPr>
        <w:sectPr>
          <w:pgSz w:w="11900" w:h="16838" w:orient="portrait"/>
          <w:cols w:equalWidth="0" w:num="1">
            <w:col w:w="11020"/>
          </w:cols>
          <w:pgMar w:left="440" w:top="121"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333-XXXXX) pertaining to the 2020 Equity Incentive Plan and 2020 Employee Stock Purchase Plan of PMV Pharmaceuticals, Inc. of our reports dated March 1, 2022, with respect to the financial statements of PMV Pharmaceuticals, Inc. and the effectiveness of internal control over financial reporting of PMV Pharmaceuticals, Inc., included in its Annual Report (Form 10-K) for the year ended December 31, 2021,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50" w:lineRule="exact"/>
        <w:rPr>
          <w:sz w:val="20"/>
          <w:szCs w:val="20"/>
          <w:color w:val="auto"/>
        </w:rPr>
      </w:pPr>
    </w:p>
    <w:tbl>
      <w:tblPr>
        <w:tblLayout w:type="fixed"/>
        <w:tblInd w:w="910" w:type="dxa"/>
        <w:tblCellMar>
          <w:top w:w="0" w:type="dxa"/>
          <w:left w:w="0" w:type="dxa"/>
          <w:bottom w:w="0" w:type="dxa"/>
          <w:right w:w="0" w:type="dxa"/>
        </w:tblCellMar>
      </w:tblPr>
      <w:tr>
        <w:trPr>
          <w:trHeight w:val="148"/>
        </w:trPr>
        <w:tc>
          <w:tcPr>
            <w:tcW w:w="66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Maximum</w:t>
            </w:r>
          </w:p>
        </w:tc>
        <w:tc>
          <w:tcPr>
            <w:tcW w:w="9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60" w:type="dxa"/>
            <w:vAlign w:val="bottom"/>
            <w:tcBorders>
              <w:left w:val="single" w:sz="8" w:color="auto"/>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28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jc w:val="center"/>
              <w:ind w:left="84"/>
              <w:spacing w:after="0" w:line="135" w:lineRule="exact"/>
              <w:rPr>
                <w:sz w:val="20"/>
                <w:szCs w:val="20"/>
                <w:color w:val="auto"/>
              </w:rPr>
            </w:pPr>
            <w:r>
              <w:rPr>
                <w:rFonts w:ascii="Arial" w:cs="Arial" w:eastAsia="Arial" w:hAnsi="Arial"/>
                <w:sz w:val="13"/>
                <w:szCs w:val="13"/>
                <w:color w:val="auto"/>
                <w:w w:val="89"/>
              </w:rPr>
              <w:t>Security</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080" w:type="dxa"/>
            <w:vAlign w:val="bottom"/>
            <w:tcBorders>
              <w:right w:val="single" w:sz="8" w:color="auto"/>
            </w:tcBorders>
          </w:tcPr>
          <w:p>
            <w:pPr>
              <w:jc w:val="right"/>
              <w:ind w:right="244"/>
              <w:spacing w:after="0" w:line="135" w:lineRule="exact"/>
              <w:rPr>
                <w:sz w:val="20"/>
                <w:szCs w:val="20"/>
                <w:color w:val="auto"/>
              </w:rPr>
            </w:pPr>
            <w:r>
              <w:rPr>
                <w:rFonts w:ascii="Arial" w:cs="Arial" w:eastAsia="Arial" w:hAnsi="Arial"/>
                <w:sz w:val="13"/>
                <w:szCs w:val="13"/>
                <w:color w:val="auto"/>
              </w:rPr>
              <w:t>Amount</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4"/>
        </w:trPr>
        <w:tc>
          <w:tcPr>
            <w:tcW w:w="66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Arial" w:cs="Arial" w:eastAsia="Arial" w:hAnsi="Arial"/>
                <w:sz w:val="13"/>
                <w:szCs w:val="13"/>
                <w:color w:val="auto"/>
                <w:w w:val="82"/>
              </w:rPr>
              <w:t>Type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Registered(1)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10"/>
        </w:trPr>
        <w:tc>
          <w:tcPr>
            <w:tcW w:w="660" w:type="dxa"/>
            <w:vAlign w:val="bottom"/>
            <w:tcBorders>
              <w:left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$0.00001 par value per</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 reserved for</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issuance pursuant to the</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2020 Equity Incentive</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457(c) and</w:t>
            </w: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6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8"/>
                <w:szCs w:val="18"/>
                <w:color w:val="auto"/>
                <w:w w:val="95"/>
              </w:rPr>
              <w:t>1,830,853(2)</w:t>
            </w:r>
          </w:p>
        </w:tc>
        <w:tc>
          <w:tcPr>
            <w:tcW w:w="78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8"/>
                <w:szCs w:val="18"/>
                <w:color w:val="auto"/>
              </w:rPr>
              <w:t>$7.91(3)</w:t>
            </w:r>
          </w:p>
        </w:tc>
        <w:tc>
          <w:tcPr>
            <w:tcW w:w="12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8"/>
                <w:szCs w:val="18"/>
                <w:color w:val="auto"/>
                <w:w w:val="94"/>
              </w:rPr>
              <w:t>$14,482,047.23</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$1,595.92</w:t>
            </w:r>
          </w:p>
        </w:tc>
        <w:tc>
          <w:tcPr>
            <w:tcW w:w="0" w:type="dxa"/>
            <w:vAlign w:val="bottom"/>
          </w:tcPr>
          <w:p>
            <w:pPr>
              <w:spacing w:after="0"/>
              <w:rPr>
                <w:sz w:val="1"/>
                <w:szCs w:val="1"/>
                <w:color w:val="auto"/>
              </w:rPr>
            </w:pPr>
          </w:p>
        </w:tc>
      </w:tr>
      <w:tr>
        <w:trPr>
          <w:trHeight w:val="215"/>
        </w:trPr>
        <w:tc>
          <w:tcPr>
            <w:tcW w:w="660" w:type="dxa"/>
            <w:vAlign w:val="bottom"/>
            <w:tcBorders>
              <w:left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$0.00001 par value per</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 reserved for</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issuance pursuant to the</w:t>
            </w:r>
          </w:p>
        </w:tc>
        <w:tc>
          <w:tcPr>
            <w:tcW w:w="9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$110.20</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2020 Employee Stock</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457(c) and</w:t>
            </w: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6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Purchase Plan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8"/>
                <w:szCs w:val="18"/>
                <w:color w:val="auto"/>
              </w:rPr>
              <w:t>457,713(4)</w:t>
            </w:r>
          </w:p>
        </w:tc>
        <w:tc>
          <w:tcPr>
            <w:tcW w:w="78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8"/>
                <w:szCs w:val="18"/>
                <w:color w:val="auto"/>
              </w:rPr>
              <w:t>$6.72(5)</w:t>
            </w:r>
          </w:p>
        </w:tc>
        <w:tc>
          <w:tcPr>
            <w:tcW w:w="128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18"/>
                <w:szCs w:val="18"/>
                <w:color w:val="auto"/>
              </w:rPr>
              <w:t>$3,075,831.36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$338.96</w:t>
            </w:r>
          </w:p>
        </w:tc>
        <w:tc>
          <w:tcPr>
            <w:tcW w:w="0" w:type="dxa"/>
            <w:vAlign w:val="bottom"/>
          </w:tcPr>
          <w:p>
            <w:pPr>
              <w:spacing w:after="0"/>
              <w:rPr>
                <w:sz w:val="1"/>
                <w:szCs w:val="1"/>
                <w:color w:val="auto"/>
              </w:rPr>
            </w:pP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8"/>
                <w:szCs w:val="18"/>
                <w:color w:val="auto"/>
                <w:w w:val="93"/>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5"/>
              </w:rPr>
              <w:t>$17,557,878.59</w:t>
            </w:r>
          </w:p>
        </w:tc>
        <w:tc>
          <w:tcPr>
            <w:tcW w:w="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$1,934.88</w:t>
            </w:r>
          </w:p>
        </w:tc>
        <w:tc>
          <w:tcPr>
            <w:tcW w:w="0" w:type="dxa"/>
            <w:vAlign w:val="bottom"/>
          </w:tcPr>
          <w:p>
            <w:pPr>
              <w:spacing w:after="0"/>
              <w:rPr>
                <w:sz w:val="1"/>
                <w:szCs w:val="1"/>
                <w:color w:val="auto"/>
              </w:rPr>
            </w:pPr>
          </w:p>
        </w:tc>
      </w:tr>
      <w:tr>
        <w:trPr>
          <w:trHeight w:val="236"/>
        </w:trPr>
        <w:tc>
          <w:tcPr>
            <w:tcW w:w="66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8"/>
                <w:szCs w:val="18"/>
                <w:color w:val="auto"/>
                <w:w w:val="88"/>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8"/>
                <w:szCs w:val="18"/>
                <w:color w:val="auto"/>
                <w:w w:val="88"/>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$1,934.88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320" w:hanging="432"/>
        <w:spacing w:after="0" w:line="301"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cover any additional shares of the Registrant’s common stock that become issuable under the 2020 Equity Incentive Plan (the “2020 Plan”) and the 2020 Employee Stock Purchase Plan (the “2020 ESPP”) by reason of any stock dividend, stock split, recapitalization, or other similar transaction effected without receipt of consideration that increases the number of the Registrant’s outstanding shares of common stock.</w:t>
      </w:r>
    </w:p>
    <w:p>
      <w:pPr>
        <w:spacing w:after="0" w:line="62" w:lineRule="exact"/>
        <w:rPr>
          <w:rFonts w:ascii="Arial" w:cs="Arial" w:eastAsia="Arial" w:hAnsi="Arial"/>
          <w:sz w:val="16"/>
          <w:szCs w:val="16"/>
          <w:color w:val="auto"/>
        </w:rPr>
      </w:pPr>
    </w:p>
    <w:p>
      <w:pPr>
        <w:ind w:left="440" w:right="360" w:hanging="432"/>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automatic annual increase on January 1, 2023 equal to 4% of the total number of shares of the Registrant’s common stock outstanding on December 31 of the preceding year, which annual increase is provided for in the 2020 Plan.</w:t>
      </w:r>
    </w:p>
    <w:p>
      <w:pPr>
        <w:spacing w:after="0" w:line="75" w:lineRule="exact"/>
        <w:rPr>
          <w:rFonts w:ascii="Arial" w:cs="Arial" w:eastAsia="Arial" w:hAnsi="Arial"/>
          <w:sz w:val="18"/>
          <w:szCs w:val="18"/>
          <w:color w:val="auto"/>
        </w:rPr>
      </w:pPr>
    </w:p>
    <w:p>
      <w:pPr>
        <w:ind w:left="440" w:right="300" w:hanging="432"/>
        <w:spacing w:after="0" w:line="26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in accordance with Rule 457(c) and 457(h) solely for the purpose of calculating the registration fee on the basis of $7.91 per share, which represents the average of the high and low prices of the Registrant’s common stock as reported on the Nasdaq Global Select Market on January 20, 2023.</w:t>
      </w:r>
    </w:p>
    <w:p>
      <w:pPr>
        <w:spacing w:after="0" w:line="89" w:lineRule="exact"/>
        <w:rPr>
          <w:rFonts w:ascii="Arial" w:cs="Arial" w:eastAsia="Arial" w:hAnsi="Arial"/>
          <w:sz w:val="18"/>
          <w:szCs w:val="18"/>
          <w:color w:val="auto"/>
        </w:rPr>
      </w:pPr>
    </w:p>
    <w:p>
      <w:pPr>
        <w:ind w:left="440" w:right="360" w:hanging="432"/>
        <w:spacing w:after="0" w:line="308"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an automatic annual increase on January 1, 2023 equal to 1% of the total number of shares of the Registrant’s common stock outstanding on December 31 of the preceding year, which annual increase is provided for in the 2020 ESPP.</w:t>
      </w:r>
    </w:p>
    <w:p>
      <w:pPr>
        <w:spacing w:after="0" w:line="51" w:lineRule="exact"/>
        <w:rPr>
          <w:rFonts w:ascii="Arial" w:cs="Arial" w:eastAsia="Arial" w:hAnsi="Arial"/>
          <w:sz w:val="17"/>
          <w:szCs w:val="17"/>
          <w:color w:val="auto"/>
        </w:rPr>
      </w:pPr>
    </w:p>
    <w:p>
      <w:pPr>
        <w:ind w:left="440" w:right="200" w:hanging="432"/>
        <w:spacing w:after="0" w:line="25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in accordance with Rules 457(c) and 457(h) of the Securities Act solely for the purpose of calculating the registration fee on the basis of 85% of $7.91 per share, which represents the average of the high and low prices of the Registrant’s common stock as reported on the Nasdaq Global Select Market on January 20, 2023. Pursuant to the 2020 ESPP, the purchase price of the shares of common stock reserved for issuance thereunder will be 85% of the lower of the fair market value of the common stock on (i) the first trading day of the offering period or (ii) the exercise date.</w:t>
      </w:r>
    </w:p>
    <w:sectPr>
      <w:pgSz w:w="11900" w:h="16838" w:orient="portrait"/>
      <w:cols w:equalWidth="0" w:num="1">
        <w:col w:w="10600"/>
      </w:cols>
      <w:pgMar w:left="86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3"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jpeg"/><Relationship Id="rId20" Type="http://schemas.openxmlformats.org/officeDocument/2006/relationships/hyperlink" Target="http://www.sec.gov/Archives/edgar/data/1699382/000119312520256300/d87446ds8.htm" TargetMode="External"/><Relationship Id="rId21" Type="http://schemas.openxmlformats.org/officeDocument/2006/relationships/hyperlink" Target="http://www.sec.gov/Archives/edgar/data/1699382/000119312521168601/d156441ds8.htm" TargetMode="External"/><Relationship Id="rId22" Type="http://schemas.openxmlformats.org/officeDocument/2006/relationships/hyperlink" Target="http://www.sec.gov/Archives/edgar/data/1699382/000119312522016010/d301122ds8.htm" TargetMode="External"/><Relationship Id="rId23" Type="http://schemas.openxmlformats.org/officeDocument/2006/relationships/hyperlink" Target="http://www.sec.gov/ix?doc=/Archives/edgar/data/1699382/000156459022007860/pmvp-10k_20211231.htm" TargetMode="External"/><Relationship Id="rId24" Type="http://schemas.openxmlformats.org/officeDocument/2006/relationships/hyperlink" Target="http://www.sec.gov/Archives/edgar/data/1699382/000114036122015508/ny20002213x1_def14a.htm" TargetMode="External"/><Relationship Id="rId25" Type="http://schemas.openxmlformats.org/officeDocument/2006/relationships/hyperlink" Target="http://www.sec.gov/ix?doc=/Archives/edgar/data/1699382/000156459022019071/pmvp-10q_20220331.htm" TargetMode="External"/><Relationship Id="rId26" Type="http://schemas.openxmlformats.org/officeDocument/2006/relationships/hyperlink" Target="http://www.sec.gov/ix?doc=/Archives/edgar/data/1699382/000095017022015767/pmvp-20220630.htm" TargetMode="External"/><Relationship Id="rId27" Type="http://schemas.openxmlformats.org/officeDocument/2006/relationships/hyperlink" Target="http://www.sec.gov/ix?doc=/Archives/edgar/data/1699382/000095017022022920/pmvp-20220930.htm" TargetMode="External"/><Relationship Id="rId28" Type="http://schemas.openxmlformats.org/officeDocument/2006/relationships/hyperlink" Target="http://www.sec.gov/ix?doc=/Archives/edgar/data/1699382/000119312522003158/d86525d8k.htm" TargetMode="External"/><Relationship Id="rId29" Type="http://schemas.openxmlformats.org/officeDocument/2006/relationships/hyperlink" Target="http://www.sec.gov/ix?doc=/Archives/edgar/data/1699382/000119312522168285/d274679d8k.htm" TargetMode="External"/><Relationship Id="rId30" Type="http://schemas.openxmlformats.org/officeDocument/2006/relationships/hyperlink" Target="http://www.sec.gov/Archives/edgar/data/1699382/000119312522277423/d389567d8k.htm" TargetMode="External"/><Relationship Id="rId31" Type="http://schemas.openxmlformats.org/officeDocument/2006/relationships/hyperlink" Target="http://www.sec.gov/Archives/edgar/data/1699382/000119312520250157/d14856d8a12b.htm" TargetMode="External"/><Relationship Id="rId32" Type="http://schemas.openxmlformats.org/officeDocument/2006/relationships/hyperlink" Target="http://www.sec.gov/Archives/edgar/data/1699382/000156459021010578/pmvp-ex41_260.htm" TargetMode="External"/><Relationship Id="rId34" Type="http://schemas.openxmlformats.org/officeDocument/2006/relationships/hyperlink" Target="http://www.sec.gov/Archives/edgar/data/1699382/000119312520257820/d95525dex31.htm" TargetMode="External"/><Relationship Id="rId35" Type="http://schemas.openxmlformats.org/officeDocument/2006/relationships/hyperlink" Target="http://www.sec.gov/Archives/edgar/data/1699382/000119312520257820/d95525dex32.htm" TargetMode="External"/><Relationship Id="rId36" Type="http://schemas.openxmlformats.org/officeDocument/2006/relationships/hyperlink" Target="http://www.sec.gov/Archives/edgar/data/1699382/000119312520249570/d922470dex42.htm" TargetMode="External"/><Relationship Id="rId37" Type="http://schemas.openxmlformats.org/officeDocument/2006/relationships/hyperlink" Target="http://www.sec.gov/Archives/edgar/data/1699382/000119312520249570/d922470dex103.htm" TargetMode="External"/><Relationship Id="rId38" Type="http://schemas.openxmlformats.org/officeDocument/2006/relationships/hyperlink" Target="http://www.sec.gov/Archives/edgar/data/1699382/000119312520249570/d92247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2023-01-25T05:11:44Z</dcterms:created>
  <dcterms:modified xsi:type="dcterms:W3CDTF">2023-01-25T05:11:44Z</dcterms:modified>
</cp:coreProperties>
</file>