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24, 2022</w:t>
      </w:r>
    </w:p>
    <w:p>
      <w:pPr>
        <w:spacing w:after="0" w:line="27" w:lineRule="exact"/>
        <w:rPr>
          <w:sz w:val="24"/>
          <w:szCs w:val="24"/>
          <w:color w:val="auto"/>
        </w:rPr>
      </w:pPr>
    </w:p>
    <w:p>
      <w:pPr>
        <w:ind w:left="86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840" w:type="dxa"/>
            <w:vAlign w:val="bottom"/>
          </w:tcPr>
          <w:p>
            <w:pPr>
              <w:jc w:val="center"/>
              <w:ind w:right="1882"/>
              <w:spacing w:after="0"/>
              <w:rPr>
                <w:sz w:val="20"/>
                <w:szCs w:val="20"/>
                <w:color w:val="auto"/>
              </w:rPr>
            </w:pPr>
            <w:r>
              <w:rPr>
                <w:rFonts w:ascii="Arial" w:cs="Arial" w:eastAsia="Arial" w:hAnsi="Arial"/>
                <w:sz w:val="18"/>
                <w:szCs w:val="18"/>
                <w:b w:val="1"/>
                <w:bCs w:val="1"/>
                <w:color w:val="auto"/>
                <w:w w:val="91"/>
              </w:rPr>
              <w:t>Delaware</w:t>
            </w:r>
          </w:p>
        </w:tc>
        <w:tc>
          <w:tcPr>
            <w:tcW w:w="3380" w:type="dxa"/>
            <w:vAlign w:val="bottom"/>
          </w:tcPr>
          <w:p>
            <w:pPr>
              <w:jc w:val="center"/>
              <w:ind w:left="1862"/>
              <w:spacing w:after="0"/>
              <w:rPr>
                <w:sz w:val="20"/>
                <w:szCs w:val="20"/>
                <w:color w:val="auto"/>
              </w:rPr>
            </w:pPr>
            <w:r>
              <w:rPr>
                <w:rFonts w:ascii="Arial" w:cs="Arial" w:eastAsia="Arial" w:hAnsi="Arial"/>
                <w:sz w:val="18"/>
                <w:szCs w:val="18"/>
                <w:b w:val="1"/>
                <w:bCs w:val="1"/>
                <w:color w:val="auto"/>
                <w:w w:val="91"/>
              </w:rPr>
              <w:t>46-3218129</w:t>
            </w:r>
          </w:p>
        </w:tc>
      </w:tr>
      <w:tr>
        <w:trPr>
          <w:trHeight w:val="148"/>
        </w:trPr>
        <w:tc>
          <w:tcPr>
            <w:tcW w:w="384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18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tcPr>
          <w:p>
            <w:pPr>
              <w:jc w:val="center"/>
              <w:ind w:right="1882"/>
              <w:spacing w:after="0"/>
              <w:rPr>
                <w:sz w:val="20"/>
                <w:szCs w:val="20"/>
                <w:color w:val="auto"/>
              </w:rPr>
            </w:pPr>
            <w:r>
              <w:rPr>
                <w:rFonts w:ascii="Arial" w:cs="Arial" w:eastAsia="Arial" w:hAnsi="Arial"/>
                <w:sz w:val="14"/>
                <w:szCs w:val="14"/>
                <w:b w:val="1"/>
                <w:bCs w:val="1"/>
                <w:color w:val="auto"/>
                <w:w w:val="94"/>
              </w:rPr>
              <w:t>incorporation or organization)</w:t>
            </w:r>
          </w:p>
        </w:tc>
        <w:tc>
          <w:tcPr>
            <w:tcW w:w="3380" w:type="dxa"/>
            <w:vAlign w:val="bottom"/>
          </w:tcPr>
          <w:p>
            <w:pPr>
              <w:jc w:val="center"/>
              <w:ind w:left="186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Clarke Drive, Suite 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Cranbury, NJ 08512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642-6670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2020 Equity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 Mack,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Clarke Drive, Suite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Cranbury, NJ 08512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642-6670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tbl>
      <w:tblPr>
        <w:tblLayout w:type="fixed"/>
        <w:tblInd w:w="126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47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Copies to:</w:t>
            </w:r>
          </w:p>
        </w:tc>
      </w:tr>
      <w:tr>
        <w:trPr>
          <w:trHeight w:val="319"/>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5"/>
              </w:rPr>
              <w:t>Kenneth A. Clark</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1"/>
              </w:rPr>
              <w:t>Winston Kung</w:t>
            </w: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Tony Jeffries</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3"/>
              </w:rPr>
              <w:t>Chief Operating Officer and</w:t>
            </w: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Megan J. Baier</w:t>
            </w:r>
          </w:p>
        </w:tc>
        <w:tc>
          <w:tcPr>
            <w:tcW w:w="4720" w:type="dxa"/>
            <w:vAlign w:val="bottom"/>
          </w:tcPr>
          <w:p>
            <w:pPr>
              <w:jc w:val="center"/>
              <w:ind w:left="241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Wilson Sonsini Goodrich &amp; Rosati, P.C.</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2"/>
              </w:rPr>
              <w:t>PMV Pharmaceuticals, Inc.</w:t>
            </w:r>
          </w:p>
        </w:tc>
      </w:tr>
      <w:tr>
        <w:trPr>
          <w:trHeight w:val="216"/>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650 Page Mill Road</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3"/>
              </w:rPr>
              <w:t>8 Clarke Drive, Suite 3</w:t>
            </w:r>
          </w:p>
        </w:tc>
      </w:tr>
      <w:tr>
        <w:trPr>
          <w:trHeight w:val="216"/>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2"/>
              </w:rPr>
              <w:t>Palo Alto, CA 94304</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2"/>
              </w:rPr>
              <w:t>Cranbury, NJ 08512</w:t>
            </w:r>
          </w:p>
        </w:tc>
      </w:tr>
      <w:tr>
        <w:trPr>
          <w:trHeight w:val="234"/>
        </w:trPr>
        <w:tc>
          <w:tcPr>
            <w:tcW w:w="346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(650) 493-9300</w:t>
            </w:r>
          </w:p>
        </w:tc>
        <w:tc>
          <w:tcPr>
            <w:tcW w:w="4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0"/>
              </w:rPr>
              <w:t>(609) 642-6670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29" w:right="439" w:bottom="0" w:gutter="0" w:footer="0" w:header="0"/>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15"/>
        </w:trPr>
        <w:tc>
          <w:tcPr>
            <w:tcW w:w="48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$0.00001 par value per share, reserved for</w:t>
            </w: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40" w:type="dxa"/>
            <w:vAlign w:val="bottom"/>
            <w:tcBorders>
              <w:top w:val="single" w:sz="8" w:color="auto"/>
              <w:right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issuance pursuant to the 2020 Equity Incentive Plan</w:t>
            </w:r>
          </w:p>
        </w:tc>
        <w:tc>
          <w:tcPr>
            <w:tcW w:w="154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1,363,084</w:t>
            </w:r>
            <w:r>
              <w:rPr>
                <w:rFonts w:ascii="Arial" w:cs="Arial" w:eastAsia="Arial" w:hAnsi="Arial"/>
                <w:sz w:val="15"/>
                <w:szCs w:val="15"/>
                <w:color w:val="auto"/>
              </w:rPr>
              <w:t>(2)</w:t>
            </w:r>
          </w:p>
        </w:tc>
        <w:tc>
          <w:tcPr>
            <w:tcW w:w="154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$17.52</w:t>
            </w:r>
            <w:r>
              <w:rPr>
                <w:rFonts w:ascii="Arial" w:cs="Arial" w:eastAsia="Arial" w:hAnsi="Arial"/>
                <w:sz w:val="15"/>
                <w:szCs w:val="15"/>
                <w:color w:val="auto"/>
              </w:rPr>
              <w:t>(3)</w:t>
            </w:r>
          </w:p>
        </w:tc>
        <w:tc>
          <w:tcPr>
            <w:tcW w:w="15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$23,881,231.68</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$2,213.80</w:t>
            </w: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$23,881,231.68</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$2,213.80</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24" w:right="80" w:hanging="424"/>
        <w:spacing w:after="0" w:line="25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shall also cover any additional shares of the Registrant’s common stock that become issuable under the 2020 Equity Incentive Plan (the “2020 Plan”) by reason of any stock dividend, stock split, recapitalization or other similar transaction effected without receipt of consideration that increases the number of the Registrant’s outstanding shares of common stock.</w:t>
      </w:r>
    </w:p>
    <w:p>
      <w:pPr>
        <w:spacing w:after="0" w:line="1" w:lineRule="exact"/>
        <w:rPr>
          <w:rFonts w:ascii="Arial" w:cs="Arial" w:eastAsia="Arial" w:hAnsi="Arial"/>
          <w:sz w:val="18"/>
          <w:szCs w:val="18"/>
          <w:color w:val="auto"/>
        </w:rPr>
      </w:pPr>
    </w:p>
    <w:p>
      <w:pPr>
        <w:ind w:left="424" w:right="7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annual increase on January 1, 2022 equal to 3% of the total number of shares of the Registrant’s common stock outstanding on December 31 of the preceding year, which annual increase is provided for in the 2020 Plan.</w:t>
      </w:r>
    </w:p>
    <w:p>
      <w:pPr>
        <w:ind w:left="424" w:right="2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457(c) and (h) solely for the purpose of calculating the registration fee on the basis of $17.52 per share, which represents the average of the high and low prices of the Registrant’s common stock as reported on the Nasdaq Global Select Market on January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OF ADDITIONAL SHARES PURSUANT TO GENERAL INSTRUCTION E</w:t>
      </w:r>
    </w:p>
    <w:p>
      <w:pPr>
        <w:spacing w:after="0" w:line="229" w:lineRule="exact"/>
        <w:rPr>
          <w:sz w:val="20"/>
          <w:szCs w:val="20"/>
          <w:color w:val="auto"/>
        </w:rPr>
      </w:pPr>
    </w:p>
    <w:p>
      <w:pPr>
        <w:ind w:left="4" w:right="140" w:firstLine="991"/>
        <w:spacing w:after="0" w:line="286" w:lineRule="auto"/>
        <w:rPr>
          <w:sz w:val="20"/>
          <w:szCs w:val="20"/>
          <w:color w:val="auto"/>
        </w:rPr>
      </w:pPr>
      <w:r>
        <w:rPr>
          <w:rFonts w:ascii="Arial" w:cs="Arial" w:eastAsia="Arial" w:hAnsi="Arial"/>
          <w:sz w:val="16"/>
          <w:szCs w:val="16"/>
          <w:color w:val="auto"/>
        </w:rPr>
        <w:t>This Registration Statement is being filed with the Securities and Exchange Commission (the “Commission”) for the purpose of registering additional securities of the same class as other securities for which a registration statement of PMV Pharmaceuticals, Inc. (the “Registrant”) on Form S-8 relating to the same employee benefit plan is effective. The number of the Registrant’s common stock available for grant and issuance under the 2020 Plan is subject to annual increase on the first day of each fiscal year beginning with fiscal year 2021, in an amount equal to the least of</w:t>
      </w:r>
    </w:p>
    <w:p>
      <w:pPr>
        <w:spacing w:after="0" w:line="1" w:lineRule="exact"/>
        <w:rPr>
          <w:sz w:val="20"/>
          <w:szCs w:val="20"/>
          <w:color w:val="auto"/>
        </w:rPr>
      </w:pPr>
    </w:p>
    <w:p>
      <w:pPr>
        <w:ind w:left="4" w:right="40" w:hanging="4"/>
        <w:spacing w:after="0" w:line="253"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4,406,374 shares, (ii) five percent (5%) of the outstanding shares of the Registrant’s common stock on the last day of the immediately preceding fiscal year or (iii) such number of shares determined by the 2020 Plan administrator. Effective January 1, 2022, the number of shares of the Registrant’s common stock available for grant and issuance under the 2020 Plan increased by 1,363,084 shares. This Registration Statement registers such additional shares of the Registrant’s common stock.</w:t>
      </w:r>
    </w:p>
    <w:p>
      <w:pPr>
        <w:spacing w:after="0" w:line="193" w:lineRule="exact"/>
        <w:rPr>
          <w:sz w:val="20"/>
          <w:szCs w:val="20"/>
          <w:color w:val="auto"/>
        </w:rPr>
      </w:pPr>
    </w:p>
    <w:p>
      <w:pPr>
        <w:ind w:left="4" w:right="60" w:firstLine="991"/>
        <w:spacing w:after="0" w:line="296" w:lineRule="auto"/>
        <w:rPr>
          <w:sz w:val="20"/>
          <w:szCs w:val="20"/>
          <w:color w:val="auto"/>
        </w:rPr>
      </w:pPr>
      <w:r>
        <w:rPr>
          <w:rFonts w:ascii="Arial" w:cs="Arial" w:eastAsia="Arial" w:hAnsi="Arial"/>
          <w:sz w:val="16"/>
          <w:szCs w:val="16"/>
          <w:color w:val="auto"/>
        </w:rPr>
        <w:t>The Registrant previously registered shares of common stock for issuance under the 2020 Plan pursuant to (i) a registration statement on Form S-8 (File No. 333-249094) filed with the Commission on September 28, 2020 and (ii) a registration statement on Form S-8 (File No. 333-256346) filed with the Commission on May 21, 2021 ((i) and (ii), together, the “Prior Registration Statements”). In accordance with General Instruction E to Form S-8, the contents of the Prior Registration Statements are hereby incorporated by reference. In accordance with the instructional note to Part I of Form S-8 promulgated by the Commission, the information specified by Part I of Form S-8 has been omitted from this Registration Statement.</w:t>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4"/>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31"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Commission:</w:t>
      </w:r>
    </w:p>
    <w:p>
      <w:pPr>
        <w:spacing w:after="0" w:line="248" w:lineRule="exact"/>
        <w:rPr>
          <w:sz w:val="20"/>
          <w:szCs w:val="20"/>
          <w:color w:val="auto"/>
        </w:rPr>
      </w:pPr>
    </w:p>
    <w:p>
      <w:pPr>
        <w:ind w:left="4" w:right="220" w:firstLine="436"/>
        <w:spacing w:after="0" w:line="277" w:lineRule="auto"/>
        <w:tabs>
          <w:tab w:leader="none" w:pos="69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Registration Statements on Form S-8 previously filed with the Commission on </w:t>
      </w:r>
      <w:hyperlink r:id="rId19">
        <w:r>
          <w:rPr>
            <w:rFonts w:ascii="Arial" w:cs="Arial" w:eastAsia="Arial" w:hAnsi="Arial"/>
            <w:sz w:val="18"/>
            <w:szCs w:val="18"/>
            <w:u w:val="single" w:color="auto"/>
            <w:color w:val="0000EE"/>
          </w:rPr>
          <w:t>September 28,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 No. 333-249094) and </w:t>
      </w:r>
      <w:hyperlink r:id="rId20">
        <w:r>
          <w:rPr>
            <w:rFonts w:ascii="Arial" w:cs="Arial" w:eastAsia="Arial" w:hAnsi="Arial"/>
            <w:sz w:val="18"/>
            <w:szCs w:val="18"/>
            <w:u w:val="single" w:color="auto"/>
            <w:color w:val="0000EE"/>
          </w:rPr>
          <w:t>May 21,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333-256346);</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w:t>
      </w:r>
      <w:hyperlink r:id="rId21">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2020, filed with the Commission on March 3, 2021;</w:t>
      </w:r>
    </w:p>
    <w:p>
      <w:pPr>
        <w:spacing w:after="0" w:line="236" w:lineRule="exact"/>
        <w:rPr>
          <w:rFonts w:ascii="Arial" w:cs="Arial" w:eastAsia="Arial" w:hAnsi="Arial"/>
          <w:sz w:val="17"/>
          <w:szCs w:val="17"/>
          <w:color w:val="auto"/>
        </w:rPr>
      </w:pPr>
    </w:p>
    <w:p>
      <w:pPr>
        <w:ind w:left="4" w:right="800" w:firstLine="436"/>
        <w:spacing w:after="0" w:line="277" w:lineRule="auto"/>
        <w:tabs>
          <w:tab w:leader="none" w:pos="699"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The information specifically incorporated by reference into the 2020 Form 10-K from the Registrant’s definitive proxy statement on </w:t>
      </w:r>
      <w:hyperlink r:id="rId22">
        <w:r>
          <w:rPr>
            <w:rFonts w:ascii="Arial" w:cs="Arial" w:eastAsia="Arial" w:hAnsi="Arial"/>
            <w:sz w:val="18"/>
            <w:szCs w:val="18"/>
            <w:u w:val="single" w:color="auto"/>
            <w:color w:val="0000EE"/>
          </w:rPr>
          <w:t>Schedule 14A</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with the Commission on April 23, 2021 (File No. 001-39539);</w:t>
      </w:r>
    </w:p>
    <w:p>
      <w:pPr>
        <w:spacing w:after="0" w:line="170" w:lineRule="exact"/>
        <w:rPr>
          <w:rFonts w:ascii="Arial" w:cs="Arial" w:eastAsia="Arial" w:hAnsi="Arial"/>
          <w:sz w:val="18"/>
          <w:szCs w:val="18"/>
          <w:color w:val="0000EE"/>
        </w:rPr>
      </w:pPr>
    </w:p>
    <w:p>
      <w:pPr>
        <w:ind w:left="4" w:right="220" w:firstLine="436"/>
        <w:spacing w:after="0" w:line="286" w:lineRule="auto"/>
        <w:tabs>
          <w:tab w:leader="none" w:pos="699"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Registrant’s Quarterly Report on Form 10-Q for the quarter ended March 31, 2021, filed with the Commission on </w:t>
      </w:r>
      <w:hyperlink r:id="rId23">
        <w:r>
          <w:rPr>
            <w:rFonts w:ascii="Arial" w:cs="Arial" w:eastAsia="Arial" w:hAnsi="Arial"/>
            <w:sz w:val="17"/>
            <w:szCs w:val="17"/>
            <w:u w:val="single" w:color="auto"/>
            <w:color w:val="0000EE"/>
          </w:rPr>
          <w:t>May 14, 2021</w:t>
        </w:r>
      </w:hyperlink>
      <w:r>
        <w:rPr>
          <w:rFonts w:ascii="Arial" w:cs="Arial" w:eastAsia="Arial" w:hAnsi="Arial"/>
          <w:sz w:val="17"/>
          <w:szCs w:val="17"/>
          <w:color w:val="auto"/>
        </w:rPr>
        <w:t xml:space="preserve">, the Registrant’s Quarterly Report on Form 10-Q for the quarter ended June 30, 2021, filed with the Commission on </w:t>
      </w:r>
      <w:hyperlink r:id="rId24">
        <w:r>
          <w:rPr>
            <w:rFonts w:ascii="Arial" w:cs="Arial" w:eastAsia="Arial" w:hAnsi="Arial"/>
            <w:sz w:val="17"/>
            <w:szCs w:val="17"/>
            <w:u w:val="single" w:color="auto"/>
            <w:color w:val="0000EE"/>
          </w:rPr>
          <w:t>August 13,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the Registrant’s Quarterly Report on Form 10-Q for the quarter ended September 30, 2021, filed with the Commission on </w:t>
      </w:r>
      <w:hyperlink r:id="rId25">
        <w:r>
          <w:rPr>
            <w:rFonts w:ascii="Arial" w:cs="Arial" w:eastAsia="Arial" w:hAnsi="Arial"/>
            <w:sz w:val="17"/>
            <w:szCs w:val="17"/>
            <w:u w:val="single" w:color="auto"/>
            <w:color w:val="0000EE"/>
          </w:rPr>
          <w:t>November 12, 2021</w:t>
        </w:r>
      </w:hyperlink>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 w:right="260" w:firstLine="436"/>
        <w:spacing w:after="0" w:line="277" w:lineRule="auto"/>
        <w:tabs>
          <w:tab w:leader="none" w:pos="699" w:val="left"/>
        </w:tabs>
        <w:numPr>
          <w:ilvl w:val="0"/>
          <w:numId w:val="3"/>
        </w:numPr>
        <w:rPr>
          <w:rFonts w:ascii="Arial" w:cs="Arial" w:eastAsia="Arial" w:hAnsi="Arial"/>
          <w:sz w:val="18"/>
          <w:szCs w:val="18"/>
          <w:color w:val="0000EE"/>
        </w:rPr>
      </w:pPr>
      <w:hyperlink r:id="rId26">
        <w:r>
          <w:rPr>
            <w:rFonts w:ascii="Arial" w:cs="Arial" w:eastAsia="Arial" w:hAnsi="Arial"/>
            <w:sz w:val="18"/>
            <w:szCs w:val="18"/>
            <w:color w:val="auto"/>
          </w:rPr>
          <w:t xml:space="preserve">The Registrant’s Current Reports on Form 8-K, filed with the Commission on </w:t>
        </w:r>
        <w:r>
          <w:rPr>
            <w:rFonts w:ascii="Arial" w:cs="Arial" w:eastAsia="Arial" w:hAnsi="Arial"/>
            <w:sz w:val="18"/>
            <w:szCs w:val="18"/>
            <w:u w:val="single" w:color="auto"/>
            <w:color w:val="0000EE"/>
          </w:rPr>
          <w:t>April 6,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7,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October 5, 2021</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January 6,</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2022</w:t>
        </w:r>
        <w:r>
          <w:rPr>
            <w:rFonts w:ascii="Arial" w:cs="Arial" w:eastAsia="Arial" w:hAnsi="Arial"/>
            <w:sz w:val="18"/>
            <w:szCs w:val="18"/>
            <w:color w:val="0000EE"/>
          </w:rPr>
          <w:t xml:space="preserve"> </w:t>
        </w:r>
        <w:r>
          <w:rPr>
            <w:rFonts w:ascii="Arial" w:cs="Arial" w:eastAsia="Arial" w:hAnsi="Arial"/>
            <w:sz w:val="18"/>
            <w:szCs w:val="18"/>
            <w:color w:val="000000"/>
          </w:rPr>
          <w:t>(other than information furnished rather than filed); and</w:t>
        </w:r>
      </w:hyperlink>
    </w:p>
    <w:p>
      <w:pPr>
        <w:spacing w:after="0" w:line="170" w:lineRule="exact"/>
        <w:rPr>
          <w:rFonts w:ascii="Arial" w:cs="Arial" w:eastAsia="Arial" w:hAnsi="Arial"/>
          <w:sz w:val="18"/>
          <w:szCs w:val="18"/>
          <w:color w:val="0000EE"/>
        </w:rPr>
      </w:pPr>
    </w:p>
    <w:p>
      <w:pPr>
        <w:ind w:left="4" w:firstLine="436"/>
        <w:spacing w:after="0" w:line="301" w:lineRule="auto"/>
        <w:tabs>
          <w:tab w:leader="none" w:pos="69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a registration statement on </w:t>
      </w:r>
      <w:hyperlink r:id="rId27">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(File No. 001-39539), filed with the Commission on September 21, 2020, pursuant to Section 12(b) of the Securities Exchange Act of 1934, as amended (the “Exchange Act”), as updated by the description of the Registrant’s common stock contained in </w:t>
      </w:r>
      <w:hyperlink r:id="rId28">
        <w:r>
          <w:rPr>
            <w:rFonts w:ascii="Arial" w:cs="Arial" w:eastAsia="Arial" w:hAnsi="Arial"/>
            <w:sz w:val="16"/>
            <w:szCs w:val="16"/>
            <w:u w:val="single" w:color="auto"/>
            <w:color w:val="0000EE"/>
          </w:rPr>
          <w:t>Exhibit 4.1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Registrant’s Annual report on Form 10-K for the fiscal year ended December 31, 2020, filed with the Commission on March 3, 2021, including any amendment or report filed for the purpose of updating such description.</w:t>
      </w:r>
    </w:p>
    <w:p>
      <w:pPr>
        <w:spacing w:after="0" w:line="157" w:lineRule="exact"/>
        <w:rPr>
          <w:rFonts w:ascii="Arial" w:cs="Arial" w:eastAsia="Arial" w:hAnsi="Arial"/>
          <w:sz w:val="16"/>
          <w:szCs w:val="16"/>
          <w:color w:val="auto"/>
        </w:rPr>
      </w:pPr>
    </w:p>
    <w:p>
      <w:pPr>
        <w:ind w:left="4" w:firstLine="436"/>
        <w:spacing w:after="0" w:line="255" w:lineRule="auto"/>
        <w:tabs>
          <w:tab w:leader="none" w:pos="699"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w:t>
      </w:r>
    </w:p>
    <w:p>
      <w:pPr>
        <w:sectPr>
          <w:pgSz w:w="11900" w:h="16838" w:orient="portrait"/>
          <w:cols w:equalWidth="0" w:num="1">
            <w:col w:w="11004"/>
          </w:cols>
          <w:pgMar w:left="436" w:top="270" w:right="459" w:bottom="1440" w:gutter="0" w:footer="0" w:header="0"/>
        </w:sectPr>
      </w:pPr>
    </w:p>
    <w:bookmarkStart w:id="3" w:name="page4"/>
    <w:bookmarkEnd w:id="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Item 8.</w:t>
            </w:r>
          </w:p>
        </w:tc>
        <w:tc>
          <w:tcPr>
            <w:tcW w:w="7080" w:type="dxa"/>
            <w:vAlign w:val="bottom"/>
            <w:gridSpan w:val="11"/>
          </w:tcPr>
          <w:p>
            <w:pPr>
              <w:ind w:left="360"/>
              <w:spacing w:after="0"/>
              <w:rPr>
                <w:sz w:val="20"/>
                <w:szCs w:val="20"/>
                <w:color w:val="auto"/>
              </w:rPr>
            </w:pPr>
            <w:r>
              <w:rPr>
                <w:rFonts w:ascii="Arial" w:cs="Arial" w:eastAsia="Arial" w:hAnsi="Arial"/>
                <w:sz w:val="18"/>
                <w:szCs w:val="18"/>
                <w:b w:val="1"/>
                <w:bCs w:val="1"/>
                <w:color w:val="auto"/>
              </w:rPr>
              <w:t>Exhibits.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2"/>
              </w:rPr>
              <w:t>Incorporated by Reference</w:t>
            </w: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72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96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9"/>
                <w:szCs w:val="9"/>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Form</w:t>
            </w:r>
          </w:p>
        </w:tc>
        <w:tc>
          <w:tcPr>
            <w:tcW w:w="11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File No.</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96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7080" w:type="dxa"/>
            <w:vAlign w:val="bottom"/>
            <w:gridSpan w:val="11"/>
          </w:tcPr>
          <w:p>
            <w:pPr>
              <w:spacing w:after="0"/>
              <w:rPr>
                <w:rFonts w:ascii="Arial" w:cs="Arial" w:eastAsia="Arial" w:hAnsi="Arial"/>
                <w:sz w:val="18"/>
                <w:szCs w:val="18"/>
                <w:color w:val="0000EE"/>
              </w:rPr>
            </w:pPr>
            <w:hyperlink r:id="rId30">
              <w:r>
                <w:rPr>
                  <w:rFonts w:ascii="Arial" w:cs="Arial" w:eastAsia="Arial" w:hAnsi="Arial"/>
                  <w:sz w:val="18"/>
                  <w:szCs w:val="18"/>
                  <w:color w:val="0000EE"/>
                </w:rPr>
                <w:t>Amended and Restated Certificate of Incorporation of the Registrant</w:t>
              </w:r>
            </w:hyperlink>
          </w:p>
        </w:tc>
        <w:tc>
          <w:tcPr>
            <w:tcW w:w="6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001-39539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740" w:type="dxa"/>
            <w:vAlign w:val="bottom"/>
            <w:gridSpan w:val="2"/>
          </w:tcPr>
          <w:p>
            <w:pPr>
              <w:spacing w:after="0"/>
              <w:rPr>
                <w:sz w:val="20"/>
                <w:szCs w:val="20"/>
                <w:color w:val="auto"/>
              </w:rPr>
            </w:pPr>
            <w:r>
              <w:rPr>
                <w:rFonts w:ascii="Arial" w:cs="Arial" w:eastAsia="Arial" w:hAnsi="Arial"/>
                <w:sz w:val="18"/>
                <w:szCs w:val="18"/>
                <w:color w:val="auto"/>
                <w:w w:val="89"/>
              </w:rPr>
              <w:t>9/29/2020</w:t>
            </w: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4920" w:type="dxa"/>
            <w:vAlign w:val="bottom"/>
            <w:tcBorders>
              <w:top w:val="single" w:sz="8" w:color="0000EE"/>
            </w:tcBorders>
            <w:gridSpan w:val="8"/>
          </w:tcPr>
          <w:p>
            <w:pPr>
              <w:spacing w:after="0"/>
              <w:rPr>
                <w:rFonts w:ascii="Arial" w:cs="Arial" w:eastAsia="Arial" w:hAnsi="Arial"/>
                <w:sz w:val="18"/>
                <w:szCs w:val="18"/>
                <w:color w:val="0000EE"/>
              </w:rPr>
            </w:pPr>
            <w:hyperlink r:id="rId31">
              <w:r>
                <w:rPr>
                  <w:rFonts w:ascii="Arial" w:cs="Arial" w:eastAsia="Arial" w:hAnsi="Arial"/>
                  <w:sz w:val="18"/>
                  <w:szCs w:val="18"/>
                  <w:color w:val="0000EE"/>
                </w:rPr>
                <w:t>Amended and Restated Bylaws of the Registrant</w:t>
              </w:r>
            </w:hyperlink>
          </w:p>
        </w:tc>
        <w:tc>
          <w:tcPr>
            <w:tcW w:w="216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001-39539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740" w:type="dxa"/>
            <w:vAlign w:val="bottom"/>
            <w:gridSpan w:val="2"/>
          </w:tcPr>
          <w:p>
            <w:pPr>
              <w:spacing w:after="0"/>
              <w:rPr>
                <w:sz w:val="20"/>
                <w:szCs w:val="20"/>
                <w:color w:val="auto"/>
              </w:rPr>
            </w:pPr>
            <w:r>
              <w:rPr>
                <w:rFonts w:ascii="Arial" w:cs="Arial" w:eastAsia="Arial" w:hAnsi="Arial"/>
                <w:sz w:val="18"/>
                <w:szCs w:val="18"/>
                <w:color w:val="auto"/>
                <w:w w:val="89"/>
              </w:rPr>
              <w:t>9/29/2020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7080" w:type="dxa"/>
            <w:vAlign w:val="bottom"/>
            <w:gridSpan w:val="11"/>
          </w:tcPr>
          <w:p>
            <w:pPr>
              <w:spacing w:after="0"/>
              <w:rPr>
                <w:rFonts w:ascii="Arial" w:cs="Arial" w:eastAsia="Arial" w:hAnsi="Arial"/>
                <w:sz w:val="18"/>
                <w:szCs w:val="18"/>
                <w:color w:val="0000EE"/>
              </w:rPr>
            </w:pPr>
            <w:hyperlink r:id="rId32">
              <w:r>
                <w:rPr>
                  <w:rFonts w:ascii="Arial" w:cs="Arial" w:eastAsia="Arial" w:hAnsi="Arial"/>
                  <w:sz w:val="18"/>
                  <w:szCs w:val="18"/>
                  <w:color w:val="0000EE"/>
                </w:rPr>
                <w:t>Specimen common stock certificate of the Registrant</w:t>
              </w:r>
            </w:hyperlink>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S-1/A</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333-248627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740" w:type="dxa"/>
            <w:vAlign w:val="bottom"/>
            <w:gridSpan w:val="2"/>
          </w:tcPr>
          <w:p>
            <w:pPr>
              <w:spacing w:after="0"/>
              <w:rPr>
                <w:sz w:val="20"/>
                <w:szCs w:val="20"/>
                <w:color w:val="auto"/>
              </w:rPr>
            </w:pPr>
            <w:r>
              <w:rPr>
                <w:rFonts w:ascii="Arial" w:cs="Arial" w:eastAsia="Arial" w:hAnsi="Arial"/>
                <w:sz w:val="18"/>
                <w:szCs w:val="18"/>
                <w:color w:val="auto"/>
                <w:w w:val="89"/>
              </w:rPr>
              <w:t>9/21/2020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708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Opinion of Wilson Sonsini Goodrich &amp; Rosati, Professional Corporation</w:t>
              </w:r>
            </w:hyperlink>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23.1*</w:t>
            </w:r>
          </w:p>
        </w:tc>
        <w:tc>
          <w:tcPr>
            <w:tcW w:w="220" w:type="dxa"/>
            <w:vAlign w:val="bottom"/>
          </w:tcPr>
          <w:p>
            <w:pPr>
              <w:spacing w:after="0"/>
              <w:rPr>
                <w:sz w:val="24"/>
                <w:szCs w:val="24"/>
                <w:color w:val="auto"/>
              </w:rPr>
            </w:pPr>
          </w:p>
        </w:tc>
        <w:tc>
          <w:tcPr>
            <w:tcW w:w="5220" w:type="dxa"/>
            <w:vAlign w:val="bottom"/>
            <w:tcBorders>
              <w:top w:val="single" w:sz="8" w:color="0000EE"/>
            </w:tcBorders>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Consent of Independent Registered Public Accounting Firm</w:t>
              </w:r>
            </w:hyperlink>
          </w:p>
        </w:tc>
        <w:tc>
          <w:tcPr>
            <w:tcW w:w="186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23.2*</w:t>
            </w:r>
          </w:p>
        </w:tc>
        <w:tc>
          <w:tcPr>
            <w:tcW w:w="220" w:type="dxa"/>
            <w:vAlign w:val="bottom"/>
          </w:tcPr>
          <w:p>
            <w:pPr>
              <w:spacing w:after="0"/>
              <w:rPr>
                <w:sz w:val="24"/>
                <w:szCs w:val="24"/>
                <w:color w:val="auto"/>
              </w:rPr>
            </w:pPr>
          </w:p>
        </w:tc>
        <w:tc>
          <w:tcPr>
            <w:tcW w:w="62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Consent of Wilson Sonsini Goodrich &amp; Rosati, Professional Corporation (contained in</w:t>
              </w:r>
            </w:hyperlink>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Exhibit 5.1 hereto)</w:t>
              </w:r>
            </w:hyperlink>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24.1*</w:t>
            </w:r>
          </w:p>
        </w:tc>
        <w:tc>
          <w:tcPr>
            <w:tcW w:w="220" w:type="dxa"/>
            <w:vAlign w:val="bottom"/>
          </w:tcPr>
          <w:p>
            <w:pPr>
              <w:spacing w:after="0"/>
              <w:rPr>
                <w:sz w:val="24"/>
                <w:szCs w:val="24"/>
                <w:color w:val="auto"/>
              </w:rPr>
            </w:pPr>
          </w:p>
        </w:tc>
        <w:tc>
          <w:tcPr>
            <w:tcW w:w="708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 of Attorney (contained on signature page hereto)</w:t>
              </w:r>
            </w:hyperlink>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gridSpan w:val="5"/>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99.1</w:t>
            </w:r>
          </w:p>
        </w:tc>
        <w:tc>
          <w:tcPr>
            <w:tcW w:w="220" w:type="dxa"/>
            <w:vAlign w:val="bottom"/>
          </w:tcPr>
          <w:p>
            <w:pPr>
              <w:spacing w:after="0"/>
              <w:rPr>
                <w:sz w:val="24"/>
                <w:szCs w:val="24"/>
                <w:color w:val="auto"/>
              </w:rPr>
            </w:pPr>
          </w:p>
        </w:tc>
        <w:tc>
          <w:tcPr>
            <w:tcW w:w="4600" w:type="dxa"/>
            <w:vAlign w:val="bottom"/>
            <w:tcBorders>
              <w:bottom w:val="single" w:sz="8" w:color="0000EE"/>
            </w:tcBorders>
            <w:gridSpan w:val="7"/>
          </w:tcPr>
          <w:p>
            <w:pPr>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2020 Equity Incentive Plan and forms of agreements thereunder</w:t>
              </w:r>
            </w:hyperlink>
          </w:p>
        </w:tc>
        <w:tc>
          <w:tcPr>
            <w:tcW w:w="2480" w:type="dxa"/>
            <w:vAlign w:val="bottom"/>
            <w:gridSpan w:val="4"/>
          </w:tcPr>
          <w:p>
            <w:pPr>
              <w:spacing w:after="0"/>
              <w:rPr>
                <w:sz w:val="24"/>
                <w:szCs w:val="24"/>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S-1/A</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333-248627</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740" w:type="dxa"/>
            <w:vAlign w:val="bottom"/>
            <w:gridSpan w:val="2"/>
          </w:tcPr>
          <w:p>
            <w:pPr>
              <w:spacing w:after="0"/>
              <w:rPr>
                <w:sz w:val="20"/>
                <w:szCs w:val="20"/>
                <w:color w:val="auto"/>
              </w:rPr>
            </w:pPr>
            <w:r>
              <w:rPr>
                <w:rFonts w:ascii="Arial" w:cs="Arial" w:eastAsia="Arial" w:hAnsi="Arial"/>
                <w:sz w:val="18"/>
                <w:szCs w:val="18"/>
                <w:color w:val="auto"/>
                <w:w w:val="89"/>
              </w:rPr>
              <w:t>9/21/2020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960"/>
          </w:cols>
          <w:pgMar w:left="440" w:top="274" w:right="49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on Form S-8 to be signed on its behalf by the undersigned, thereunto duly authorized, in the City of Cranbury, New Jersey, on January 24,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H. Mack,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H. Mack, Ph.D. and Winston Kung as his or her true and lawful attorneys-in-fact and agents, with full power of substitution and substitution, for him or her and in their name, place and stead, in any and all capacities, to sign this Registration Statement and any and all amendments thereto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gridSpan w:val="2"/>
          </w:tcPr>
          <w:p>
            <w:pPr>
              <w:ind w:left="1800"/>
              <w:spacing w:after="0"/>
              <w:rPr>
                <w:sz w:val="20"/>
                <w:szCs w:val="20"/>
                <w:color w:val="auto"/>
              </w:rPr>
            </w:pPr>
            <w:r>
              <w:rPr>
                <w:rFonts w:ascii="Arial" w:cs="Arial" w:eastAsia="Arial" w:hAnsi="Arial"/>
                <w:sz w:val="14"/>
                <w:szCs w:val="14"/>
                <w:b w:val="1"/>
                <w:bCs w:val="1"/>
                <w:color w:val="auto"/>
                <w:w w:val="89"/>
              </w:rPr>
              <w:t>Signature</w:t>
            </w:r>
          </w:p>
        </w:tc>
        <w:tc>
          <w:tcPr>
            <w:tcW w:w="1780" w:type="dxa"/>
            <w:vAlign w:val="bottom"/>
          </w:tcPr>
          <w:p>
            <w:pPr>
              <w:spacing w:after="0"/>
              <w:rPr>
                <w:sz w:val="14"/>
                <w:szCs w:val="14"/>
                <w:color w:val="auto"/>
              </w:rPr>
            </w:pPr>
          </w:p>
        </w:tc>
        <w:tc>
          <w:tcPr>
            <w:tcW w:w="5000" w:type="dxa"/>
            <w:vAlign w:val="bottom"/>
            <w:gridSpan w:val="3"/>
          </w:tcPr>
          <w:p>
            <w:pPr>
              <w:ind w:left="240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5"/>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 Mack</w:t>
            </w:r>
          </w:p>
        </w:tc>
        <w:tc>
          <w:tcPr>
            <w:tcW w:w="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 xml:space="preserve">President, Chief Executive Officer and Director </w:t>
            </w:r>
            <w:r>
              <w:rPr>
                <w:rFonts w:ascii="Arial" w:cs="Arial" w:eastAsia="Arial" w:hAnsi="Arial"/>
                <w:sz w:val="18"/>
                <w:szCs w:val="18"/>
                <w:i w:val="1"/>
                <w:iCs w:val="1"/>
                <w:color w:val="auto"/>
              </w:rPr>
              <w:t>(Principal</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David H. Mack, Ph.D.</w:t>
            </w:r>
          </w:p>
        </w:tc>
        <w:tc>
          <w:tcPr>
            <w:tcW w:w="178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i w:val="1"/>
                <w:iCs w:val="1"/>
                <w:color w:val="auto"/>
              </w:rPr>
              <w:t>Executive Officer)</w:t>
            </w:r>
          </w:p>
        </w:tc>
        <w:tc>
          <w:tcPr>
            <w:tcW w:w="158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January 24, 2022</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Winston Kung</w:t>
            </w:r>
          </w:p>
        </w:tc>
        <w:tc>
          <w:tcPr>
            <w:tcW w:w="1780" w:type="dxa"/>
            <w:vAlign w:val="bottom"/>
            <w:tcBorders>
              <w:bottom w:val="single" w:sz="8" w:color="auto"/>
            </w:tcBorders>
          </w:tcPr>
          <w:p>
            <w:pPr>
              <w:spacing w:after="0"/>
              <w:rPr>
                <w:sz w:val="24"/>
                <w:szCs w:val="24"/>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 xml:space="preserve">Chief Operating Officer and Chief Financial Officer </w:t>
            </w:r>
            <w:r>
              <w:rPr>
                <w:rFonts w:ascii="Arial" w:cs="Arial" w:eastAsia="Arial" w:hAnsi="Arial"/>
                <w:sz w:val="18"/>
                <w:szCs w:val="18"/>
                <w:i w:val="1"/>
                <w:iCs w:val="1"/>
                <w:color w:val="auto"/>
              </w:rPr>
              <w:t>(Principal</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Winston Kung</w:t>
            </w:r>
          </w:p>
        </w:tc>
        <w:tc>
          <w:tcPr>
            <w:tcW w:w="178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i w:val="1"/>
                <w:iCs w:val="1"/>
                <w:color w:val="auto"/>
              </w:rPr>
              <w:t>Financial and Accounting Officer)</w:t>
            </w:r>
          </w:p>
        </w:tc>
        <w:tc>
          <w:tcPr>
            <w:tcW w:w="158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January 24, 2022</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Heyman</w:t>
            </w:r>
          </w:p>
        </w:tc>
        <w:tc>
          <w:tcPr>
            <w:tcW w:w="178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Richard Heyman, Ph.D.</w:t>
            </w:r>
          </w:p>
        </w:tc>
        <w:tc>
          <w:tcPr>
            <w:tcW w:w="178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Chair of the Board</w:t>
            </w:r>
          </w:p>
        </w:tc>
        <w:tc>
          <w:tcPr>
            <w:tcW w:w="158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January 24, 2022</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M. Baum</w:t>
            </w:r>
          </w:p>
        </w:tc>
        <w:tc>
          <w:tcPr>
            <w:tcW w:w="178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w w:val="98"/>
              </w:rPr>
              <w:t>Charles M. Baum, M.D., Ph.D.</w:t>
            </w:r>
          </w:p>
        </w:tc>
        <w:tc>
          <w:tcPr>
            <w:tcW w:w="178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January 24, 2022</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Arnold Levine</w:t>
            </w:r>
          </w:p>
        </w:tc>
        <w:tc>
          <w:tcPr>
            <w:tcW w:w="178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Arnold Levine, Ph.D.</w:t>
            </w:r>
          </w:p>
        </w:tc>
        <w:tc>
          <w:tcPr>
            <w:tcW w:w="178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January 24, 2022</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Thilo Schroeder</w:t>
            </w:r>
          </w:p>
        </w:tc>
        <w:tc>
          <w:tcPr>
            <w:tcW w:w="178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Thilo Schroeder, Ph.D.</w:t>
            </w:r>
          </w:p>
        </w:tc>
        <w:tc>
          <w:tcPr>
            <w:tcW w:w="178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January 24, 2022</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Laurie Stelzer</w:t>
            </w:r>
          </w:p>
        </w:tc>
        <w:tc>
          <w:tcPr>
            <w:tcW w:w="178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Laurie Stelzer</w:t>
            </w:r>
          </w:p>
        </w:tc>
        <w:tc>
          <w:tcPr>
            <w:tcW w:w="178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January 24, 2022</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Kirsten Flowers</w:t>
            </w:r>
          </w:p>
        </w:tc>
        <w:tc>
          <w:tcPr>
            <w:tcW w:w="178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Kirsten Flowers</w:t>
            </w:r>
          </w:p>
        </w:tc>
        <w:tc>
          <w:tcPr>
            <w:tcW w:w="178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250"/>
              <w:spacing w:after="0"/>
              <w:rPr>
                <w:sz w:val="20"/>
                <w:szCs w:val="20"/>
                <w:color w:val="auto"/>
              </w:rPr>
            </w:pPr>
            <w:r>
              <w:rPr>
                <w:rFonts w:ascii="Arial" w:cs="Arial" w:eastAsia="Arial" w:hAnsi="Arial"/>
                <w:sz w:val="18"/>
                <w:szCs w:val="18"/>
                <w:color w:val="auto"/>
                <w:w w:val="89"/>
              </w:rPr>
              <w:t>January 24, 2022</w:t>
            </w:r>
          </w:p>
        </w:tc>
      </w:tr>
    </w:tbl>
    <w:p>
      <w:pPr>
        <w:sectPr>
          <w:pgSz w:w="11900" w:h="16838" w:orient="portrait"/>
          <w:cols w:equalWidth="0" w:num="1">
            <w:col w:w="10940"/>
          </w:cols>
          <w:pgMar w:left="440" w:top="270" w:right="5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10553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1105535" cy="42037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Professional Corporation</w:t>
      </w:r>
    </w:p>
    <w:p>
      <w:pPr>
        <w:spacing w:after="0" w:line="1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1301 Avenue of the Americas, 40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New York, NY 10019-6022</w:t>
      </w:r>
    </w:p>
    <w:p>
      <w:pPr>
        <w:spacing w:after="0" w:line="116"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HONE</w:t>
      </w:r>
      <w:r>
        <w:rPr>
          <w:rFonts w:ascii="Arial" w:cs="Arial" w:eastAsia="Arial" w:hAnsi="Arial"/>
          <w:sz w:val="18"/>
          <w:szCs w:val="18"/>
          <w:color w:val="auto"/>
        </w:rPr>
        <w:t>: 212.999.5800</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AX</w:t>
      </w:r>
      <w:r>
        <w:rPr>
          <w:rFonts w:ascii="Arial" w:cs="Arial" w:eastAsia="Arial" w:hAnsi="Arial"/>
          <w:sz w:val="18"/>
          <w:szCs w:val="18"/>
          <w:color w:val="auto"/>
        </w:rPr>
        <w:t>: 212.999.5899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24,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PMV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 Clarke Drive, Suite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Cranbury, NJ 08512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(609) 642-6670</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Registration Statement on Form S-8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We have examined the Registration Statement on Form S-8 (the “Registration Statement”) to be filed by PMV Pharmaceuticals, Inc., a Delaware corporation, with the Securities and Exchange Commission on or about the date hereof, in connection with the registration under the Securities Act of 1933, as amended, of 1,363,084 shares of your common stock, par value $0.00001 per share (the “Shares”), reserved for issuance pursuant to the 2020 Equity Incentive Plan (the “Plan”).</w:t>
      </w:r>
    </w:p>
    <w:p>
      <w:pPr>
        <w:spacing w:after="0" w:line="187"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On the basis of the foregoing, and in reliance thereon, we are of the opinion that the Shares, when issued and sold in the manner referred to in the Plan and pursuant to the agreements that accompany the Plan, will be legally and validly issued, fully paid and nonassessable.</w:t>
      </w:r>
    </w:p>
    <w:p>
      <w:pPr>
        <w:spacing w:after="0" w:line="14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pacing w:after="0" w:line="152" w:lineRule="exact"/>
        <w:rPr>
          <w:sz w:val="20"/>
          <w:szCs w:val="20"/>
          <w:color w:val="auto"/>
        </w:rPr>
      </w:pPr>
    </w:p>
    <w:p>
      <w:pPr>
        <w:jc w:val="center"/>
        <w:ind w:right="20"/>
        <w:spacing w:after="0"/>
        <w:tabs>
          <w:tab w:leader="none" w:pos="120" w:val="left"/>
          <w:tab w:leader="none" w:pos="120" w:val="left"/>
          <w:tab w:leader="none" w:pos="120" w:val="left"/>
          <w:tab w:leader="none" w:pos="120" w:val="left"/>
          <w:tab w:leader="none" w:pos="120" w:val="left"/>
          <w:tab w:leader="none" w:pos="120" w:val="left"/>
          <w:tab w:leader="none" w:pos="120" w:val="left"/>
          <w:tab w:leader="none" w:pos="120" w:val="left"/>
        </w:tabs>
        <w:rPr>
          <w:sz w:val="20"/>
          <w:szCs w:val="20"/>
          <w:color w:val="auto"/>
        </w:rPr>
      </w:pPr>
      <w:r>
        <w:rPr>
          <w:rFonts w:ascii="Arial" w:cs="Arial" w:eastAsia="Arial" w:hAnsi="Arial"/>
          <w:sz w:val="14"/>
          <w:szCs w:val="14"/>
          <w:color w:val="auto"/>
        </w:rPr>
        <w:t>AUSTIN</w:t>
        <w:tab/>
        <w:t>BEIJING</w:t>
        <w:tab/>
        <w:t>BOSTON</w:t>
        <w:tab/>
        <w:t>BRUSSELS</w:t>
        <w:tab/>
        <w:t>HONG KONG</w:t>
        <w:tab/>
        <w:t>LONDON</w:t>
        <w:tab/>
        <w:t>LOS ANGELES</w:t>
        <w:tab/>
        <w:t>NEW YORK</w:t>
      </w:r>
      <w:r>
        <w:rPr>
          <w:sz w:val="20"/>
          <w:szCs w:val="20"/>
          <w:color w:val="auto"/>
        </w:rPr>
        <w:tab/>
      </w:r>
      <w:r>
        <w:rPr>
          <w:rFonts w:ascii="Arial" w:cs="Arial" w:eastAsia="Arial" w:hAnsi="Arial"/>
          <w:sz w:val="13"/>
          <w:szCs w:val="13"/>
          <w:color w:val="auto"/>
        </w:rPr>
        <w:t>PALO ALTO</w:t>
      </w:r>
    </w:p>
    <w:p>
      <w:pPr>
        <w:spacing w:after="0" w:line="204" w:lineRule="exact"/>
        <w:rPr>
          <w:sz w:val="20"/>
          <w:szCs w:val="20"/>
          <w:color w:val="auto"/>
        </w:rPr>
      </w:pPr>
    </w:p>
    <w:p>
      <w:pPr>
        <w:jc w:val="center"/>
        <w:spacing w:after="0"/>
        <w:tabs>
          <w:tab w:leader="none" w:pos="140" w:val="left"/>
          <w:tab w:leader="none" w:pos="120" w:val="left"/>
          <w:tab w:leader="none" w:pos="120" w:val="left"/>
          <w:tab w:leader="none" w:pos="140" w:val="left"/>
          <w:tab w:leader="none" w:pos="120" w:val="left"/>
        </w:tabs>
        <w:rPr>
          <w:sz w:val="20"/>
          <w:szCs w:val="20"/>
          <w:color w:val="auto"/>
        </w:rPr>
      </w:pPr>
      <w:r>
        <w:rPr>
          <w:rFonts w:ascii="Arial" w:cs="Arial" w:eastAsia="Arial" w:hAnsi="Arial"/>
          <w:sz w:val="14"/>
          <w:szCs w:val="14"/>
          <w:color w:val="auto"/>
        </w:rPr>
        <w:t>SAN DIEGO</w:t>
        <w:tab/>
        <w:t>SAN FRANCISCO</w:t>
        <w:tab/>
        <w:t>SEATTLE</w:t>
        <w:tab/>
        <w:t>SHANGHAI</w:t>
        <w:tab/>
        <w:t>WASHINGTON, DC</w:t>
        <w:tab/>
        <w:t>WILMINGTON, DE</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2020 Equity Incentive Plan of PMV Pharmaceuticals, Inc. of our report dated March 3, 2021, with respect to the financial statements of PMV Pharmaceuticals, Inc., included in its Annual Report (Form 10-K) for the year ended December 31, 2020, filed with the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24,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9"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jpeg"/><Relationship Id="rId19" Type="http://schemas.openxmlformats.org/officeDocument/2006/relationships/hyperlink" Target="http://www.sec.gov/Archives/edgar/data/1699382/000119312520256300/d87446ds8.htm" TargetMode="External"/><Relationship Id="rId20" Type="http://schemas.openxmlformats.org/officeDocument/2006/relationships/hyperlink" Target="http://www.sec.gov/Archives/edgar/data/1699382/000119312521168601/d156441ds8.htm" TargetMode="External"/><Relationship Id="rId21" Type="http://schemas.openxmlformats.org/officeDocument/2006/relationships/hyperlink" Target="http://www.sec.gov/Archives/edgar/data/1699382/000156459021010578/pmvp-10k_20201231.htm" TargetMode="External"/><Relationship Id="rId22" Type="http://schemas.openxmlformats.org/officeDocument/2006/relationships/hyperlink" Target="http://www.sec.gov/Archives/edgar/data/1699382/000114036121014036/nc10022460x1_def14a.htm" TargetMode="External"/><Relationship Id="rId23" Type="http://schemas.openxmlformats.org/officeDocument/2006/relationships/hyperlink" Target="http://www.sec.gov/Archives/edgar/data/1699382/000156459021027813/pmvp-10q_20210331.htm" TargetMode="External"/><Relationship Id="rId24" Type="http://schemas.openxmlformats.org/officeDocument/2006/relationships/hyperlink" Target="http://www.sec.gov/ix?doc=/Archives/edgar/data/1699382/000156459021044131/pmvp-10q_20210630.htm" TargetMode="External"/><Relationship Id="rId25" Type="http://schemas.openxmlformats.org/officeDocument/2006/relationships/hyperlink" Target="http://www.sec.gov/ix?doc=/Archives/edgar/data/1699382/000156459021056458/pmvp-10q_20210930.htm" TargetMode="External"/><Relationship Id="rId26" Type="http://schemas.openxmlformats.org/officeDocument/2006/relationships/hyperlink" Target="http://www.sec.gov/ix?doc=/Archives/edgar/data/1699382/000119312522003158/d86525d8k.htm" TargetMode="External"/><Relationship Id="rId27" Type="http://schemas.openxmlformats.org/officeDocument/2006/relationships/hyperlink" Target="http://www.sec.gov/Archives/edgar/data/1699382/000119312520250157/d14856d8a12b.htm" TargetMode="External"/><Relationship Id="rId28" Type="http://schemas.openxmlformats.org/officeDocument/2006/relationships/hyperlink" Target="http://www.sec.gov/Archives/edgar/data/1699382/000156459021010578/pmvp-ex41_260.htm" TargetMode="External"/><Relationship Id="rId30" Type="http://schemas.openxmlformats.org/officeDocument/2006/relationships/hyperlink" Target="http://www.sec.gov/Archives/edgar/data/1699382/000119312520257820/d95525dex31.htm" TargetMode="External"/><Relationship Id="rId31" Type="http://schemas.openxmlformats.org/officeDocument/2006/relationships/hyperlink" Target="http://www.sec.gov/Archives/edgar/data/1699382/000119312520257820/d95525dex32.htm" TargetMode="External"/><Relationship Id="rId32" Type="http://schemas.openxmlformats.org/officeDocument/2006/relationships/hyperlink" Target="http://www.sec.gov/Archives/edgar/data/1699382/000119312520249570/d922470dex42.htm" TargetMode="External"/><Relationship Id="rId33" Type="http://schemas.openxmlformats.org/officeDocument/2006/relationships/hyperlink" Target="http://www.sec.gov/Archives/edgar/data/1699382/000119312520249570/d92247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2022-01-24T15:05:04Z</dcterms:created>
  <dcterms:modified xsi:type="dcterms:W3CDTF">2022-01-24T15:05:04Z</dcterms:modified>
</cp:coreProperties>
</file>