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jc w:val="both"/>
        <w:ind w:left="320" w:right="340" w:hanging="247"/>
        <w:spacing w:after="0" w:line="180" w:lineRule="auto"/>
        <w:tabs>
          <w:tab w:leader="none" w:pos="320" w:val="left"/>
        </w:tabs>
        <w:numPr>
          <w:ilvl w:val="0"/>
          <w:numId w:val="1"/>
        </w:numPr>
        <w:rPr>
          <w:rFonts w:ascii="Arial" w:cs="Arial" w:eastAsia="Arial" w:hAnsi="Arial"/>
          <w:sz w:val="24"/>
          <w:szCs w:val="24"/>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-239395</wp:posOffset>
            </wp:positionV>
            <wp:extent cx="109855" cy="157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855" cy="1574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0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0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5244465</wp:posOffset>
            </wp:positionH>
            <wp:positionV relativeFrom="paragraph">
              <wp:posOffset>-581025</wp:posOffset>
            </wp:positionV>
            <wp:extent cx="7620" cy="581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166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-589280</wp:posOffset>
            </wp:positionV>
            <wp:extent cx="7620" cy="589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991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-565150</wp:posOffset>
            </wp:positionV>
            <wp:extent cx="1273810" cy="542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810" cy="5422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30480</wp:posOffset>
            </wp:positionV>
            <wp:extent cx="6973570" cy="1674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3570" cy="1674495"/>
                    </a:xfrm>
                    <a:prstGeom prst="rect">
                      <a:avLst/>
                    </a:prstGeom>
                    <a:noFill/>
                  </pic:spPr>
                </pic:pic>
              </a:graphicData>
            </a:graphic>
          </wp:anchor>
        </w:drawing>
      </w:r>
    </w:p>
    <w:p>
      <w:pPr>
        <w:spacing w:after="0" w:line="100" w:lineRule="exact"/>
        <w:rPr>
          <w:sz w:val="24"/>
          <w:szCs w:val="24"/>
          <w:color w:val="auto"/>
        </w:rPr>
      </w:pPr>
    </w:p>
    <w:p>
      <w:pPr>
        <w:sectPr>
          <w:pgSz w:w="11900" w:h="16895" w:orient="portrait"/>
          <w:cols w:equalWidth="0" w:num="2">
            <w:col w:w="2140" w:space="520"/>
            <w:col w:w="842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9"/>
          <w:szCs w:val="19"/>
          <w:u w:val="single" w:color="auto"/>
          <w:color w:val="0000EE"/>
        </w:rPr>
      </w:pPr>
      <w:hyperlink r:id="rId13">
        <w:r>
          <w:rPr>
            <w:rFonts w:ascii="Arial" w:cs="Arial" w:eastAsia="Arial" w:hAnsi="Arial"/>
            <w:sz w:val="19"/>
            <w:szCs w:val="19"/>
            <w:u w:val="single" w:color="auto"/>
            <w:color w:val="0000EE"/>
          </w:rPr>
          <w:t>RA CAPITAL MANAGEMENT, L.P.</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 BERKELEY STREET</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PMV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PMVP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09/29/2020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5" w:right="740" w:firstLine="5"/>
        <w:spacing w:after="0" w:line="254" w:lineRule="auto"/>
        <w:tabs>
          <w:tab w:leader="none" w:pos="133"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35"/>
        <w:spacing w:after="0"/>
        <w:tabs>
          <w:tab w:leader="none" w:pos="1755" w:val="left"/>
          <w:tab w:leader="none" w:pos="207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0"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5"/>
        <w:spacing w:after="0"/>
        <w:tabs>
          <w:tab w:leader="none" w:pos="207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2" w:lineRule="exact"/>
        <w:rPr>
          <w:sz w:val="24"/>
          <w:szCs w:val="24"/>
          <w:color w:val="auto"/>
        </w:rPr>
      </w:pPr>
    </w:p>
    <w:p>
      <w:pPr>
        <w:sectPr>
          <w:pgSz w:w="11900" w:h="16895" w:orient="portrait"/>
          <w:cols w:equalWidth="0" w:num="3">
            <w:col w:w="3180" w:space="720"/>
            <w:col w:w="3105" w:space="720"/>
            <w:col w:w="335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620" w:type="dxa"/>
            <w:vAlign w:val="bottom"/>
          </w:tcPr>
          <w:p>
            <w:pPr>
              <w:ind w:left="140"/>
              <w:spacing w:after="0" w:line="124" w:lineRule="exact"/>
              <w:rPr>
                <w:sz w:val="20"/>
                <w:szCs w:val="20"/>
                <w:color w:val="auto"/>
              </w:rPr>
            </w:pPr>
            <w:r>
              <w:rPr>
                <w:rFonts w:ascii="Arial" w:cs="Arial" w:eastAsia="Arial" w:hAnsi="Arial"/>
                <w:sz w:val="12"/>
                <w:szCs w:val="12"/>
                <w:color w:val="auto"/>
              </w:rPr>
              <w:t>4. If Amendment, Date of Original Filed (Month/Day/Year)</w:t>
            </w:r>
          </w:p>
        </w:tc>
        <w:tc>
          <w:tcPr>
            <w:tcW w:w="3500" w:type="dxa"/>
            <w:vAlign w:val="bottom"/>
          </w:tcPr>
          <w:p>
            <w:pPr>
              <w:ind w:left="340"/>
              <w:spacing w:after="0" w:line="124"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8"/>
        </w:trPr>
        <w:tc>
          <w:tcPr>
            <w:tcW w:w="730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500" w:type="dxa"/>
            <w:vAlign w:val="bottom"/>
            <w:vMerge w:val="restart"/>
          </w:tcPr>
          <w:p>
            <w:pPr>
              <w:ind w:left="8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BOSTON</w:t>
            </w:r>
          </w:p>
        </w:tc>
        <w:tc>
          <w:tcPr>
            <w:tcW w:w="118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1020" w:type="dxa"/>
            <w:vAlign w:val="bottom"/>
          </w:tcPr>
          <w:p>
            <w:pPr>
              <w:ind w:left="80"/>
              <w:spacing w:after="0"/>
              <w:rPr>
                <w:sz w:val="20"/>
                <w:szCs w:val="20"/>
                <w:color w:val="auto"/>
              </w:rPr>
            </w:pPr>
            <w:r>
              <w:rPr>
                <w:rFonts w:ascii="Arial" w:cs="Arial" w:eastAsia="Arial" w:hAnsi="Arial"/>
                <w:sz w:val="16"/>
                <w:szCs w:val="16"/>
                <w:color w:val="0000FF"/>
              </w:rPr>
              <w:t>02116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0" w:type="dxa"/>
            <w:vAlign w:val="bottom"/>
            <w:gridSpan w:val="11"/>
            <w:vMerge w:val="restart"/>
          </w:tcPr>
          <w:p>
            <w:pPr>
              <w:ind w:left="6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gridSpan w:val="2"/>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5"/>
          </w:tcPr>
          <w:p>
            <w:pPr>
              <w:jc w:val="center"/>
              <w:ind w:left="69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4"/>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gridSpan w:val="2"/>
          </w:tcPr>
          <w:p>
            <w:pPr>
              <w:ind w:left="780"/>
              <w:spacing w:after="0" w:line="121"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7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0" w:type="dxa"/>
            <w:vAlign w:val="bottom"/>
            <w:gridSpan w:val="4"/>
          </w:tcPr>
          <w:p>
            <w:pPr>
              <w:jc w:val="center"/>
              <w:ind w:left="614"/>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0" w:type="dxa"/>
            <w:vAlign w:val="bottom"/>
            <w:gridSpan w:val="4"/>
            <w:vMerge w:val="restart"/>
          </w:tcPr>
          <w:p>
            <w:pPr>
              <w:jc w:val="center"/>
              <w:ind w:left="634"/>
              <w:spacing w:after="0"/>
              <w:rPr>
                <w:sz w:val="20"/>
                <w:szCs w:val="20"/>
                <w:color w:val="auto"/>
              </w:rPr>
            </w:pPr>
            <w:r>
              <w:rPr>
                <w:rFonts w:ascii="Arial" w:cs="Arial" w:eastAsia="Arial" w:hAnsi="Arial"/>
                <w:sz w:val="16"/>
                <w:szCs w:val="16"/>
                <w:color w:val="0000FF"/>
                <w:w w:val="92"/>
              </w:rPr>
              <w:t>09/29/2020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vMerge w:val="restart"/>
          </w:tcPr>
          <w:p>
            <w:pPr>
              <w:jc w:val="center"/>
              <w:ind w:right="224"/>
              <w:spacing w:after="0"/>
              <w:rPr>
                <w:sz w:val="20"/>
                <w:szCs w:val="20"/>
                <w:color w:val="auto"/>
              </w:rPr>
            </w:pPr>
            <w:r>
              <w:rPr>
                <w:rFonts w:ascii="Arial" w:cs="Arial" w:eastAsia="Arial" w:hAnsi="Arial"/>
                <w:sz w:val="12"/>
                <w:szCs w:val="12"/>
                <w:color w:val="0000FF"/>
                <w:w w:val="91"/>
              </w:rPr>
              <w:t>C</w:t>
            </w:r>
          </w:p>
        </w:tc>
        <w:tc>
          <w:tcPr>
            <w:tcW w:w="800" w:type="dxa"/>
            <w:vAlign w:val="bottom"/>
            <w:gridSpan w:val="2"/>
            <w:vMerge w:val="restart"/>
          </w:tcPr>
          <w:p>
            <w:pPr>
              <w:jc w:val="right"/>
              <w:ind w:right="23"/>
              <w:spacing w:after="0"/>
              <w:rPr>
                <w:sz w:val="20"/>
                <w:szCs w:val="20"/>
                <w:color w:val="auto"/>
              </w:rPr>
            </w:pPr>
            <w:r>
              <w:rPr>
                <w:rFonts w:ascii="Arial" w:cs="Arial" w:eastAsia="Arial" w:hAnsi="Arial"/>
                <w:sz w:val="16"/>
                <w:szCs w:val="16"/>
                <w:color w:val="0000FF"/>
              </w:rPr>
              <w:t>760,265</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right"/>
              <w:ind w:right="176"/>
              <w:spacing w:after="0"/>
              <w:rPr>
                <w:sz w:val="20"/>
                <w:szCs w:val="20"/>
                <w:color w:val="auto"/>
              </w:rPr>
            </w:pPr>
            <w:r>
              <w:rPr>
                <w:rFonts w:ascii="Arial" w:cs="Arial" w:eastAsia="Arial" w:hAnsi="Arial"/>
                <w:sz w:val="10"/>
                <w:szCs w:val="10"/>
                <w:color w:val="008000"/>
              </w:rPr>
              <w:t>(1)</w:t>
            </w:r>
          </w:p>
        </w:tc>
        <w:tc>
          <w:tcPr>
            <w:tcW w:w="1540" w:type="dxa"/>
            <w:vAlign w:val="bottom"/>
            <w:gridSpan w:val="3"/>
            <w:vMerge w:val="restart"/>
          </w:tcPr>
          <w:p>
            <w:pPr>
              <w:jc w:val="center"/>
              <w:ind w:right="584"/>
              <w:spacing w:after="0"/>
              <w:rPr>
                <w:sz w:val="20"/>
                <w:szCs w:val="20"/>
                <w:color w:val="auto"/>
              </w:rPr>
            </w:pPr>
            <w:r>
              <w:rPr>
                <w:rFonts w:ascii="Arial" w:cs="Arial" w:eastAsia="Arial" w:hAnsi="Arial"/>
                <w:sz w:val="16"/>
                <w:szCs w:val="16"/>
                <w:color w:val="0000FF"/>
              </w:rPr>
              <w:t>760,265</w:t>
            </w:r>
            <w:r>
              <w:rPr>
                <w:rFonts w:ascii="Arial" w:cs="Arial" w:eastAsia="Arial" w:hAnsi="Arial"/>
                <w:sz w:val="20"/>
                <w:szCs w:val="20"/>
                <w:color w:val="008000"/>
                <w:vertAlign w:val="superscript"/>
              </w:rPr>
              <w:t>(2)</w:t>
            </w: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72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040" w:type="dxa"/>
            <w:vAlign w:val="bottom"/>
            <w:gridSpan w:val="6"/>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8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800" w:type="dxa"/>
            <w:vAlign w:val="bottom"/>
            <w:tcBorders>
              <w:top w:val="single" w:sz="8" w:color="2C2C2C"/>
            </w:tcBorders>
            <w:gridSpan w:val="4"/>
            <w:vMerge w:val="restart"/>
          </w:tcPr>
          <w:p>
            <w:pPr>
              <w:jc w:val="center"/>
              <w:ind w:left="634"/>
              <w:spacing w:after="0"/>
              <w:rPr>
                <w:sz w:val="20"/>
                <w:szCs w:val="20"/>
                <w:color w:val="auto"/>
              </w:rPr>
            </w:pPr>
            <w:r>
              <w:rPr>
                <w:rFonts w:ascii="Arial" w:cs="Arial" w:eastAsia="Arial" w:hAnsi="Arial"/>
                <w:sz w:val="16"/>
                <w:szCs w:val="16"/>
                <w:color w:val="0000FF"/>
                <w:w w:val="92"/>
              </w:rPr>
              <w:t>09/29/2020</w:t>
            </w: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9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vMerge w:val="restart"/>
          </w:tcPr>
          <w:p>
            <w:pPr>
              <w:jc w:val="center"/>
              <w:ind w:right="224"/>
              <w:spacing w:after="0"/>
              <w:rPr>
                <w:sz w:val="20"/>
                <w:szCs w:val="20"/>
                <w:color w:val="auto"/>
              </w:rPr>
            </w:pPr>
            <w:r>
              <w:rPr>
                <w:rFonts w:ascii="Arial" w:cs="Arial" w:eastAsia="Arial" w:hAnsi="Arial"/>
                <w:sz w:val="12"/>
                <w:szCs w:val="12"/>
                <w:color w:val="0000FF"/>
                <w:w w:val="99"/>
              </w:rPr>
              <w:t>P</w:t>
            </w:r>
          </w:p>
        </w:tc>
        <w:tc>
          <w:tcPr>
            <w:tcW w:w="8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rPr>
              <w:t>950,000</w:t>
            </w:r>
            <w:r>
              <w:rPr>
                <w:rFonts w:ascii="Arial" w:cs="Arial" w:eastAsia="Arial" w:hAnsi="Arial"/>
                <w:sz w:val="20"/>
                <w:szCs w:val="20"/>
                <w:color w:val="008000"/>
                <w:vertAlign w:val="superscript"/>
              </w:rPr>
              <w:t>(5)</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center"/>
              <w:ind w:right="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18</w:t>
            </w:r>
          </w:p>
        </w:tc>
        <w:tc>
          <w:tcPr>
            <w:tcW w:w="1540" w:type="dxa"/>
            <w:vAlign w:val="bottom"/>
            <w:tcBorders>
              <w:top w:val="single" w:sz="8" w:color="2C2C2C"/>
            </w:tcBorders>
            <w:gridSpan w:val="3"/>
            <w:vMerge w:val="restart"/>
          </w:tcPr>
          <w:p>
            <w:pPr>
              <w:jc w:val="center"/>
              <w:ind w:right="524"/>
              <w:spacing w:after="0"/>
              <w:rPr>
                <w:sz w:val="20"/>
                <w:szCs w:val="20"/>
                <w:color w:val="auto"/>
              </w:rPr>
            </w:pPr>
            <w:r>
              <w:rPr>
                <w:rFonts w:ascii="Arial" w:cs="Arial" w:eastAsia="Arial" w:hAnsi="Arial"/>
                <w:sz w:val="16"/>
                <w:szCs w:val="16"/>
                <w:color w:val="0000FF"/>
              </w:rPr>
              <w:t>1,710,265</w:t>
            </w:r>
            <w:r>
              <w:rPr>
                <w:rFonts w:ascii="Arial" w:cs="Arial" w:eastAsia="Arial" w:hAnsi="Arial"/>
                <w:sz w:val="20"/>
                <w:szCs w:val="20"/>
                <w:color w:val="008000"/>
                <w:vertAlign w:val="superscript"/>
              </w:rPr>
              <w:t>(6)</w:t>
            </w: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720" w:type="dxa"/>
            <w:vAlign w:val="bottom"/>
            <w:tcBorders>
              <w:top w:val="single" w:sz="8" w:color="2C2C2C"/>
            </w:tcBorders>
            <w:gridSpan w:val="2"/>
          </w:tcPr>
          <w:p>
            <w:pPr>
              <w:ind w:left="80"/>
              <w:spacing w:after="0"/>
              <w:rPr>
                <w:sz w:val="20"/>
                <w:szCs w:val="20"/>
                <w:color w:val="auto"/>
              </w:rPr>
            </w:pPr>
            <w:r>
              <w:rPr>
                <w:rFonts w:ascii="Arial" w:cs="Arial" w:eastAsia="Arial" w:hAnsi="Arial"/>
                <w:sz w:val="16"/>
                <w:szCs w:val="16"/>
                <w:color w:val="0000FF"/>
              </w:rPr>
              <w:t>See</w:t>
            </w:r>
          </w:p>
        </w:tc>
        <w:tc>
          <w:tcPr>
            <w:tcW w:w="2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040" w:type="dxa"/>
            <w:vAlign w:val="bottom"/>
            <w:gridSpan w:val="6"/>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4"/>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20" w:type="dxa"/>
            <w:vAlign w:val="bottom"/>
            <w:gridSpan w:val="12"/>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800" w:type="dxa"/>
            <w:vAlign w:val="bottom"/>
            <w:gridSpan w:val="5"/>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80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80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gridSpan w:val="3"/>
            <w:vMerge w:val="restart"/>
          </w:tcPr>
          <w:p>
            <w:pPr>
              <w:ind w:left="360"/>
              <w:spacing w:after="0"/>
              <w:rPr>
                <w:sz w:val="20"/>
                <w:szCs w:val="20"/>
                <w:color w:val="auto"/>
              </w:rPr>
            </w:pPr>
            <w:r>
              <w:rPr>
                <w:rFonts w:ascii="Arial" w:cs="Arial" w:eastAsia="Arial" w:hAnsi="Arial"/>
                <w:sz w:val="12"/>
                <w:szCs w:val="12"/>
                <w:color w:val="0000FF"/>
              </w:rPr>
              <w:t>760,265</w:t>
            </w:r>
            <w:r>
              <w:rPr>
                <w:rFonts w:ascii="Arial" w:cs="Arial" w:eastAsia="Arial" w:hAnsi="Arial"/>
                <w:sz w:val="20"/>
                <w:szCs w:val="20"/>
                <w:color w:val="008000"/>
                <w:vertAlign w:val="superscript"/>
              </w:rPr>
              <w:t>(2)</w:t>
            </w:r>
          </w:p>
        </w:tc>
        <w:tc>
          <w:tcPr>
            <w:tcW w:w="72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66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ind w:left="40"/>
              <w:spacing w:after="0"/>
              <w:rPr>
                <w:sz w:val="20"/>
                <w:szCs w:val="20"/>
                <w:color w:val="auto"/>
              </w:rPr>
            </w:pPr>
            <w:r>
              <w:rPr>
                <w:rFonts w:ascii="Arial" w:cs="Arial" w:eastAsia="Arial" w:hAnsi="Arial"/>
                <w:sz w:val="16"/>
                <w:szCs w:val="16"/>
                <w:color w:val="0000FF"/>
                <w:w w:val="88"/>
              </w:rPr>
              <w:t>760,265</w:t>
            </w:r>
            <w:r>
              <w:rPr>
                <w:rFonts w:ascii="Arial" w:cs="Arial" w:eastAsia="Arial" w:hAnsi="Arial"/>
                <w:sz w:val="20"/>
                <w:szCs w:val="20"/>
                <w:color w:val="008000"/>
                <w:w w:val="88"/>
                <w:vertAlign w:val="superscript"/>
              </w:rPr>
              <w:t>(2)</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ind w:left="180"/>
              <w:spacing w:after="0"/>
              <w:rPr>
                <w:sz w:val="20"/>
                <w:szCs w:val="20"/>
                <w:color w:val="auto"/>
              </w:rPr>
            </w:pPr>
            <w:r>
              <w:rPr>
                <w:rFonts w:ascii="Arial" w:cs="Arial" w:eastAsia="Arial" w:hAnsi="Arial"/>
                <w:sz w:val="12"/>
                <w:szCs w:val="12"/>
                <w:color w:val="0000FF"/>
              </w:rPr>
              <w:t>09/29/2020</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2"/>
                <w:szCs w:val="12"/>
                <w:color w:val="0000FF"/>
                <w:w w:val="91"/>
              </w:rPr>
              <w:t>C</w:t>
            </w:r>
          </w:p>
        </w:tc>
        <w:tc>
          <w:tcPr>
            <w:tcW w:w="100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gridSpan w:val="2"/>
          </w:tcPr>
          <w:p>
            <w:pPr>
              <w:jc w:val="right"/>
              <w:ind w:right="26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tcPr>
          <w:p>
            <w:pPr>
              <w:ind w:left="360"/>
              <w:spacing w:after="0"/>
              <w:rPr>
                <w:sz w:val="20"/>
                <w:szCs w:val="20"/>
                <w:color w:val="auto"/>
              </w:rPr>
            </w:pPr>
            <w:r>
              <w:rPr>
                <w:rFonts w:ascii="Arial" w:cs="Arial" w:eastAsia="Arial" w:hAnsi="Arial"/>
                <w:sz w:val="12"/>
                <w:szCs w:val="12"/>
                <w:color w:val="0000FF"/>
              </w:rPr>
              <w:t>0</w:t>
            </w:r>
          </w:p>
        </w:tc>
        <w:tc>
          <w:tcPr>
            <w:tcW w:w="500" w:type="dxa"/>
            <w:vAlign w:val="bottom"/>
          </w:tcPr>
          <w:p>
            <w:pPr>
              <w:ind w:left="38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0"/>
                <w:szCs w:val="10"/>
                <w:color w:val="008000"/>
                <w:w w:val="89"/>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ind w:left="20"/>
              <w:spacing w:after="0" w:line="111" w:lineRule="exact"/>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ind w:left="60"/>
              <w:spacing w:after="0" w:line="111" w:lineRule="exact"/>
              <w:rPr>
                <w:sz w:val="20"/>
                <w:szCs w:val="20"/>
                <w:color w:val="auto"/>
              </w:rPr>
            </w:pPr>
            <w:r>
              <w:rPr>
                <w:rFonts w:ascii="Arial" w:cs="Arial" w:eastAsia="Arial" w:hAnsi="Arial"/>
                <w:sz w:val="12"/>
                <w:szCs w:val="12"/>
                <w:color w:val="0000FF"/>
                <w:w w:val="92"/>
              </w:rPr>
              <w:t>footnote</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5"/>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5"/>
          </w:tcPr>
          <w:p>
            <w:pPr>
              <w:ind w:left="60"/>
              <w:spacing w:after="0" w:line="22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6"/>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RA CAPITAL MANAGEMENT, L.P.</w:t>
              </w:r>
            </w:hyperlink>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gridSpan w:val="2"/>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4"/>
          </w:tcPr>
          <w:p>
            <w:pPr>
              <w:ind w:left="20"/>
              <w:spacing w:after="0"/>
              <w:rPr>
                <w:sz w:val="20"/>
                <w:szCs w:val="20"/>
                <w:color w:val="auto"/>
              </w:rPr>
            </w:pPr>
            <w:r>
              <w:rPr>
                <w:rFonts w:ascii="Arial" w:cs="Arial" w:eastAsia="Arial" w:hAnsi="Arial"/>
                <w:sz w:val="16"/>
                <w:szCs w:val="16"/>
                <w:color w:val="0000FF"/>
              </w:rPr>
              <w:t>200 BERKELEY STREET</w:t>
            </w: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18TH FLOOR</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BOSTON</w:t>
            </w:r>
          </w:p>
        </w:tc>
        <w:tc>
          <w:tcPr>
            <w:tcW w:w="18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MA</w:t>
            </w:r>
          </w:p>
        </w:tc>
        <w:tc>
          <w:tcPr>
            <w:tcW w:w="1020" w:type="dxa"/>
            <w:vAlign w:val="bottom"/>
          </w:tcPr>
          <w:p>
            <w:pPr>
              <w:ind w:left="420"/>
              <w:spacing w:after="0"/>
              <w:rPr>
                <w:sz w:val="20"/>
                <w:szCs w:val="20"/>
                <w:color w:val="auto"/>
              </w:rPr>
            </w:pPr>
            <w:r>
              <w:rPr>
                <w:rFonts w:ascii="Arial" w:cs="Arial" w:eastAsia="Arial" w:hAnsi="Arial"/>
                <w:sz w:val="16"/>
                <w:szCs w:val="16"/>
                <w:color w:val="0000FF"/>
              </w:rPr>
              <w:t>02116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tcBorders>
              <w:bottom w:val="single" w:sz="8" w:color="2C2C2C"/>
            </w:tcBorders>
            <w:gridSpan w:val="5"/>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tcPr>
          <w:p>
            <w:pPr>
              <w:ind w:left="20"/>
              <w:spacing w:after="0"/>
              <w:rPr>
                <w:rFonts w:ascii="Arial" w:cs="Arial" w:eastAsia="Arial" w:hAnsi="Arial"/>
                <w:sz w:val="20"/>
                <w:szCs w:val="20"/>
                <w:u w:val="single" w:color="auto"/>
                <w:color w:val="0000EE"/>
                <w:w w:val="89"/>
              </w:rPr>
            </w:pPr>
            <w:hyperlink r:id="rId15">
              <w:r>
                <w:rPr>
                  <w:rFonts w:ascii="Arial" w:cs="Arial" w:eastAsia="Arial" w:hAnsi="Arial"/>
                  <w:sz w:val="20"/>
                  <w:szCs w:val="20"/>
                  <w:u w:val="single" w:color="auto"/>
                  <w:color w:val="0000EE"/>
                  <w:w w:val="89"/>
                </w:rPr>
                <w:t>Kolchinsky Peter</w:t>
              </w:r>
            </w:hyperlink>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gridSpan w:val="2"/>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4"/>
          </w:tcPr>
          <w:p>
            <w:pPr>
              <w:ind w:left="20"/>
              <w:spacing w:after="0"/>
              <w:rPr>
                <w:sz w:val="20"/>
                <w:szCs w:val="20"/>
                <w:color w:val="auto"/>
              </w:rPr>
            </w:pPr>
            <w:r>
              <w:rPr>
                <w:rFonts w:ascii="Arial" w:cs="Arial" w:eastAsia="Arial" w:hAnsi="Arial"/>
                <w:sz w:val="16"/>
                <w:szCs w:val="16"/>
                <w:color w:val="0000FF"/>
              </w:rPr>
              <w:t>200 BERKELEY STREET</w:t>
            </w: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18TH FLOOR</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BOSTON</w:t>
            </w:r>
          </w:p>
        </w:tc>
        <w:tc>
          <w:tcPr>
            <w:tcW w:w="18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MA</w:t>
            </w:r>
          </w:p>
        </w:tc>
        <w:tc>
          <w:tcPr>
            <w:tcW w:w="1020" w:type="dxa"/>
            <w:vAlign w:val="bottom"/>
          </w:tcPr>
          <w:p>
            <w:pPr>
              <w:ind w:left="420"/>
              <w:spacing w:after="0"/>
              <w:rPr>
                <w:sz w:val="20"/>
                <w:szCs w:val="20"/>
                <w:color w:val="auto"/>
              </w:rPr>
            </w:pPr>
            <w:r>
              <w:rPr>
                <w:rFonts w:ascii="Arial" w:cs="Arial" w:eastAsia="Arial" w:hAnsi="Arial"/>
                <w:sz w:val="16"/>
                <w:szCs w:val="16"/>
                <w:color w:val="0000FF"/>
              </w:rPr>
              <w:t>02116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tcBorders>
              <w:bottom w:val="single" w:sz="8" w:color="2C2C2C"/>
            </w:tcBorders>
            <w:gridSpan w:val="5"/>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tcPr>
          <w:p>
            <w:pPr>
              <w:ind w:left="20"/>
              <w:spacing w:after="0"/>
              <w:rPr>
                <w:rFonts w:ascii="Arial" w:cs="Arial" w:eastAsia="Arial" w:hAnsi="Arial"/>
                <w:sz w:val="20"/>
                <w:szCs w:val="20"/>
                <w:u w:val="single" w:color="auto"/>
                <w:color w:val="0000EE"/>
                <w:w w:val="94"/>
              </w:rPr>
            </w:pPr>
            <w:hyperlink r:id="rId16">
              <w:r>
                <w:rPr>
                  <w:rFonts w:ascii="Arial" w:cs="Arial" w:eastAsia="Arial" w:hAnsi="Arial"/>
                  <w:sz w:val="20"/>
                  <w:szCs w:val="20"/>
                  <w:u w:val="single" w:color="auto"/>
                  <w:color w:val="0000EE"/>
                  <w:w w:val="94"/>
                </w:rPr>
                <w:t>Shah Rajeev M.</w:t>
              </w:r>
            </w:hyperlink>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gridSpan w:val="2"/>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-7035165</wp:posOffset>
            </wp:positionV>
            <wp:extent cx="7036435" cy="7759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6435" cy="7759700"/>
                    </a:xfrm>
                    <a:prstGeom prst="rect">
                      <a:avLst/>
                    </a:prstGeom>
                    <a:noFill/>
                  </pic:spPr>
                </pic:pic>
              </a:graphicData>
            </a:graphic>
          </wp:anchor>
        </w:drawing>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 BERKELEY STREET</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100965</wp:posOffset>
            </wp:positionV>
            <wp:extent cx="265747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57475" cy="15875"/>
                    </a:xfrm>
                    <a:prstGeom prst="rect">
                      <a:avLst/>
                    </a:prstGeom>
                    <a:noFill/>
                  </pic:spPr>
                </pic:pic>
              </a:graphicData>
            </a:graphic>
          </wp:anchor>
        </w:drawing>
      </w:r>
    </w:p>
    <w:p>
      <w:pPr>
        <w:spacing w:after="0" w:line="262"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95" w:orient="portrait"/>
          <w:cols w:equalWidth="0" w:num="1">
            <w:col w:w="11080"/>
          </w:cols>
          <w:pgMar w:left="460" w:top="219" w:right="359" w:bottom="0" w:gutter="0" w:footer="0" w:header="0"/>
          <w:type w:val="continuous"/>
        </w:sectPr>
      </w:pPr>
    </w:p>
    <w:p>
      <w:pPr>
        <w:spacing w:after="0" w:line="27" w:lineRule="exact"/>
        <w:rPr>
          <w:sz w:val="20"/>
          <w:szCs w:val="20"/>
          <w:color w:val="auto"/>
        </w:rPr>
      </w:pPr>
    </w:p>
    <w:p>
      <w:pPr>
        <w:ind w:left="120"/>
        <w:spacing w:after="0"/>
        <w:tabs>
          <w:tab w:leader="none" w:pos="1480" w:val="left"/>
          <w:tab w:leader="none" w:pos="2880" w:val="left"/>
        </w:tabs>
        <w:rPr>
          <w:sz w:val="20"/>
          <w:szCs w:val="20"/>
          <w:color w:val="auto"/>
        </w:rPr>
      </w:pPr>
      <w:r>
        <w:rPr>
          <w:rFonts w:ascii="Arial" w:cs="Arial" w:eastAsia="Arial" w:hAnsi="Arial"/>
          <w:sz w:val="16"/>
          <w:szCs w:val="16"/>
          <w:color w:val="0000FF"/>
        </w:rPr>
        <w:t>BOSTON</w:t>
      </w:r>
      <w:r>
        <w:rPr>
          <w:sz w:val="20"/>
          <w:szCs w:val="20"/>
          <w:color w:val="auto"/>
        </w:rPr>
        <w:tab/>
      </w:r>
      <w:r>
        <w:rPr>
          <w:rFonts w:ascii="Arial" w:cs="Arial" w:eastAsia="Arial" w:hAnsi="Arial"/>
          <w:sz w:val="16"/>
          <w:szCs w:val="16"/>
          <w:color w:val="0000FF"/>
        </w:rPr>
        <w:t>MA</w:t>
      </w:r>
      <w:r>
        <w:rPr>
          <w:sz w:val="20"/>
          <w:szCs w:val="20"/>
          <w:color w:val="auto"/>
        </w:rPr>
        <w:tab/>
      </w:r>
      <w:r>
        <w:rPr>
          <w:rFonts w:ascii="Arial" w:cs="Arial" w:eastAsia="Arial" w:hAnsi="Arial"/>
          <w:sz w:val="14"/>
          <w:szCs w:val="14"/>
          <w:color w:val="0000FF"/>
        </w:rPr>
        <w:t>02116</w:t>
      </w:r>
    </w:p>
    <w:p>
      <w:pPr>
        <w:sectPr>
          <w:pgSz w:w="11900" w:h="16895" w:orient="portrait"/>
          <w:cols w:equalWidth="0" w:num="1">
            <w:col w:w="11080"/>
          </w:cols>
          <w:pgMar w:left="460" w:top="219" w:right="359" w:bottom="0" w:gutter="0" w:footer="0" w:header="0"/>
          <w:type w:val="continuous"/>
        </w:sectPr>
      </w:pPr>
    </w:p>
    <w:bookmarkStart w:id="1" w:name="page2"/>
    <w:bookmarkEnd w:id="1"/>
    <w:p>
      <w:pPr>
        <w:ind w:left="84"/>
        <w:spacing w:after="0"/>
        <w:tabs>
          <w:tab w:leader="none" w:pos="1443" w:val="left"/>
          <w:tab w:leader="none" w:pos="2843"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291465</wp:posOffset>
            </wp:positionH>
            <wp:positionV relativeFrom="page">
              <wp:posOffset>88900</wp:posOffset>
            </wp:positionV>
            <wp:extent cx="2783205" cy="346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205" cy="346075"/>
                    </a:xfrm>
                    <a:prstGeom prst="rect">
                      <a:avLst/>
                    </a:prstGeom>
                    <a:noFill/>
                  </pic:spPr>
                </pic:pic>
              </a:graphicData>
            </a:graphic>
          </wp:anchor>
        </w:drawing>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24" w:hanging="124"/>
        <w:spacing w:after="0"/>
        <w:tabs>
          <w:tab w:leader="none" w:pos="124"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shares of Series D Preferred Stock converted into Common Stock on a one to one basis immediately prior to the completion of the Issuer's initial public offering of Common Stock and have no expiration date.</w:t>
      </w:r>
    </w:p>
    <w:p>
      <w:pPr>
        <w:spacing w:after="0" w:line="59" w:lineRule="exact"/>
        <w:rPr>
          <w:rFonts w:ascii="Arial" w:cs="Arial" w:eastAsia="Arial" w:hAnsi="Arial"/>
          <w:sz w:val="11"/>
          <w:szCs w:val="11"/>
          <w:color w:val="008000"/>
        </w:rPr>
      </w:pPr>
    </w:p>
    <w:p>
      <w:pPr>
        <w:ind w:left="4" w:right="20" w:hanging="4"/>
        <w:spacing w:after="0" w:line="268" w:lineRule="auto"/>
        <w:tabs>
          <w:tab w:leader="none" w:pos="12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Includes (a) 513,885 shares held by RA Capital Healthcare Fund L.P. (the "Fund"), (b) 56,314 shares held in a separately managed account (the "Account") and (c) 190,066 shares held by RA Capital Nexus Fund, L.P. (the "Nexus Fund").</w:t>
      </w:r>
    </w:p>
    <w:p>
      <w:pPr>
        <w:spacing w:after="0" w:line="13" w:lineRule="exact"/>
        <w:rPr>
          <w:rFonts w:ascii="Arial" w:cs="Arial" w:eastAsia="Arial" w:hAnsi="Arial"/>
          <w:sz w:val="12"/>
          <w:szCs w:val="12"/>
          <w:color w:val="008000"/>
        </w:rPr>
      </w:pPr>
    </w:p>
    <w:p>
      <w:pPr>
        <w:jc w:val="both"/>
        <w:ind w:left="4" w:hanging="4"/>
        <w:spacing w:after="0" w:line="252" w:lineRule="auto"/>
        <w:tabs>
          <w:tab w:leader="none" w:pos="12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RA Capital Management, L.P. (the "Adviser") is the investment manager for the Fund, the Nexus Fund and the Account. The general partner of the Adviser is RA Capital Management GP, LLC (the "Adviser GP"), of which Dr. Peter Kolchinsky and Mr. Rajeev Shah are the managing members. The Adviser, the Adviser GP, Dr. Kolchinsky, and Mr. Shah may be deemed indirect beneficial owners of the reported securities for purposes of Section 13(d) of the Securities Exchange Act of 1934 (the "Act").</w:t>
      </w:r>
    </w:p>
    <w:p>
      <w:pPr>
        <w:spacing w:after="0" w:line="23" w:lineRule="exact"/>
        <w:rPr>
          <w:rFonts w:ascii="Arial" w:cs="Arial" w:eastAsia="Arial" w:hAnsi="Arial"/>
          <w:sz w:val="12"/>
          <w:szCs w:val="12"/>
          <w:color w:val="008000"/>
        </w:rPr>
      </w:pPr>
    </w:p>
    <w:p>
      <w:pPr>
        <w:ind w:left="4" w:hanging="4"/>
        <w:spacing w:after="0" w:line="252" w:lineRule="auto"/>
        <w:tabs>
          <w:tab w:leader="none" w:pos="12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They disclaim beneficial ownership of any of the reported securities for the purpose of determining whether they are subject to Section 16 of the Act, however, in reliance on Rule 16a-1(a)(1)(v) and (vii). To the extent that they might be deemed subject to Section 16, they disclaim beneficial ownership of securities held by the Fund and the Nexus Fund for purposes of Rule 16a-1(a)(2), except to the extent of their pecuniary interest therein, and disclaim any pecuniary interest in securities held in the Account for purposes of Rule 16a-1(a)(2).</w:t>
      </w:r>
    </w:p>
    <w:p>
      <w:pPr>
        <w:spacing w:after="0" w:line="23" w:lineRule="exact"/>
        <w:rPr>
          <w:rFonts w:ascii="Arial" w:cs="Arial" w:eastAsia="Arial" w:hAnsi="Arial"/>
          <w:sz w:val="12"/>
          <w:szCs w:val="12"/>
          <w:color w:val="008000"/>
        </w:rPr>
      </w:pPr>
    </w:p>
    <w:p>
      <w:pPr>
        <w:ind w:left="124" w:hanging="124"/>
        <w:spacing w:after="0"/>
        <w:tabs>
          <w:tab w:leader="none" w:pos="12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Includes (a) 820,106 shares held by the Fund, (b) 81,669 shares held by the Account, and (c) 48,225 shares held by the Nexus Fund, in each case acquired in the Issuer's initial public offering.</w:t>
      </w:r>
    </w:p>
    <w:p>
      <w:pPr>
        <w:spacing w:after="0" w:line="47" w:lineRule="exact"/>
        <w:rPr>
          <w:rFonts w:ascii="Arial" w:cs="Arial" w:eastAsia="Arial" w:hAnsi="Arial"/>
          <w:sz w:val="12"/>
          <w:szCs w:val="12"/>
          <w:color w:val="008000"/>
        </w:rPr>
      </w:pPr>
    </w:p>
    <w:p>
      <w:pPr>
        <w:ind w:left="124" w:hanging="124"/>
        <w:spacing w:after="0"/>
        <w:tabs>
          <w:tab w:leader="none" w:pos="124"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Includes (a) 1,333,991 shares held by the Fund, (b) 137,983 shares held by the Account, and (c) 238,291 shares held by the Nexus Fund.</w:t>
      </w:r>
    </w:p>
    <w:p>
      <w:pPr>
        <w:ind w:left="6564"/>
        <w:spacing w:after="0" w:line="185" w:lineRule="auto"/>
        <w:rPr>
          <w:sz w:val="20"/>
          <w:szCs w:val="20"/>
          <w:color w:val="auto"/>
        </w:rPr>
      </w:pPr>
      <w:r>
        <w:rPr>
          <w:rFonts w:ascii="Arial" w:cs="Arial" w:eastAsia="Arial" w:hAnsi="Arial"/>
          <w:sz w:val="16"/>
          <w:szCs w:val="16"/>
          <w:color w:val="0000FF"/>
        </w:rPr>
        <w:t xml:space="preserve">/s/ Peter Kolchinsky, Manager of </w:t>
      </w:r>
      <w:r>
        <w:rPr>
          <w:rFonts w:ascii="Arial" w:cs="Arial" w:eastAsia="Arial" w:hAnsi="Arial"/>
          <w:sz w:val="32"/>
          <w:szCs w:val="32"/>
          <w:color w:val="0000FF"/>
          <w:vertAlign w:val="subscript"/>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-25400</wp:posOffset>
            </wp:positionV>
            <wp:extent cx="13474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47470"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-17145</wp:posOffset>
            </wp:positionV>
            <wp:extent cx="12319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31900" cy="7620"/>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-80010</wp:posOffset>
            </wp:positionV>
            <wp:extent cx="4654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30"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/s/ Peter Kolchinsky, individually 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-8255</wp:posOffset>
            </wp:positionV>
            <wp:extent cx="18649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864995" cy="7620"/>
                    </a:xfrm>
                    <a:prstGeom prst="rect">
                      <a:avLst/>
                    </a:prstGeom>
                    <a:noFill/>
                  </pic:spPr>
                </pic:pic>
              </a:graphicData>
            </a:graphic>
          </wp:anchor>
        </w:drawing>
      </w:r>
    </w:p>
    <w:p>
      <w:pPr>
        <w:spacing w:after="0" w:line="29"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186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1"/>
              </w:rPr>
              <w:t>/s/ Rajeev Shah, individually</w:t>
            </w:r>
          </w:p>
        </w:tc>
        <w:tc>
          <w:tcPr>
            <w:tcW w:w="3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09/29/2020</w:t>
            </w:r>
          </w:p>
        </w:tc>
      </w:tr>
      <w:tr>
        <w:trPr>
          <w:trHeight w:val="214"/>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20" w:hanging="4"/>
        <w:spacing w:after="0" w:line="321"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4"/>
      </w:cols>
      <w:pgMar w:left="496" w:top="43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384859" TargetMode="External"/><Relationship Id="rId16"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2020-09-29T16:50:09Z</dcterms:created>
  <dcterms:modified xsi:type="dcterms:W3CDTF">2020-09-29T16:50:09Z</dcterms:modified>
</cp:coreProperties>
</file>