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__)*</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40" w:right="8820" w:firstLine="70"/>
        <w:spacing w:after="0" w:line="253" w:lineRule="exact"/>
        <w:tabs>
          <w:tab w:leader="none" w:pos="1022"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18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8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80"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60"/>
          </w:cols>
          <w:pgMar w:left="320" w:top="312" w:right="619" w:bottom="1440" w:gutter="0" w:footer="0" w:header="0"/>
        </w:sectPr>
      </w:pPr>
    </w:p>
    <w:bookmarkStart w:id="1" w:name="page2"/>
    <w:bookmarkEnd w:id="1"/>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29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291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304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3040" w:type="dxa"/>
            <w:vAlign w:val="bottom"/>
            <w:vMerge w:val="restart"/>
          </w:tcPr>
          <w:p>
            <w:pPr>
              <w:ind w:left="740"/>
              <w:spacing w:after="0"/>
              <w:rPr>
                <w:sz w:val="20"/>
                <w:szCs w:val="20"/>
                <w:color w:val="auto"/>
              </w:rPr>
            </w:pPr>
            <w:r>
              <w:rPr>
                <w:rFonts w:ascii="Arial" w:cs="Arial" w:eastAsia="Arial" w:hAnsi="Arial"/>
                <w:sz w:val="20"/>
                <w:szCs w:val="20"/>
                <w:color w:val="auto"/>
                <w:w w:val="93"/>
              </w:rPr>
              <w:t>Avoro Capital Advisors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2"/>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91" w:lineRule="exact"/>
        <w:rPr>
          <w:sz w:val="20"/>
          <w:szCs w:val="20"/>
          <w:color w:val="auto"/>
        </w:rPr>
      </w:pPr>
    </w:p>
    <w:p>
      <w:pPr>
        <w:ind w:left="1700" w:hanging="967"/>
        <w:spacing w:after="0"/>
        <w:tabs>
          <w:tab w:leader="none" w:pos="1700" w:val="left"/>
        </w:tabs>
        <w:numPr>
          <w:ilvl w:val="0"/>
          <w:numId w:val="3"/>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9"/>
              </w:rPr>
              <w:t>Delaware</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2,350,267</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2,350,267</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2,350,267</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ind w:right="274"/>
              <w:spacing w:after="0"/>
              <w:rPr>
                <w:sz w:val="20"/>
                <w:szCs w:val="20"/>
                <w:color w:val="auto"/>
              </w:rPr>
            </w:pPr>
            <w:r>
              <w:rPr>
                <w:rFonts w:ascii="Arial" w:cs="Arial" w:eastAsia="Arial" w:hAnsi="Arial"/>
                <w:sz w:val="20"/>
                <w:szCs w:val="20"/>
                <w:color w:val="auto"/>
              </w:rPr>
              <w:t>5.3%</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OO, IA</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3" w:hanging="273"/>
        <w:spacing w:after="0" w:line="262" w:lineRule="exact"/>
        <w:tabs>
          <w:tab w:leader="none" w:pos="273" w:val="left"/>
        </w:tabs>
        <w:numPr>
          <w:ilvl w:val="0"/>
          <w:numId w:val="4"/>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19" w:lineRule="auto"/>
        <w:tabs>
          <w:tab w:leader="none" w:pos="273" w:val="left"/>
        </w:tabs>
        <w:numPr>
          <w:ilvl w:val="0"/>
          <w:numId w:val="4"/>
        </w:numPr>
        <w:rPr>
          <w:rFonts w:ascii="Arial" w:cs="Arial" w:eastAsia="Arial" w:hAnsi="Arial"/>
          <w:sz w:val="20"/>
          <w:szCs w:val="20"/>
          <w:color w:val="auto"/>
        </w:rPr>
      </w:pPr>
      <w:r>
        <w:rPr>
          <w:rFonts w:ascii="Arial" w:cs="Arial" w:eastAsia="Arial" w:hAnsi="Arial"/>
          <w:sz w:val="29"/>
          <w:szCs w:val="29"/>
          <w:color w:val="auto"/>
        </w:rPr>
        <w:t>þ</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2" w:name="page3"/>
    <w:bookmarkEnd w:id="2"/>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29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291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740" w:type="dxa"/>
            <w:vAlign w:val="bottom"/>
          </w:tcPr>
          <w:p>
            <w:pPr>
              <w:ind w:left="400"/>
              <w:spacing w:after="0"/>
              <w:rPr>
                <w:sz w:val="20"/>
                <w:szCs w:val="20"/>
                <w:color w:val="auto"/>
              </w:rPr>
            </w:pPr>
            <w:r>
              <w:rPr>
                <w:rFonts w:ascii="Arial" w:cs="Arial" w:eastAsia="Arial" w:hAnsi="Arial"/>
                <w:sz w:val="16"/>
                <w:szCs w:val="16"/>
                <w:color w:val="auto"/>
                <w:w w:val="94"/>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740" w:type="dxa"/>
            <w:vAlign w:val="bottom"/>
            <w:vMerge w:val="restart"/>
          </w:tcPr>
          <w:p>
            <w:pPr>
              <w:ind w:left="740"/>
              <w:spacing w:after="0"/>
              <w:rPr>
                <w:sz w:val="20"/>
                <w:szCs w:val="20"/>
                <w:color w:val="auto"/>
              </w:rPr>
            </w:pPr>
            <w:r>
              <w:rPr>
                <w:rFonts w:ascii="Arial" w:cs="Arial" w:eastAsia="Arial" w:hAnsi="Arial"/>
                <w:sz w:val="20"/>
                <w:szCs w:val="20"/>
                <w:color w:val="auto"/>
              </w:rPr>
              <w:t>Behzad Aghazadeh</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5"/>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91" w:lineRule="exact"/>
        <w:rPr>
          <w:sz w:val="20"/>
          <w:szCs w:val="20"/>
          <w:color w:val="auto"/>
        </w:rPr>
      </w:pPr>
    </w:p>
    <w:p>
      <w:pPr>
        <w:ind w:left="1700" w:hanging="967"/>
        <w:spacing w:after="0"/>
        <w:tabs>
          <w:tab w:leader="none" w:pos="1700" w:val="left"/>
        </w:tabs>
        <w:numPr>
          <w:ilvl w:val="0"/>
          <w:numId w:val="6"/>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2,350,267</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2,350,267</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2,350,267</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ind w:right="274"/>
              <w:spacing w:after="0"/>
              <w:rPr>
                <w:sz w:val="20"/>
                <w:szCs w:val="20"/>
                <w:color w:val="auto"/>
              </w:rPr>
            </w:pPr>
            <w:r>
              <w:rPr>
                <w:rFonts w:ascii="Arial" w:cs="Arial" w:eastAsia="Arial" w:hAnsi="Arial"/>
                <w:sz w:val="20"/>
                <w:szCs w:val="20"/>
                <w:color w:val="auto"/>
              </w:rPr>
              <w:t>5.3%</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IN</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3" w:hanging="273"/>
        <w:spacing w:after="0" w:line="262" w:lineRule="exact"/>
        <w:tabs>
          <w:tab w:leader="none" w:pos="273" w:val="left"/>
        </w:tabs>
        <w:numPr>
          <w:ilvl w:val="0"/>
          <w:numId w:val="7"/>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19" w:lineRule="auto"/>
        <w:tabs>
          <w:tab w:leader="none" w:pos="273" w:val="left"/>
        </w:tabs>
        <w:numPr>
          <w:ilvl w:val="0"/>
          <w:numId w:val="7"/>
        </w:numPr>
        <w:rPr>
          <w:rFonts w:ascii="Arial" w:cs="Arial" w:eastAsia="Arial" w:hAnsi="Arial"/>
          <w:sz w:val="20"/>
          <w:szCs w:val="20"/>
          <w:color w:val="auto"/>
        </w:rPr>
      </w:pPr>
      <w:r>
        <w:rPr>
          <w:rFonts w:ascii="Arial" w:cs="Arial" w:eastAsia="Arial" w:hAnsi="Arial"/>
          <w:sz w:val="29"/>
          <w:szCs w:val="29"/>
          <w:color w:val="auto"/>
        </w:rPr>
        <w:t>þ</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3" w:name="page4"/>
    <w:bookmarkEnd w:id="3"/>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8 Pages</w:t>
      </w:r>
    </w:p>
    <w:p>
      <w:pPr>
        <w:sectPr>
          <w:pgSz w:w="11900" w:h="16838" w:orient="portrait"/>
          <w:cols w:equalWidth="0" w:num="1">
            <w:col w:w="11240"/>
          </w:cols>
          <w:pgMar w:left="320" w:top="229"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PMV Pharmaceuticals, Inc. (the "</w:t>
      </w:r>
      <w:r>
        <w:rPr>
          <w:rFonts w:ascii="Arial" w:cs="Arial" w:eastAsia="Arial" w:hAnsi="Arial"/>
          <w:sz w:val="20"/>
          <w:szCs w:val="20"/>
          <w:u w:val="single" w:color="auto"/>
          <w:color w:val="auto"/>
        </w:rPr>
        <w:t>Issuer</w:t>
      </w:r>
      <w:r>
        <w:rPr>
          <w:rFonts w:ascii="Arial" w:cs="Arial" w:eastAsia="Arial" w:hAnsi="Arial"/>
          <w:sz w:val="20"/>
          <w:szCs w:val="20"/>
          <w:color w:val="auto"/>
        </w:rPr>
        <w:t>")</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8 Clarke Drive, Suite 3, Cranbury, NJ 08512</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20"/>
          <w:szCs w:val="20"/>
          <w:b w:val="1"/>
          <w:bCs w:val="1"/>
          <w:color w:val="auto"/>
        </w:rPr>
        <w:t>NAME OF PERSON FILING</w:t>
      </w:r>
    </w:p>
    <w:p>
      <w:pPr>
        <w:spacing w:after="0" w:line="235" w:lineRule="exact"/>
        <w:rPr>
          <w:sz w:val="20"/>
          <w:szCs w:val="20"/>
          <w:color w:val="auto"/>
        </w:rPr>
      </w:pPr>
    </w:p>
    <w:p>
      <w:pPr>
        <w:ind w:left="1800" w:right="160"/>
        <w:spacing w:after="0" w:line="260" w:lineRule="auto"/>
        <w:rPr>
          <w:sz w:val="20"/>
          <w:szCs w:val="20"/>
          <w:color w:val="auto"/>
        </w:rPr>
      </w:pPr>
      <w:r>
        <w:rPr>
          <w:rFonts w:ascii="Arial" w:cs="Arial" w:eastAsia="Arial" w:hAnsi="Arial"/>
          <w:sz w:val="19"/>
          <w:szCs w:val="19"/>
          <w:color w:val="auto"/>
        </w:rPr>
        <w:t>This statement is filed by: (i) Avoro Capital Advisors LLC, a Delaware limited liability company ("</w:t>
      </w:r>
      <w:r>
        <w:rPr>
          <w:rFonts w:ascii="Arial" w:cs="Arial" w:eastAsia="Arial" w:hAnsi="Arial"/>
          <w:sz w:val="19"/>
          <w:szCs w:val="19"/>
          <w:u w:val="single" w:color="auto"/>
          <w:color w:val="auto"/>
        </w:rPr>
        <w:t>Avoro</w:t>
      </w:r>
      <w:r>
        <w:rPr>
          <w:rFonts w:ascii="Arial" w:cs="Arial" w:eastAsia="Arial" w:hAnsi="Arial"/>
          <w:sz w:val="19"/>
          <w:szCs w:val="19"/>
          <w:color w:val="auto"/>
        </w:rPr>
        <w:t>"), which provides investment advisory and management services and has acquired the securities of the Issuer solely for investment purposes on behalf of Avoro Life Sciences Fund LLC, a Delaware limited liability company, and certain managed accounts and (ii) Behzad Aghazadeh ("</w:t>
      </w:r>
      <w:r>
        <w:rPr>
          <w:rFonts w:ascii="Arial" w:cs="Arial" w:eastAsia="Arial" w:hAnsi="Arial"/>
          <w:sz w:val="19"/>
          <w:szCs w:val="19"/>
          <w:u w:val="single" w:color="auto"/>
          <w:color w:val="auto"/>
        </w:rPr>
        <w:t>Dr. Aghazadeh</w:t>
      </w:r>
      <w:r>
        <w:rPr>
          <w:rFonts w:ascii="Arial" w:cs="Arial" w:eastAsia="Arial" w:hAnsi="Arial"/>
          <w:sz w:val="19"/>
          <w:szCs w:val="19"/>
          <w:color w:val="auto"/>
        </w:rPr>
        <w:t>," and together with Avoro, the "</w:t>
      </w:r>
      <w:r>
        <w:rPr>
          <w:rFonts w:ascii="Arial" w:cs="Arial" w:eastAsia="Arial" w:hAnsi="Arial"/>
          <w:sz w:val="19"/>
          <w:szCs w:val="19"/>
          <w:u w:val="single" w:color="auto"/>
          <w:color w:val="auto"/>
        </w:rPr>
        <w:t>Reporting Persons</w:t>
      </w:r>
      <w:r>
        <w:rPr>
          <w:rFonts w:ascii="Arial" w:cs="Arial" w:eastAsia="Arial" w:hAnsi="Arial"/>
          <w:sz w:val="19"/>
          <w:szCs w:val="19"/>
          <w:color w:val="auto"/>
        </w:rPr>
        <w:t>"), who serves as the portfolio manager and controlling person of Avoro.</w:t>
      </w:r>
    </w:p>
    <w:p>
      <w:pPr>
        <w:spacing w:after="0" w:line="194" w:lineRule="exact"/>
        <w:rPr>
          <w:sz w:val="20"/>
          <w:szCs w:val="20"/>
          <w:color w:val="auto"/>
        </w:rPr>
      </w:pPr>
    </w:p>
    <w:p>
      <w:pPr>
        <w:ind w:left="1800" w:right="480"/>
        <w:spacing w:after="0" w:line="260" w:lineRule="auto"/>
        <w:rPr>
          <w:sz w:val="20"/>
          <w:szCs w:val="20"/>
          <w:color w:val="auto"/>
        </w:rPr>
      </w:pPr>
      <w:r>
        <w:rPr>
          <w:rFonts w:ascii="Arial" w:cs="Arial" w:eastAsia="Arial" w:hAnsi="Arial"/>
          <w:sz w:val="20"/>
          <w:szCs w:val="20"/>
          <w:color w:val="auto"/>
        </w:rPr>
        <w:t>The filing of this statement should not be construed as an admission that any Reporting Person is, for purposes of Section 13 of the Act, the beneficial owner of the securities reported herein.</w:t>
      </w:r>
    </w:p>
    <w:p>
      <w:pPr>
        <w:spacing w:after="0" w:line="184"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235" w:lineRule="exact"/>
        <w:rPr>
          <w:sz w:val="20"/>
          <w:szCs w:val="20"/>
          <w:color w:val="auto"/>
        </w:rPr>
      </w:pPr>
    </w:p>
    <w:p>
      <w:pPr>
        <w:ind w:left="1800" w:right="320"/>
        <w:spacing w:after="0" w:line="260" w:lineRule="auto"/>
        <w:rPr>
          <w:sz w:val="20"/>
          <w:szCs w:val="20"/>
          <w:color w:val="auto"/>
        </w:rPr>
      </w:pPr>
      <w:r>
        <w:rPr>
          <w:rFonts w:ascii="Arial" w:cs="Arial" w:eastAsia="Arial" w:hAnsi="Arial"/>
          <w:sz w:val="20"/>
          <w:szCs w:val="20"/>
          <w:color w:val="auto"/>
        </w:rPr>
        <w:t>The address of the business office of each of the Reporting Persons is 110 Greene Street, Suite 800, New York, NY 10012.</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40" w:type="dxa"/>
            <w:vAlign w:val="bottom"/>
            <w:gridSpan w:val="5"/>
          </w:tcPr>
          <w:p>
            <w:pPr>
              <w:ind w:left="42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rPr>
              <w:t>Avoro is a Delaware limited liability company. Dr. Aghazadeh is a United States citizen.</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740" w:type="dxa"/>
            <w:vAlign w:val="bottom"/>
            <w:gridSpan w:val="5"/>
          </w:tcPr>
          <w:p>
            <w:pPr>
              <w:ind w:left="420"/>
              <w:spacing w:after="0"/>
              <w:rPr>
                <w:sz w:val="20"/>
                <w:szCs w:val="20"/>
                <w:color w:val="auto"/>
              </w:rPr>
            </w:pPr>
            <w:r>
              <w:rPr>
                <w:rFonts w:ascii="Arial" w:cs="Arial" w:eastAsia="Arial" w:hAnsi="Arial"/>
                <w:sz w:val="20"/>
                <w:szCs w:val="20"/>
                <w:b w:val="1"/>
                <w:bCs w:val="1"/>
                <w:color w:val="auto"/>
              </w:rPr>
              <w:t>TITLE OF CLASS OF SECURITIES</w:t>
            </w:r>
          </w:p>
        </w:tc>
      </w:tr>
      <w:tr>
        <w:trPr>
          <w:trHeight w:val="415"/>
        </w:trPr>
        <w:tc>
          <w:tcPr>
            <w:tcW w:w="1260" w:type="dxa"/>
            <w:vAlign w:val="bottom"/>
          </w:tcPr>
          <w:p>
            <w:pPr>
              <w:spacing w:after="0"/>
              <w:rPr>
                <w:sz w:val="24"/>
                <w:szCs w:val="24"/>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color w:val="auto"/>
              </w:rPr>
              <w:t>Common Stock, par value $0.00001 per share (the "Common Stock")</w:t>
            </w:r>
          </w:p>
        </w:tc>
      </w:tr>
      <w:tr>
        <w:trPr>
          <w:trHeight w:val="483"/>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4540" w:type="dxa"/>
            <w:vAlign w:val="bottom"/>
            <w:gridSpan w:val="3"/>
          </w:tcPr>
          <w:p>
            <w:pPr>
              <w:ind w:left="420"/>
              <w:spacing w:after="0"/>
              <w:rPr>
                <w:sz w:val="20"/>
                <w:szCs w:val="20"/>
                <w:color w:val="auto"/>
              </w:rPr>
            </w:pPr>
            <w:r>
              <w:rPr>
                <w:rFonts w:ascii="Arial" w:cs="Arial" w:eastAsia="Arial" w:hAnsi="Arial"/>
                <w:sz w:val="20"/>
                <w:szCs w:val="20"/>
                <w:b w:val="1"/>
                <w:bCs w:val="1"/>
                <w:color w:val="auto"/>
              </w:rPr>
              <w:t>CUSIP NUMBER</w:t>
            </w:r>
          </w:p>
        </w:tc>
        <w:tc>
          <w:tcPr>
            <w:tcW w:w="1220" w:type="dxa"/>
            <w:vAlign w:val="bottom"/>
            <w:tcBorders>
              <w:top w:val="single" w:sz="8" w:color="auto"/>
            </w:tcBorders>
          </w:tcPr>
          <w:p>
            <w:pPr>
              <w:spacing w:after="0"/>
              <w:rPr>
                <w:sz w:val="24"/>
                <w:szCs w:val="24"/>
                <w:color w:val="auto"/>
              </w:rPr>
            </w:pPr>
          </w:p>
        </w:tc>
        <w:tc>
          <w:tcPr>
            <w:tcW w:w="3980" w:type="dxa"/>
            <w:vAlign w:val="bottom"/>
          </w:tcPr>
          <w:p>
            <w:pPr>
              <w:spacing w:after="0"/>
              <w:rPr>
                <w:sz w:val="24"/>
                <w:szCs w:val="24"/>
                <w:color w:val="auto"/>
              </w:rPr>
            </w:pPr>
          </w:p>
        </w:tc>
      </w:tr>
      <w:tr>
        <w:trPr>
          <w:trHeight w:val="459"/>
        </w:trPr>
        <w:tc>
          <w:tcPr>
            <w:tcW w:w="1260" w:type="dxa"/>
            <w:vAlign w:val="bottom"/>
          </w:tcPr>
          <w:p>
            <w:pPr>
              <w:spacing w:after="0"/>
              <w:rPr>
                <w:sz w:val="24"/>
                <w:szCs w:val="24"/>
                <w:color w:val="auto"/>
              </w:rPr>
            </w:pPr>
          </w:p>
        </w:tc>
        <w:tc>
          <w:tcPr>
            <w:tcW w:w="1520" w:type="dxa"/>
            <w:vAlign w:val="bottom"/>
            <w:gridSpan w:val="2"/>
          </w:tcPr>
          <w:p>
            <w:pPr>
              <w:ind w:left="420"/>
              <w:spacing w:after="0"/>
              <w:rPr>
                <w:sz w:val="20"/>
                <w:szCs w:val="20"/>
                <w:color w:val="auto"/>
              </w:rPr>
            </w:pPr>
            <w:r>
              <w:rPr>
                <w:rFonts w:ascii="Arial" w:cs="Arial" w:eastAsia="Arial" w:hAnsi="Arial"/>
                <w:sz w:val="20"/>
                <w:szCs w:val="20"/>
                <w:color w:val="auto"/>
              </w:rPr>
              <w:t>69353Y103</w:t>
            </w: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740" w:type="dxa"/>
            <w:vAlign w:val="bottom"/>
            <w:gridSpan w:val="5"/>
          </w:tcPr>
          <w:p>
            <w:pPr>
              <w:ind w:left="420"/>
              <w:spacing w:after="0"/>
              <w:rPr>
                <w:sz w:val="20"/>
                <w:szCs w:val="20"/>
                <w:color w:val="auto"/>
              </w:rPr>
            </w:pPr>
            <w:r>
              <w:rPr>
                <w:rFonts w:ascii="Arial" w:cs="Arial" w:eastAsia="Arial" w:hAnsi="Arial"/>
                <w:sz w:val="20"/>
                <w:szCs w:val="20"/>
                <w:b w:val="1"/>
                <w:bCs w:val="1"/>
                <w:color w:val="auto"/>
                <w:w w:val="97"/>
              </w:rPr>
              <w:t>IF THIS STATEMENT IS FILED PURSUANT TO Rules 13d-1(b), OR 13d-2(b) OR (c), CHECK WHETHER</w:t>
            </w:r>
          </w:p>
        </w:tc>
      </w:tr>
      <w:tr>
        <w:trPr>
          <w:trHeight w:val="256"/>
        </w:trPr>
        <w:tc>
          <w:tcPr>
            <w:tcW w:w="1260" w:type="dxa"/>
            <w:vAlign w:val="bottom"/>
          </w:tcPr>
          <w:p>
            <w:pPr>
              <w:spacing w:after="0"/>
              <w:rPr>
                <w:sz w:val="22"/>
                <w:szCs w:val="22"/>
                <w:color w:val="auto"/>
              </w:rPr>
            </w:pPr>
          </w:p>
        </w:tc>
        <w:tc>
          <w:tcPr>
            <w:tcW w:w="9740" w:type="dxa"/>
            <w:vAlign w:val="bottom"/>
            <w:gridSpan w:val="5"/>
          </w:tcPr>
          <w:p>
            <w:pPr>
              <w:ind w:left="420"/>
              <w:spacing w:after="0"/>
              <w:rPr>
                <w:sz w:val="20"/>
                <w:szCs w:val="20"/>
                <w:color w:val="auto"/>
              </w:rPr>
            </w:pPr>
            <w:r>
              <w:rPr>
                <w:rFonts w:ascii="Arial" w:cs="Arial" w:eastAsia="Arial" w:hAnsi="Arial"/>
                <w:sz w:val="20"/>
                <w:szCs w:val="20"/>
                <w:b w:val="1"/>
                <w:bCs w:val="1"/>
                <w:color w:val="auto"/>
              </w:rPr>
              <w:t>THE PERSON FILING IS A:</w:t>
            </w:r>
          </w:p>
        </w:tc>
      </w:tr>
      <w:tr>
        <w:trPr>
          <w:trHeight w:val="495"/>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(a)</w:t>
            </w:r>
          </w:p>
        </w:tc>
        <w:tc>
          <w:tcPr>
            <w:tcW w:w="6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20" w:type="dxa"/>
            <w:vAlign w:val="bottom"/>
            <w:gridSpan w:val="3"/>
          </w:tcPr>
          <w:p>
            <w:pPr>
              <w:ind w:left="140"/>
              <w:spacing w:after="0"/>
              <w:rPr>
                <w:sz w:val="20"/>
                <w:szCs w:val="20"/>
                <w:color w:val="auto"/>
              </w:rPr>
            </w:pPr>
            <w:r>
              <w:rPr>
                <w:rFonts w:ascii="Arial" w:cs="Arial" w:eastAsia="Arial" w:hAnsi="Arial"/>
                <w:sz w:val="20"/>
                <w:szCs w:val="20"/>
                <w:color w:val="auto"/>
              </w:rPr>
              <w:t>Broker or dealer registered under Section 15 of the Act;</w:t>
            </w:r>
          </w:p>
        </w:tc>
      </w:tr>
      <w:tr>
        <w:trPr>
          <w:trHeight w:val="459"/>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(b)</w:t>
            </w:r>
          </w:p>
        </w:tc>
        <w:tc>
          <w:tcPr>
            <w:tcW w:w="6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20" w:type="dxa"/>
            <w:vAlign w:val="bottom"/>
            <w:gridSpan w:val="3"/>
          </w:tcPr>
          <w:p>
            <w:pPr>
              <w:ind w:left="140"/>
              <w:spacing w:after="0"/>
              <w:rPr>
                <w:sz w:val="20"/>
                <w:szCs w:val="20"/>
                <w:color w:val="auto"/>
              </w:rPr>
            </w:pPr>
            <w:r>
              <w:rPr>
                <w:rFonts w:ascii="Arial" w:cs="Arial" w:eastAsia="Arial" w:hAnsi="Arial"/>
                <w:sz w:val="20"/>
                <w:szCs w:val="20"/>
                <w:color w:val="auto"/>
              </w:rPr>
              <w:t>Bank as defined in Section 3(a)(6) of the Act;</w:t>
            </w:r>
          </w:p>
        </w:tc>
      </w:tr>
      <w:tr>
        <w:trPr>
          <w:trHeight w:val="459"/>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(c)</w:t>
            </w:r>
          </w:p>
        </w:tc>
        <w:tc>
          <w:tcPr>
            <w:tcW w:w="6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20" w:type="dxa"/>
            <w:vAlign w:val="bottom"/>
            <w:gridSpan w:val="3"/>
          </w:tcPr>
          <w:p>
            <w:pPr>
              <w:ind w:left="140"/>
              <w:spacing w:after="0"/>
              <w:rPr>
                <w:sz w:val="20"/>
                <w:szCs w:val="20"/>
                <w:color w:val="auto"/>
              </w:rPr>
            </w:pPr>
            <w:r>
              <w:rPr>
                <w:rFonts w:ascii="Arial" w:cs="Arial" w:eastAsia="Arial" w:hAnsi="Arial"/>
                <w:sz w:val="20"/>
                <w:szCs w:val="20"/>
                <w:color w:val="auto"/>
              </w:rPr>
              <w:t>Insurance company as defined in Section 3(a)(19) of the Act;</w:t>
            </w:r>
          </w:p>
        </w:tc>
      </w:tr>
    </w:tbl>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8 Pages</w:t>
      </w:r>
    </w:p>
    <w:p>
      <w:pPr>
        <w:sectPr>
          <w:pgSz w:w="11900" w:h="16838" w:orient="portrait"/>
          <w:cols w:equalWidth="0" w:num="1">
            <w:col w:w="11240"/>
          </w:cols>
          <w:pgMar w:left="320" w:top="229" w:right="339" w:bottom="1440" w:gutter="0" w:footer="0" w:header="0"/>
        </w:sectPr>
      </w:pPr>
    </w:p>
    <w:p>
      <w:pPr>
        <w:spacing w:after="0" w:line="324" w:lineRule="exact"/>
        <w:rPr>
          <w:sz w:val="20"/>
          <w:szCs w:val="20"/>
          <w:color w:val="auto"/>
        </w:rPr>
      </w:pPr>
    </w:p>
    <w:p>
      <w:pPr>
        <w:ind w:left="2560" w:hanging="761"/>
        <w:spacing w:after="0" w:line="230" w:lineRule="exact"/>
        <w:tabs>
          <w:tab w:leader="none" w:pos="256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p>
      <w:pPr>
        <w:spacing w:after="0" w:line="252" w:lineRule="exact"/>
        <w:rPr>
          <w:rFonts w:ascii="Arial" w:cs="Arial" w:eastAsia="Arial" w:hAnsi="Arial"/>
          <w:sz w:val="20"/>
          <w:szCs w:val="20"/>
          <w:color w:val="auto"/>
        </w:rPr>
      </w:pPr>
    </w:p>
    <w:p>
      <w:pPr>
        <w:ind w:left="2600" w:hanging="801"/>
        <w:spacing w:after="0"/>
        <w:tabs>
          <w:tab w:leader="none" w:pos="2600" w:val="left"/>
        </w:tabs>
        <w:numPr>
          <w:ilvl w:val="0"/>
          <w:numId w:val="8"/>
        </w:numPr>
        <w:rPr>
          <w:rFonts w:ascii="Arial" w:cs="Arial" w:eastAsia="Arial" w:hAnsi="Arial"/>
          <w:sz w:val="20"/>
          <w:szCs w:val="20"/>
          <w:color w:val="auto"/>
        </w:rPr>
      </w:pPr>
      <w:r>
        <w:rPr>
          <w:rFonts w:ascii="Arial" w:cs="Arial" w:eastAsia="Arial" w:hAnsi="Arial"/>
          <w:sz w:val="20"/>
          <w:szCs w:val="20"/>
          <w:color w:val="auto"/>
        </w:rPr>
        <w:t>þ    An investment adviser in accordance with Rule 13d-1(b)(1)(ii)(E);</w:t>
      </w:r>
    </w:p>
    <w:p>
      <w:pPr>
        <w:spacing w:after="0" w:line="191"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employee benefit plan or endowment fund in accordance with Rule 13d-1(b)(1)(ii)(F);</w:t>
      </w:r>
    </w:p>
    <w:p>
      <w:pPr>
        <w:spacing w:after="0" w:line="252" w:lineRule="exact"/>
        <w:rPr>
          <w:rFonts w:ascii="Arial" w:cs="Arial" w:eastAsia="Arial" w:hAnsi="Arial"/>
          <w:sz w:val="20"/>
          <w:szCs w:val="20"/>
          <w:color w:val="auto"/>
        </w:rPr>
      </w:pPr>
    </w:p>
    <w:p>
      <w:pPr>
        <w:ind w:left="2600" w:hanging="801"/>
        <w:spacing w:after="0"/>
        <w:tabs>
          <w:tab w:leader="none" w:pos="2600" w:val="left"/>
        </w:tabs>
        <w:numPr>
          <w:ilvl w:val="0"/>
          <w:numId w:val="8"/>
        </w:numPr>
        <w:rPr>
          <w:rFonts w:ascii="Arial" w:cs="Arial" w:eastAsia="Arial" w:hAnsi="Arial"/>
          <w:sz w:val="20"/>
          <w:szCs w:val="20"/>
          <w:color w:val="auto"/>
        </w:rPr>
      </w:pPr>
      <w:r>
        <w:rPr>
          <w:rFonts w:ascii="Arial" w:cs="Arial" w:eastAsia="Arial" w:hAnsi="Arial"/>
          <w:sz w:val="20"/>
          <w:szCs w:val="20"/>
          <w:color w:val="auto"/>
        </w:rPr>
        <w:t>þ</w:t>
      </w:r>
      <w:r>
        <w:rPr>
          <w:rFonts w:ascii="Arial" w:cs="Arial" w:eastAsia="Arial" w:hAnsi="Arial"/>
          <w:sz w:val="18"/>
          <w:szCs w:val="18"/>
          <w:color w:val="auto"/>
        </w:rPr>
        <w:t>A parent holding company or control person in accordance with Rule 13d-1(b)(1)(ii)(G);</w:t>
      </w:r>
    </w:p>
    <w:p>
      <w:pPr>
        <w:spacing w:after="0" w:line="191"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w:t>
      </w:r>
    </w:p>
    <w:p>
      <w:pPr>
        <w:spacing w:after="0" w:line="229" w:lineRule="exact"/>
        <w:rPr>
          <w:rFonts w:ascii="Arial" w:cs="Arial" w:eastAsia="Arial" w:hAnsi="Arial"/>
          <w:sz w:val="20"/>
          <w:szCs w:val="20"/>
          <w:color w:val="auto"/>
        </w:rPr>
      </w:pPr>
    </w:p>
    <w:p>
      <w:pPr>
        <w:ind w:left="3040" w:right="260" w:hanging="1241"/>
        <w:spacing w:after="0" w:line="252" w:lineRule="exact"/>
        <w:tabs>
          <w:tab w:leader="none" w:pos="2565"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w:t>
      </w:r>
    </w:p>
    <w:p>
      <w:pPr>
        <w:spacing w:after="0" w:line="186"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66" w:lineRule="exact"/>
        <w:rPr>
          <w:sz w:val="20"/>
          <w:szCs w:val="20"/>
          <w:color w:val="auto"/>
        </w:rPr>
      </w:pPr>
    </w:p>
    <w:p>
      <w:pPr>
        <w:ind w:left="1800" w:right="288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-13335</wp:posOffset>
            </wp:positionV>
            <wp:extent cx="3917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178"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235" w:lineRule="exact"/>
        <w:rPr>
          <w:sz w:val="20"/>
          <w:szCs w:val="20"/>
          <w:color w:val="auto"/>
        </w:rPr>
      </w:pPr>
    </w:p>
    <w:p>
      <w:pPr>
        <w:ind w:left="1800" w:right="34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and is incorporated herein by reference.</w:t>
      </w:r>
    </w:p>
    <w:p>
      <w:pPr>
        <w:spacing w:after="0" w:line="190" w:lineRule="exact"/>
        <w:rPr>
          <w:sz w:val="20"/>
          <w:szCs w:val="20"/>
          <w:color w:val="auto"/>
        </w:rPr>
      </w:pPr>
    </w:p>
    <w:p>
      <w:pPr>
        <w:ind w:left="1800" w:right="440"/>
        <w:spacing w:after="0" w:line="246" w:lineRule="auto"/>
        <w:rPr>
          <w:sz w:val="20"/>
          <w:szCs w:val="20"/>
          <w:color w:val="auto"/>
        </w:rPr>
      </w:pPr>
      <w:r>
        <w:rPr>
          <w:rFonts w:ascii="Arial" w:cs="Arial" w:eastAsia="Arial" w:hAnsi="Arial"/>
          <w:sz w:val="20"/>
          <w:szCs w:val="20"/>
          <w:color w:val="auto"/>
        </w:rPr>
        <w:t>The percentage set forth in Row 11 of this Schedule 13G is calculated based upon 44,773,748 shares of Common Stock outstanding as of November 1, 2020, as reported in the Issuer's Quarterly Report on Form 10-Q for the quarterly period ended September 30, 2020 filed with the Securities and Exchange Commission on November 13, 2020.</w:t>
      </w:r>
    </w:p>
    <w:p>
      <w:pPr>
        <w:spacing w:after="0" w:line="199" w:lineRule="exact"/>
        <w:rPr>
          <w:sz w:val="20"/>
          <w:szCs w:val="20"/>
          <w:color w:val="auto"/>
        </w:rPr>
      </w:pPr>
    </w:p>
    <w:p>
      <w:pPr>
        <w:ind w:left="1800" w:right="4280" w:hanging="1686"/>
        <w:spacing w:after="0" w:line="479" w:lineRule="auto"/>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20"/>
          <w:szCs w:val="20"/>
          <w:b w:val="1"/>
          <w:bCs w:val="1"/>
          <w:color w:val="auto"/>
        </w:rPr>
        <w:t xml:space="preserve">OWNERSHIP OF FIVE PERCENT OR LESS OF A CLASS </w:t>
      </w:r>
      <w:r>
        <w:rPr>
          <w:rFonts w:ascii="Arial" w:cs="Arial" w:eastAsia="Arial" w:hAnsi="Arial"/>
          <w:sz w:val="20"/>
          <w:szCs w:val="20"/>
          <w:color w:val="auto"/>
        </w:rPr>
        <w:t>Not applicable.</w:t>
      </w: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800" w:right="120"/>
        <w:spacing w:after="0" w:line="260" w:lineRule="auto"/>
        <w:rPr>
          <w:sz w:val="20"/>
          <w:szCs w:val="20"/>
          <w:color w:val="auto"/>
        </w:rPr>
      </w:pPr>
      <w:r>
        <w:rPr>
          <w:rFonts w:ascii="Arial" w:cs="Arial" w:eastAsia="Arial" w:hAnsi="Arial"/>
          <w:sz w:val="20"/>
          <w:szCs w:val="20"/>
          <w:color w:val="auto"/>
        </w:rPr>
        <w:t>See Item 2. Avoro Life Sciences Fund LLC has the right to receive or the power to direct the receipt of dividends from, or the proceeds from the sale of, more than 5% of the Common Stock.</w:t>
      </w:r>
    </w:p>
    <w:p>
      <w:pPr>
        <w:spacing w:after="0" w:line="184" w:lineRule="exact"/>
        <w:rPr>
          <w:sz w:val="20"/>
          <w:szCs w:val="20"/>
          <w:color w:val="auto"/>
        </w:rPr>
      </w:pPr>
    </w:p>
    <w:p>
      <w:pPr>
        <w:ind w:left="1800" w:right="100" w:hanging="1686"/>
        <w:spacing w:after="0" w:line="267" w:lineRule="auto"/>
        <w:tabs>
          <w:tab w:leader="none" w:pos="17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 OR CONTROL PERSON</w:t>
      </w:r>
    </w:p>
    <w:p>
      <w:pPr>
        <w:spacing w:after="0" w:line="183"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8 Pages</w:t>
      </w:r>
    </w:p>
    <w:p>
      <w:pPr>
        <w:sectPr>
          <w:pgSz w:w="11900" w:h="16838" w:orient="portrait"/>
          <w:cols w:equalWidth="0" w:num="1">
            <w:col w:w="11240"/>
          </w:cols>
          <w:pgMar w:left="320" w:top="229"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Each Reporting Person hereby makes the following certification:</w:t>
      </w:r>
    </w:p>
    <w:p>
      <w:pPr>
        <w:spacing w:after="0" w:line="229" w:lineRule="exact"/>
        <w:rPr>
          <w:sz w:val="20"/>
          <w:szCs w:val="20"/>
          <w:color w:val="auto"/>
        </w:rPr>
      </w:pPr>
    </w:p>
    <w:p>
      <w:pPr>
        <w:jc w:val="both"/>
        <w:ind w:left="1800" w:right="440"/>
        <w:spacing w:after="0" w:line="244" w:lineRule="auto"/>
        <w:rPr>
          <w:sz w:val="20"/>
          <w:szCs w:val="20"/>
          <w:color w:val="auto"/>
        </w:rPr>
      </w:pPr>
      <w:r>
        <w:rPr>
          <w:rFonts w:ascii="Arial" w:cs="Arial" w:eastAsia="Arial" w:hAnsi="Arial"/>
          <w:sz w:val="20"/>
          <w:szCs w:val="20"/>
          <w:color w:val="auto"/>
        </w:rPr>
        <w:t>By signing below the Reporting Person certifies that, to the best of his or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7 of 8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12, 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AVORO CAPITAL ADVISORS LLC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Scott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0003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Epstein</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ind w:left="600"/>
        <w:spacing w:after="0"/>
        <w:rPr>
          <w:sz w:val="20"/>
          <w:szCs w:val="20"/>
          <w:color w:val="auto"/>
        </w:rPr>
      </w:pPr>
      <w:r>
        <w:rPr>
          <w:rFonts w:ascii="Arial" w:cs="Arial" w:eastAsia="Arial" w:hAnsi="Arial"/>
          <w:sz w:val="20"/>
          <w:szCs w:val="20"/>
          <w:color w:val="auto"/>
        </w:rPr>
        <w:t>&amp; Chief Compliance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Behzad Aghazadeh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0003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BEHZAD AGHAZADEH</w:t>
      </w:r>
    </w:p>
    <w:p>
      <w:pPr>
        <w:sectPr>
          <w:pgSz w:w="11900" w:h="16838" w:orient="portrait"/>
          <w:cols w:equalWidth="0" w:num="1">
            <w:col w:w="11240"/>
          </w:cols>
          <w:pgMar w:left="320" w:top="229" w:right="339" w:bottom="1440" w:gutter="0" w:footer="0" w:header="0"/>
        </w:sectPr>
      </w:pPr>
    </w:p>
    <w:bookmarkStart w:id="7" w:name="page8"/>
    <w:bookmarkEnd w:id="7"/>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8 of 8 Pages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1</w:t>
      </w:r>
    </w:p>
    <w:p>
      <w:pPr>
        <w:spacing w:after="0" w:line="229"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JOINT FILING AGREEMENT</w:t>
      </w:r>
    </w:p>
    <w:p>
      <w:pPr>
        <w:spacing w:after="0" w:line="22"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12, 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AVORO CAPITAL ADVISORS LLC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Scott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000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Scott Epstein</w:t>
      </w:r>
    </w:p>
    <w:p>
      <w:pPr>
        <w:spacing w:after="0" w:line="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ind w:left="600"/>
        <w:spacing w:after="0"/>
        <w:rPr>
          <w:sz w:val="20"/>
          <w:szCs w:val="20"/>
          <w:color w:val="auto"/>
        </w:rPr>
      </w:pPr>
      <w:r>
        <w:rPr>
          <w:rFonts w:ascii="Arial" w:cs="Arial" w:eastAsia="Arial" w:hAnsi="Arial"/>
          <w:sz w:val="20"/>
          <w:szCs w:val="20"/>
          <w:color w:val="auto"/>
        </w:rPr>
        <w:t>&amp; Chief Compliance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Behzad Aghazadeh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000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BEHZAD AGHAZADEH</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þ"/>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2021-02-12T07:12:31Z</dcterms:created>
  <dcterms:modified xsi:type="dcterms:W3CDTF">2021-02-12T07:12:31Z</dcterms:modified>
</cp:coreProperties>
</file>