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filed with the Securities and Exchange Commission on September 4, 2020.</w:t>
      </w:r>
    </w:p>
    <w:p>
      <w:pPr>
        <w:spacing w:after="0" w:line="109" w:lineRule="exact"/>
        <w:rPr>
          <w:sz w:val="24"/>
          <w:szCs w:val="24"/>
          <w:color w:val="auto"/>
        </w:rPr>
      </w:pPr>
    </w:p>
    <w:p>
      <w:pPr>
        <w:ind w:left="922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70485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113030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3"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UNITED STATES</w:t>
      </w:r>
    </w:p>
    <w:p>
      <w:pPr>
        <w:spacing w:after="0" w:line="38"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SECURITIES AND EXCHANGE COMMISSION</w:t>
      </w:r>
    </w:p>
    <w:p>
      <w:pPr>
        <w:spacing w:after="0" w:line="3"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121920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4" w:lineRule="exact"/>
        <w:rPr>
          <w:sz w:val="24"/>
          <w:szCs w:val="24"/>
          <w:color w:val="auto"/>
        </w:rPr>
      </w:pPr>
    </w:p>
    <w:p>
      <w:pPr>
        <w:jc w:val="center"/>
        <w:ind w:right="-99"/>
        <w:spacing w:after="0"/>
        <w:rPr>
          <w:sz w:val="20"/>
          <w:szCs w:val="20"/>
          <w:color w:val="auto"/>
        </w:rPr>
      </w:pPr>
      <w:r>
        <w:rPr>
          <w:rFonts w:ascii="Arial" w:cs="Arial" w:eastAsia="Arial" w:hAnsi="Arial"/>
          <w:sz w:val="27"/>
          <w:szCs w:val="27"/>
          <w:b w:val="1"/>
          <w:bCs w:val="1"/>
          <w:color w:val="auto"/>
        </w:rPr>
        <w:t>FORM S-1</w:t>
      </w:r>
    </w:p>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REGISTRATION STATEMENT</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Under</w:t>
      </w:r>
    </w:p>
    <w:p>
      <w:pPr>
        <w:spacing w:after="0" w:line="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121920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23"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PMV PHARMACEUTICALS, INC.</w:t>
      </w:r>
    </w:p>
    <w:p>
      <w:pPr>
        <w:spacing w:after="0" w:line="10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130175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5" w:lineRule="exact"/>
        <w:rPr>
          <w:sz w:val="24"/>
          <w:szCs w:val="24"/>
          <w:color w:val="auto"/>
        </w:rPr>
      </w:pPr>
    </w:p>
    <w:tbl>
      <w:tblPr>
        <w:tblLayout w:type="fixed"/>
        <w:tblInd w:w="960" w:type="dxa"/>
        <w:tblCellMar>
          <w:top w:w="0" w:type="dxa"/>
          <w:left w:w="0" w:type="dxa"/>
          <w:bottom w:w="0" w:type="dxa"/>
          <w:right w:w="0" w:type="dxa"/>
        </w:tblCellMar>
      </w:tblPr>
      <w:tr>
        <w:trPr>
          <w:trHeight w:val="162"/>
        </w:trPr>
        <w:tc>
          <w:tcPr>
            <w:tcW w:w="2920" w:type="dxa"/>
            <w:vAlign w:val="bottom"/>
          </w:tcPr>
          <w:p>
            <w:pPr>
              <w:jc w:val="center"/>
              <w:ind w:right="808"/>
              <w:spacing w:after="0"/>
              <w:rPr>
                <w:sz w:val="20"/>
                <w:szCs w:val="20"/>
                <w:color w:val="auto"/>
              </w:rPr>
            </w:pPr>
            <w:r>
              <w:rPr>
                <w:rFonts w:ascii="Arial" w:cs="Arial" w:eastAsia="Arial" w:hAnsi="Arial"/>
                <w:sz w:val="14"/>
                <w:szCs w:val="14"/>
                <w:b w:val="1"/>
                <w:bCs w:val="1"/>
                <w:color w:val="auto"/>
              </w:rPr>
              <w:t>Delaware</w:t>
            </w:r>
          </w:p>
        </w:tc>
        <w:tc>
          <w:tcPr>
            <w:tcW w:w="3780" w:type="dxa"/>
            <w:vAlign w:val="bottom"/>
          </w:tcPr>
          <w:p>
            <w:pPr>
              <w:jc w:val="right"/>
              <w:ind w:right="1688"/>
              <w:spacing w:after="0"/>
              <w:rPr>
                <w:sz w:val="20"/>
                <w:szCs w:val="20"/>
                <w:color w:val="auto"/>
              </w:rPr>
            </w:pPr>
            <w:r>
              <w:rPr>
                <w:rFonts w:ascii="Arial" w:cs="Arial" w:eastAsia="Arial" w:hAnsi="Arial"/>
                <w:sz w:val="14"/>
                <w:szCs w:val="14"/>
                <w:b w:val="1"/>
                <w:bCs w:val="1"/>
                <w:color w:val="auto"/>
              </w:rPr>
              <w:t>2834</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46-3218129</w:t>
            </w:r>
          </w:p>
        </w:tc>
      </w:tr>
      <w:tr>
        <w:trPr>
          <w:trHeight w:val="162"/>
        </w:trPr>
        <w:tc>
          <w:tcPr>
            <w:tcW w:w="2920" w:type="dxa"/>
            <w:vAlign w:val="bottom"/>
          </w:tcPr>
          <w:p>
            <w:pPr>
              <w:jc w:val="center"/>
              <w:ind w:right="788"/>
              <w:spacing w:after="0"/>
              <w:rPr>
                <w:sz w:val="20"/>
                <w:szCs w:val="20"/>
                <w:color w:val="auto"/>
              </w:rPr>
            </w:pPr>
            <w:r>
              <w:rPr>
                <w:rFonts w:ascii="Arial" w:cs="Arial" w:eastAsia="Arial" w:hAnsi="Arial"/>
                <w:sz w:val="14"/>
                <w:szCs w:val="14"/>
                <w:b w:val="1"/>
                <w:bCs w:val="1"/>
                <w:color w:val="auto"/>
              </w:rPr>
              <w:t>(State or other jurisdiction of</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(Primary Standard Industrial</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(I.R.S. Employer</w:t>
            </w:r>
          </w:p>
        </w:tc>
      </w:tr>
      <w:tr>
        <w:trPr>
          <w:trHeight w:val="202"/>
        </w:trPr>
        <w:tc>
          <w:tcPr>
            <w:tcW w:w="2920" w:type="dxa"/>
            <w:vAlign w:val="bottom"/>
          </w:tcPr>
          <w:p>
            <w:pPr>
              <w:jc w:val="center"/>
              <w:ind w:right="788"/>
              <w:spacing w:after="0"/>
              <w:rPr>
                <w:sz w:val="20"/>
                <w:szCs w:val="20"/>
                <w:color w:val="auto"/>
              </w:rPr>
            </w:pPr>
            <w:r>
              <w:rPr>
                <w:rFonts w:ascii="Arial" w:cs="Arial" w:eastAsia="Arial" w:hAnsi="Arial"/>
                <w:sz w:val="14"/>
                <w:szCs w:val="14"/>
                <w:b w:val="1"/>
                <w:bCs w:val="1"/>
                <w:color w:val="auto"/>
              </w:rPr>
              <w:t>incorporation or organization)</w:t>
            </w: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Classification Code Number)</w:t>
            </w:r>
          </w:p>
        </w:tc>
        <w:tc>
          <w:tcPr>
            <w:tcW w:w="2480" w:type="dxa"/>
            <w:vAlign w:val="bottom"/>
          </w:tcPr>
          <w:p>
            <w:pPr>
              <w:jc w:val="center"/>
              <w:ind w:left="868"/>
              <w:spacing w:after="0"/>
              <w:rPr>
                <w:sz w:val="20"/>
                <w:szCs w:val="20"/>
                <w:color w:val="auto"/>
              </w:rPr>
            </w:pPr>
            <w:r>
              <w:rPr>
                <w:rFonts w:ascii="Arial" w:cs="Arial" w:eastAsia="Arial" w:hAnsi="Arial"/>
                <w:sz w:val="14"/>
                <w:szCs w:val="14"/>
                <w:b w:val="1"/>
                <w:bCs w:val="1"/>
                <w:color w:val="auto"/>
              </w:rPr>
              <w:t>Identification Number)</w:t>
            </w:r>
          </w:p>
        </w:tc>
      </w:tr>
      <w:tr>
        <w:trPr>
          <w:trHeight w:val="203"/>
        </w:trPr>
        <w:tc>
          <w:tcPr>
            <w:tcW w:w="2920" w:type="dxa"/>
            <w:vAlign w:val="bottom"/>
          </w:tcPr>
          <w:p>
            <w:pPr>
              <w:spacing w:after="0"/>
              <w:rPr>
                <w:sz w:val="17"/>
                <w:szCs w:val="17"/>
                <w:color w:val="auto"/>
              </w:rPr>
            </w:pP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8 Clarke Drive, Suite 3</w:t>
            </w:r>
          </w:p>
        </w:tc>
        <w:tc>
          <w:tcPr>
            <w:tcW w:w="2480" w:type="dxa"/>
            <w:vAlign w:val="bottom"/>
          </w:tcPr>
          <w:p>
            <w:pPr>
              <w:spacing w:after="0"/>
              <w:rPr>
                <w:sz w:val="17"/>
                <w:szCs w:val="17"/>
                <w:color w:val="auto"/>
              </w:rPr>
            </w:pPr>
          </w:p>
        </w:tc>
      </w:tr>
      <w:tr>
        <w:trPr>
          <w:trHeight w:val="162"/>
        </w:trPr>
        <w:tc>
          <w:tcPr>
            <w:tcW w:w="2920" w:type="dxa"/>
            <w:vAlign w:val="bottom"/>
          </w:tcPr>
          <w:p>
            <w:pPr>
              <w:spacing w:after="0"/>
              <w:rPr>
                <w:sz w:val="14"/>
                <w:szCs w:val="14"/>
                <w:color w:val="auto"/>
              </w:rPr>
            </w:pPr>
          </w:p>
        </w:tc>
        <w:tc>
          <w:tcPr>
            <w:tcW w:w="3780" w:type="dxa"/>
            <w:vAlign w:val="bottom"/>
          </w:tcPr>
          <w:p>
            <w:pPr>
              <w:jc w:val="center"/>
              <w:spacing w:after="0"/>
              <w:rPr>
                <w:sz w:val="20"/>
                <w:szCs w:val="20"/>
                <w:color w:val="auto"/>
              </w:rPr>
            </w:pPr>
            <w:r>
              <w:rPr>
                <w:rFonts w:ascii="Arial" w:cs="Arial" w:eastAsia="Arial" w:hAnsi="Arial"/>
                <w:sz w:val="14"/>
                <w:szCs w:val="14"/>
                <w:b w:val="1"/>
                <w:bCs w:val="1"/>
                <w:color w:val="auto"/>
              </w:rPr>
              <w:t>Cranbury, NJ 08512</w:t>
            </w:r>
          </w:p>
        </w:tc>
        <w:tc>
          <w:tcPr>
            <w:tcW w:w="2480" w:type="dxa"/>
            <w:vAlign w:val="bottom"/>
          </w:tcPr>
          <w:p>
            <w:pPr>
              <w:spacing w:after="0"/>
              <w:rPr>
                <w:sz w:val="14"/>
                <w:szCs w:val="14"/>
                <w:color w:val="auto"/>
              </w:rPr>
            </w:pPr>
          </w:p>
        </w:tc>
      </w:tr>
      <w:tr>
        <w:trPr>
          <w:trHeight w:val="202"/>
        </w:trPr>
        <w:tc>
          <w:tcPr>
            <w:tcW w:w="2920" w:type="dxa"/>
            <w:vAlign w:val="bottom"/>
          </w:tcPr>
          <w:p>
            <w:pPr>
              <w:spacing w:after="0"/>
              <w:rPr>
                <w:sz w:val="17"/>
                <w:szCs w:val="17"/>
                <w:color w:val="auto"/>
              </w:rPr>
            </w:pPr>
          </w:p>
        </w:tc>
        <w:tc>
          <w:tcPr>
            <w:tcW w:w="3780" w:type="dxa"/>
            <w:vAlign w:val="bottom"/>
          </w:tcPr>
          <w:p>
            <w:pPr>
              <w:jc w:val="right"/>
              <w:ind w:right="1348"/>
              <w:spacing w:after="0"/>
              <w:rPr>
                <w:sz w:val="20"/>
                <w:szCs w:val="20"/>
                <w:color w:val="auto"/>
              </w:rPr>
            </w:pPr>
            <w:r>
              <w:rPr>
                <w:rFonts w:ascii="Arial" w:cs="Arial" w:eastAsia="Arial" w:hAnsi="Arial"/>
                <w:sz w:val="14"/>
                <w:szCs w:val="14"/>
                <w:b w:val="1"/>
                <w:bCs w:val="1"/>
                <w:color w:val="auto"/>
              </w:rPr>
              <w:t>(609) 642-6670</w:t>
            </w:r>
          </w:p>
        </w:tc>
        <w:tc>
          <w:tcPr>
            <w:tcW w:w="2480" w:type="dxa"/>
            <w:vAlign w:val="bottom"/>
          </w:tcPr>
          <w:p>
            <w:pPr>
              <w:spacing w:after="0"/>
              <w:rPr>
                <w:sz w:val="17"/>
                <w:szCs w:val="17"/>
                <w:color w:val="auto"/>
              </w:rPr>
            </w:pPr>
          </w:p>
        </w:tc>
      </w:tr>
    </w:tbl>
    <w:p>
      <w:pPr>
        <w:spacing w:after="0" w:line="4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139065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5"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David H. Mack, Ph.D.</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8 Clarke Drive, Suite 3</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Cranbury, NJ 08512</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(609) 642-6670</w:t>
      </w:r>
    </w:p>
    <w:p>
      <w:pPr>
        <w:spacing w:after="0" w:line="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117475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47" w:lineRule="exact"/>
        <w:rPr>
          <w:sz w:val="24"/>
          <w:szCs w:val="24"/>
          <w:color w:val="auto"/>
        </w:rPr>
      </w:pPr>
    </w:p>
    <w:tbl>
      <w:tblPr>
        <w:tblLayout w:type="fixed"/>
        <w:tblInd w:w="700" w:type="dxa"/>
        <w:tblCellMar>
          <w:top w:w="0" w:type="dxa"/>
          <w:left w:w="0" w:type="dxa"/>
          <w:bottom w:w="0" w:type="dxa"/>
          <w:right w:w="0" w:type="dxa"/>
        </w:tblCellMar>
      </w:tblPr>
      <w:tr>
        <w:trPr>
          <w:trHeight w:val="200"/>
        </w:trPr>
        <w:tc>
          <w:tcPr>
            <w:tcW w:w="3500" w:type="dxa"/>
            <w:vAlign w:val="bottom"/>
          </w:tcPr>
          <w:p>
            <w:pPr>
              <w:spacing w:after="0"/>
              <w:rPr>
                <w:sz w:val="17"/>
                <w:szCs w:val="17"/>
                <w:color w:val="auto"/>
              </w:rPr>
            </w:pPr>
          </w:p>
        </w:tc>
        <w:tc>
          <w:tcPr>
            <w:tcW w:w="3640" w:type="dxa"/>
            <w:vAlign w:val="bottom"/>
          </w:tcPr>
          <w:p>
            <w:pPr>
              <w:ind w:left="1080"/>
              <w:spacing w:after="0"/>
              <w:rPr>
                <w:sz w:val="20"/>
                <w:szCs w:val="20"/>
                <w:color w:val="auto"/>
              </w:rPr>
            </w:pPr>
            <w:r>
              <w:rPr>
                <w:rFonts w:ascii="Arial" w:cs="Arial" w:eastAsia="Arial" w:hAnsi="Arial"/>
                <w:sz w:val="14"/>
                <w:szCs w:val="14"/>
                <w:b w:val="1"/>
                <w:bCs w:val="1"/>
                <w:i w:val="1"/>
                <w:iCs w:val="1"/>
                <w:color w:val="auto"/>
              </w:rPr>
              <w:t>Copies to:</w:t>
            </w:r>
          </w:p>
        </w:tc>
        <w:tc>
          <w:tcPr>
            <w:tcW w:w="2480" w:type="dxa"/>
            <w:vAlign w:val="bottom"/>
          </w:tcPr>
          <w:p>
            <w:pPr>
              <w:spacing w:after="0"/>
              <w:rPr>
                <w:sz w:val="17"/>
                <w:szCs w:val="17"/>
                <w:color w:val="auto"/>
              </w:rPr>
            </w:pPr>
          </w:p>
        </w:tc>
      </w:tr>
      <w:tr>
        <w:trPr>
          <w:trHeight w:val="203"/>
        </w:trPr>
        <w:tc>
          <w:tcPr>
            <w:tcW w:w="3500" w:type="dxa"/>
            <w:vAlign w:val="bottom"/>
          </w:tcPr>
          <w:p>
            <w:pPr>
              <w:jc w:val="center"/>
              <w:ind w:right="748"/>
              <w:spacing w:after="0"/>
              <w:rPr>
                <w:sz w:val="20"/>
                <w:szCs w:val="20"/>
                <w:color w:val="auto"/>
              </w:rPr>
            </w:pPr>
            <w:r>
              <w:rPr>
                <w:rFonts w:ascii="Arial" w:cs="Arial" w:eastAsia="Arial" w:hAnsi="Arial"/>
                <w:sz w:val="14"/>
                <w:szCs w:val="14"/>
                <w:b w:val="1"/>
                <w:bCs w:val="1"/>
                <w:color w:val="auto"/>
              </w:rPr>
              <w:t>Kenneth A. Clark</w:t>
            </w:r>
          </w:p>
        </w:tc>
        <w:tc>
          <w:tcPr>
            <w:tcW w:w="3640" w:type="dxa"/>
            <w:vAlign w:val="bottom"/>
          </w:tcPr>
          <w:p>
            <w:pPr>
              <w:jc w:val="center"/>
              <w:ind w:right="28"/>
              <w:spacing w:after="0"/>
              <w:rPr>
                <w:sz w:val="20"/>
                <w:szCs w:val="20"/>
                <w:color w:val="auto"/>
              </w:rPr>
            </w:pPr>
            <w:r>
              <w:rPr>
                <w:rFonts w:ascii="Arial" w:cs="Arial" w:eastAsia="Arial" w:hAnsi="Arial"/>
                <w:sz w:val="14"/>
                <w:szCs w:val="14"/>
                <w:b w:val="1"/>
                <w:bCs w:val="1"/>
                <w:color w:val="auto"/>
              </w:rPr>
              <w:t>Winston Kung</w:t>
            </w:r>
          </w:p>
        </w:tc>
        <w:tc>
          <w:tcPr>
            <w:tcW w:w="2480" w:type="dxa"/>
            <w:vAlign w:val="bottom"/>
          </w:tcPr>
          <w:p>
            <w:pPr>
              <w:jc w:val="center"/>
              <w:ind w:left="848"/>
              <w:spacing w:after="0"/>
              <w:rPr>
                <w:sz w:val="20"/>
                <w:szCs w:val="20"/>
                <w:color w:val="auto"/>
              </w:rPr>
            </w:pPr>
            <w:r>
              <w:rPr>
                <w:rFonts w:ascii="Arial" w:cs="Arial" w:eastAsia="Arial" w:hAnsi="Arial"/>
                <w:sz w:val="14"/>
                <w:szCs w:val="14"/>
                <w:b w:val="1"/>
                <w:bCs w:val="1"/>
                <w:color w:val="auto"/>
              </w:rPr>
              <w:t>Brian Cuneo</w:t>
            </w:r>
          </w:p>
        </w:tc>
      </w:tr>
      <w:tr>
        <w:trPr>
          <w:trHeight w:val="162"/>
        </w:trPr>
        <w:tc>
          <w:tcPr>
            <w:tcW w:w="3500" w:type="dxa"/>
            <w:vAlign w:val="bottom"/>
          </w:tcPr>
          <w:p>
            <w:pPr>
              <w:jc w:val="center"/>
              <w:ind w:right="748"/>
              <w:spacing w:after="0"/>
              <w:rPr>
                <w:sz w:val="20"/>
                <w:szCs w:val="20"/>
                <w:color w:val="auto"/>
              </w:rPr>
            </w:pPr>
            <w:r>
              <w:rPr>
                <w:rFonts w:ascii="Arial" w:cs="Arial" w:eastAsia="Arial" w:hAnsi="Arial"/>
                <w:sz w:val="14"/>
                <w:szCs w:val="14"/>
                <w:b w:val="1"/>
                <w:bCs w:val="1"/>
                <w:color w:val="auto"/>
              </w:rPr>
              <w:t>Tony Jeffries</w:t>
            </w:r>
          </w:p>
        </w:tc>
        <w:tc>
          <w:tcPr>
            <w:tcW w:w="3640" w:type="dxa"/>
            <w:vAlign w:val="bottom"/>
          </w:tcPr>
          <w:p>
            <w:pPr>
              <w:jc w:val="center"/>
              <w:ind w:right="48"/>
              <w:spacing w:after="0"/>
              <w:rPr>
                <w:sz w:val="20"/>
                <w:szCs w:val="20"/>
                <w:color w:val="auto"/>
              </w:rPr>
            </w:pPr>
            <w:r>
              <w:rPr>
                <w:rFonts w:ascii="Arial" w:cs="Arial" w:eastAsia="Arial" w:hAnsi="Arial"/>
                <w:sz w:val="14"/>
                <w:szCs w:val="14"/>
                <w:b w:val="1"/>
                <w:bCs w:val="1"/>
                <w:color w:val="auto"/>
              </w:rPr>
              <w:t>Chief Operating Officer and</w:t>
            </w:r>
          </w:p>
        </w:tc>
        <w:tc>
          <w:tcPr>
            <w:tcW w:w="2480" w:type="dxa"/>
            <w:vAlign w:val="bottom"/>
          </w:tcPr>
          <w:p>
            <w:pPr>
              <w:jc w:val="center"/>
              <w:ind w:left="848"/>
              <w:spacing w:after="0"/>
              <w:rPr>
                <w:sz w:val="20"/>
                <w:szCs w:val="20"/>
                <w:color w:val="auto"/>
              </w:rPr>
            </w:pPr>
            <w:r>
              <w:rPr>
                <w:rFonts w:ascii="Arial" w:cs="Arial" w:eastAsia="Arial" w:hAnsi="Arial"/>
                <w:sz w:val="14"/>
                <w:szCs w:val="14"/>
                <w:b w:val="1"/>
                <w:bCs w:val="1"/>
                <w:color w:val="auto"/>
              </w:rPr>
              <w:t>Nathan Ajiashvili</w:t>
            </w:r>
          </w:p>
        </w:tc>
      </w:tr>
      <w:tr>
        <w:trPr>
          <w:trHeight w:val="162"/>
        </w:trPr>
        <w:tc>
          <w:tcPr>
            <w:tcW w:w="3500" w:type="dxa"/>
            <w:vAlign w:val="bottom"/>
          </w:tcPr>
          <w:p>
            <w:pPr>
              <w:jc w:val="center"/>
              <w:ind w:right="728"/>
              <w:spacing w:after="0"/>
              <w:rPr>
                <w:sz w:val="20"/>
                <w:szCs w:val="20"/>
                <w:color w:val="auto"/>
              </w:rPr>
            </w:pPr>
            <w:r>
              <w:rPr>
                <w:rFonts w:ascii="Arial" w:cs="Arial" w:eastAsia="Arial" w:hAnsi="Arial"/>
                <w:sz w:val="14"/>
                <w:szCs w:val="14"/>
                <w:b w:val="1"/>
                <w:bCs w:val="1"/>
                <w:color w:val="auto"/>
              </w:rPr>
              <w:t>Megan J. Baier</w:t>
            </w:r>
          </w:p>
        </w:tc>
        <w:tc>
          <w:tcPr>
            <w:tcW w:w="3640" w:type="dxa"/>
            <w:vAlign w:val="bottom"/>
          </w:tcPr>
          <w:p>
            <w:pPr>
              <w:jc w:val="center"/>
              <w:ind w:right="28"/>
              <w:spacing w:after="0"/>
              <w:rPr>
                <w:sz w:val="20"/>
                <w:szCs w:val="20"/>
                <w:color w:val="auto"/>
              </w:rPr>
            </w:pPr>
            <w:r>
              <w:rPr>
                <w:rFonts w:ascii="Arial" w:cs="Arial" w:eastAsia="Arial" w:hAnsi="Arial"/>
                <w:sz w:val="14"/>
                <w:szCs w:val="14"/>
                <w:b w:val="1"/>
                <w:bCs w:val="1"/>
                <w:color w:val="auto"/>
              </w:rPr>
              <w:t>Chief Financial Officer</w:t>
            </w:r>
          </w:p>
        </w:tc>
        <w:tc>
          <w:tcPr>
            <w:tcW w:w="2480" w:type="dxa"/>
            <w:vAlign w:val="bottom"/>
          </w:tcPr>
          <w:p>
            <w:pPr>
              <w:jc w:val="center"/>
              <w:ind w:left="848"/>
              <w:spacing w:after="0"/>
              <w:rPr>
                <w:sz w:val="20"/>
                <w:szCs w:val="20"/>
                <w:color w:val="auto"/>
              </w:rPr>
            </w:pPr>
            <w:r>
              <w:rPr>
                <w:rFonts w:ascii="Arial" w:cs="Arial" w:eastAsia="Arial" w:hAnsi="Arial"/>
                <w:sz w:val="14"/>
                <w:szCs w:val="14"/>
                <w:b w:val="1"/>
                <w:bCs w:val="1"/>
                <w:color w:val="auto"/>
              </w:rPr>
              <w:t>Richard Kim</w:t>
            </w:r>
          </w:p>
        </w:tc>
      </w:tr>
      <w:tr>
        <w:trPr>
          <w:trHeight w:val="162"/>
        </w:trPr>
        <w:tc>
          <w:tcPr>
            <w:tcW w:w="3500" w:type="dxa"/>
            <w:vAlign w:val="bottom"/>
          </w:tcPr>
          <w:p>
            <w:pPr>
              <w:jc w:val="center"/>
              <w:ind w:right="748"/>
              <w:spacing w:after="0"/>
              <w:rPr>
                <w:sz w:val="20"/>
                <w:szCs w:val="20"/>
                <w:color w:val="auto"/>
              </w:rPr>
            </w:pPr>
            <w:r>
              <w:rPr>
                <w:rFonts w:ascii="Arial" w:cs="Arial" w:eastAsia="Arial" w:hAnsi="Arial"/>
                <w:sz w:val="14"/>
                <w:szCs w:val="14"/>
                <w:b w:val="1"/>
                <w:bCs w:val="1"/>
                <w:color w:val="auto"/>
              </w:rPr>
              <w:t>Wilson Sonsini Goodrich &amp; Rosati, P.C.</w:t>
            </w:r>
          </w:p>
        </w:tc>
        <w:tc>
          <w:tcPr>
            <w:tcW w:w="3640" w:type="dxa"/>
            <w:vAlign w:val="bottom"/>
          </w:tcPr>
          <w:p>
            <w:pPr>
              <w:jc w:val="center"/>
              <w:ind w:right="28"/>
              <w:spacing w:after="0"/>
              <w:rPr>
                <w:sz w:val="20"/>
                <w:szCs w:val="20"/>
                <w:color w:val="auto"/>
              </w:rPr>
            </w:pPr>
            <w:r>
              <w:rPr>
                <w:rFonts w:ascii="Arial" w:cs="Arial" w:eastAsia="Arial" w:hAnsi="Arial"/>
                <w:sz w:val="14"/>
                <w:szCs w:val="14"/>
                <w:b w:val="1"/>
                <w:bCs w:val="1"/>
                <w:color w:val="auto"/>
              </w:rPr>
              <w:t>PMV Pharmaceuticals, Inc.</w:t>
            </w:r>
          </w:p>
        </w:tc>
        <w:tc>
          <w:tcPr>
            <w:tcW w:w="2480" w:type="dxa"/>
            <w:vAlign w:val="bottom"/>
          </w:tcPr>
          <w:p>
            <w:pPr>
              <w:jc w:val="center"/>
              <w:ind w:left="848"/>
              <w:spacing w:after="0"/>
              <w:rPr>
                <w:sz w:val="20"/>
                <w:szCs w:val="20"/>
                <w:color w:val="auto"/>
              </w:rPr>
            </w:pPr>
            <w:r>
              <w:rPr>
                <w:rFonts w:ascii="Arial" w:cs="Arial" w:eastAsia="Arial" w:hAnsi="Arial"/>
                <w:sz w:val="14"/>
                <w:szCs w:val="14"/>
                <w:b w:val="1"/>
                <w:bCs w:val="1"/>
                <w:color w:val="auto"/>
              </w:rPr>
              <w:t>Latham &amp; Watkins LLP</w:t>
            </w:r>
          </w:p>
        </w:tc>
      </w:tr>
      <w:tr>
        <w:trPr>
          <w:trHeight w:val="162"/>
        </w:trPr>
        <w:tc>
          <w:tcPr>
            <w:tcW w:w="3500" w:type="dxa"/>
            <w:vAlign w:val="bottom"/>
          </w:tcPr>
          <w:p>
            <w:pPr>
              <w:jc w:val="center"/>
              <w:ind w:right="728"/>
              <w:spacing w:after="0"/>
              <w:rPr>
                <w:sz w:val="20"/>
                <w:szCs w:val="20"/>
                <w:color w:val="auto"/>
              </w:rPr>
            </w:pPr>
            <w:r>
              <w:rPr>
                <w:rFonts w:ascii="Arial" w:cs="Arial" w:eastAsia="Arial" w:hAnsi="Arial"/>
                <w:sz w:val="14"/>
                <w:szCs w:val="14"/>
                <w:b w:val="1"/>
                <w:bCs w:val="1"/>
                <w:color w:val="auto"/>
              </w:rPr>
              <w:t>650 Page Mill Road</w:t>
            </w:r>
          </w:p>
        </w:tc>
        <w:tc>
          <w:tcPr>
            <w:tcW w:w="3640" w:type="dxa"/>
            <w:vAlign w:val="bottom"/>
          </w:tcPr>
          <w:p>
            <w:pPr>
              <w:jc w:val="center"/>
              <w:ind w:right="28"/>
              <w:spacing w:after="0"/>
              <w:rPr>
                <w:sz w:val="20"/>
                <w:szCs w:val="20"/>
                <w:color w:val="auto"/>
              </w:rPr>
            </w:pPr>
            <w:r>
              <w:rPr>
                <w:rFonts w:ascii="Arial" w:cs="Arial" w:eastAsia="Arial" w:hAnsi="Arial"/>
                <w:sz w:val="14"/>
                <w:szCs w:val="14"/>
                <w:b w:val="1"/>
                <w:bCs w:val="1"/>
                <w:color w:val="auto"/>
              </w:rPr>
              <w:t>8 Clarke Drive, Suite 3</w:t>
            </w:r>
          </w:p>
        </w:tc>
        <w:tc>
          <w:tcPr>
            <w:tcW w:w="2480" w:type="dxa"/>
            <w:vAlign w:val="bottom"/>
          </w:tcPr>
          <w:p>
            <w:pPr>
              <w:jc w:val="center"/>
              <w:ind w:left="848"/>
              <w:spacing w:after="0"/>
              <w:rPr>
                <w:sz w:val="20"/>
                <w:szCs w:val="20"/>
                <w:color w:val="auto"/>
              </w:rPr>
            </w:pPr>
            <w:r>
              <w:rPr>
                <w:rFonts w:ascii="Arial" w:cs="Arial" w:eastAsia="Arial" w:hAnsi="Arial"/>
                <w:sz w:val="14"/>
                <w:szCs w:val="14"/>
                <w:b w:val="1"/>
                <w:bCs w:val="1"/>
                <w:color w:val="auto"/>
              </w:rPr>
              <w:t>140 Scott Drive</w:t>
            </w:r>
          </w:p>
        </w:tc>
      </w:tr>
      <w:tr>
        <w:trPr>
          <w:trHeight w:val="162"/>
        </w:trPr>
        <w:tc>
          <w:tcPr>
            <w:tcW w:w="3500" w:type="dxa"/>
            <w:vAlign w:val="bottom"/>
          </w:tcPr>
          <w:p>
            <w:pPr>
              <w:jc w:val="center"/>
              <w:ind w:right="728"/>
              <w:spacing w:after="0"/>
              <w:rPr>
                <w:sz w:val="20"/>
                <w:szCs w:val="20"/>
                <w:color w:val="auto"/>
              </w:rPr>
            </w:pPr>
            <w:r>
              <w:rPr>
                <w:rFonts w:ascii="Arial" w:cs="Arial" w:eastAsia="Arial" w:hAnsi="Arial"/>
                <w:sz w:val="14"/>
                <w:szCs w:val="14"/>
                <w:b w:val="1"/>
                <w:bCs w:val="1"/>
                <w:color w:val="auto"/>
              </w:rPr>
              <w:t>Palo Alto, CA 94304</w:t>
            </w:r>
          </w:p>
        </w:tc>
        <w:tc>
          <w:tcPr>
            <w:tcW w:w="3640" w:type="dxa"/>
            <w:vAlign w:val="bottom"/>
          </w:tcPr>
          <w:p>
            <w:pPr>
              <w:jc w:val="center"/>
              <w:ind w:right="28"/>
              <w:spacing w:after="0"/>
              <w:rPr>
                <w:sz w:val="20"/>
                <w:szCs w:val="20"/>
                <w:color w:val="auto"/>
              </w:rPr>
            </w:pPr>
            <w:r>
              <w:rPr>
                <w:rFonts w:ascii="Arial" w:cs="Arial" w:eastAsia="Arial" w:hAnsi="Arial"/>
                <w:sz w:val="14"/>
                <w:szCs w:val="14"/>
                <w:b w:val="1"/>
                <w:bCs w:val="1"/>
                <w:color w:val="auto"/>
              </w:rPr>
              <w:t>Cranbury, NJ 08512</w:t>
            </w:r>
          </w:p>
        </w:tc>
        <w:tc>
          <w:tcPr>
            <w:tcW w:w="2480" w:type="dxa"/>
            <w:vAlign w:val="bottom"/>
          </w:tcPr>
          <w:p>
            <w:pPr>
              <w:jc w:val="center"/>
              <w:ind w:left="848"/>
              <w:spacing w:after="0"/>
              <w:rPr>
                <w:sz w:val="20"/>
                <w:szCs w:val="20"/>
                <w:color w:val="auto"/>
              </w:rPr>
            </w:pPr>
            <w:r>
              <w:rPr>
                <w:rFonts w:ascii="Arial" w:cs="Arial" w:eastAsia="Arial" w:hAnsi="Arial"/>
                <w:sz w:val="14"/>
                <w:szCs w:val="14"/>
                <w:b w:val="1"/>
                <w:bCs w:val="1"/>
                <w:color w:val="auto"/>
              </w:rPr>
              <w:t>Menlo Park, CA 94025</w:t>
            </w:r>
          </w:p>
        </w:tc>
      </w:tr>
      <w:tr>
        <w:trPr>
          <w:trHeight w:val="202"/>
        </w:trPr>
        <w:tc>
          <w:tcPr>
            <w:tcW w:w="3500" w:type="dxa"/>
            <w:vAlign w:val="bottom"/>
          </w:tcPr>
          <w:p>
            <w:pPr>
              <w:jc w:val="center"/>
              <w:ind w:right="728"/>
              <w:spacing w:after="0"/>
              <w:rPr>
                <w:sz w:val="20"/>
                <w:szCs w:val="20"/>
                <w:color w:val="auto"/>
              </w:rPr>
            </w:pPr>
            <w:r>
              <w:rPr>
                <w:rFonts w:ascii="Arial" w:cs="Arial" w:eastAsia="Arial" w:hAnsi="Arial"/>
                <w:sz w:val="14"/>
                <w:szCs w:val="14"/>
                <w:b w:val="1"/>
                <w:bCs w:val="1"/>
                <w:color w:val="auto"/>
              </w:rPr>
              <w:t>(650) 493-9300</w:t>
            </w:r>
          </w:p>
        </w:tc>
        <w:tc>
          <w:tcPr>
            <w:tcW w:w="3640" w:type="dxa"/>
            <w:vAlign w:val="bottom"/>
          </w:tcPr>
          <w:p>
            <w:pPr>
              <w:jc w:val="center"/>
              <w:ind w:right="28"/>
              <w:spacing w:after="0"/>
              <w:rPr>
                <w:sz w:val="20"/>
                <w:szCs w:val="20"/>
                <w:color w:val="auto"/>
              </w:rPr>
            </w:pPr>
            <w:r>
              <w:rPr>
                <w:rFonts w:ascii="Arial" w:cs="Arial" w:eastAsia="Arial" w:hAnsi="Arial"/>
                <w:sz w:val="14"/>
                <w:szCs w:val="14"/>
                <w:b w:val="1"/>
                <w:bCs w:val="1"/>
                <w:color w:val="auto"/>
              </w:rPr>
              <w:t>(609) 642-6670</w:t>
            </w:r>
          </w:p>
        </w:tc>
        <w:tc>
          <w:tcPr>
            <w:tcW w:w="2480" w:type="dxa"/>
            <w:vAlign w:val="bottom"/>
          </w:tcPr>
          <w:p>
            <w:pPr>
              <w:jc w:val="center"/>
              <w:ind w:left="848"/>
              <w:spacing w:after="0"/>
              <w:rPr>
                <w:sz w:val="20"/>
                <w:szCs w:val="20"/>
                <w:color w:val="auto"/>
              </w:rPr>
            </w:pPr>
            <w:r>
              <w:rPr>
                <w:rFonts w:ascii="Arial" w:cs="Arial" w:eastAsia="Arial" w:hAnsi="Arial"/>
                <w:sz w:val="14"/>
                <w:szCs w:val="14"/>
                <w:b w:val="1"/>
                <w:bCs w:val="1"/>
                <w:color w:val="auto"/>
              </w:rPr>
              <w:t>(650) 328-4600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138430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4"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64" w:lineRule="exact"/>
        <w:rPr>
          <w:sz w:val="24"/>
          <w:szCs w:val="24"/>
          <w:color w:val="auto"/>
        </w:rPr>
      </w:pPr>
    </w:p>
    <w:p>
      <w:pPr>
        <w:ind w:left="120" w:right="20" w:firstLine="551"/>
        <w:spacing w:after="0" w:line="184"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37" w:lineRule="exact"/>
        <w:rPr>
          <w:sz w:val="24"/>
          <w:szCs w:val="24"/>
          <w:color w:val="auto"/>
        </w:rPr>
      </w:pPr>
    </w:p>
    <w:p>
      <w:pPr>
        <w:ind w:left="120" w:right="520" w:firstLine="551"/>
        <w:spacing w:after="0" w:line="184"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7" w:lineRule="exact"/>
        <w:rPr>
          <w:sz w:val="24"/>
          <w:szCs w:val="24"/>
          <w:color w:val="auto"/>
        </w:rPr>
      </w:pPr>
    </w:p>
    <w:p>
      <w:pPr>
        <w:ind w:left="120" w:right="400" w:firstLine="551"/>
        <w:spacing w:after="0" w:line="184"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51" w:lineRule="exact"/>
        <w:rPr>
          <w:sz w:val="24"/>
          <w:szCs w:val="24"/>
          <w:color w:val="auto"/>
        </w:rPr>
      </w:pPr>
    </w:p>
    <w:p>
      <w:pPr>
        <w:ind w:left="120" w:right="400" w:firstLine="551"/>
        <w:spacing w:after="0" w:line="184"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37" w:lineRule="exact"/>
        <w:rPr>
          <w:sz w:val="24"/>
          <w:szCs w:val="24"/>
          <w:color w:val="auto"/>
        </w:rPr>
      </w:pPr>
    </w:p>
    <w:p>
      <w:pPr>
        <w:ind w:left="120" w:right="300" w:firstLine="551"/>
        <w:spacing w:after="0" w:line="26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120" w:type="dxa"/>
        <w:tblCellMar>
          <w:top w:w="0" w:type="dxa"/>
          <w:left w:w="0" w:type="dxa"/>
          <w:bottom w:w="0" w:type="dxa"/>
          <w:right w:w="0" w:type="dxa"/>
        </w:tblCellMar>
      </w:tblPr>
      <w:tr>
        <w:trPr>
          <w:trHeight w:val="175"/>
        </w:trPr>
        <w:tc>
          <w:tcPr>
            <w:tcW w:w="17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56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120"/>
              <w:spacing w:after="0"/>
              <w:rPr>
                <w:sz w:val="20"/>
                <w:szCs w:val="20"/>
                <w:color w:val="auto"/>
              </w:rPr>
            </w:pPr>
            <w:r>
              <w:rPr>
                <w:rFonts w:ascii="Arial" w:cs="Arial" w:eastAsia="Arial" w:hAnsi="Arial"/>
                <w:sz w:val="14"/>
                <w:szCs w:val="14"/>
                <w:color w:val="auto"/>
              </w:rPr>
              <w:t>Accelerated filer</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75"/>
        </w:trPr>
        <w:tc>
          <w:tcPr>
            <w:tcW w:w="1700" w:type="dxa"/>
            <w:vAlign w:val="bottom"/>
          </w:tcPr>
          <w:p>
            <w:pPr>
              <w:spacing w:after="0"/>
              <w:rPr>
                <w:sz w:val="20"/>
                <w:szCs w:val="20"/>
                <w:color w:val="auto"/>
              </w:rPr>
            </w:pPr>
            <w:r>
              <w:rPr>
                <w:rFonts w:ascii="Arial" w:cs="Arial" w:eastAsia="Arial" w:hAnsi="Arial"/>
                <w:sz w:val="14"/>
                <w:szCs w:val="14"/>
                <w:color w:val="auto"/>
              </w:rPr>
              <w:t>Non-accelerated filer</w:t>
            </w:r>
          </w:p>
        </w:tc>
        <w:tc>
          <w:tcPr>
            <w:tcW w:w="356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5180" w:type="dxa"/>
            <w:vAlign w:val="bottom"/>
          </w:tcPr>
          <w:p>
            <w:pPr>
              <w:ind w:left="3120"/>
              <w:spacing w:after="0"/>
              <w:rPr>
                <w:sz w:val="20"/>
                <w:szCs w:val="20"/>
                <w:color w:val="auto"/>
              </w:rPr>
            </w:pPr>
            <w:r>
              <w:rPr>
                <w:rFonts w:ascii="Arial" w:cs="Arial" w:eastAsia="Arial" w:hAnsi="Arial"/>
                <w:sz w:val="14"/>
                <w:szCs w:val="14"/>
                <w:color w:val="auto"/>
              </w:rPr>
              <w:t>Smaller reporting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6"/>
        </w:trPr>
        <w:tc>
          <w:tcPr>
            <w:tcW w:w="17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5180" w:type="dxa"/>
            <w:vAlign w:val="bottom"/>
          </w:tcPr>
          <w:p>
            <w:pPr>
              <w:ind w:left="3120"/>
              <w:spacing w:after="0"/>
              <w:rPr>
                <w:sz w:val="20"/>
                <w:szCs w:val="20"/>
                <w:color w:val="auto"/>
              </w:rPr>
            </w:pPr>
            <w:r>
              <w:rPr>
                <w:rFonts w:ascii="Arial" w:cs="Arial" w:eastAsia="Arial" w:hAnsi="Arial"/>
                <w:sz w:val="14"/>
                <w:szCs w:val="14"/>
                <w:color w:val="auto"/>
              </w:rPr>
              <w:t>Emerging growth company</w:t>
            </w:r>
          </w:p>
        </w:tc>
        <w:tc>
          <w:tcPr>
            <w:tcW w:w="480" w:type="dxa"/>
            <w:vAlign w:val="bottom"/>
          </w:tcPr>
          <w:p>
            <w:pPr>
              <w:ind w:left="3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7" w:lineRule="exact"/>
        <w:rPr>
          <w:sz w:val="24"/>
          <w:szCs w:val="24"/>
          <w:color w:val="auto"/>
        </w:rPr>
      </w:pPr>
    </w:p>
    <w:p>
      <w:pPr>
        <w:jc w:val="both"/>
        <w:ind w:left="120" w:right="120" w:firstLine="551"/>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143510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2"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CALCULATION OF REGISTRATION FEE</w:t>
      </w:r>
    </w:p>
    <w:p>
      <w:pPr>
        <w:spacing w:after="0" w:line="77" w:lineRule="exact"/>
        <w:rPr>
          <w:sz w:val="24"/>
          <w:szCs w:val="24"/>
          <w:color w:val="auto"/>
        </w:rPr>
      </w:pPr>
    </w:p>
    <w:tbl>
      <w:tblPr>
        <w:tblLayout w:type="fixed"/>
        <w:tblInd w:w="120" w:type="dxa"/>
        <w:tblCellMar>
          <w:top w:w="0" w:type="dxa"/>
          <w:left w:w="0" w:type="dxa"/>
          <w:bottom w:w="0" w:type="dxa"/>
          <w:right w:w="0" w:type="dxa"/>
        </w:tblCellMar>
      </w:tblPr>
      <w:tr>
        <w:trPr>
          <w:trHeight w:val="40"/>
        </w:trPr>
        <w:tc>
          <w:tcPr>
            <w:tcW w:w="7080" w:type="dxa"/>
            <w:vAlign w:val="bottom"/>
            <w:tcBorders>
              <w:top w:val="single" w:sz="8" w:color="auto"/>
              <w:bottom w:val="single" w:sz="8" w:color="auto"/>
            </w:tcBorders>
          </w:tcPr>
          <w:p>
            <w:pPr>
              <w:spacing w:after="0"/>
              <w:rPr>
                <w:sz w:val="3"/>
                <w:szCs w:val="3"/>
                <w:color w:val="auto"/>
              </w:rPr>
            </w:pPr>
          </w:p>
        </w:tc>
        <w:tc>
          <w:tcPr>
            <w:tcW w:w="2080" w:type="dxa"/>
            <w:vAlign w:val="bottom"/>
            <w:tcBorders>
              <w:top w:val="single" w:sz="8" w:color="auto"/>
              <w:bottom w:val="single" w:sz="8" w:color="auto"/>
            </w:tcBorders>
          </w:tcPr>
          <w:p>
            <w:pPr>
              <w:spacing w:after="0"/>
              <w:rPr>
                <w:sz w:val="3"/>
                <w:szCs w:val="3"/>
                <w:color w:val="auto"/>
              </w:rPr>
            </w:pPr>
          </w:p>
        </w:tc>
        <w:tc>
          <w:tcPr>
            <w:tcW w:w="1860" w:type="dxa"/>
            <w:vAlign w:val="bottom"/>
            <w:tcBorders>
              <w:top w:val="single" w:sz="8" w:color="auto"/>
              <w:bottom w:val="single" w:sz="8" w:color="auto"/>
            </w:tcBorders>
          </w:tcPr>
          <w:p>
            <w:pPr>
              <w:spacing w:after="0"/>
              <w:rPr>
                <w:sz w:val="3"/>
                <w:szCs w:val="3"/>
                <w:color w:val="auto"/>
              </w:rPr>
            </w:pPr>
          </w:p>
        </w:tc>
      </w:tr>
      <w:tr>
        <w:trPr>
          <w:trHeight w:val="127"/>
        </w:trPr>
        <w:tc>
          <w:tcPr>
            <w:tcW w:w="7080" w:type="dxa"/>
            <w:vAlign w:val="bottom"/>
            <w:tcBorders>
              <w:right w:val="single" w:sz="8" w:color="auto"/>
            </w:tcBorders>
          </w:tcPr>
          <w:p>
            <w:pPr>
              <w:spacing w:after="0"/>
              <w:rPr>
                <w:sz w:val="11"/>
                <w:szCs w:val="11"/>
                <w:color w:val="auto"/>
              </w:rPr>
            </w:pPr>
          </w:p>
        </w:tc>
        <w:tc>
          <w:tcPr>
            <w:tcW w:w="2080" w:type="dxa"/>
            <w:vAlign w:val="bottom"/>
            <w:tcBorders>
              <w:right w:val="single" w:sz="8" w:color="auto"/>
            </w:tcBorders>
          </w:tcPr>
          <w:p>
            <w:pPr>
              <w:jc w:val="center"/>
              <w:ind w:left="9"/>
              <w:spacing w:after="0" w:line="127" w:lineRule="exact"/>
              <w:rPr>
                <w:sz w:val="20"/>
                <w:szCs w:val="20"/>
                <w:color w:val="auto"/>
              </w:rPr>
            </w:pPr>
            <w:r>
              <w:rPr>
                <w:rFonts w:ascii="Arial" w:cs="Arial" w:eastAsia="Arial" w:hAnsi="Arial"/>
                <w:sz w:val="14"/>
                <w:szCs w:val="14"/>
                <w:b w:val="1"/>
                <w:bCs w:val="1"/>
                <w:color w:val="auto"/>
              </w:rPr>
              <w:t>Proposed Maximum</w:t>
            </w:r>
          </w:p>
        </w:tc>
        <w:tc>
          <w:tcPr>
            <w:tcW w:w="1860" w:type="dxa"/>
            <w:vAlign w:val="bottom"/>
          </w:tcPr>
          <w:p>
            <w:pPr>
              <w:spacing w:after="0"/>
              <w:rPr>
                <w:sz w:val="11"/>
                <w:szCs w:val="11"/>
                <w:color w:val="auto"/>
              </w:rPr>
            </w:pPr>
          </w:p>
        </w:tc>
      </w:tr>
      <w:tr>
        <w:trPr>
          <w:trHeight w:val="159"/>
        </w:trPr>
        <w:tc>
          <w:tcPr>
            <w:tcW w:w="7080" w:type="dxa"/>
            <w:vAlign w:val="bottom"/>
            <w:tcBorders>
              <w:right w:val="single" w:sz="8" w:color="auto"/>
            </w:tcBorders>
          </w:tcPr>
          <w:p>
            <w:pPr>
              <w:jc w:val="center"/>
              <w:spacing w:after="0" w:line="159" w:lineRule="exact"/>
              <w:rPr>
                <w:sz w:val="20"/>
                <w:szCs w:val="20"/>
                <w:color w:val="auto"/>
              </w:rPr>
            </w:pPr>
            <w:r>
              <w:rPr>
                <w:rFonts w:ascii="Arial" w:cs="Arial" w:eastAsia="Arial" w:hAnsi="Arial"/>
                <w:sz w:val="14"/>
                <w:szCs w:val="14"/>
                <w:b w:val="1"/>
                <w:bCs w:val="1"/>
                <w:color w:val="auto"/>
              </w:rPr>
              <w:t>Title of Each Class of</w:t>
            </w:r>
          </w:p>
        </w:tc>
        <w:tc>
          <w:tcPr>
            <w:tcW w:w="2080" w:type="dxa"/>
            <w:vAlign w:val="bottom"/>
            <w:tcBorders>
              <w:right w:val="single" w:sz="8" w:color="auto"/>
            </w:tcBorders>
          </w:tcPr>
          <w:p>
            <w:pPr>
              <w:jc w:val="center"/>
              <w:ind w:left="9"/>
              <w:spacing w:after="0" w:line="159" w:lineRule="exact"/>
              <w:rPr>
                <w:sz w:val="20"/>
                <w:szCs w:val="20"/>
                <w:color w:val="auto"/>
              </w:rPr>
            </w:pPr>
            <w:r>
              <w:rPr>
                <w:rFonts w:ascii="Arial" w:cs="Arial" w:eastAsia="Arial" w:hAnsi="Arial"/>
                <w:sz w:val="14"/>
                <w:szCs w:val="14"/>
                <w:b w:val="1"/>
                <w:bCs w:val="1"/>
                <w:color w:val="auto"/>
              </w:rPr>
              <w:t>Aggregate</w:t>
            </w:r>
          </w:p>
        </w:tc>
        <w:tc>
          <w:tcPr>
            <w:tcW w:w="1860" w:type="dxa"/>
            <w:vAlign w:val="bottom"/>
          </w:tcPr>
          <w:p>
            <w:pPr>
              <w:jc w:val="center"/>
              <w:ind w:left="28"/>
              <w:spacing w:after="0" w:line="159" w:lineRule="exact"/>
              <w:rPr>
                <w:sz w:val="20"/>
                <w:szCs w:val="20"/>
                <w:color w:val="auto"/>
              </w:rPr>
            </w:pPr>
            <w:r>
              <w:rPr>
                <w:rFonts w:ascii="Arial" w:cs="Arial" w:eastAsia="Arial" w:hAnsi="Arial"/>
                <w:sz w:val="14"/>
                <w:szCs w:val="14"/>
                <w:b w:val="1"/>
                <w:bCs w:val="1"/>
                <w:color w:val="auto"/>
              </w:rPr>
              <w:t>Amount of</w:t>
            </w:r>
          </w:p>
        </w:tc>
      </w:tr>
      <w:tr>
        <w:trPr>
          <w:trHeight w:val="194"/>
        </w:trPr>
        <w:tc>
          <w:tcPr>
            <w:tcW w:w="7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Securities to be Registered</w:t>
            </w:r>
          </w:p>
        </w:tc>
        <w:tc>
          <w:tcPr>
            <w:tcW w:w="2080" w:type="dxa"/>
            <w:vAlign w:val="bottom"/>
            <w:tcBorders>
              <w:bottom w:val="single" w:sz="8" w:color="auto"/>
              <w:right w:val="single" w:sz="8" w:color="auto"/>
            </w:tcBorders>
          </w:tcPr>
          <w:p>
            <w:pPr>
              <w:jc w:val="center"/>
              <w:ind w:left="9"/>
              <w:spacing w:after="0" w:line="194" w:lineRule="exact"/>
              <w:rPr>
                <w:sz w:val="20"/>
                <w:szCs w:val="20"/>
                <w:color w:val="auto"/>
              </w:rPr>
            </w:pPr>
            <w:r>
              <w:rPr>
                <w:rFonts w:ascii="Arial" w:cs="Arial" w:eastAsia="Arial" w:hAnsi="Arial"/>
                <w:sz w:val="13"/>
                <w:szCs w:val="13"/>
                <w:b w:val="1"/>
                <w:bCs w:val="1"/>
                <w:color w:val="auto"/>
              </w:rPr>
              <w:t>Offering Price</w:t>
            </w:r>
            <w:r>
              <w:rPr>
                <w:rFonts w:ascii="Arial" w:cs="Arial" w:eastAsia="Arial" w:hAnsi="Arial"/>
                <w:sz w:val="22"/>
                <w:szCs w:val="22"/>
                <w:b w:val="1"/>
                <w:bCs w:val="1"/>
                <w:color w:val="auto"/>
                <w:vertAlign w:val="superscript"/>
              </w:rPr>
              <w:t>(1)(2)</w:t>
            </w:r>
          </w:p>
        </w:tc>
        <w:tc>
          <w:tcPr>
            <w:tcW w:w="18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rPr>
              <w:t>Registration Fee</w:t>
            </w:r>
          </w:p>
        </w:tc>
      </w:tr>
      <w:tr>
        <w:trPr>
          <w:trHeight w:val="156"/>
        </w:trPr>
        <w:tc>
          <w:tcPr>
            <w:tcW w:w="7080" w:type="dxa"/>
            <w:vAlign w:val="bottom"/>
            <w:tcBorders>
              <w:bottom w:val="single" w:sz="8" w:color="auto"/>
              <w:right w:val="single" w:sz="8" w:color="auto"/>
            </w:tcBorders>
          </w:tcPr>
          <w:p>
            <w:pPr>
              <w:spacing w:after="0" w:line="155" w:lineRule="exact"/>
              <w:rPr>
                <w:sz w:val="20"/>
                <w:szCs w:val="20"/>
                <w:color w:val="auto"/>
              </w:rPr>
            </w:pPr>
            <w:r>
              <w:rPr>
                <w:rFonts w:ascii="Arial" w:cs="Arial" w:eastAsia="Arial" w:hAnsi="Arial"/>
                <w:sz w:val="14"/>
                <w:szCs w:val="14"/>
                <w:color w:val="auto"/>
              </w:rPr>
              <w:t>Common Stock $0.00001 par value per share</w:t>
            </w:r>
          </w:p>
        </w:tc>
        <w:tc>
          <w:tcPr>
            <w:tcW w:w="2080" w:type="dxa"/>
            <w:vAlign w:val="bottom"/>
            <w:tcBorders>
              <w:bottom w:val="single" w:sz="8" w:color="auto"/>
              <w:right w:val="single" w:sz="8" w:color="auto"/>
            </w:tcBorders>
          </w:tcPr>
          <w:p>
            <w:pPr>
              <w:jc w:val="center"/>
              <w:ind w:left="9"/>
              <w:spacing w:after="0" w:line="155" w:lineRule="exact"/>
              <w:rPr>
                <w:sz w:val="20"/>
                <w:szCs w:val="20"/>
                <w:color w:val="auto"/>
              </w:rPr>
            </w:pPr>
            <w:r>
              <w:rPr>
                <w:rFonts w:ascii="Arial" w:cs="Arial" w:eastAsia="Arial" w:hAnsi="Arial"/>
                <w:sz w:val="14"/>
                <w:szCs w:val="14"/>
                <w:color w:val="auto"/>
              </w:rPr>
              <w:t>$100,000,000</w:t>
            </w:r>
          </w:p>
        </w:tc>
        <w:tc>
          <w:tcPr>
            <w:tcW w:w="1860" w:type="dxa"/>
            <w:vAlign w:val="bottom"/>
            <w:tcBorders>
              <w:bottom w:val="single" w:sz="8" w:color="auto"/>
            </w:tcBorders>
          </w:tcPr>
          <w:p>
            <w:pPr>
              <w:jc w:val="center"/>
              <w:ind w:left="28"/>
              <w:spacing w:after="0" w:line="155" w:lineRule="exact"/>
              <w:rPr>
                <w:sz w:val="20"/>
                <w:szCs w:val="20"/>
                <w:color w:val="auto"/>
              </w:rPr>
            </w:pPr>
            <w:r>
              <w:rPr>
                <w:rFonts w:ascii="Arial" w:cs="Arial" w:eastAsia="Arial" w:hAnsi="Arial"/>
                <w:sz w:val="14"/>
                <w:szCs w:val="14"/>
                <w:color w:val="auto"/>
              </w:rPr>
              <w:t>$12,980</w:t>
            </w:r>
          </w:p>
        </w:tc>
      </w:tr>
      <w:tr>
        <w:trPr>
          <w:trHeight w:val="20"/>
        </w:trPr>
        <w:tc>
          <w:tcPr>
            <w:tcW w:w="70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ind w:left="660" w:hanging="544"/>
        <w:spacing w:after="0" w:line="188" w:lineRule="auto"/>
        <w:tabs>
          <w:tab w:leader="none" w:pos="660" w:val="left"/>
        </w:tabs>
        <w:numPr>
          <w:ilvl w:val="0"/>
          <w:numId w:val="1"/>
        </w:numPr>
        <w:rPr>
          <w:rFonts w:ascii="Arial" w:cs="Arial" w:eastAsia="Arial" w:hAnsi="Arial"/>
          <w:sz w:val="20"/>
          <w:szCs w:val="20"/>
          <w:color w:val="auto"/>
          <w:vertAlign w:val="superscript"/>
        </w:rPr>
      </w:pPr>
      <w:r>
        <w:rPr>
          <w:rFonts w:ascii="Arial" w:cs="Arial" w:eastAsia="Arial" w:hAnsi="Arial"/>
          <w:sz w:val="12"/>
          <w:szCs w:val="12"/>
          <w:color w:val="auto"/>
        </w:rPr>
        <w:t>Includes offering price of any additional shares of common stock that the underwriters have the option to purchase.</w:t>
      </w:r>
    </w:p>
    <w:p>
      <w:pPr>
        <w:ind w:left="660" w:hanging="544"/>
        <w:spacing w:after="0" w:line="183" w:lineRule="auto"/>
        <w:tabs>
          <w:tab w:leader="none" w:pos="660" w:val="left"/>
        </w:tabs>
        <w:numPr>
          <w:ilvl w:val="0"/>
          <w:numId w:val="1"/>
        </w:numPr>
        <w:rPr>
          <w:rFonts w:ascii="Arial" w:cs="Arial" w:eastAsia="Arial" w:hAnsi="Arial"/>
          <w:sz w:val="20"/>
          <w:szCs w:val="20"/>
          <w:color w:val="auto"/>
          <w:vertAlign w:val="superscript"/>
        </w:rPr>
      </w:pPr>
      <w:r>
        <w:rPr>
          <w:rFonts w:ascii="Arial" w:cs="Arial" w:eastAsia="Arial" w:hAnsi="Arial"/>
          <w:sz w:val="12"/>
          <w:szCs w:val="12"/>
          <w:color w:val="auto"/>
        </w:rPr>
        <w:t>Estimated solely for the purpose of calculating the registration fee pursuant to Rule 457(o) under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133985</wp:posOffset>
            </wp:positionV>
            <wp:extent cx="14744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71" w:lineRule="exact"/>
        <w:rPr>
          <w:sz w:val="24"/>
          <w:szCs w:val="24"/>
          <w:color w:val="auto"/>
        </w:rPr>
      </w:pPr>
    </w:p>
    <w:p>
      <w:pPr>
        <w:ind w:left="120" w:right="140" w:firstLine="551"/>
        <w:spacing w:after="0" w:line="261"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62230</wp:posOffset>
            </wp:positionV>
            <wp:extent cx="69951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104775</wp:posOffset>
            </wp:positionV>
            <wp:extent cx="699516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226" w:right="439" w:bottom="950"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CC062A"/>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PRELIMINARY PROSPECTUS</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CC062A"/>
        </w:rPr>
        <w:t>SUBJECT TO COMPLETION, DATED SEPTEMBER 4, 2020</w:t>
      </w:r>
    </w:p>
    <w:p>
      <w:pPr>
        <w:spacing w:after="0" w:line="206" w:lineRule="exact"/>
        <w:rPr>
          <w:sz w:val="20"/>
          <w:szCs w:val="20"/>
          <w:color w:val="auto"/>
        </w:rPr>
      </w:pPr>
    </w:p>
    <w:p>
      <w:pPr>
        <w:ind w:left="5680"/>
        <w:spacing w:after="0"/>
        <w:rPr>
          <w:sz w:val="20"/>
          <w:szCs w:val="20"/>
          <w:color w:val="auto"/>
        </w:rPr>
      </w:pPr>
      <w:r>
        <w:rPr>
          <w:rFonts w:ascii="Arial" w:cs="Arial" w:eastAsia="Arial" w:hAnsi="Arial"/>
          <w:sz w:val="25"/>
          <w:szCs w:val="25"/>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179705</wp:posOffset>
            </wp:positionV>
            <wp:extent cx="3394710" cy="65976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9471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99"/>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257175</wp:posOffset>
            </wp:positionV>
            <wp:extent cx="1474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This is an initial public offering of shares of common stock of PMV Pharmaceuticals, Inc. All of the are being sold by the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shares of common stock</w:t>
      </w:r>
    </w:p>
    <w:p>
      <w:pPr>
        <w:spacing w:after="0" w:line="414" w:lineRule="exact"/>
        <w:rPr>
          <w:sz w:val="20"/>
          <w:szCs w:val="20"/>
          <w:color w:val="auto"/>
        </w:rPr>
      </w:pPr>
    </w:p>
    <w:p>
      <w:pPr>
        <w:sectPr>
          <w:pgSz w:w="11900" w:h="16838" w:orient="portrait"/>
          <w:cols w:equalWidth="0" w:num="2">
            <w:col w:w="8420" w:space="700"/>
            <w:col w:w="2020"/>
          </w:cols>
          <w:pgMar w:left="320" w:top="455" w:right="439" w:bottom="1440" w:gutter="0" w:footer="0" w:header="0"/>
          <w:type w:val="continuous"/>
        </w:sectPr>
      </w:pPr>
    </w:p>
    <w:p>
      <w:pPr>
        <w:ind w:left="660"/>
        <w:spacing w:after="0"/>
        <w:rPr>
          <w:sz w:val="20"/>
          <w:szCs w:val="20"/>
          <w:color w:val="auto"/>
        </w:rPr>
      </w:pPr>
      <w:r>
        <w:rPr>
          <w:rFonts w:ascii="Arial" w:cs="Arial" w:eastAsia="Arial" w:hAnsi="Arial"/>
          <w:sz w:val="18"/>
          <w:szCs w:val="18"/>
          <w:color w:val="auto"/>
        </w:rPr>
        <w:t>Prior to this offering, there has been no public market for our common stock. We estimate that the initial public offering price of our</w:t>
      </w:r>
    </w:p>
    <w:p>
      <w:pPr>
        <w:spacing w:after="0" w:line="18" w:lineRule="exact"/>
        <w:rPr>
          <w:sz w:val="20"/>
          <w:szCs w:val="20"/>
          <w:color w:val="auto"/>
        </w:rPr>
      </w:pPr>
    </w:p>
    <w:p>
      <w:pPr>
        <w:ind w:left="120" w:right="100"/>
        <w:spacing w:after="0" w:line="250" w:lineRule="auto"/>
        <w:rPr>
          <w:sz w:val="20"/>
          <w:szCs w:val="20"/>
          <w:color w:val="auto"/>
        </w:rPr>
      </w:pPr>
      <w:r>
        <w:rPr>
          <w:rFonts w:ascii="Arial" w:cs="Arial" w:eastAsia="Arial" w:hAnsi="Arial"/>
          <w:sz w:val="18"/>
          <w:szCs w:val="18"/>
          <w:color w:val="auto"/>
        </w:rPr>
        <w:t>common stock will be between $ and $ per share. We have applied to list our common stock on the Nasdaq Global Market under the symbol “PMVP.”</w:t>
      </w:r>
    </w:p>
    <w:p>
      <w:pPr>
        <w:spacing w:after="0" w:line="168" w:lineRule="exact"/>
        <w:rPr>
          <w:sz w:val="20"/>
          <w:szCs w:val="20"/>
          <w:color w:val="auto"/>
        </w:rPr>
      </w:pPr>
    </w:p>
    <w:p>
      <w:pPr>
        <w:ind w:left="120" w:right="460" w:firstLine="551"/>
        <w:spacing w:after="0" w:line="276" w:lineRule="auto"/>
        <w:rPr>
          <w:sz w:val="20"/>
          <w:szCs w:val="20"/>
          <w:color w:val="auto"/>
        </w:rPr>
      </w:pPr>
      <w:r>
        <w:rPr>
          <w:rFonts w:ascii="Arial" w:cs="Arial" w:eastAsia="Arial" w:hAnsi="Arial"/>
          <w:sz w:val="18"/>
          <w:szCs w:val="18"/>
          <w:color w:val="auto"/>
        </w:rPr>
        <w:t>We are an “emerging growth company” as defined under the federal securities laws and, as such, have elected to comply with certain reduced reporting requirements for this prospectus and may elect to do so in future 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192405</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120" w:right="40" w:firstLine="551"/>
        <w:spacing w:after="0" w:line="274" w:lineRule="auto"/>
        <w:rPr>
          <w:rFonts w:ascii="Arial" w:cs="Arial" w:eastAsia="Arial" w:hAnsi="Arial"/>
          <w:sz w:val="18"/>
          <w:szCs w:val="18"/>
          <w:i w:val="1"/>
          <w:iCs w:val="1"/>
          <w:color w:val="auto"/>
        </w:rPr>
      </w:pPr>
      <w:r>
        <w:rPr>
          <w:rFonts w:ascii="Arial" w:cs="Arial" w:eastAsia="Arial" w:hAnsi="Arial"/>
          <w:sz w:val="18"/>
          <w:szCs w:val="18"/>
          <w:i w:val="1"/>
          <w:iCs w:val="1"/>
          <w:color w:val="auto"/>
        </w:rPr>
        <w:t>Investing in our common stock involves a high degree of risk. Before buying any shares, you should read carefully the discussion of the material risks of investing in our common stock under the heading “</w:t>
      </w:r>
      <w:hyperlink w:anchor="page16">
        <w:r>
          <w:rPr>
            <w:rFonts w:ascii="Arial" w:cs="Arial" w:eastAsia="Arial" w:hAnsi="Arial"/>
            <w:sz w:val="18"/>
            <w:szCs w:val="18"/>
            <w:i w:val="1"/>
            <w:iCs w:val="1"/>
            <w:u w:val="single" w:color="auto"/>
            <w:color w:val="0000EE"/>
          </w:rPr>
          <w:t>Risk Factors</w:t>
        </w:r>
      </w:hyperlink>
      <w:r>
        <w:rPr>
          <w:rFonts w:ascii="Arial" w:cs="Arial" w:eastAsia="Arial" w:hAnsi="Arial"/>
          <w:sz w:val="18"/>
          <w:szCs w:val="18"/>
          <w:i w:val="1"/>
          <w:iCs w:val="1"/>
          <w:color w:val="auto"/>
        </w:rPr>
        <w:t>” starting on page 12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193040</wp:posOffset>
            </wp:positionV>
            <wp:extent cx="14744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both"/>
        <w:ind w:left="120" w:right="220" w:firstLine="551"/>
        <w:spacing w:after="0" w:line="261"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204470</wp:posOffset>
            </wp:positionV>
            <wp:extent cx="1474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2" w:lineRule="exact"/>
        <w:rPr>
          <w:sz w:val="20"/>
          <w:szCs w:val="20"/>
          <w:color w:val="auto"/>
        </w:rPr>
      </w:pPr>
    </w:p>
    <w:tbl>
      <w:tblPr>
        <w:tblLayout w:type="fixed"/>
        <w:tblInd w:w="120" w:type="dxa"/>
        <w:tblCellMar>
          <w:top w:w="0" w:type="dxa"/>
          <w:left w:w="0" w:type="dxa"/>
          <w:bottom w:w="0" w:type="dxa"/>
          <w:right w:w="0" w:type="dxa"/>
        </w:tblCellMar>
      </w:tblPr>
      <w:tr>
        <w:trPr>
          <w:trHeight w:val="225"/>
        </w:trPr>
        <w:tc>
          <w:tcPr>
            <w:tcW w:w="61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6"/>
              </w:rPr>
              <w:t>Per Share</w:t>
            </w:r>
          </w:p>
        </w:tc>
        <w:tc>
          <w:tcPr>
            <w:tcW w:w="460" w:type="dxa"/>
            <w:vAlign w:val="bottom"/>
          </w:tcPr>
          <w:p>
            <w:pPr>
              <w:spacing w:after="0"/>
              <w:rPr>
                <w:sz w:val="19"/>
                <w:szCs w:val="19"/>
                <w:color w:val="auto"/>
              </w:rPr>
            </w:pPr>
          </w:p>
        </w:tc>
        <w:tc>
          <w:tcPr>
            <w:tcW w:w="840" w:type="dxa"/>
            <w:vAlign w:val="bottom"/>
            <w:gridSpan w:val="2"/>
          </w:tcPr>
          <w:p>
            <w:pPr>
              <w:ind w:left="200"/>
              <w:spacing w:after="0"/>
              <w:rPr>
                <w:sz w:val="20"/>
                <w:szCs w:val="20"/>
                <w:color w:val="auto"/>
              </w:rPr>
            </w:pPr>
            <w:r>
              <w:rPr>
                <w:rFonts w:ascii="Arial" w:cs="Arial" w:eastAsia="Arial" w:hAnsi="Arial"/>
                <w:sz w:val="18"/>
                <w:szCs w:val="18"/>
                <w:color w:val="auto"/>
              </w:rPr>
              <w:t>Total</w:t>
            </w:r>
          </w:p>
        </w:tc>
      </w:tr>
      <w:tr>
        <w:trPr>
          <w:trHeight w:val="196"/>
        </w:trPr>
        <w:tc>
          <w:tcPr>
            <w:tcW w:w="6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Initial public offering price</w:t>
            </w:r>
          </w:p>
        </w:tc>
        <w:tc>
          <w:tcPr>
            <w:tcW w:w="274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ind w:right="630"/>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590"/>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6160" w:type="dxa"/>
            <w:vAlign w:val="bottom"/>
          </w:tcPr>
          <w:p>
            <w:pPr>
              <w:spacing w:after="0" w:line="202" w:lineRule="exact"/>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3560" w:type="dxa"/>
            <w:vAlign w:val="bottom"/>
            <w:gridSpan w:val="2"/>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6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before expenses, to us</w:t>
            </w:r>
          </w:p>
        </w:tc>
        <w:tc>
          <w:tcPr>
            <w:tcW w:w="3560" w:type="dxa"/>
            <w:vAlign w:val="bottom"/>
            <w:gridSpan w:val="2"/>
            <w:shd w:val="clear" w:color="auto" w:fill="CCEEFF"/>
          </w:tcPr>
          <w:p>
            <w:pPr>
              <w:jc w:val="right"/>
              <w:ind w:right="63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9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4" w:lineRule="exact"/>
        <w:rPr>
          <w:sz w:val="20"/>
          <w:szCs w:val="20"/>
          <w:color w:val="auto"/>
        </w:rPr>
      </w:pPr>
    </w:p>
    <w:p>
      <w:pPr>
        <w:ind w:left="540" w:hanging="424"/>
        <w:spacing w:after="0"/>
        <w:tabs>
          <w:tab w:leader="none" w:pos="540" w:val="left"/>
        </w:tabs>
        <w:numPr>
          <w:ilvl w:val="0"/>
          <w:numId w:val="2"/>
        </w:numPr>
        <w:rPr>
          <w:rFonts w:ascii="Arial" w:cs="Arial" w:eastAsia="Arial" w:hAnsi="Arial"/>
          <w:sz w:val="24"/>
          <w:szCs w:val="24"/>
          <w:color w:val="auto"/>
          <w:vertAlign w:val="superscript"/>
        </w:rPr>
      </w:pPr>
      <w:r>
        <w:rPr>
          <w:rFonts w:ascii="Arial" w:cs="Arial" w:eastAsia="Arial" w:hAnsi="Arial"/>
          <w:sz w:val="14"/>
          <w:szCs w:val="14"/>
          <w:color w:val="auto"/>
        </w:rPr>
        <w:t>See the section titled “Underwriting” beginning on page 200 for additional information regarding compensation payable to the underwriters.</w:t>
      </w:r>
    </w:p>
    <w:p>
      <w:pPr>
        <w:spacing w:after="0" w:line="17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940" w:type="dxa"/>
            <w:vAlign w:val="bottom"/>
            <w:gridSpan w:val="6"/>
          </w:tcPr>
          <w:p>
            <w:pPr>
              <w:ind w:left="540"/>
              <w:spacing w:after="0"/>
              <w:rPr>
                <w:sz w:val="20"/>
                <w:szCs w:val="20"/>
                <w:color w:val="auto"/>
              </w:rPr>
            </w:pPr>
            <w:r>
              <w:rPr>
                <w:rFonts w:ascii="Arial" w:cs="Arial" w:eastAsia="Arial" w:hAnsi="Arial"/>
                <w:sz w:val="18"/>
                <w:szCs w:val="18"/>
                <w:color w:val="auto"/>
              </w:rPr>
              <w:t>We have granted the underwriters an option for a period of 30 days to purchase up to an additional</w:t>
            </w:r>
          </w:p>
        </w:tc>
        <w:tc>
          <w:tcPr>
            <w:tcW w:w="2080" w:type="dxa"/>
            <w:vAlign w:val="bottom"/>
          </w:tcPr>
          <w:p>
            <w:pPr>
              <w:ind w:left="160"/>
              <w:spacing w:after="0"/>
              <w:rPr>
                <w:sz w:val="20"/>
                <w:szCs w:val="20"/>
                <w:color w:val="auto"/>
              </w:rPr>
            </w:pPr>
            <w:r>
              <w:rPr>
                <w:rFonts w:ascii="Arial" w:cs="Arial" w:eastAsia="Arial" w:hAnsi="Arial"/>
                <w:sz w:val="18"/>
                <w:szCs w:val="18"/>
                <w:color w:val="auto"/>
              </w:rPr>
              <w:t>shares of common</w:t>
            </w:r>
          </w:p>
        </w:tc>
      </w:tr>
      <w:tr>
        <w:trPr>
          <w:trHeight w:val="243"/>
        </w:trPr>
        <w:tc>
          <w:tcPr>
            <w:tcW w:w="7840" w:type="dxa"/>
            <w:vAlign w:val="bottom"/>
            <w:gridSpan w:val="5"/>
          </w:tcPr>
          <w:p>
            <w:pPr>
              <w:spacing w:after="0"/>
              <w:rPr>
                <w:sz w:val="20"/>
                <w:szCs w:val="20"/>
                <w:color w:val="auto"/>
              </w:rPr>
            </w:pPr>
            <w:r>
              <w:rPr>
                <w:rFonts w:ascii="Arial" w:cs="Arial" w:eastAsia="Arial" w:hAnsi="Arial"/>
                <w:sz w:val="18"/>
                <w:szCs w:val="18"/>
                <w:color w:val="auto"/>
              </w:rPr>
              <w:t>stock from us at the initial public offering price, less the underwriting discounts and commissions.</w:t>
            </w:r>
          </w:p>
        </w:tc>
        <w:tc>
          <w:tcPr>
            <w:tcW w:w="110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419"/>
        </w:trPr>
        <w:tc>
          <w:tcPr>
            <w:tcW w:w="7840" w:type="dxa"/>
            <w:vAlign w:val="bottom"/>
            <w:gridSpan w:val="5"/>
          </w:tcPr>
          <w:p>
            <w:pPr>
              <w:ind w:left="540"/>
              <w:spacing w:after="0"/>
              <w:rPr>
                <w:sz w:val="20"/>
                <w:szCs w:val="20"/>
                <w:color w:val="auto"/>
              </w:rPr>
            </w:pPr>
            <w:r>
              <w:rPr>
                <w:rFonts w:ascii="Arial" w:cs="Arial" w:eastAsia="Arial" w:hAnsi="Arial"/>
                <w:sz w:val="18"/>
                <w:szCs w:val="18"/>
                <w:color w:val="auto"/>
              </w:rPr>
              <w:t>The underwriters expect to deliver the shares against payment in New York, New York on</w:t>
            </w:r>
          </w:p>
        </w:tc>
        <w:tc>
          <w:tcPr>
            <w:tcW w:w="1100" w:type="dxa"/>
            <w:vAlign w:val="bottom"/>
          </w:tcPr>
          <w:p>
            <w:pPr>
              <w:jc w:val="right"/>
              <w:ind w:right="57"/>
              <w:spacing w:after="0"/>
              <w:rPr>
                <w:sz w:val="20"/>
                <w:szCs w:val="20"/>
                <w:color w:val="auto"/>
              </w:rPr>
            </w:pPr>
            <w:r>
              <w:rPr>
                <w:rFonts w:ascii="Arial" w:cs="Arial" w:eastAsia="Arial" w:hAnsi="Arial"/>
                <w:sz w:val="18"/>
                <w:szCs w:val="18"/>
                <w:color w:val="auto"/>
              </w:rPr>
              <w:t>, 2020.</w:t>
            </w:r>
          </w:p>
        </w:tc>
        <w:tc>
          <w:tcPr>
            <w:tcW w:w="2080" w:type="dxa"/>
            <w:vAlign w:val="bottom"/>
          </w:tcPr>
          <w:p>
            <w:pPr>
              <w:spacing w:after="0"/>
              <w:rPr>
                <w:sz w:val="24"/>
                <w:szCs w:val="24"/>
                <w:color w:val="auto"/>
              </w:rPr>
            </w:pPr>
          </w:p>
        </w:tc>
      </w:tr>
      <w:tr>
        <w:trPr>
          <w:trHeight w:val="528"/>
        </w:trPr>
        <w:tc>
          <w:tcPr>
            <w:tcW w:w="3480" w:type="dxa"/>
            <w:vAlign w:val="bottom"/>
          </w:tcPr>
          <w:p>
            <w:pPr>
              <w:spacing w:after="0"/>
              <w:rPr>
                <w:sz w:val="20"/>
                <w:szCs w:val="20"/>
                <w:color w:val="auto"/>
              </w:rPr>
            </w:pPr>
            <w:r>
              <w:rPr>
                <w:rFonts w:ascii="Arial" w:cs="Arial" w:eastAsia="Arial" w:hAnsi="Arial"/>
                <w:sz w:val="23"/>
                <w:szCs w:val="23"/>
                <w:b w:val="1"/>
                <w:bCs w:val="1"/>
                <w:color w:val="auto"/>
              </w:rPr>
              <w:t>Goldman Sachs &amp; Co. LLC</w:t>
            </w:r>
          </w:p>
        </w:tc>
        <w:tc>
          <w:tcPr>
            <w:tcW w:w="860" w:type="dxa"/>
            <w:vAlign w:val="bottom"/>
          </w:tcPr>
          <w:p>
            <w:pPr>
              <w:spacing w:after="0"/>
              <w:rPr>
                <w:sz w:val="24"/>
                <w:szCs w:val="24"/>
                <w:color w:val="auto"/>
              </w:rPr>
            </w:pPr>
          </w:p>
        </w:tc>
        <w:tc>
          <w:tcPr>
            <w:tcW w:w="3500" w:type="dxa"/>
            <w:vAlign w:val="bottom"/>
            <w:gridSpan w:val="3"/>
          </w:tcPr>
          <w:p>
            <w:pPr>
              <w:jc w:val="right"/>
              <w:ind w:right="1100"/>
              <w:spacing w:after="0"/>
              <w:rPr>
                <w:sz w:val="20"/>
                <w:szCs w:val="20"/>
                <w:color w:val="auto"/>
              </w:rPr>
            </w:pPr>
            <w:r>
              <w:rPr>
                <w:rFonts w:ascii="Arial" w:cs="Arial" w:eastAsia="Arial" w:hAnsi="Arial"/>
                <w:sz w:val="23"/>
                <w:szCs w:val="23"/>
                <w:b w:val="1"/>
                <w:bCs w:val="1"/>
                <w:color w:val="auto"/>
              </w:rPr>
              <w:t>BofA Securities</w:t>
            </w:r>
          </w:p>
        </w:tc>
        <w:tc>
          <w:tcPr>
            <w:tcW w:w="1100" w:type="dxa"/>
            <w:vAlign w:val="bottom"/>
          </w:tcPr>
          <w:p>
            <w:pPr>
              <w:jc w:val="right"/>
              <w:ind w:right="57"/>
              <w:spacing w:after="0"/>
              <w:rPr>
                <w:sz w:val="20"/>
                <w:szCs w:val="20"/>
                <w:color w:val="auto"/>
              </w:rPr>
            </w:pPr>
            <w:r>
              <w:rPr>
                <w:rFonts w:ascii="Arial" w:cs="Arial" w:eastAsia="Arial" w:hAnsi="Arial"/>
                <w:sz w:val="23"/>
                <w:szCs w:val="23"/>
                <w:b w:val="1"/>
                <w:bCs w:val="1"/>
                <w:color w:val="auto"/>
              </w:rPr>
              <w:t>Cowen</w:t>
            </w:r>
          </w:p>
        </w:tc>
        <w:tc>
          <w:tcPr>
            <w:tcW w:w="2080" w:type="dxa"/>
            <w:vAlign w:val="bottom"/>
          </w:tcPr>
          <w:p>
            <w:pPr>
              <w:ind w:left="720"/>
              <w:spacing w:after="0"/>
              <w:rPr>
                <w:sz w:val="20"/>
                <w:szCs w:val="20"/>
                <w:color w:val="auto"/>
              </w:rPr>
            </w:pPr>
            <w:r>
              <w:rPr>
                <w:rFonts w:ascii="Arial" w:cs="Arial" w:eastAsia="Arial" w:hAnsi="Arial"/>
                <w:sz w:val="23"/>
                <w:szCs w:val="23"/>
                <w:b w:val="1"/>
                <w:bCs w:val="1"/>
                <w:color w:val="auto"/>
              </w:rPr>
              <w:t>Evercore ISI</w:t>
            </w:r>
          </w:p>
        </w:tc>
      </w:tr>
      <w:tr>
        <w:trPr>
          <w:trHeight w:val="332"/>
        </w:trPr>
        <w:tc>
          <w:tcPr>
            <w:tcW w:w="3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429"/>
        </w:trPr>
        <w:tc>
          <w:tcPr>
            <w:tcW w:w="3480" w:type="dxa"/>
            <w:vAlign w:val="bottom"/>
          </w:tcPr>
          <w:p>
            <w:pPr>
              <w:spacing w:after="0"/>
              <w:rPr>
                <w:sz w:val="24"/>
                <w:szCs w:val="24"/>
                <w:color w:val="auto"/>
              </w:rPr>
            </w:pPr>
          </w:p>
        </w:tc>
        <w:tc>
          <w:tcPr>
            <w:tcW w:w="2440" w:type="dxa"/>
            <w:vAlign w:val="bottom"/>
            <w:gridSpan w:val="2"/>
          </w:tcPr>
          <w:p>
            <w:pPr>
              <w:ind w:left="520"/>
              <w:spacing w:after="0"/>
              <w:rPr>
                <w:sz w:val="20"/>
                <w:szCs w:val="20"/>
                <w:color w:val="auto"/>
              </w:rPr>
            </w:pPr>
            <w:r>
              <w:rPr>
                <w:rFonts w:ascii="Arial" w:cs="Arial" w:eastAsia="Arial" w:hAnsi="Arial"/>
                <w:sz w:val="18"/>
                <w:szCs w:val="18"/>
                <w:color w:val="auto"/>
              </w:rPr>
              <w:t>Prospectus dated</w:t>
            </w:r>
          </w:p>
        </w:tc>
        <w:tc>
          <w:tcPr>
            <w:tcW w:w="1920" w:type="dxa"/>
            <w:vAlign w:val="bottom"/>
            <w:gridSpan w:val="2"/>
          </w:tcPr>
          <w:p>
            <w:pPr>
              <w:jc w:val="right"/>
              <w:ind w:right="840"/>
              <w:spacing w:after="0"/>
              <w:rPr>
                <w:sz w:val="20"/>
                <w:szCs w:val="20"/>
                <w:color w:val="auto"/>
              </w:rPr>
            </w:pPr>
            <w:r>
              <w:rPr>
                <w:rFonts w:ascii="Arial" w:cs="Arial" w:eastAsia="Arial" w:hAnsi="Arial"/>
                <w:sz w:val="18"/>
                <w:szCs w:val="18"/>
                <w:color w:val="auto"/>
              </w:rPr>
              <w:t>, 2020.</w:t>
            </w:r>
          </w:p>
        </w:tc>
        <w:tc>
          <w:tcPr>
            <w:tcW w:w="1100" w:type="dxa"/>
            <w:vAlign w:val="bottom"/>
          </w:tcPr>
          <w:p>
            <w:pPr>
              <w:spacing w:after="0"/>
              <w:rPr>
                <w:sz w:val="24"/>
                <w:szCs w:val="24"/>
                <w:color w:val="auto"/>
              </w:rPr>
            </w:pPr>
          </w:p>
        </w:tc>
        <w:tc>
          <w:tcPr>
            <w:tcW w:w="20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type w:val="continuous"/>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TABLE OF CONTENTS</w:t>
      </w:r>
    </w:p>
    <w:p>
      <w:pPr>
        <w:spacing w:after="0" w:line="127"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3420" w:type="dxa"/>
            <w:vAlign w:val="bottom"/>
            <w:vMerge w:val="restart"/>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PROSPECTUS SUMMARY</w:t>
              </w:r>
            </w:hyperlink>
          </w:p>
        </w:tc>
        <w:tc>
          <w:tcPr>
            <w:tcW w:w="9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3"/>
        </w:trPr>
        <w:tc>
          <w:tcPr>
            <w:tcW w:w="3420" w:type="dxa"/>
            <w:vAlign w:val="bottom"/>
            <w:vMerge w:val="continue"/>
          </w:tcPr>
          <w:p>
            <w:pPr>
              <w:spacing w:after="0"/>
              <w:rPr>
                <w:sz w:val="15"/>
                <w:szCs w:val="15"/>
                <w:color w:val="auto"/>
              </w:rPr>
            </w:pPr>
          </w:p>
        </w:tc>
        <w:tc>
          <w:tcPr>
            <w:tcW w:w="92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80" w:type="dxa"/>
            <w:vAlign w:val="bottom"/>
            <w:tcBorders>
              <w:top w:val="single" w:sz="8" w:color="auto"/>
            </w:tcBorders>
          </w:tcPr>
          <w:p>
            <w:pPr>
              <w:jc w:val="right"/>
              <w:spacing w:after="0" w:line="173"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2">
              <w:r>
                <w:rPr>
                  <w:rFonts w:ascii="Arial" w:cs="Arial" w:eastAsia="Arial" w:hAnsi="Arial"/>
                  <w:sz w:val="18"/>
                  <w:szCs w:val="18"/>
                  <w:u w:val="single" w:color="auto"/>
                  <w:color w:val="0000EE"/>
                </w:rPr>
                <w:t>THE OFFERING</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RISK FACTORS</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10560" w:type="dxa"/>
            <w:vAlign w:val="bottom"/>
            <w:gridSpan w:val="4"/>
          </w:tcPr>
          <w:p>
            <w:pPr>
              <w:spacing w:after="0" w:line="202" w:lineRule="exact"/>
              <w:rPr>
                <w:rFonts w:ascii="Arial" w:cs="Arial" w:eastAsia="Arial" w:hAnsi="Arial"/>
                <w:sz w:val="18"/>
                <w:szCs w:val="18"/>
                <w:u w:val="single" w:color="auto"/>
                <w:color w:val="0000EE"/>
              </w:rPr>
            </w:pPr>
            <w:hyperlink w:anchor="page94">
              <w:r>
                <w:rPr>
                  <w:rFonts w:ascii="Arial" w:cs="Arial" w:eastAsia="Arial" w:hAnsi="Arial"/>
                  <w:sz w:val="18"/>
                  <w:szCs w:val="18"/>
                  <w:u w:val="single" w:color="auto"/>
                  <w:color w:val="0000EE"/>
                </w:rPr>
                <w:t>SPECIAL NOTE REGARDING FORWARD-LOOKING STATEMENTS</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USE OF PROCEEDS</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DIVIDEND POLICY</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99">
              <w:r>
                <w:rPr>
                  <w:rFonts w:ascii="Arial" w:cs="Arial" w:eastAsia="Arial" w:hAnsi="Arial"/>
                  <w:sz w:val="18"/>
                  <w:szCs w:val="18"/>
                  <w:u w:val="single" w:color="auto"/>
                  <w:color w:val="0000EE"/>
                </w:rPr>
                <w:t>CAPITALIZATION</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DILUTION</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05">
              <w:r>
                <w:rPr>
                  <w:rFonts w:ascii="Arial" w:cs="Arial" w:eastAsia="Arial" w:hAnsi="Arial"/>
                  <w:sz w:val="18"/>
                  <w:szCs w:val="18"/>
                  <w:u w:val="single" w:color="auto"/>
                  <w:color w:val="0000EE"/>
                </w:rPr>
                <w:t>SELECTED FINANCIAL DATA</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3"/>
        </w:trPr>
        <w:tc>
          <w:tcPr>
            <w:tcW w:w="10560" w:type="dxa"/>
            <w:vAlign w:val="bottom"/>
            <w:gridSpan w:val="4"/>
          </w:tcPr>
          <w:p>
            <w:pPr>
              <w:spacing w:after="0" w:line="202" w:lineRule="exact"/>
              <w:rPr>
                <w:rFonts w:ascii="Arial" w:cs="Arial" w:eastAsia="Arial" w:hAnsi="Arial"/>
                <w:sz w:val="18"/>
                <w:szCs w:val="18"/>
                <w:u w:val="single" w:color="auto"/>
                <w:color w:val="0000EE"/>
              </w:rPr>
            </w:pPr>
            <w:hyperlink w:anchor="page107">
              <w:r>
                <w:rPr>
                  <w:rFonts w:ascii="Arial" w:cs="Arial" w:eastAsia="Arial" w:hAnsi="Arial"/>
                  <w:sz w:val="18"/>
                  <w:szCs w:val="18"/>
                  <w:u w:val="single" w:color="auto"/>
                  <w:color w:val="0000EE"/>
                </w:rPr>
                <w:t>MANAGEMENT’S DISCUSSION AND ANALYSIS OF FINANCIAL CONDITION AND RESULTS OF OPERATIONS</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20">
              <w:r>
                <w:rPr>
                  <w:rFonts w:ascii="Arial" w:cs="Arial" w:eastAsia="Arial" w:hAnsi="Arial"/>
                  <w:sz w:val="18"/>
                  <w:szCs w:val="18"/>
                  <w:u w:val="single" w:color="auto"/>
                  <w:color w:val="0000EE"/>
                </w:rPr>
                <w:t>BUSINESS</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MANAGEMENT</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68">
              <w:r>
                <w:rPr>
                  <w:rFonts w:ascii="Arial" w:cs="Arial" w:eastAsia="Arial" w:hAnsi="Arial"/>
                  <w:sz w:val="18"/>
                  <w:szCs w:val="18"/>
                  <w:u w:val="single" w:color="auto"/>
                  <w:color w:val="0000EE"/>
                </w:rPr>
                <w:t>EXECUTIVE COMPENSATION</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3"/>
        </w:trPr>
        <w:tc>
          <w:tcPr>
            <w:tcW w:w="10560" w:type="dxa"/>
            <w:vAlign w:val="bottom"/>
            <w:gridSpan w:val="4"/>
          </w:tcPr>
          <w:p>
            <w:pPr>
              <w:spacing w:after="0" w:line="202" w:lineRule="exact"/>
              <w:rPr>
                <w:rFonts w:ascii="Arial" w:cs="Arial" w:eastAsia="Arial" w:hAnsi="Arial"/>
                <w:sz w:val="18"/>
                <w:szCs w:val="18"/>
                <w:u w:val="single" w:color="auto"/>
                <w:color w:val="0000EE"/>
              </w:rPr>
            </w:pPr>
            <w:hyperlink w:anchor="page183">
              <w:r>
                <w:rPr>
                  <w:rFonts w:ascii="Arial" w:cs="Arial" w:eastAsia="Arial" w:hAnsi="Arial"/>
                  <w:sz w:val="18"/>
                  <w:szCs w:val="18"/>
                  <w:u w:val="single" w:color="auto"/>
                  <w:color w:val="0000EE"/>
                </w:rPr>
                <w:t>CERTAIN RELATIONSHIPS AND RELATED PARTY TRANSACTIONS</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86">
              <w:r>
                <w:rPr>
                  <w:rFonts w:ascii="Arial" w:cs="Arial" w:eastAsia="Arial" w:hAnsi="Arial"/>
                  <w:sz w:val="18"/>
                  <w:szCs w:val="18"/>
                  <w:u w:val="single" w:color="auto"/>
                  <w:color w:val="0000EE"/>
                </w:rPr>
                <w:t>PRINCIPAL STOCKHOLDERS</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89">
              <w:r>
                <w:rPr>
                  <w:rFonts w:ascii="Arial" w:cs="Arial" w:eastAsia="Arial" w:hAnsi="Arial"/>
                  <w:sz w:val="18"/>
                  <w:szCs w:val="18"/>
                  <w:u w:val="single" w:color="auto"/>
                  <w:color w:val="0000EE"/>
                </w:rPr>
                <w:t>DESCRIPTION OF CAPITAL STOCK</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196">
              <w:r>
                <w:rPr>
                  <w:rFonts w:ascii="Arial" w:cs="Arial" w:eastAsia="Arial" w:hAnsi="Arial"/>
                  <w:sz w:val="18"/>
                  <w:szCs w:val="18"/>
                  <w:u w:val="single" w:color="auto"/>
                  <w:color w:val="0000EE"/>
                </w:rPr>
                <w:t>SHARES ELIGIBLE FOR FUTURE SALE</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03"/>
        </w:trPr>
        <w:tc>
          <w:tcPr>
            <w:tcW w:w="10560" w:type="dxa"/>
            <w:vAlign w:val="bottom"/>
            <w:gridSpan w:val="4"/>
          </w:tcPr>
          <w:p>
            <w:pPr>
              <w:spacing w:after="0" w:line="202" w:lineRule="exact"/>
              <w:rPr>
                <w:rFonts w:ascii="Arial" w:cs="Arial" w:eastAsia="Arial" w:hAnsi="Arial"/>
                <w:sz w:val="18"/>
                <w:szCs w:val="18"/>
                <w:u w:val="single" w:color="auto"/>
                <w:color w:val="0000EE"/>
              </w:rPr>
            </w:pPr>
            <w:hyperlink w:anchor="page199">
              <w:r>
                <w:rPr>
                  <w:rFonts w:ascii="Arial" w:cs="Arial" w:eastAsia="Arial" w:hAnsi="Arial"/>
                  <w:sz w:val="18"/>
                  <w:szCs w:val="18"/>
                  <w:u w:val="single" w:color="auto"/>
                  <w:color w:val="0000EE"/>
                </w:rPr>
                <w:t>MATERIAL U.S. FEDERAL INCOME TAX CONSEQUENCES FOR NON-U.S. HOLDERS OF OUR COMMON STOCK</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204">
              <w:r>
                <w:rPr>
                  <w:rFonts w:ascii="Arial" w:cs="Arial" w:eastAsia="Arial" w:hAnsi="Arial"/>
                  <w:sz w:val="18"/>
                  <w:szCs w:val="18"/>
                  <w:u w:val="single" w:color="auto"/>
                  <w:color w:val="0000EE"/>
                </w:rPr>
                <w:t>UNDERWRITING</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209">
              <w:r>
                <w:rPr>
                  <w:rFonts w:ascii="Arial" w:cs="Arial" w:eastAsia="Arial" w:hAnsi="Arial"/>
                  <w:sz w:val="18"/>
                  <w:szCs w:val="18"/>
                  <w:u w:val="single" w:color="auto"/>
                  <w:color w:val="0000EE"/>
                </w:rPr>
                <w:t>LEGAL MATTERS</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3"/>
        </w:trPr>
        <w:tc>
          <w:tcPr>
            <w:tcW w:w="3420" w:type="dxa"/>
            <w:vAlign w:val="bottom"/>
          </w:tcPr>
          <w:p>
            <w:pPr>
              <w:spacing w:after="0" w:line="202" w:lineRule="exact"/>
              <w:rPr>
                <w:rFonts w:ascii="Arial" w:cs="Arial" w:eastAsia="Arial" w:hAnsi="Arial"/>
                <w:sz w:val="18"/>
                <w:szCs w:val="18"/>
                <w:u w:val="single" w:color="auto"/>
                <w:color w:val="0000EE"/>
              </w:rPr>
            </w:pPr>
            <w:hyperlink w:anchor="page209">
              <w:r>
                <w:rPr>
                  <w:rFonts w:ascii="Arial" w:cs="Arial" w:eastAsia="Arial" w:hAnsi="Arial"/>
                  <w:sz w:val="18"/>
                  <w:szCs w:val="18"/>
                  <w:u w:val="single" w:color="auto"/>
                  <w:color w:val="0000EE"/>
                </w:rPr>
                <w:t>EXPERTS</w:t>
              </w:r>
            </w:hyperlink>
          </w:p>
        </w:tc>
        <w:tc>
          <w:tcPr>
            <w:tcW w:w="9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3900" w:type="dxa"/>
            <w:vAlign w:val="bottom"/>
          </w:tcPr>
          <w:p>
            <w:pPr>
              <w:spacing w:after="0"/>
              <w:rPr>
                <w:sz w:val="17"/>
                <w:szCs w:val="17"/>
                <w:color w:val="auto"/>
              </w:rPr>
            </w:pPr>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03"/>
        </w:trPr>
        <w:tc>
          <w:tcPr>
            <w:tcW w:w="10560" w:type="dxa"/>
            <w:vAlign w:val="bottom"/>
            <w:gridSpan w:val="4"/>
          </w:tcPr>
          <w:p>
            <w:pPr>
              <w:spacing w:after="0" w:line="202" w:lineRule="exact"/>
              <w:rPr>
                <w:rFonts w:ascii="Arial" w:cs="Arial" w:eastAsia="Arial" w:hAnsi="Arial"/>
                <w:sz w:val="18"/>
                <w:szCs w:val="18"/>
                <w:u w:val="single" w:color="auto"/>
                <w:color w:val="0000EE"/>
              </w:rPr>
            </w:pPr>
            <w:hyperlink w:anchor="page210">
              <w:r>
                <w:rPr>
                  <w:rFonts w:ascii="Arial" w:cs="Arial" w:eastAsia="Arial" w:hAnsi="Arial"/>
                  <w:sz w:val="18"/>
                  <w:szCs w:val="18"/>
                  <w:u w:val="single" w:color="auto"/>
                  <w:color w:val="0000EE"/>
                </w:rPr>
                <w:t>WHERE YOU CAN FIND ADDITIONAL INFORMATION</w:t>
              </w:r>
            </w:hyperlink>
          </w:p>
        </w:tc>
        <w:tc>
          <w:tcPr>
            <w:tcW w:w="4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43"/>
        </w:trPr>
        <w:tc>
          <w:tcPr>
            <w:tcW w:w="3420" w:type="dxa"/>
            <w:vAlign w:val="bottom"/>
          </w:tcPr>
          <w:p>
            <w:pPr>
              <w:spacing w:after="0"/>
              <w:rPr>
                <w:rFonts w:ascii="Arial" w:cs="Arial" w:eastAsia="Arial" w:hAnsi="Arial"/>
                <w:sz w:val="18"/>
                <w:szCs w:val="18"/>
                <w:u w:val="single" w:color="auto"/>
                <w:color w:val="0000EE"/>
              </w:rPr>
            </w:pPr>
            <w:hyperlink w:anchor="page211">
              <w:r>
                <w:rPr>
                  <w:rFonts w:ascii="Arial" w:cs="Arial" w:eastAsia="Arial" w:hAnsi="Arial"/>
                  <w:sz w:val="18"/>
                  <w:szCs w:val="18"/>
                  <w:u w:val="single" w:color="auto"/>
                  <w:color w:val="0000EE"/>
                </w:rPr>
                <w:t>INDEX TO FINANCIAL STATEMENTS</w:t>
              </w:r>
            </w:hyperlink>
          </w:p>
        </w:tc>
        <w:tc>
          <w:tcPr>
            <w:tcW w:w="92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3900" w:type="dxa"/>
            <w:vAlign w:val="bottom"/>
          </w:tcPr>
          <w:p>
            <w:pPr>
              <w:spacing w:after="0"/>
              <w:rPr>
                <w:sz w:val="21"/>
                <w:szCs w:val="21"/>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347"/>
        </w:trPr>
        <w:tc>
          <w:tcPr>
            <w:tcW w:w="3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3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3420" w:type="dxa"/>
            <w:vAlign w:val="bottom"/>
          </w:tcPr>
          <w:p>
            <w:pPr>
              <w:ind w:left="540"/>
              <w:spacing w:after="0"/>
              <w:rPr>
                <w:sz w:val="20"/>
                <w:szCs w:val="20"/>
                <w:color w:val="auto"/>
              </w:rPr>
            </w:pPr>
            <w:r>
              <w:rPr>
                <w:rFonts w:ascii="Arial" w:cs="Arial" w:eastAsia="Arial" w:hAnsi="Arial"/>
                <w:sz w:val="18"/>
                <w:szCs w:val="18"/>
                <w:b w:val="1"/>
                <w:bCs w:val="1"/>
                <w:color w:val="auto"/>
              </w:rPr>
              <w:t>Through and including</w:t>
            </w:r>
          </w:p>
        </w:tc>
        <w:tc>
          <w:tcPr>
            <w:tcW w:w="7540" w:type="dxa"/>
            <w:vAlign w:val="bottom"/>
            <w:gridSpan w:val="5"/>
          </w:tcPr>
          <w:p>
            <w:pPr>
              <w:jc w:val="right"/>
              <w:spacing w:after="0"/>
              <w:rPr>
                <w:sz w:val="20"/>
                <w:szCs w:val="20"/>
                <w:color w:val="auto"/>
              </w:rPr>
            </w:pPr>
            <w:r>
              <w:rPr>
                <w:rFonts w:ascii="Arial" w:cs="Arial" w:eastAsia="Arial" w:hAnsi="Arial"/>
                <w:sz w:val="18"/>
                <w:szCs w:val="18"/>
                <w:b w:val="1"/>
                <w:bCs w:val="1"/>
                <w:color w:val="auto"/>
              </w:rPr>
              <w:t>, 2020 (the 25th day after the date of this prospectus), all dealers effecting transactions</w:t>
            </w:r>
          </w:p>
        </w:tc>
        <w:tc>
          <w:tcPr>
            <w:tcW w:w="0" w:type="dxa"/>
            <w:vAlign w:val="bottom"/>
          </w:tcPr>
          <w:p>
            <w:pPr>
              <w:spacing w:after="0"/>
              <w:rPr>
                <w:sz w:val="1"/>
                <w:szCs w:val="1"/>
                <w:color w:val="auto"/>
              </w:rPr>
            </w:pPr>
          </w:p>
        </w:tc>
      </w:tr>
    </w:tbl>
    <w:p>
      <w:pPr>
        <w:ind w:left="120" w:right="140"/>
        <w:spacing w:after="0" w:line="247" w:lineRule="auto"/>
        <w:rPr>
          <w:sz w:val="20"/>
          <w:szCs w:val="20"/>
          <w:color w:val="auto"/>
        </w:rPr>
      </w:pPr>
      <w:r>
        <w:rPr>
          <w:rFonts w:ascii="Arial" w:cs="Arial" w:eastAsia="Arial" w:hAnsi="Arial"/>
          <w:sz w:val="18"/>
          <w:szCs w:val="18"/>
          <w:b w:val="1"/>
          <w:bCs w:val="1"/>
          <w:color w:val="auto"/>
        </w:rPr>
        <w:t>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162"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and the underwriters have not authorized anyone to provide you any information other than that contained in this prospectus, any amendment or supplement to this prospectus or in any free writing prospectus prepared by or on behalf of us or to which we have referred you. We and the underwriters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p>
    <w:p>
      <w:pPr>
        <w:spacing w:after="0" w:line="174"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8"/>
          <w:szCs w:val="18"/>
          <w:color w:val="auto"/>
        </w:rPr>
        <w:t>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20"/>
          </w:cols>
          <w:pgMar w:left="320" w:top="455" w:right="4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TRADEMARKS</w:t>
      </w:r>
    </w:p>
    <w:p>
      <w:pPr>
        <w:spacing w:after="0" w:line="214"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 xml:space="preserve">We use the name “PMV Pharma,” the “PMV Pharma” logo and other marks as unregistered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w:t>
      </w:r>
      <w:r>
        <w:rPr>
          <w:rFonts w:ascii="Arial" w:cs="Arial" w:eastAsia="Arial" w:hAnsi="Arial"/>
          <w:sz w:val="15"/>
          <w:szCs w:val="15"/>
          <w:color w:val="auto"/>
        </w:rPr>
        <w:t>®</w:t>
      </w:r>
      <w:r>
        <w:rPr>
          <w:rFonts w:ascii="Arial" w:cs="Arial" w:eastAsia="Arial" w:hAnsi="Arial"/>
          <w:sz w:val="18"/>
          <w:szCs w:val="18"/>
          <w:color w:val="auto"/>
        </w:rPr>
        <w:t xml:space="preserve"> or </w:t>
      </w:r>
      <w:r>
        <w:rPr>
          <w:rFonts w:ascii="Arial" w:cs="Arial" w:eastAsia="Arial" w:hAnsi="Arial"/>
          <w:sz w:val="15"/>
          <w:szCs w:val="15"/>
          <w:color w:val="auto"/>
        </w:rPr>
        <w:t>TM</w:t>
      </w:r>
      <w:r>
        <w:rPr>
          <w:rFonts w:ascii="Arial" w:cs="Arial" w:eastAsia="Arial" w:hAnsi="Arial"/>
          <w:sz w:val="18"/>
          <w:szCs w:val="18"/>
          <w:color w:val="auto"/>
        </w:rPr>
        <w:t xml:space="preserve"> symbols, but such references are not intended to indicate in any way that we or their owners will not assert, to the fullest extent under applicable law, our rights or the rights of the applicable owner to these trademarks and trade names. We do not intend our use or display of other entities’ trade names, trademarks or service marks to imply a relationship with, or endorsement or sponsorship of us by, any other entity.</w:t>
      </w:r>
    </w:p>
    <w:p>
      <w:pPr>
        <w:spacing w:after="0" w:line="28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MARKET AND INDUSTRY DATA</w:t>
      </w:r>
    </w:p>
    <w:p>
      <w:pPr>
        <w:spacing w:after="0" w:line="214" w:lineRule="exact"/>
        <w:rPr>
          <w:sz w:val="20"/>
          <w:szCs w:val="20"/>
          <w:color w:val="auto"/>
        </w:rPr>
      </w:pPr>
    </w:p>
    <w:p>
      <w:pPr>
        <w:jc w:val="both"/>
        <w:ind w:left="120" w:right="280" w:firstLine="551"/>
        <w:spacing w:after="0" w:line="268" w:lineRule="auto"/>
        <w:rPr>
          <w:sz w:val="20"/>
          <w:szCs w:val="20"/>
          <w:color w:val="auto"/>
        </w:rPr>
      </w:pPr>
      <w:r>
        <w:rPr>
          <w:rFonts w:ascii="Arial" w:cs="Arial" w:eastAsia="Arial" w:hAnsi="Arial"/>
          <w:sz w:val="17"/>
          <w:szCs w:val="17"/>
          <w:color w:val="auto"/>
        </w:rPr>
        <w:t>This prospectus contains estimates, projections and other information concerning our industry, our business and the potential markets for our product candidates, including data regarding the estimated size of such markets and the incidence of certain medical conditions. We obtained the industry, market and similar data set forth in this prospectus from our internal estimates and research and from academic and industry research, publications, surveys and studies conducted by third parties, including governmental agencies.</w:t>
      </w:r>
    </w:p>
    <w:p>
      <w:pPr>
        <w:spacing w:after="0" w:line="153"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While we believe that the data we use from third parties is reliable, we have not separately verified these data. This information, to the extent it contains estimates or projections, involves a number of assumptions and limitations, and you are cautioned not to give undue weight to such estimates or projections. The industry in which we operate is subject to risks and uncertainties due to a variety of factors, including those described in the section titled “Risk Factors.” These and other factors could cause results to differ materially from those expressed in these publications and reports.</w:t>
      </w:r>
    </w:p>
    <w:p>
      <w:pPr>
        <w:spacing w:after="0" w:line="1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40"/>
          </w:cols>
          <w:pgMar w:left="320" w:top="455" w:right="5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3757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437578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PROSPECTUS SUMMARY</w:t>
      </w:r>
    </w:p>
    <w:p>
      <w:pPr>
        <w:spacing w:after="0" w:line="216" w:lineRule="exact"/>
        <w:rPr>
          <w:sz w:val="20"/>
          <w:szCs w:val="20"/>
          <w:color w:val="auto"/>
        </w:rPr>
      </w:pPr>
    </w:p>
    <w:p>
      <w:pPr>
        <w:ind w:left="300" w:firstLine="532"/>
        <w:spacing w:after="0" w:line="241" w:lineRule="auto"/>
        <w:rPr>
          <w:sz w:val="20"/>
          <w:szCs w:val="20"/>
          <w:color w:val="auto"/>
        </w:rPr>
      </w:pPr>
      <w:r>
        <w:rPr>
          <w:rFonts w:ascii="Arial" w:cs="Arial" w:eastAsia="Arial" w:hAnsi="Arial"/>
          <w:sz w:val="18"/>
          <w:szCs w:val="18"/>
          <w:i w:val="1"/>
          <w:iCs w:val="1"/>
          <w:color w:val="auto"/>
        </w:rPr>
        <w:t>This summary highlights information contained in other parts of this prospectus. Because it is only a summary, it does not contain all of the information that you should consider before investing in shares of our common stock and it is qualified in its entirety by, and should be read in conjunction with, the more detailed information appearing elsewhere in this prospectus. You should read the entire prospectus carefully, especially “Risk Factors,” “Management’s Discussion and Analysis of Financial Condition and Results of Operations,” and our financial statements and the related notes, before deciding to buy shares of our common stock. Unless the context requires otherwise, references in this prospectus to “PMV Pharmaceuticals,” “the Company,” “we,” “us” and “our” refer to PMV Pharmaceuticals, Inc.</w:t>
      </w:r>
    </w:p>
    <w:p>
      <w:pPr>
        <w:spacing w:after="0" w:line="28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Overview</w:t>
      </w:r>
    </w:p>
    <w:p>
      <w:pPr>
        <w:spacing w:after="0" w:line="214" w:lineRule="exact"/>
        <w:rPr>
          <w:sz w:val="20"/>
          <w:szCs w:val="20"/>
          <w:color w:val="auto"/>
        </w:rPr>
      </w:pPr>
    </w:p>
    <w:p>
      <w:pPr>
        <w:ind w:left="300" w:right="60" w:firstLine="532"/>
        <w:spacing w:after="0"/>
        <w:rPr>
          <w:sz w:val="20"/>
          <w:szCs w:val="20"/>
          <w:color w:val="auto"/>
        </w:rPr>
      </w:pPr>
      <w:r>
        <w:rPr>
          <w:rFonts w:ascii="Arial" w:cs="Arial" w:eastAsia="Arial" w:hAnsi="Arial"/>
          <w:sz w:val="18"/>
          <w:szCs w:val="18"/>
          <w:color w:val="auto"/>
        </w:rPr>
        <w:t>We are a precision oncology company pioneering the discovery and development of small molecule, tumor-agnostic therapies targeting p53 mutations.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the top ten most frequent, or hotspot, p53 mutations that are collectively associated with approximately 10-15% of all cancers.</w:t>
      </w:r>
    </w:p>
    <w:p>
      <w:pPr>
        <w:spacing w:after="0" w:line="176" w:lineRule="exact"/>
        <w:rPr>
          <w:sz w:val="20"/>
          <w:szCs w:val="20"/>
          <w:color w:val="auto"/>
        </w:rPr>
      </w:pPr>
    </w:p>
    <w:p>
      <w:pPr>
        <w:ind w:left="300" w:right="20" w:firstLine="532"/>
        <w:spacing w:after="0"/>
        <w:rPr>
          <w:sz w:val="20"/>
          <w:szCs w:val="20"/>
          <w:color w:val="auto"/>
        </w:rPr>
      </w:pPr>
      <w:r>
        <w:rPr>
          <w:rFonts w:ascii="Arial" w:cs="Arial" w:eastAsia="Arial" w:hAnsi="Arial"/>
          <w:sz w:val="18"/>
          <w:szCs w:val="18"/>
          <w:color w:val="auto"/>
        </w:rPr>
        <w:t>We believe that we have designed our lead product candidate, PC14586, to potently and selectively correct p53 misfolding caused by a specific p53 mutation, Y220C, while sparing wild-type p53. The Y220C mutation is associated with 1.0-1.5% of all cancers, including breast, non-small cell lung cancer, or NSCLC, colorectal, pancreatic and ovarian cancers. While we are in the early stages of discovery and development of our product candidates and our novel approach is unproven, we are initially pursuing a tumor-agnostic development strategy and submitted our investigational new drug application, or IND, for PC14586 on August 5, 2020 and plan to start a Phase 1/2 clinical trial in the second half of 2020. Our strategy is to seek approval under an accelerated pathway, and we believe our Phase 1/2 clinical trial has the potential to serve as a pivotal study. We cannot guarantee that the U.S. Food and Drug Administration, or FDA, will agree with this strategy of utilizing the Phase 1/2 clinical trial as a pivotal study, which could require us to conduct additional clinical trials prior to seeking FDA approval.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40"/>
          </w:cols>
          <w:pgMar w:left="320" w:top="455" w:right="6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21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0217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firstLine="532"/>
        <w:spacing w:after="0" w:line="248" w:lineRule="auto"/>
        <w:rPr>
          <w:sz w:val="20"/>
          <w:szCs w:val="20"/>
          <w:color w:val="auto"/>
        </w:rPr>
      </w:pPr>
      <w:r>
        <w:rPr>
          <w:rFonts w:ascii="Arial" w:cs="Arial" w:eastAsia="Arial" w:hAnsi="Arial"/>
          <w:sz w:val="18"/>
          <w:szCs w:val="18"/>
          <w:color w:val="auto"/>
        </w:rPr>
        <w:t>In addition, we are leveraging our precision oncology platform to develop a pipeline of oral small molecule product candidates that structurally correct other p53 hotspot mutations to restore their wild-type function. We expect to advance our next program, targeting the p53 R273H hotspot mutation, into lead optimization in the first half of 2021. We own worldwide commercial rights to all of our programs. An overview of our development pipeline is shown in the table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20" w:hanging="522"/>
        <w:spacing w:after="0"/>
        <w:tabs>
          <w:tab w:leader="none" w:pos="820" w:val="left"/>
        </w:tabs>
        <w:numPr>
          <w:ilvl w:val="0"/>
          <w:numId w:val="3"/>
        </w:numPr>
        <w:rPr>
          <w:rFonts w:ascii="Arial" w:cs="Arial" w:eastAsia="Arial" w:hAnsi="Arial"/>
          <w:sz w:val="24"/>
          <w:szCs w:val="24"/>
          <w:color w:val="auto"/>
          <w:vertAlign w:val="superscript"/>
        </w:rPr>
      </w:pPr>
      <w:r>
        <w:rPr>
          <w:rFonts w:ascii="Arial" w:cs="Arial" w:eastAsia="Arial" w:hAnsi="Arial"/>
          <w:sz w:val="14"/>
          <w:szCs w:val="14"/>
          <w:color w:val="auto"/>
        </w:rPr>
        <w:t>In Discovery, we screen compounds against biological assays to identify lead compounds with selective activity to our specific mutant p53 target of interest.</w:t>
      </w:r>
    </w:p>
    <w:p>
      <w:pPr>
        <w:ind w:left="820" w:right="80" w:hanging="522"/>
        <w:spacing w:after="0" w:line="182" w:lineRule="auto"/>
        <w:tabs>
          <w:tab w:leader="none" w:pos="820" w:val="left"/>
        </w:tabs>
        <w:numPr>
          <w:ilvl w:val="0"/>
          <w:numId w:val="3"/>
        </w:numPr>
        <w:rPr>
          <w:rFonts w:ascii="Arial" w:cs="Arial" w:eastAsia="Arial" w:hAnsi="Arial"/>
          <w:sz w:val="23"/>
          <w:szCs w:val="23"/>
          <w:color w:val="auto"/>
          <w:vertAlign w:val="superscript"/>
        </w:rPr>
      </w:pPr>
      <w:r>
        <w:rPr>
          <w:rFonts w:ascii="Arial" w:cs="Arial" w:eastAsia="Arial" w:hAnsi="Arial"/>
          <w:sz w:val="14"/>
          <w:szCs w:val="14"/>
          <w:color w:val="auto"/>
        </w:rPr>
        <w:t>In Lead Optimization, we modify the lead compound to improve potency, selectivity, pharmacokinetic and toxicity parameters and physical chemical properties important for clinical development.</w:t>
      </w:r>
    </w:p>
    <w:p>
      <w:pPr>
        <w:spacing w:after="0" w:line="1" w:lineRule="exact"/>
        <w:rPr>
          <w:rFonts w:ascii="Arial" w:cs="Arial" w:eastAsia="Arial" w:hAnsi="Arial"/>
          <w:sz w:val="23"/>
          <w:szCs w:val="23"/>
          <w:color w:val="auto"/>
          <w:vertAlign w:val="superscript"/>
        </w:rPr>
      </w:pPr>
    </w:p>
    <w:p>
      <w:pPr>
        <w:ind w:left="820" w:hanging="522"/>
        <w:spacing w:after="0" w:line="183" w:lineRule="auto"/>
        <w:tabs>
          <w:tab w:leader="none" w:pos="820" w:val="left"/>
        </w:tabs>
        <w:numPr>
          <w:ilvl w:val="0"/>
          <w:numId w:val="3"/>
        </w:numPr>
        <w:rPr>
          <w:rFonts w:ascii="Arial" w:cs="Arial" w:eastAsia="Arial" w:hAnsi="Arial"/>
          <w:sz w:val="20"/>
          <w:szCs w:val="20"/>
          <w:color w:val="auto"/>
          <w:vertAlign w:val="superscript"/>
        </w:rPr>
      </w:pPr>
      <w:r>
        <w:rPr>
          <w:rFonts w:ascii="Arial" w:cs="Arial" w:eastAsia="Arial" w:hAnsi="Arial"/>
          <w:sz w:val="12"/>
          <w:szCs w:val="12"/>
          <w:color w:val="auto"/>
        </w:rPr>
        <w:t>In IND-Enabling Studies, we conduct preclinical studies, in accordance with Good Laboratory Practice, or GLP, required for an IND submission to the FDA.</w:t>
      </w:r>
    </w:p>
    <w:p>
      <w:pPr>
        <w:spacing w:after="0" w:line="175" w:lineRule="exact"/>
        <w:rPr>
          <w:sz w:val="20"/>
          <w:szCs w:val="20"/>
          <w:color w:val="auto"/>
        </w:rPr>
      </w:pPr>
    </w:p>
    <w:p>
      <w:pPr>
        <w:ind w:left="300" w:right="160" w:firstLine="532"/>
        <w:spacing w:after="0" w:line="255" w:lineRule="auto"/>
        <w:rPr>
          <w:sz w:val="20"/>
          <w:szCs w:val="20"/>
          <w:color w:val="auto"/>
        </w:rPr>
      </w:pPr>
      <w:r>
        <w:rPr>
          <w:rFonts w:ascii="Arial" w:cs="Arial" w:eastAsia="Arial" w:hAnsi="Arial"/>
          <w:sz w:val="18"/>
          <w:szCs w:val="18"/>
          <w:color w:val="auto"/>
        </w:rPr>
        <w:t>Our strategy is to seek approval under an accelerated pathway, and we believe our Phase 1/2 clinical trial has the potential to serve as a pivotal study. We cannot guarantee that the FDA will grant accelerated approval, but if obtained, we anticipate that the FDA will require the conduct of a post-approval commitment to confirm clinical benefit.</w:t>
      </w:r>
    </w:p>
    <w:p>
      <w:pPr>
        <w:spacing w:after="0" w:line="270"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Potential of Precision Medicine in p53</w:t>
      </w:r>
    </w:p>
    <w:p>
      <w:pPr>
        <w:spacing w:after="0" w:line="214" w:lineRule="exact"/>
        <w:rPr>
          <w:sz w:val="20"/>
          <w:szCs w:val="20"/>
          <w:color w:val="auto"/>
        </w:rPr>
      </w:pPr>
    </w:p>
    <w:p>
      <w:pPr>
        <w:ind w:left="300" w:right="120" w:firstLine="532"/>
        <w:spacing w:after="0" w:line="248" w:lineRule="auto"/>
        <w:rPr>
          <w:sz w:val="20"/>
          <w:szCs w:val="20"/>
          <w:color w:val="auto"/>
        </w:rPr>
      </w:pPr>
      <w:r>
        <w:rPr>
          <w:rFonts w:ascii="Arial" w:cs="Arial" w:eastAsia="Arial" w:hAnsi="Arial"/>
          <w:sz w:val="18"/>
          <w:szCs w:val="18"/>
          <w:color w:val="auto"/>
        </w:rPr>
        <w:t>Cancer is a genetic disease that results from changes in a person’s DNA that causes cells to grow and divide uncontrollably. Recent advances in genetic sequencing and a better understanding of mutations that drive cancers have facilitated the development of precise, gene- and protein-specific drugs known as targeted therapies. There are multiple tumor-agnostic product approvals that are based on a genetic mutation that defines the cancer, as opposed to the tumor type.</w:t>
      </w:r>
    </w:p>
    <w:p>
      <w:pPr>
        <w:spacing w:after="0" w:line="170" w:lineRule="exact"/>
        <w:rPr>
          <w:sz w:val="20"/>
          <w:szCs w:val="20"/>
          <w:color w:val="auto"/>
        </w:rPr>
      </w:pPr>
    </w:p>
    <w:p>
      <w:pPr>
        <w:ind w:left="300" w:right="20" w:firstLine="532"/>
        <w:spacing w:after="0" w:line="243" w:lineRule="auto"/>
        <w:rPr>
          <w:sz w:val="20"/>
          <w:szCs w:val="20"/>
          <w:color w:val="auto"/>
        </w:rPr>
      </w:pPr>
      <w:r>
        <w:rPr>
          <w:rFonts w:ascii="Arial" w:cs="Arial" w:eastAsia="Arial" w:hAnsi="Arial"/>
          <w:sz w:val="18"/>
          <w:szCs w:val="18"/>
          <w:color w:val="auto"/>
        </w:rPr>
        <w:t>The p53 gene provides instructions for the production of tumor suppression protein p53. p53 activation facilitates the repair of the cell’s damaged DNA or triggers the killing of the damaged cell through a process known as programmed cell death, or apoptosis, before the cell can become cancerous and proliferate. The p53 gene is the most widely mutated gene in human cancers and to date, more than 25,000 unique p53 mutations have been discovered. Strategies that attempt to restore wild-type p53 activity in a non-selective manner (</w:t>
      </w:r>
      <w:r>
        <w:rPr>
          <w:rFonts w:ascii="Arial" w:cs="Arial" w:eastAsia="Arial" w:hAnsi="Arial"/>
          <w:sz w:val="18"/>
          <w:szCs w:val="18"/>
          <w:i w:val="1"/>
          <w:iCs w:val="1"/>
          <w:color w:val="auto"/>
        </w:rPr>
        <w:t>i.e.</w:t>
      </w:r>
      <w:r>
        <w:rPr>
          <w:rFonts w:ascii="Arial" w:cs="Arial" w:eastAsia="Arial" w:hAnsi="Arial"/>
          <w:sz w:val="18"/>
          <w:szCs w:val="18"/>
          <w:color w:val="auto"/>
        </w:rPr>
        <w:t>, regardless of which p53 mutation the tumor is harboring) are likely to face significant challenges, as a “one size fits all” drug is unlikely to address all p53 mutants and could have the potential for off-target toxicities.</w:t>
      </w:r>
    </w:p>
    <w:p>
      <w:pPr>
        <w:spacing w:after="0" w:line="174" w:lineRule="exact"/>
        <w:rPr>
          <w:sz w:val="20"/>
          <w:szCs w:val="20"/>
          <w:color w:val="auto"/>
        </w:rPr>
      </w:pPr>
    </w:p>
    <w:p>
      <w:pPr>
        <w:ind w:left="300" w:right="280" w:firstLine="532"/>
        <w:spacing w:after="0" w:line="248" w:lineRule="auto"/>
        <w:rPr>
          <w:sz w:val="20"/>
          <w:szCs w:val="20"/>
          <w:color w:val="auto"/>
        </w:rPr>
      </w:pPr>
      <w:r>
        <w:rPr>
          <w:rFonts w:ascii="Arial" w:cs="Arial" w:eastAsia="Arial" w:hAnsi="Arial"/>
          <w:sz w:val="18"/>
          <w:szCs w:val="18"/>
          <w:color w:val="auto"/>
        </w:rPr>
        <w:t>Therefore, we believe that the best way to address p53-driven cancers is by targeting individual p53 mutations using a precision oncology approach. Diagnostic tests are currently used by physicians in their practice to identify cancer patients with p53 mutations. We believe that identifying the p53 gene mutation and structurally correcting the specific mutant p53 protein to restore wild-type p53 activity can potentially serve as the basis of treatment for patients with these mutations.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5" w:right="63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11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511302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Approach</w:t>
      </w:r>
    </w:p>
    <w:p>
      <w:pPr>
        <w:spacing w:after="0" w:line="214" w:lineRule="exact"/>
        <w:rPr>
          <w:sz w:val="20"/>
          <w:szCs w:val="20"/>
          <w:color w:val="auto"/>
        </w:rPr>
      </w:pPr>
    </w:p>
    <w:p>
      <w:pPr>
        <w:ind w:left="300" w:right="140" w:firstLine="532"/>
        <w:spacing w:after="0" w:line="245" w:lineRule="auto"/>
        <w:rPr>
          <w:sz w:val="20"/>
          <w:szCs w:val="20"/>
          <w:color w:val="auto"/>
        </w:rPr>
      </w:pPr>
      <w:r>
        <w:rPr>
          <w:rFonts w:ascii="Arial" w:cs="Arial" w:eastAsia="Arial" w:hAnsi="Arial"/>
          <w:sz w:val="18"/>
          <w:szCs w:val="18"/>
          <w:color w:val="auto"/>
        </w:rPr>
        <w:t>We believe our novel approach to reactivate the p53 function through structural correction of the mutant p53 protein to wild-type represents a therapeutic strategy to target p53. Decades of research on p53 have unveiled its potential as a precision oncology target. Mutations in the p53 gene can give rise to mutant p53 proteins with different conformational structures. As a result, we are developing oral small molecule therapies that selectively target a specific mutant p53 protein while sparing wild-type p53. Our innovation engine is composed of three complementary drivers:</w:t>
      </w:r>
    </w:p>
    <w:p>
      <w:pPr>
        <w:spacing w:after="0" w:line="76" w:lineRule="exact"/>
        <w:rPr>
          <w:sz w:val="20"/>
          <w:szCs w:val="20"/>
          <w:color w:val="auto"/>
        </w:rPr>
      </w:pPr>
    </w:p>
    <w:p>
      <w:pPr>
        <w:ind w:left="1020" w:hanging="195"/>
        <w:spacing w:after="0" w:line="242"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Deep understanding of, and leadership in, p53 biology that enable unique insights into targeting individual mutations. </w:t>
      </w:r>
      <w:r>
        <w:rPr>
          <w:rFonts w:ascii="Arial" w:cs="Arial" w:eastAsia="Arial" w:hAnsi="Arial"/>
          <w:sz w:val="18"/>
          <w:szCs w:val="18"/>
          <w:color w:val="auto"/>
        </w:rPr>
        <w:t>We have leveraged more than four decades of research experience and developed unique insights into p53</w:t>
      </w:r>
      <w:r>
        <w:rPr>
          <w:rFonts w:ascii="Arial" w:cs="Arial" w:eastAsia="Arial" w:hAnsi="Arial"/>
          <w:sz w:val="18"/>
          <w:szCs w:val="18"/>
          <w:b w:val="1"/>
          <w:bCs w:val="1"/>
          <w:color w:val="auto"/>
        </w:rPr>
        <w:t xml:space="preserve"> </w:t>
      </w:r>
      <w:r>
        <w:rPr>
          <w:rFonts w:ascii="Arial" w:cs="Arial" w:eastAsia="Arial" w:hAnsi="Arial"/>
          <w:sz w:val="18"/>
          <w:szCs w:val="18"/>
          <w:color w:val="auto"/>
        </w:rPr>
        <w:t>biology, a field that was discovered and established by our co-founder Dr. Arnold Levine</w:t>
      </w:r>
      <w:r>
        <w:rPr>
          <w:rFonts w:ascii="Arial" w:cs="Arial" w:eastAsia="Arial" w:hAnsi="Arial"/>
          <w:sz w:val="18"/>
          <w:szCs w:val="18"/>
          <w:b w:val="1"/>
          <w:bCs w:val="1"/>
          <w:color w:val="auto"/>
        </w:rPr>
        <w:t>.</w:t>
      </w:r>
      <w:r>
        <w:rPr>
          <w:rFonts w:ascii="Arial" w:cs="Arial" w:eastAsia="Arial" w:hAnsi="Arial"/>
          <w:sz w:val="18"/>
          <w:szCs w:val="18"/>
          <w:color w:val="auto"/>
        </w:rPr>
        <w:t xml:space="preserve"> Additionally, our scientific advisory board, or SAB, consists of some of the most prominent thought leaders in p53 biology. p53 is a highly complex gene, and thousands of distinct p53 mutations have been identified. A blanket approach to targeting mutant p53 has significant challenges, as a “one size fits all” drug is unlikely to address all p53 mutants. Based on our experience and expertise, we are developing oral small molecules that each selectively target a specific p53 hotspot mutation.</w:t>
      </w:r>
    </w:p>
    <w:p>
      <w:pPr>
        <w:spacing w:after="0" w:line="78" w:lineRule="exact"/>
        <w:rPr>
          <w:rFonts w:ascii="Arial" w:cs="Arial" w:eastAsia="Arial" w:hAnsi="Arial"/>
          <w:sz w:val="18"/>
          <w:szCs w:val="18"/>
          <w:color w:val="auto"/>
        </w:rPr>
      </w:pPr>
    </w:p>
    <w:p>
      <w:pPr>
        <w:ind w:left="1020" w:right="40" w:hanging="195"/>
        <w:spacing w:after="0" w:line="242"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Ability to design structure-based oral small molecule product candidates that selectively target and correct specific p53 mutants</w:t>
      </w:r>
      <w:r>
        <w:rPr>
          <w:rFonts w:ascii="Arial" w:cs="Arial" w:eastAsia="Arial" w:hAnsi="Arial"/>
          <w:sz w:val="18"/>
          <w:szCs w:val="18"/>
          <w:color w:val="auto"/>
        </w:rPr>
        <w:t>. Designing molecules for p53 mutants requires an intricate understanding of the p53 protein structure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associated biology. We leverage structure-based technologies to give our oral small molecule product candidates access to challenging binding sites that are generally not accessible using conventional small molecule drug discovery approaches. For each target, we take detailed data from structural and functional studies of the mutated p53 to design development candidates against the challenging binding sites. Our design techniques help us to identify potential product candidates that can selectively target a single p53 mutant, while sparing wild-type p53.</w:t>
      </w:r>
    </w:p>
    <w:p>
      <w:pPr>
        <w:spacing w:after="0" w:line="78" w:lineRule="exact"/>
        <w:rPr>
          <w:rFonts w:ascii="Arial" w:cs="Arial" w:eastAsia="Arial" w:hAnsi="Arial"/>
          <w:sz w:val="18"/>
          <w:szCs w:val="18"/>
          <w:color w:val="auto"/>
        </w:rPr>
      </w:pPr>
    </w:p>
    <w:p>
      <w:pPr>
        <w:ind w:left="1020" w:right="120" w:hanging="195"/>
        <w:spacing w:after="0" w:line="242" w:lineRule="auto"/>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Assays, screens, preclinical model systems and biomarkers that enable us to assess and optimize selective small molecule product candidates for specific p53 mutants. </w:t>
      </w:r>
      <w:r>
        <w:rPr>
          <w:rFonts w:ascii="Arial" w:cs="Arial" w:eastAsia="Arial" w:hAnsi="Arial"/>
          <w:sz w:val="18"/>
          <w:szCs w:val="18"/>
          <w:color w:val="auto"/>
        </w:rPr>
        <w:t>We test our product candidates across a diverse set of human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cancer cells based on research and understanding of bioinformatics and functional genomics. We also identify and monitor pharmacodynamic biomarkers and surrogates of clinical activity to help measure target engagement, including Macrophage Inhibitory Cytokine-1, or MIC-1, a serum-based biomarker. The biological insights we generate help us to better target various p53 mutants based on their structure and biology. We develop innovative preclinical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to advance therapeutic programs for translation to the clinic.</w:t>
      </w:r>
    </w:p>
    <w:p>
      <w:pPr>
        <w:spacing w:after="0" w:line="28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Our PC14586 Program</w:t>
      </w:r>
    </w:p>
    <w:p>
      <w:pPr>
        <w:spacing w:after="0" w:line="214" w:lineRule="exact"/>
        <w:rPr>
          <w:sz w:val="20"/>
          <w:szCs w:val="20"/>
          <w:color w:val="auto"/>
        </w:rPr>
      </w:pPr>
    </w:p>
    <w:p>
      <w:pPr>
        <w:ind w:left="300" w:firstLine="532"/>
        <w:spacing w:after="0" w:line="248" w:lineRule="auto"/>
        <w:rPr>
          <w:sz w:val="20"/>
          <w:szCs w:val="20"/>
          <w:color w:val="auto"/>
        </w:rPr>
      </w:pPr>
      <w:r>
        <w:rPr>
          <w:rFonts w:ascii="Arial" w:cs="Arial" w:eastAsia="Arial" w:hAnsi="Arial"/>
          <w:sz w:val="18"/>
          <w:szCs w:val="18"/>
          <w:color w:val="auto"/>
        </w:rPr>
        <w:t>Our lead product candidate, PC14586, is designed to be an orally available small molecule that structurally corrects a mutant p53 protein with the Y220C mutation and restores wild-type p53 function. The Y220C mutation is associated with 1.0-1.5% of all cancers, including breast, NSCLC, colorectal, pancreatic and ovarian cancers. There are currently no drugs approved by the FDA and we are not aware of any other products in clinical development that selectively target the p53 Y220C mutation.</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5" w:right="63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99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609917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280" w:firstLine="532"/>
        <w:spacing w:after="0" w:line="245" w:lineRule="auto"/>
        <w:rPr>
          <w:sz w:val="20"/>
          <w:szCs w:val="20"/>
          <w:color w:val="auto"/>
        </w:rPr>
      </w:pPr>
      <w:r>
        <w:rPr>
          <w:rFonts w:ascii="Arial" w:cs="Arial" w:eastAsia="Arial" w:hAnsi="Arial"/>
          <w:sz w:val="18"/>
          <w:szCs w:val="18"/>
          <w:color w:val="auto"/>
        </w:rPr>
        <w:t>PC14586 is designed to selectively bind to the crevice created by the p53 Y220C mutation and restore the wild-type p53 protein structure and tumor suppressing function. In preclinical studies, we have demonstrated that PC14586 rapidly converts the large protein pool of mutant p53 Y220C protein to wild-type structure. Additionally, structural correction from a mutant p53 Y220C conformation to a wild-type p53 conformation by PC14586 restored p53-dependent transcription of downstream targets, which is indicative of wild-type p53 biological activity.</w:t>
      </w:r>
    </w:p>
    <w:p>
      <w:pPr>
        <w:spacing w:after="0" w:line="172" w:lineRule="exact"/>
        <w:rPr>
          <w:sz w:val="20"/>
          <w:szCs w:val="20"/>
          <w:color w:val="auto"/>
        </w:rPr>
      </w:pPr>
    </w:p>
    <w:p>
      <w:pPr>
        <w:ind w:left="300" w:right="120" w:firstLine="532"/>
        <w:spacing w:after="0" w:line="243" w:lineRule="auto"/>
        <w:rPr>
          <w:sz w:val="20"/>
          <w:szCs w:val="20"/>
          <w:color w:val="auto"/>
        </w:rPr>
      </w:pPr>
      <w:r>
        <w:rPr>
          <w:rFonts w:ascii="Arial" w:cs="Arial" w:eastAsia="Arial" w:hAnsi="Arial"/>
          <w:sz w:val="18"/>
          <w:szCs w:val="18"/>
          <w:color w:val="auto"/>
        </w:rPr>
        <w:t>PC14586 also exhibited profound single-agent anti-tumor activity in mouse models. We created a human p53 knock-in, or HUPKI, mouse that expresses a p53 protein with the human p53 DNA binding domain and the Y220C mutation. The HUPKI mouse presents spontaneously with sarcomas at six to eight months of age, which we can harvest and re-implant in a wild-type mouse to create a mouse tumor model that has an intact immune system harboring a human Y220C mutation. We believe this syngeneic mouse model better represents the patient population that we expect to see in the clinic, as compared to mouse xenograft models that incorporate human tumors in mice with no immune system.</w:t>
      </w:r>
    </w:p>
    <w:p>
      <w:pPr>
        <w:spacing w:after="0" w:line="174" w:lineRule="exact"/>
        <w:rPr>
          <w:sz w:val="20"/>
          <w:szCs w:val="20"/>
          <w:color w:val="auto"/>
        </w:rPr>
      </w:pPr>
    </w:p>
    <w:p>
      <w:pPr>
        <w:jc w:val="both"/>
        <w:ind w:left="300" w:right="420" w:firstLine="532"/>
        <w:spacing w:after="0" w:line="255" w:lineRule="auto"/>
        <w:rPr>
          <w:sz w:val="20"/>
          <w:szCs w:val="20"/>
          <w:color w:val="auto"/>
        </w:rPr>
      </w:pPr>
      <w:r>
        <w:rPr>
          <w:rFonts w:ascii="Arial" w:cs="Arial" w:eastAsia="Arial" w:hAnsi="Arial"/>
          <w:sz w:val="18"/>
          <w:szCs w:val="18"/>
          <w:color w:val="auto"/>
        </w:rPr>
        <w:t>PC14586 administered as a single-agent demonstrated regression in tumors that express the p53 Y220C mutation in the syngeneic mouse model. PC14586 also exhibited anti-tumor activity in combination with anti-PD-1 therapy in syngeneic mouse models with the human p53 Y220C mutation.</w:t>
      </w:r>
    </w:p>
    <w:p>
      <w:pPr>
        <w:spacing w:after="0" w:line="164" w:lineRule="exact"/>
        <w:rPr>
          <w:sz w:val="20"/>
          <w:szCs w:val="20"/>
          <w:color w:val="auto"/>
        </w:rPr>
      </w:pPr>
    </w:p>
    <w:p>
      <w:pPr>
        <w:ind w:left="300" w:right="180" w:firstLine="532"/>
        <w:spacing w:after="0" w:line="276" w:lineRule="auto"/>
        <w:rPr>
          <w:sz w:val="20"/>
          <w:szCs w:val="20"/>
          <w:color w:val="auto"/>
        </w:rPr>
      </w:pPr>
      <w:r>
        <w:rPr>
          <w:rFonts w:ascii="Arial" w:cs="Arial" w:eastAsia="Arial" w:hAnsi="Arial"/>
          <w:sz w:val="18"/>
          <w:szCs w:val="18"/>
          <w:color w:val="auto"/>
        </w:rPr>
        <w:t>We are initially pursuing a tumor-agnostic development strategy and submitted our IND for PC14586 on August 5, 2020 and plan to start a Phase 1/2 clinical trial in the second half of 2020.</w:t>
      </w:r>
    </w:p>
    <w:p>
      <w:pPr>
        <w:spacing w:after="0" w:line="251"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Our Second Program R273H</w:t>
      </w:r>
    </w:p>
    <w:p>
      <w:pPr>
        <w:spacing w:after="0" w:line="214" w:lineRule="exact"/>
        <w:rPr>
          <w:sz w:val="20"/>
          <w:szCs w:val="20"/>
          <w:color w:val="auto"/>
        </w:rPr>
      </w:pPr>
    </w:p>
    <w:p>
      <w:pPr>
        <w:ind w:left="300" w:firstLine="532"/>
        <w:spacing w:after="0" w:line="243" w:lineRule="auto"/>
        <w:rPr>
          <w:sz w:val="20"/>
          <w:szCs w:val="20"/>
          <w:color w:val="auto"/>
        </w:rPr>
      </w:pPr>
      <w:r>
        <w:rPr>
          <w:rFonts w:ascii="Arial" w:cs="Arial" w:eastAsia="Arial" w:hAnsi="Arial"/>
          <w:sz w:val="18"/>
          <w:szCs w:val="18"/>
          <w:color w:val="auto"/>
        </w:rPr>
        <w:t>We expect to advance our next program, targeting the p53 R273H hotspot mutation, into lead optimization in the first half of 2021. R273H is the third most frequent p53 mutation and is found in approximately 4% of all p53 mutations. The R273H mutation causes a decrease in binding between the p53 protein and DNA, resulting in the p53 protein’s inability to activate transcription of p53 target genes. We are generating molecules designed to enhance and restore the binding of the p53 protein and DNA. Our R273H program continues to progress towards lead optimization, as we have identified several potential candidates from our screening campaigns.</w:t>
      </w:r>
    </w:p>
    <w:p>
      <w:pPr>
        <w:spacing w:after="0" w:line="280"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Other Pipeline Programs</w:t>
      </w:r>
    </w:p>
    <w:p>
      <w:pPr>
        <w:spacing w:after="0" w:line="214" w:lineRule="exact"/>
        <w:rPr>
          <w:sz w:val="20"/>
          <w:szCs w:val="20"/>
          <w:color w:val="auto"/>
        </w:rPr>
      </w:pPr>
    </w:p>
    <w:p>
      <w:pPr>
        <w:ind w:left="300" w:right="220" w:firstLine="532"/>
        <w:spacing w:after="0" w:line="255" w:lineRule="auto"/>
        <w:rPr>
          <w:sz w:val="20"/>
          <w:szCs w:val="20"/>
          <w:color w:val="auto"/>
        </w:rPr>
      </w:pPr>
      <w:r>
        <w:rPr>
          <w:rFonts w:ascii="Arial" w:cs="Arial" w:eastAsia="Arial" w:hAnsi="Arial"/>
          <w:sz w:val="18"/>
          <w:szCs w:val="18"/>
          <w:color w:val="auto"/>
        </w:rPr>
        <w:t>In addition to our PC14586 Y220C and R273H programs, we are focused on developing a pipeline of product candidates targeting other p53 hotspot mutations. These programs have been developed internally using our precision oncology platform and expertise.</w:t>
      </w:r>
    </w:p>
    <w:p>
      <w:pPr>
        <w:spacing w:after="0" w:line="270" w:lineRule="exact"/>
        <w:rPr>
          <w:sz w:val="20"/>
          <w:szCs w:val="20"/>
          <w:color w:val="auto"/>
        </w:rPr>
      </w:pPr>
    </w:p>
    <w:p>
      <w:pPr>
        <w:jc w:val="center"/>
        <w:ind w:right="-419"/>
        <w:spacing w:after="0"/>
        <w:rPr>
          <w:sz w:val="20"/>
          <w:szCs w:val="20"/>
          <w:color w:val="auto"/>
        </w:rPr>
      </w:pPr>
      <w:r>
        <w:rPr>
          <w:rFonts w:ascii="Arial" w:cs="Arial" w:eastAsia="Arial" w:hAnsi="Arial"/>
          <w:sz w:val="18"/>
          <w:szCs w:val="18"/>
          <w:b w:val="1"/>
          <w:bCs w:val="1"/>
          <w:color w:val="auto"/>
        </w:rPr>
        <w:t>Our History and Team</w:t>
      </w:r>
    </w:p>
    <w:p>
      <w:pPr>
        <w:spacing w:after="0" w:line="214" w:lineRule="exact"/>
        <w:rPr>
          <w:sz w:val="20"/>
          <w:szCs w:val="20"/>
          <w:color w:val="auto"/>
        </w:rPr>
      </w:pPr>
    </w:p>
    <w:p>
      <w:pPr>
        <w:ind w:left="300" w:right="80" w:firstLine="532"/>
        <w:spacing w:after="0" w:line="243" w:lineRule="auto"/>
        <w:rPr>
          <w:sz w:val="20"/>
          <w:szCs w:val="20"/>
          <w:color w:val="auto"/>
        </w:rPr>
      </w:pPr>
      <w:r>
        <w:rPr>
          <w:rFonts w:ascii="Arial" w:cs="Arial" w:eastAsia="Arial" w:hAnsi="Arial"/>
          <w:sz w:val="18"/>
          <w:szCs w:val="18"/>
          <w:color w:val="auto"/>
        </w:rPr>
        <w:t>We were founded in 2013 by David Mack, Ph.D., Arnold Levine, Ph.D. and Thomas Shenk, Ph.D. Over the past seven years, we have built a precision oncology platform and chemistry discovery engine that leverages more than four decades of research experience and unique insights into the p53 protein. Dr. Levine is widely recognized for his seminal contributions to the field of p53 biology, having discovered p53 in 1979. Our vision has been supported by leading investors, including InterWest Partners, OrbiMed Advisors, Topspin Partners, Euclidean Capital, Nextech Invest, Viking Global Investors, Boxer Capital of Tavistock Group, Osage University Partners, Avoro Capital, RA Capital Management and Wellington Management.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40"/>
          </w:cols>
          <w:pgMar w:left="320" w:top="455" w:right="7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93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right="40" w:firstLine="532"/>
        <w:spacing w:after="0" w:line="239" w:lineRule="auto"/>
        <w:rPr>
          <w:sz w:val="20"/>
          <w:szCs w:val="20"/>
          <w:color w:val="auto"/>
        </w:rPr>
      </w:pPr>
      <w:r>
        <w:rPr>
          <w:rFonts w:ascii="Arial" w:cs="Arial" w:eastAsia="Arial" w:hAnsi="Arial"/>
          <w:sz w:val="18"/>
          <w:szCs w:val="18"/>
          <w:color w:val="auto"/>
        </w:rPr>
        <w:t>Additionally, we have assembled a management team of biopharmaceutical experts with extensive experience in drug discovery and development, with particular expertise in the discovery of small molecule oncology programs. Dr. David Mack, our President and Chief Executive Officer, was previously General Partner at Alta Partners and co-founder and Vice President of Genomic Research at Eos Biotechnology, where he led the advancement of multiple product candidates prior to the company’s sale to Protein Design Labs. Mr. Winston Kung, our Chief Operating Officer and Chief Financial Officer, was previously Vice President of Business Development and Global Alliances at Celgene and Chief Business Officer of Celgene Cellular Therapeutics. Dr. Leila Alland, our Chief Medical Officer, is an oncologist with 20 years of experience developing oncology products in the biopharmaceutical industry, most recently as Chief Medical Officer of Affimed. Dr. Deepika Jalota, Pharm.D., our Senior Vice President, Regulatory Affairs and Quality Assurance, was previously Vice President of Oncology Regulatory Affairs at Bayer and led the tumor-agnostic regulatory strategy for larotrectinib (Vitrakvi) in collaboration with Loxo Oncology.</w:t>
      </w:r>
    </w:p>
    <w:p>
      <w:pPr>
        <w:spacing w:after="0" w:line="180" w:lineRule="exact"/>
        <w:rPr>
          <w:sz w:val="20"/>
          <w:szCs w:val="20"/>
          <w:color w:val="auto"/>
        </w:rPr>
      </w:pPr>
    </w:p>
    <w:p>
      <w:pPr>
        <w:ind w:left="300" w:right="20" w:firstLine="532"/>
        <w:spacing w:after="0" w:line="276" w:lineRule="auto"/>
        <w:rPr>
          <w:sz w:val="20"/>
          <w:szCs w:val="20"/>
          <w:color w:val="auto"/>
        </w:rPr>
      </w:pPr>
      <w:r>
        <w:rPr>
          <w:rFonts w:ascii="Arial" w:cs="Arial" w:eastAsia="Arial" w:hAnsi="Arial"/>
          <w:sz w:val="18"/>
          <w:szCs w:val="18"/>
          <w:color w:val="auto"/>
        </w:rPr>
        <w:t>Our company was founded and continues to be supported by world-class scientific advisors, including our SAB, many of whom have been associated with multiple oncology product approvals.</w:t>
      </w:r>
    </w:p>
    <w:p>
      <w:pPr>
        <w:spacing w:after="0" w:line="25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Our Strategy</w:t>
      </w:r>
    </w:p>
    <w:p>
      <w:pPr>
        <w:spacing w:after="0" w:line="214" w:lineRule="exact"/>
        <w:rPr>
          <w:sz w:val="20"/>
          <w:szCs w:val="20"/>
          <w:color w:val="auto"/>
        </w:rPr>
      </w:pPr>
    </w:p>
    <w:p>
      <w:pPr>
        <w:ind w:left="300" w:right="140" w:firstLine="532"/>
        <w:spacing w:after="0" w:line="276" w:lineRule="auto"/>
        <w:rPr>
          <w:sz w:val="20"/>
          <w:szCs w:val="20"/>
          <w:color w:val="auto"/>
        </w:rPr>
      </w:pPr>
      <w:r>
        <w:rPr>
          <w:rFonts w:ascii="Arial" w:cs="Arial" w:eastAsia="Arial" w:hAnsi="Arial"/>
          <w:sz w:val="18"/>
          <w:szCs w:val="18"/>
          <w:color w:val="auto"/>
        </w:rPr>
        <w:t>Our vision is to become a leading precision oncology company by designing, developing and commercializing small molecule therapies targeting mutant p53. The critical components of our strategy include:</w:t>
      </w:r>
    </w:p>
    <w:p>
      <w:pPr>
        <w:spacing w:after="0" w:line="50" w:lineRule="exact"/>
        <w:rPr>
          <w:sz w:val="20"/>
          <w:szCs w:val="20"/>
          <w:color w:val="auto"/>
        </w:rPr>
      </w:pPr>
    </w:p>
    <w:p>
      <w:pPr>
        <w:ind w:left="1020" w:right="200" w:hanging="195"/>
        <w:spacing w:after="0" w:line="27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advancing our lead product candidate, PC14586, as a tumor-agnostic, oral small molecule single-agent therapy for cancer patients;</w:t>
      </w:r>
    </w:p>
    <w:p>
      <w:pPr>
        <w:spacing w:after="0" w:line="50" w:lineRule="exact"/>
        <w:rPr>
          <w:rFonts w:ascii="Arial" w:cs="Arial" w:eastAsia="Arial" w:hAnsi="Arial"/>
          <w:sz w:val="18"/>
          <w:szCs w:val="18"/>
          <w:color w:val="auto"/>
        </w:rPr>
      </w:pPr>
    </w:p>
    <w:p>
      <w:pPr>
        <w:ind w:left="1020" w:hanging="195"/>
        <w:spacing w:after="0" w:line="27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harnessing the power of our precision oncology platform to discover and develop additional differentiated product candidates that are designed to precisely target p53 mutations in cancer;</w:t>
      </w:r>
    </w:p>
    <w:p>
      <w:pPr>
        <w:spacing w:after="0" w:line="50" w:lineRule="exact"/>
        <w:rPr>
          <w:rFonts w:ascii="Arial" w:cs="Arial" w:eastAsia="Arial" w:hAnsi="Arial"/>
          <w:sz w:val="18"/>
          <w:szCs w:val="18"/>
          <w:color w:val="auto"/>
        </w:rPr>
      </w:pPr>
    </w:p>
    <w:p>
      <w:pPr>
        <w:ind w:left="1020" w:right="420" w:hanging="195"/>
        <w:spacing w:after="0" w:line="276"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leveraging the advantages of precision medicine and our expertise in p53 biology to pursue accelerated approval of our product candidates; and</w:t>
      </w:r>
    </w:p>
    <w:p>
      <w:pPr>
        <w:spacing w:after="0" w:line="50" w:lineRule="exact"/>
        <w:rPr>
          <w:rFonts w:ascii="Arial" w:cs="Arial" w:eastAsia="Arial" w:hAnsi="Arial"/>
          <w:sz w:val="18"/>
          <w:szCs w:val="18"/>
          <w:color w:val="auto"/>
        </w:rPr>
      </w:pPr>
    </w:p>
    <w:p>
      <w:pPr>
        <w:ind w:left="1020" w:hanging="195"/>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identifying and exploring combination therapy approaches for our product candidates.</w:t>
      </w:r>
    </w:p>
    <w:p>
      <w:pPr>
        <w:spacing w:after="0" w:line="31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Risks Related to Our Business</w:t>
      </w:r>
    </w:p>
    <w:p>
      <w:pPr>
        <w:spacing w:after="0" w:line="214" w:lineRule="exact"/>
        <w:rPr>
          <w:sz w:val="20"/>
          <w:szCs w:val="20"/>
          <w:color w:val="auto"/>
        </w:rPr>
      </w:pPr>
    </w:p>
    <w:p>
      <w:pPr>
        <w:ind w:left="300" w:right="300" w:firstLine="532"/>
        <w:spacing w:after="0" w:line="255" w:lineRule="auto"/>
        <w:rPr>
          <w:sz w:val="20"/>
          <w:szCs w:val="20"/>
          <w:color w:val="auto"/>
        </w:rPr>
      </w:pPr>
      <w:r>
        <w:rPr>
          <w:rFonts w:ascii="Arial" w:cs="Arial" w:eastAsia="Arial" w:hAnsi="Arial"/>
          <w:sz w:val="18"/>
          <w:szCs w:val="18"/>
          <w:color w:val="auto"/>
        </w:rPr>
        <w:t>Our ability to execute on our business strategy is subject to a number of risks, which are discussed more fully in the section titled “Risk Factors.” You should carefully consider these risks before making an investment in our common stock. These risks include, among others, the following:</w:t>
      </w:r>
    </w:p>
    <w:p>
      <w:pPr>
        <w:spacing w:after="0" w:line="69" w:lineRule="exact"/>
        <w:rPr>
          <w:sz w:val="20"/>
          <w:szCs w:val="20"/>
          <w:color w:val="auto"/>
        </w:rPr>
      </w:pPr>
    </w:p>
    <w:p>
      <w:pPr>
        <w:ind w:left="1020" w:right="340" w:hanging="195"/>
        <w:spacing w:after="0" w:line="27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limited operating history, have not initiated or completed any clinical trials, and have no products approved for commercial sale;</w:t>
      </w:r>
    </w:p>
    <w:p>
      <w:pPr>
        <w:spacing w:after="0" w:line="50" w:lineRule="exact"/>
        <w:rPr>
          <w:rFonts w:ascii="Arial" w:cs="Arial" w:eastAsia="Arial" w:hAnsi="Arial"/>
          <w:sz w:val="18"/>
          <w:szCs w:val="18"/>
          <w:color w:val="auto"/>
        </w:rPr>
      </w:pPr>
    </w:p>
    <w:p>
      <w:pPr>
        <w:ind w:left="1020" w:right="420" w:hanging="195"/>
        <w:spacing w:after="0" w:line="276"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incurred significant losses since our inception, and we expect to incur significant net losses for the foreseeable future and may not be able to achieve or sustain revenue or profitability in the future;</w:t>
      </w:r>
    </w:p>
    <w:p>
      <w:pPr>
        <w:spacing w:after="0" w:line="50" w:lineRule="exact"/>
        <w:rPr>
          <w:rFonts w:ascii="Arial" w:cs="Arial" w:eastAsia="Arial" w:hAnsi="Arial"/>
          <w:sz w:val="18"/>
          <w:szCs w:val="18"/>
          <w:color w:val="auto"/>
        </w:rPr>
      </w:pPr>
    </w:p>
    <w:p>
      <w:pPr>
        <w:jc w:val="both"/>
        <w:ind w:left="1020" w:right="80" w:hanging="195"/>
        <w:spacing w:after="0" w:line="255"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not generated any revenue from our product candidates and may never generate revenue or be profitable and our ability to generate revenue and achieve profitability depends significantly on our ability to achieve several objectives relating to the discovery, development and commercialization of our product candidates;</w:t>
      </w:r>
    </w:p>
    <w:p>
      <w:pPr>
        <w:spacing w:after="0" w:line="200" w:lineRule="exact"/>
        <w:rPr>
          <w:sz w:val="20"/>
          <w:szCs w:val="20"/>
          <w:color w:val="auto"/>
        </w:rPr>
      </w:pPr>
    </w:p>
    <w:p>
      <w:pPr>
        <w:spacing w:after="0" w:line="39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320" w:top="455" w:right="65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3646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636460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020" w:right="180" w:hanging="195"/>
        <w:spacing w:after="0" w:line="27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50" w:lineRule="exact"/>
        <w:rPr>
          <w:rFonts w:ascii="Arial" w:cs="Arial" w:eastAsia="Arial" w:hAnsi="Arial"/>
          <w:sz w:val="18"/>
          <w:szCs w:val="18"/>
          <w:color w:val="auto"/>
        </w:rPr>
      </w:pPr>
    </w:p>
    <w:p>
      <w:pPr>
        <w:ind w:left="1020" w:hanging="19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even if this offering is successful, we will require substantial additional capital to finance our operations;</w:t>
      </w:r>
    </w:p>
    <w:p>
      <w:pPr>
        <w:spacing w:after="0" w:line="117" w:lineRule="exact"/>
        <w:rPr>
          <w:rFonts w:ascii="Arial" w:cs="Arial" w:eastAsia="Arial" w:hAnsi="Arial"/>
          <w:sz w:val="18"/>
          <w:szCs w:val="18"/>
          <w:color w:val="auto"/>
        </w:rPr>
      </w:pPr>
    </w:p>
    <w:p>
      <w:pPr>
        <w:ind w:left="1020" w:right="40" w:hanging="195"/>
        <w:spacing w:after="0" w:line="24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discovery and preclinical development is focused on the development of precision medicines for patients with genetically defined cancers, which is a rapidly evolving area of science, and the approach we are taking to discover and develop drugs targeting p53 hotspot mutations is novel, may never lead to marketable products and may not ultimately represent a significant market;</w:t>
      </w:r>
    </w:p>
    <w:p>
      <w:pPr>
        <w:spacing w:after="0" w:line="75" w:lineRule="exact"/>
        <w:rPr>
          <w:rFonts w:ascii="Arial" w:cs="Arial" w:eastAsia="Arial" w:hAnsi="Arial"/>
          <w:sz w:val="18"/>
          <w:szCs w:val="18"/>
          <w:color w:val="auto"/>
        </w:rPr>
      </w:pPr>
    </w:p>
    <w:p>
      <w:pPr>
        <w:ind w:left="1020" w:right="60" w:hanging="195"/>
        <w:spacing w:after="0" w:line="255"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very early in our development efforts and are substantially dependent on our lead product candidate, PC14586. If we are unable to advance, obtain regulatory approval for and commercialize PC14586, our business, financial condition and results of operations will be materially adversely affected;</w:t>
      </w:r>
    </w:p>
    <w:p>
      <w:pPr>
        <w:spacing w:after="0" w:line="69" w:lineRule="exact"/>
        <w:rPr>
          <w:rFonts w:ascii="Arial" w:cs="Arial" w:eastAsia="Arial" w:hAnsi="Arial"/>
          <w:sz w:val="18"/>
          <w:szCs w:val="18"/>
          <w:color w:val="auto"/>
        </w:rPr>
      </w:pPr>
    </w:p>
    <w:p>
      <w:pPr>
        <w:ind w:left="1020" w:right="220" w:hanging="195"/>
        <w:spacing w:after="0" w:line="245"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interim “top-line” and preliminary data that we announce for our initial open-label Phase 1/2 clinical trial for PC14586 may change as more patient data become available and are subject to audit and verification procedures that could result in material changes in the final data. If the interim, top-line or preliminary data that we report differ from actual results, our ability to obtain approval for our product candidates may be adversely affected, which could materially adversely affect our business, financial condition and results of operations;</w:t>
      </w:r>
    </w:p>
    <w:p>
      <w:pPr>
        <w:spacing w:after="0" w:line="77" w:lineRule="exact"/>
        <w:rPr>
          <w:rFonts w:ascii="Arial" w:cs="Arial" w:eastAsia="Arial" w:hAnsi="Arial"/>
          <w:sz w:val="18"/>
          <w:szCs w:val="18"/>
          <w:color w:val="auto"/>
        </w:rPr>
      </w:pPr>
    </w:p>
    <w:p>
      <w:pPr>
        <w:ind w:left="1020" w:right="100" w:hanging="195"/>
        <w:spacing w:after="0" w:line="255"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subset of cancer patients that we are targeting are expected to have certain p53 mutants and we may not be able to identify a sufficient number of patients whom we can recruit and retain for our clinical trials to obtain approval for our current or future product candidates;</w:t>
      </w:r>
    </w:p>
    <w:p>
      <w:pPr>
        <w:spacing w:after="0" w:line="69" w:lineRule="exact"/>
        <w:rPr>
          <w:rFonts w:ascii="Arial" w:cs="Arial" w:eastAsia="Arial" w:hAnsi="Arial"/>
          <w:sz w:val="18"/>
          <w:szCs w:val="18"/>
          <w:color w:val="auto"/>
        </w:rPr>
      </w:pPr>
    </w:p>
    <w:p>
      <w:pPr>
        <w:ind w:left="1020" w:right="40" w:hanging="195"/>
        <w:spacing w:after="0" w:line="255"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novel approach to the discovery and development of our current and future product candidates is unproven, and we may not be successful in our efforts to use and expand our platform to build a pipeline of product candidates with commercial value;</w:t>
      </w:r>
    </w:p>
    <w:p>
      <w:pPr>
        <w:spacing w:after="0" w:line="69" w:lineRule="exact"/>
        <w:rPr>
          <w:rFonts w:ascii="Arial" w:cs="Arial" w:eastAsia="Arial" w:hAnsi="Arial"/>
          <w:sz w:val="18"/>
          <w:szCs w:val="18"/>
          <w:color w:val="auto"/>
        </w:rPr>
      </w:pPr>
    </w:p>
    <w:p>
      <w:pPr>
        <w:ind w:left="1020" w:right="780" w:hanging="195"/>
        <w:spacing w:after="0" w:line="248"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regulatory approval processes of the FDA and other comparable foreign regulatory authorities are lengthy, time consuming and inherently unpredictable. If we are not able to obtain required regulatory approvals for our product candidates, we will not be able to commercialize our product candidates, and our ability to generate revenue will be materially impaired;</w:t>
      </w:r>
    </w:p>
    <w:p>
      <w:pPr>
        <w:spacing w:after="0" w:line="75" w:lineRule="exact"/>
        <w:rPr>
          <w:rFonts w:ascii="Arial" w:cs="Arial" w:eastAsia="Arial" w:hAnsi="Arial"/>
          <w:sz w:val="18"/>
          <w:szCs w:val="18"/>
          <w:color w:val="auto"/>
        </w:rPr>
      </w:pPr>
    </w:p>
    <w:p>
      <w:pPr>
        <w:ind w:left="1020" w:right="200" w:hanging="195"/>
        <w:spacing w:after="0" w:line="27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currently rely, and plan to rely in the future, on third parties to conduct and support preclinical and clinical development, and these third parties may not meet expectations;</w:t>
      </w:r>
    </w:p>
    <w:p>
      <w:pPr>
        <w:spacing w:after="0" w:line="50" w:lineRule="exact"/>
        <w:rPr>
          <w:rFonts w:ascii="Arial" w:cs="Arial" w:eastAsia="Arial" w:hAnsi="Arial"/>
          <w:sz w:val="18"/>
          <w:szCs w:val="18"/>
          <w:color w:val="auto"/>
        </w:rPr>
      </w:pPr>
    </w:p>
    <w:p>
      <w:pPr>
        <w:ind w:left="1020" w:right="120" w:hanging="195"/>
        <w:spacing w:after="0" w:line="306" w:lineRule="auto"/>
        <w:tabs>
          <w:tab w:leader="none" w:pos="1020" w:val="left"/>
        </w:tabs>
        <w:numPr>
          <w:ilvl w:val="0"/>
          <w:numId w:val="7"/>
        </w:numPr>
        <w:rPr>
          <w:rFonts w:ascii="Arial" w:cs="Arial" w:eastAsia="Arial" w:hAnsi="Arial"/>
          <w:sz w:val="17"/>
          <w:szCs w:val="17"/>
          <w:color w:val="auto"/>
        </w:rPr>
      </w:pPr>
      <w:r>
        <w:rPr>
          <w:rFonts w:ascii="Arial" w:cs="Arial" w:eastAsia="Arial" w:hAnsi="Arial"/>
          <w:sz w:val="17"/>
          <w:szCs w:val="17"/>
          <w:color w:val="auto"/>
        </w:rPr>
        <w:t>if we are unable to obtain and maintain sufficient patent and other intellectual property protection for our product candidates and technology, our competitors could develop and commercialize products and technology similar or identical to ours;</w:t>
      </w:r>
    </w:p>
    <w:p>
      <w:pPr>
        <w:spacing w:after="0" w:line="28" w:lineRule="exact"/>
        <w:rPr>
          <w:rFonts w:ascii="Arial" w:cs="Arial" w:eastAsia="Arial" w:hAnsi="Arial"/>
          <w:sz w:val="17"/>
          <w:szCs w:val="17"/>
          <w:color w:val="auto"/>
        </w:rPr>
      </w:pPr>
    </w:p>
    <w:p>
      <w:pPr>
        <w:ind w:left="1020" w:hanging="195"/>
        <w:spacing w:after="0"/>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depends in part on our ability to protect our intellectual property; and</w:t>
      </w:r>
    </w:p>
    <w:p>
      <w:pPr>
        <w:spacing w:after="0" w:line="117" w:lineRule="exact"/>
        <w:rPr>
          <w:rFonts w:ascii="Arial" w:cs="Arial" w:eastAsia="Arial" w:hAnsi="Arial"/>
          <w:sz w:val="18"/>
          <w:szCs w:val="18"/>
          <w:color w:val="auto"/>
        </w:rPr>
      </w:pPr>
    </w:p>
    <w:p>
      <w:pPr>
        <w:ind w:left="1020" w:right="540" w:hanging="195"/>
        <w:spacing w:after="0" w:line="276" w:lineRule="auto"/>
        <w:tabs>
          <w:tab w:leader="none" w:pos="10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develop companion diagnostics with third party collaborators, which must also separately be approved as medical devices by the FDA.</w:t>
      </w:r>
    </w:p>
    <w:p>
      <w:pPr>
        <w:spacing w:after="0" w:line="251"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Corporate Information</w:t>
      </w:r>
    </w:p>
    <w:p>
      <w:pPr>
        <w:spacing w:after="0" w:line="214" w:lineRule="exact"/>
        <w:rPr>
          <w:sz w:val="20"/>
          <w:szCs w:val="20"/>
          <w:color w:val="auto"/>
        </w:rPr>
      </w:pPr>
    </w:p>
    <w:p>
      <w:pPr>
        <w:ind w:left="300" w:firstLine="532"/>
        <w:spacing w:after="0" w:line="245" w:lineRule="auto"/>
        <w:rPr>
          <w:sz w:val="20"/>
          <w:szCs w:val="20"/>
          <w:color w:val="auto"/>
        </w:rPr>
      </w:pPr>
      <w:r>
        <w:rPr>
          <w:rFonts w:ascii="Arial" w:cs="Arial" w:eastAsia="Arial" w:hAnsi="Arial"/>
          <w:sz w:val="18"/>
          <w:szCs w:val="18"/>
          <w:color w:val="auto"/>
        </w:rPr>
        <w:t>We were incorporated in Delaware in March 2013 under the name “PJ Pharmaceuticals, Inc.” In July 2013, we changed our name to “PMV Pharmaceuticals, Inc.” Our principal executive offices are located at 8 Clarke Drive, Suite 3, Cranbury, New Jersey 08512. Our telephone number is (609) 642-6670. Our website address is www.pmvpharma.com. Information contained on, or that can be accessible through, our website is not a part of this prospectus and the inclusion of our website address in this prospectus is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320" w:top="455" w:right="6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8729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48729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14" w:lineRule="exact"/>
        <w:rPr>
          <w:sz w:val="20"/>
          <w:szCs w:val="20"/>
          <w:color w:val="auto"/>
        </w:rPr>
      </w:pPr>
    </w:p>
    <w:p>
      <w:pPr>
        <w:ind w:left="300" w:right="100" w:firstLine="532"/>
        <w:spacing w:after="0" w:line="255"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amended, or JOBS Act. An emerging growth company may take advantage of certain reduced reporting requirements that are otherwise applicable to public companies. These provisions include, but are not limited to:</w:t>
      </w:r>
    </w:p>
    <w:p>
      <w:pPr>
        <w:spacing w:after="0" w:line="69" w:lineRule="exact"/>
        <w:rPr>
          <w:sz w:val="20"/>
          <w:szCs w:val="20"/>
          <w:color w:val="auto"/>
        </w:rPr>
      </w:pPr>
    </w:p>
    <w:p>
      <w:pPr>
        <w:ind w:left="1020" w:right="20" w:hanging="195"/>
        <w:spacing w:after="0" w:line="255"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being permitted to present only two years of audited financial statements in addition to any required unaudited interim financial statements, with correspondingly reduced disclosure in the section titled “Management’s Discussion and Analysis of Financial Condition and Results of Operations”;</w:t>
      </w:r>
    </w:p>
    <w:p>
      <w:pPr>
        <w:spacing w:after="0" w:line="69" w:lineRule="exact"/>
        <w:rPr>
          <w:rFonts w:ascii="Arial" w:cs="Arial" w:eastAsia="Arial" w:hAnsi="Arial"/>
          <w:sz w:val="18"/>
          <w:szCs w:val="18"/>
          <w:color w:val="auto"/>
        </w:rPr>
      </w:pPr>
    </w:p>
    <w:p>
      <w:pPr>
        <w:ind w:left="1020" w:right="120" w:hanging="195"/>
        <w:spacing w:after="0" w:line="27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w:t>
      </w:r>
    </w:p>
    <w:p>
      <w:pPr>
        <w:spacing w:after="0" w:line="50" w:lineRule="exact"/>
        <w:rPr>
          <w:rFonts w:ascii="Arial" w:cs="Arial" w:eastAsia="Arial" w:hAnsi="Arial"/>
          <w:sz w:val="18"/>
          <w:szCs w:val="18"/>
          <w:color w:val="auto"/>
        </w:rPr>
      </w:pPr>
    </w:p>
    <w:p>
      <w:pPr>
        <w:ind w:left="1020" w:right="780" w:hanging="195"/>
        <w:spacing w:after="0" w:line="27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this prospectus and our periodic reports, proxy statements and registration statements; and</w:t>
      </w:r>
    </w:p>
    <w:p>
      <w:pPr>
        <w:spacing w:after="0" w:line="50" w:lineRule="exact"/>
        <w:rPr>
          <w:rFonts w:ascii="Arial" w:cs="Arial" w:eastAsia="Arial" w:hAnsi="Arial"/>
          <w:sz w:val="18"/>
          <w:szCs w:val="18"/>
          <w:color w:val="auto"/>
        </w:rPr>
      </w:pPr>
    </w:p>
    <w:p>
      <w:pPr>
        <w:ind w:left="1020" w:right="660" w:hanging="195"/>
        <w:spacing w:after="0" w:line="276"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exemptions from the requirements of holding a nonbinding advisory vote on executive compensation and any golden parachute payments.</w:t>
      </w:r>
    </w:p>
    <w:p>
      <w:pPr>
        <w:spacing w:after="0" w:line="145" w:lineRule="exact"/>
        <w:rPr>
          <w:sz w:val="20"/>
          <w:szCs w:val="20"/>
          <w:color w:val="auto"/>
        </w:rPr>
      </w:pPr>
    </w:p>
    <w:p>
      <w:pPr>
        <w:ind w:left="300" w:firstLine="532"/>
        <w:spacing w:after="0" w:line="248" w:lineRule="auto"/>
        <w:rPr>
          <w:sz w:val="20"/>
          <w:szCs w:val="20"/>
          <w:color w:val="auto"/>
        </w:rPr>
      </w:pPr>
      <w:r>
        <w:rPr>
          <w:rFonts w:ascii="Arial" w:cs="Arial" w:eastAsia="Arial" w:hAnsi="Arial"/>
          <w:sz w:val="18"/>
          <w:szCs w:val="18"/>
          <w:color w:val="auto"/>
        </w:rPr>
        <w:t>We will remain an emerging growth company until the earliest to occur of: (i) the last day of the fiscal year in which we have at least $1.07 billion in annual gross revenue; (ii) the date we are deemed to be a “large accelerated filer”; (iii) the issuance, in any three-year period, by us of more than $1.0 billion in non-convertible debt securities; and (iv) the last day of the fiscal year following the fifth anniversary of this offering.</w:t>
      </w:r>
    </w:p>
    <w:p>
      <w:pPr>
        <w:spacing w:after="0" w:line="170" w:lineRule="exact"/>
        <w:rPr>
          <w:sz w:val="20"/>
          <w:szCs w:val="20"/>
          <w:color w:val="auto"/>
        </w:rPr>
      </w:pPr>
    </w:p>
    <w:p>
      <w:pPr>
        <w:ind w:left="300" w:firstLine="532"/>
        <w:spacing w:after="0" w:line="245" w:lineRule="auto"/>
        <w:rPr>
          <w:sz w:val="20"/>
          <w:szCs w:val="20"/>
          <w:color w:val="auto"/>
        </w:rPr>
      </w:pPr>
      <w:r>
        <w:rPr>
          <w:rFonts w:ascii="Arial" w:cs="Arial" w:eastAsia="Arial" w:hAnsi="Arial"/>
          <w:sz w:val="18"/>
          <w:szCs w:val="18"/>
          <w:color w:val="auto"/>
        </w:rPr>
        <w:t>We have taken advantage of reduced reporting requirements in this prospectus and may elect to take advantage of other reduced reporting requirements in our future filings with the Securities and Exchange Commission. As a result, the information that we provide to our stockholders may be different than, and not comparable to, information presented by other public reporting companies. In particular, in this prospectus, we have provided only two years of audited financial statements and have not included all of the executive compensation related information that would be required if we were not an emerging growth company.</w:t>
      </w:r>
    </w:p>
    <w:p>
      <w:pPr>
        <w:spacing w:after="0" w:line="172" w:lineRule="exact"/>
        <w:rPr>
          <w:sz w:val="20"/>
          <w:szCs w:val="20"/>
          <w:color w:val="auto"/>
        </w:rPr>
      </w:pPr>
    </w:p>
    <w:p>
      <w:pPr>
        <w:ind w:left="300" w:right="140" w:firstLine="532"/>
        <w:spacing w:after="0" w:line="241"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delaying the adoption of these accounting standards until they would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we either (i) irrevocably elect to “opt out” of such extended transition period or (ii) no longer qualify as an emerging growth company. As a result, our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5" w:right="6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0615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506158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THE OFFERING</w:t>
      </w:r>
    </w:p>
    <w:p>
      <w:pPr>
        <w:sectPr>
          <w:pgSz w:w="11900" w:h="16838" w:orient="portrait"/>
          <w:cols w:equalWidth="0" w:num="1">
            <w:col w:w="11140"/>
          </w:cols>
          <w:pgMar w:left="320" w:top="455" w:right="439" w:bottom="1440" w:gutter="0" w:footer="0" w:header="0"/>
        </w:sectPr>
      </w:pPr>
    </w:p>
    <w:p>
      <w:pPr>
        <w:spacing w:after="0" w:line="252" w:lineRule="exact"/>
        <w:rPr>
          <w:sz w:val="20"/>
          <w:szCs w:val="20"/>
          <w:color w:val="auto"/>
        </w:rPr>
      </w:pPr>
    </w:p>
    <w:p>
      <w:pPr>
        <w:ind w:left="300"/>
        <w:spacing w:after="0"/>
        <w:rPr>
          <w:sz w:val="20"/>
          <w:szCs w:val="20"/>
          <w:color w:val="auto"/>
        </w:rPr>
      </w:pPr>
      <w:r>
        <w:rPr>
          <w:rFonts w:ascii="Arial" w:cs="Arial" w:eastAsia="Arial" w:hAnsi="Arial"/>
          <w:sz w:val="17"/>
          <w:szCs w:val="17"/>
          <w:color w:val="auto"/>
        </w:rPr>
        <w:t>Common stock offered by us</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4120"/>
        <w:spacing w:after="0"/>
        <w:rPr>
          <w:sz w:val="20"/>
          <w:szCs w:val="20"/>
          <w:color w:val="auto"/>
        </w:rPr>
      </w:pPr>
      <w:r>
        <w:rPr>
          <w:rFonts w:ascii="Arial" w:cs="Arial" w:eastAsia="Arial" w:hAnsi="Arial"/>
          <w:sz w:val="18"/>
          <w:szCs w:val="18"/>
          <w:color w:val="auto"/>
        </w:rPr>
        <w:t>shares.</w:t>
      </w:r>
    </w:p>
    <w:p>
      <w:pPr>
        <w:spacing w:after="0" w:line="90" w:lineRule="exact"/>
        <w:rPr>
          <w:sz w:val="20"/>
          <w:szCs w:val="20"/>
          <w:color w:val="auto"/>
        </w:rPr>
      </w:pPr>
    </w:p>
    <w:p>
      <w:pPr>
        <w:sectPr>
          <w:pgSz w:w="11900" w:h="16838" w:orient="portrait"/>
          <w:cols w:equalWidth="0" w:num="2">
            <w:col w:w="5700" w:space="720"/>
            <w:col w:w="4720"/>
          </w:cols>
          <w:pgMar w:left="320" w:top="455" w:right="439" w:bottom="1440" w:gutter="0" w:footer="0" w:header="0"/>
          <w:type w:val="continuous"/>
        </w:sectPr>
      </w:pPr>
    </w:p>
    <w:p>
      <w:pPr>
        <w:ind w:left="300"/>
        <w:spacing w:after="0"/>
        <w:rPr>
          <w:sz w:val="20"/>
          <w:szCs w:val="20"/>
          <w:color w:val="auto"/>
        </w:rPr>
      </w:pPr>
      <w:r>
        <w:rPr>
          <w:rFonts w:ascii="Arial" w:cs="Arial" w:eastAsia="Arial" w:hAnsi="Arial"/>
          <w:sz w:val="17"/>
          <w:szCs w:val="17"/>
          <w:color w:val="auto"/>
        </w:rPr>
        <w:t>Underwriters’ option to purchase additional shares</w:t>
      </w:r>
    </w:p>
    <w:p>
      <w:pPr>
        <w:spacing w:after="0" w:line="20" w:lineRule="exact"/>
        <w:rPr>
          <w:sz w:val="20"/>
          <w:szCs w:val="20"/>
          <w:color w:val="auto"/>
        </w:rPr>
      </w:pPr>
      <w:r>
        <w:rPr>
          <w:sz w:val="20"/>
          <w:szCs w:val="20"/>
          <w:color w:val="auto"/>
        </w:rPr>
        <w:br w:type="column"/>
      </w:r>
    </w:p>
    <w:p>
      <w:pPr>
        <w:ind w:right="660"/>
        <w:spacing w:after="0" w:line="255" w:lineRule="auto"/>
        <w:rPr>
          <w:sz w:val="20"/>
          <w:szCs w:val="20"/>
          <w:color w:val="auto"/>
        </w:rPr>
      </w:pPr>
      <w:r>
        <w:rPr>
          <w:rFonts w:ascii="Arial" w:cs="Arial" w:eastAsia="Arial" w:hAnsi="Arial"/>
          <w:sz w:val="18"/>
          <w:szCs w:val="18"/>
          <w:color w:val="auto"/>
        </w:rPr>
        <w:t>We have granted the underwriters an option for a period of 30 days to purchase up to additional shares of our common stock.</w:t>
      </w:r>
    </w:p>
    <w:p>
      <w:pPr>
        <w:spacing w:after="0" w:line="24" w:lineRule="exact"/>
        <w:rPr>
          <w:sz w:val="20"/>
          <w:szCs w:val="20"/>
          <w:color w:val="auto"/>
        </w:rPr>
      </w:pPr>
    </w:p>
    <w:p>
      <w:pPr>
        <w:sectPr>
          <w:pgSz w:w="11900" w:h="16838" w:orient="portrait"/>
          <w:cols w:equalWidth="0" w:num="2">
            <w:col w:w="5100" w:space="720"/>
            <w:col w:w="532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207"/>
        </w:trPr>
        <w:tc>
          <w:tcPr>
            <w:tcW w:w="5340" w:type="dxa"/>
            <w:vAlign w:val="bottom"/>
          </w:tcPr>
          <w:p>
            <w:pPr>
              <w:ind w:left="180"/>
              <w:spacing w:after="0"/>
              <w:rPr>
                <w:sz w:val="20"/>
                <w:szCs w:val="20"/>
                <w:color w:val="auto"/>
              </w:rPr>
            </w:pPr>
            <w:r>
              <w:rPr>
                <w:rFonts w:ascii="Arial" w:cs="Arial" w:eastAsia="Arial" w:hAnsi="Arial"/>
                <w:sz w:val="18"/>
                <w:szCs w:val="18"/>
                <w:color w:val="auto"/>
              </w:rPr>
              <w:t>Common stock to be outstanding immediately after this offering</w:t>
            </w:r>
          </w:p>
        </w:tc>
        <w:tc>
          <w:tcPr>
            <w:tcW w:w="2120" w:type="dxa"/>
            <w:vAlign w:val="bottom"/>
          </w:tcPr>
          <w:p>
            <w:pPr>
              <w:ind w:left="960"/>
              <w:spacing w:after="0"/>
              <w:rPr>
                <w:sz w:val="20"/>
                <w:szCs w:val="20"/>
                <w:color w:val="auto"/>
              </w:rPr>
            </w:pPr>
            <w:r>
              <w:rPr>
                <w:rFonts w:ascii="Arial" w:cs="Arial" w:eastAsia="Arial" w:hAnsi="Arial"/>
                <w:sz w:val="18"/>
                <w:szCs w:val="18"/>
                <w:color w:val="auto"/>
              </w:rPr>
              <w:t>shares (or</w:t>
            </w:r>
          </w:p>
        </w:tc>
        <w:tc>
          <w:tcPr>
            <w:tcW w:w="3560" w:type="dxa"/>
            <w:vAlign w:val="bottom"/>
            <w:gridSpan w:val="2"/>
          </w:tcPr>
          <w:p>
            <w:pPr>
              <w:ind w:left="300"/>
              <w:spacing w:after="0"/>
              <w:rPr>
                <w:sz w:val="20"/>
                <w:szCs w:val="20"/>
                <w:color w:val="auto"/>
              </w:rPr>
            </w:pPr>
            <w:r>
              <w:rPr>
                <w:rFonts w:ascii="Arial" w:cs="Arial" w:eastAsia="Arial" w:hAnsi="Arial"/>
                <w:sz w:val="18"/>
                <w:szCs w:val="18"/>
                <w:color w:val="auto"/>
              </w:rPr>
              <w:t>shares if the underwriters exercise</w:t>
            </w:r>
          </w:p>
        </w:tc>
      </w:tr>
      <w:tr>
        <w:trPr>
          <w:trHeight w:val="243"/>
        </w:trPr>
        <w:tc>
          <w:tcPr>
            <w:tcW w:w="5340" w:type="dxa"/>
            <w:vAlign w:val="bottom"/>
          </w:tcPr>
          <w:p>
            <w:pPr>
              <w:spacing w:after="0"/>
              <w:rPr>
                <w:sz w:val="21"/>
                <w:szCs w:val="21"/>
                <w:color w:val="auto"/>
              </w:rPr>
            </w:pPr>
          </w:p>
        </w:tc>
        <w:tc>
          <w:tcPr>
            <w:tcW w:w="5680" w:type="dxa"/>
            <w:vAlign w:val="bottom"/>
            <w:gridSpan w:val="3"/>
          </w:tcPr>
          <w:p>
            <w:pPr>
              <w:ind w:left="360"/>
              <w:spacing w:after="0"/>
              <w:rPr>
                <w:sz w:val="20"/>
                <w:szCs w:val="20"/>
                <w:color w:val="auto"/>
              </w:rPr>
            </w:pPr>
            <w:r>
              <w:rPr>
                <w:rFonts w:ascii="Arial" w:cs="Arial" w:eastAsia="Arial" w:hAnsi="Arial"/>
                <w:sz w:val="18"/>
                <w:szCs w:val="18"/>
                <w:color w:val="auto"/>
              </w:rPr>
              <w:t>their option to purchase additional shares in full).</w:t>
            </w:r>
          </w:p>
        </w:tc>
      </w:tr>
      <w:tr>
        <w:trPr>
          <w:trHeight w:val="243"/>
        </w:trPr>
        <w:tc>
          <w:tcPr>
            <w:tcW w:w="534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5680" w:type="dxa"/>
            <w:vAlign w:val="bottom"/>
            <w:gridSpan w:val="3"/>
          </w:tcPr>
          <w:p>
            <w:pPr>
              <w:ind w:left="360"/>
              <w:spacing w:after="0"/>
              <w:rPr>
                <w:sz w:val="20"/>
                <w:szCs w:val="20"/>
                <w:color w:val="auto"/>
              </w:rPr>
            </w:pPr>
            <w:r>
              <w:rPr>
                <w:rFonts w:ascii="Arial" w:cs="Arial" w:eastAsia="Arial" w:hAnsi="Arial"/>
                <w:sz w:val="18"/>
                <w:szCs w:val="18"/>
                <w:color w:val="auto"/>
              </w:rPr>
              <w:t>We estimate that the net proceeds to us from the sale of the</w:t>
            </w:r>
          </w:p>
        </w:tc>
      </w:tr>
      <w:tr>
        <w:trPr>
          <w:trHeight w:val="203"/>
        </w:trPr>
        <w:tc>
          <w:tcPr>
            <w:tcW w:w="5340" w:type="dxa"/>
            <w:vAlign w:val="bottom"/>
          </w:tcPr>
          <w:p>
            <w:pPr>
              <w:spacing w:after="0"/>
              <w:rPr>
                <w:sz w:val="17"/>
                <w:szCs w:val="17"/>
                <w:color w:val="auto"/>
              </w:rPr>
            </w:pPr>
          </w:p>
        </w:tc>
        <w:tc>
          <w:tcPr>
            <w:tcW w:w="56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shares of our common stock in this offering will be</w:t>
            </w:r>
          </w:p>
        </w:tc>
      </w:tr>
      <w:tr>
        <w:trPr>
          <w:trHeight w:val="203"/>
        </w:trPr>
        <w:tc>
          <w:tcPr>
            <w:tcW w:w="5340" w:type="dxa"/>
            <w:vAlign w:val="bottom"/>
          </w:tcPr>
          <w:p>
            <w:pPr>
              <w:spacing w:after="0"/>
              <w:rPr>
                <w:sz w:val="17"/>
                <w:szCs w:val="17"/>
                <w:color w:val="auto"/>
              </w:rPr>
            </w:pPr>
          </w:p>
        </w:tc>
        <w:tc>
          <w:tcPr>
            <w:tcW w:w="2120" w:type="dxa"/>
            <w:vAlign w:val="bottom"/>
          </w:tcPr>
          <w:p>
            <w:pPr>
              <w:ind w:left="360"/>
              <w:spacing w:after="0" w:line="202" w:lineRule="exact"/>
              <w:rPr>
                <w:sz w:val="20"/>
                <w:szCs w:val="20"/>
                <w:color w:val="auto"/>
              </w:rPr>
            </w:pPr>
            <w:r>
              <w:rPr>
                <w:rFonts w:ascii="Arial" w:cs="Arial" w:eastAsia="Arial" w:hAnsi="Arial"/>
                <w:sz w:val="18"/>
                <w:szCs w:val="18"/>
                <w:color w:val="auto"/>
              </w:rPr>
              <w:t>approximately $</w:t>
            </w:r>
          </w:p>
        </w:tc>
        <w:tc>
          <w:tcPr>
            <w:tcW w:w="356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million, or approximately $</w:t>
            </w:r>
          </w:p>
        </w:tc>
      </w:tr>
      <w:tr>
        <w:trPr>
          <w:trHeight w:val="203"/>
        </w:trPr>
        <w:tc>
          <w:tcPr>
            <w:tcW w:w="5340" w:type="dxa"/>
            <w:vAlign w:val="bottom"/>
          </w:tcPr>
          <w:p>
            <w:pPr>
              <w:spacing w:after="0"/>
              <w:rPr>
                <w:sz w:val="17"/>
                <w:szCs w:val="17"/>
                <w:color w:val="auto"/>
              </w:rPr>
            </w:pPr>
          </w:p>
        </w:tc>
        <w:tc>
          <w:tcPr>
            <w:tcW w:w="5680" w:type="dxa"/>
            <w:vAlign w:val="bottom"/>
            <w:gridSpan w:val="3"/>
          </w:tcPr>
          <w:p>
            <w:pPr>
              <w:ind w:left="960"/>
              <w:spacing w:after="0" w:line="202" w:lineRule="exact"/>
              <w:rPr>
                <w:sz w:val="20"/>
                <w:szCs w:val="20"/>
                <w:color w:val="auto"/>
              </w:rPr>
            </w:pPr>
            <w:r>
              <w:rPr>
                <w:rFonts w:ascii="Arial" w:cs="Arial" w:eastAsia="Arial" w:hAnsi="Arial"/>
                <w:sz w:val="18"/>
                <w:szCs w:val="18"/>
                <w:color w:val="auto"/>
              </w:rPr>
              <w:t>million if the underwriters exercise their option to</w:t>
            </w:r>
          </w:p>
        </w:tc>
      </w:tr>
      <w:tr>
        <w:trPr>
          <w:trHeight w:val="203"/>
        </w:trPr>
        <w:tc>
          <w:tcPr>
            <w:tcW w:w="5340" w:type="dxa"/>
            <w:vAlign w:val="bottom"/>
          </w:tcPr>
          <w:p>
            <w:pPr>
              <w:spacing w:after="0"/>
              <w:rPr>
                <w:sz w:val="17"/>
                <w:szCs w:val="17"/>
                <w:color w:val="auto"/>
              </w:rPr>
            </w:pPr>
          </w:p>
        </w:tc>
        <w:tc>
          <w:tcPr>
            <w:tcW w:w="56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purchase additional shares in full, based upon the assumed</w:t>
            </w:r>
          </w:p>
        </w:tc>
      </w:tr>
      <w:tr>
        <w:trPr>
          <w:trHeight w:val="203"/>
        </w:trPr>
        <w:tc>
          <w:tcPr>
            <w:tcW w:w="5340" w:type="dxa"/>
            <w:vAlign w:val="bottom"/>
          </w:tcPr>
          <w:p>
            <w:pPr>
              <w:spacing w:after="0"/>
              <w:rPr>
                <w:sz w:val="17"/>
                <w:szCs w:val="17"/>
                <w:color w:val="auto"/>
              </w:rPr>
            </w:pPr>
          </w:p>
        </w:tc>
        <w:tc>
          <w:tcPr>
            <w:tcW w:w="30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initial public offering price of $</w:t>
            </w:r>
          </w:p>
        </w:tc>
        <w:tc>
          <w:tcPr>
            <w:tcW w:w="2620" w:type="dxa"/>
            <w:vAlign w:val="bottom"/>
          </w:tcPr>
          <w:p>
            <w:pPr>
              <w:ind w:left="320"/>
              <w:spacing w:after="0" w:line="202" w:lineRule="exact"/>
              <w:rPr>
                <w:sz w:val="20"/>
                <w:szCs w:val="20"/>
                <w:color w:val="auto"/>
              </w:rPr>
            </w:pPr>
            <w:r>
              <w:rPr>
                <w:rFonts w:ascii="Arial" w:cs="Arial" w:eastAsia="Arial" w:hAnsi="Arial"/>
                <w:sz w:val="18"/>
                <w:szCs w:val="18"/>
                <w:color w:val="auto"/>
              </w:rPr>
              <w:t>per share, which is the</w:t>
            </w:r>
          </w:p>
        </w:tc>
      </w:tr>
      <w:tr>
        <w:trPr>
          <w:trHeight w:val="203"/>
        </w:trPr>
        <w:tc>
          <w:tcPr>
            <w:tcW w:w="5340" w:type="dxa"/>
            <w:vAlign w:val="bottom"/>
          </w:tcPr>
          <w:p>
            <w:pPr>
              <w:spacing w:after="0"/>
              <w:rPr>
                <w:sz w:val="17"/>
                <w:szCs w:val="17"/>
                <w:color w:val="auto"/>
              </w:rPr>
            </w:pPr>
          </w:p>
        </w:tc>
        <w:tc>
          <w:tcPr>
            <w:tcW w:w="56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midpoint of the estimated offering price range set forth on the</w:t>
            </w:r>
          </w:p>
        </w:tc>
      </w:tr>
      <w:tr>
        <w:trPr>
          <w:trHeight w:val="203"/>
        </w:trPr>
        <w:tc>
          <w:tcPr>
            <w:tcW w:w="5340" w:type="dxa"/>
            <w:vAlign w:val="bottom"/>
          </w:tcPr>
          <w:p>
            <w:pPr>
              <w:spacing w:after="0"/>
              <w:rPr>
                <w:sz w:val="17"/>
                <w:szCs w:val="17"/>
                <w:color w:val="auto"/>
              </w:rPr>
            </w:pPr>
          </w:p>
        </w:tc>
        <w:tc>
          <w:tcPr>
            <w:tcW w:w="56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cover page of this prospectus, and after deducting estimated</w:t>
            </w:r>
          </w:p>
        </w:tc>
      </w:tr>
      <w:tr>
        <w:trPr>
          <w:trHeight w:val="203"/>
        </w:trPr>
        <w:tc>
          <w:tcPr>
            <w:tcW w:w="5340" w:type="dxa"/>
            <w:vAlign w:val="bottom"/>
          </w:tcPr>
          <w:p>
            <w:pPr>
              <w:spacing w:after="0"/>
              <w:rPr>
                <w:sz w:val="17"/>
                <w:szCs w:val="17"/>
                <w:color w:val="auto"/>
              </w:rPr>
            </w:pPr>
          </w:p>
        </w:tc>
        <w:tc>
          <w:tcPr>
            <w:tcW w:w="56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underwriting discounts and commissions and estimated offering</w:t>
            </w:r>
          </w:p>
        </w:tc>
      </w:tr>
      <w:tr>
        <w:trPr>
          <w:trHeight w:val="243"/>
        </w:trPr>
        <w:tc>
          <w:tcPr>
            <w:tcW w:w="5340" w:type="dxa"/>
            <w:vAlign w:val="bottom"/>
          </w:tcPr>
          <w:p>
            <w:pPr>
              <w:spacing w:after="0"/>
              <w:rPr>
                <w:sz w:val="21"/>
                <w:szCs w:val="21"/>
                <w:color w:val="auto"/>
              </w:rPr>
            </w:pPr>
          </w:p>
        </w:tc>
        <w:tc>
          <w:tcPr>
            <w:tcW w:w="3060" w:type="dxa"/>
            <w:vAlign w:val="bottom"/>
            <w:gridSpan w:val="2"/>
          </w:tcPr>
          <w:p>
            <w:pPr>
              <w:ind w:left="360"/>
              <w:spacing w:after="0"/>
              <w:rPr>
                <w:sz w:val="20"/>
                <w:szCs w:val="20"/>
                <w:color w:val="auto"/>
              </w:rPr>
            </w:pPr>
            <w:r>
              <w:rPr>
                <w:rFonts w:ascii="Arial" w:cs="Arial" w:eastAsia="Arial" w:hAnsi="Arial"/>
                <w:sz w:val="18"/>
                <w:szCs w:val="18"/>
                <w:color w:val="auto"/>
              </w:rPr>
              <w:t>expenses payable by us.</w:t>
            </w:r>
          </w:p>
        </w:tc>
        <w:tc>
          <w:tcPr>
            <w:tcW w:w="2620" w:type="dxa"/>
            <w:vAlign w:val="bottom"/>
          </w:tcPr>
          <w:p>
            <w:pPr>
              <w:spacing w:after="0"/>
              <w:rPr>
                <w:sz w:val="21"/>
                <w:szCs w:val="21"/>
                <w:color w:val="auto"/>
              </w:rPr>
            </w:pPr>
          </w:p>
        </w:tc>
      </w:tr>
      <w:tr>
        <w:trPr>
          <w:trHeight w:val="243"/>
        </w:trPr>
        <w:tc>
          <w:tcPr>
            <w:tcW w:w="5340" w:type="dxa"/>
            <w:vAlign w:val="bottom"/>
          </w:tcPr>
          <w:p>
            <w:pPr>
              <w:spacing w:after="0"/>
              <w:rPr>
                <w:sz w:val="21"/>
                <w:szCs w:val="21"/>
                <w:color w:val="auto"/>
              </w:rPr>
            </w:pPr>
          </w:p>
        </w:tc>
        <w:tc>
          <w:tcPr>
            <w:tcW w:w="5680" w:type="dxa"/>
            <w:vAlign w:val="bottom"/>
            <w:gridSpan w:val="3"/>
          </w:tcPr>
          <w:p>
            <w:pPr>
              <w:ind w:left="360"/>
              <w:spacing w:after="0"/>
              <w:rPr>
                <w:sz w:val="20"/>
                <w:szCs w:val="20"/>
                <w:color w:val="auto"/>
              </w:rPr>
            </w:pPr>
            <w:r>
              <w:rPr>
                <w:rFonts w:ascii="Arial" w:cs="Arial" w:eastAsia="Arial" w:hAnsi="Arial"/>
                <w:sz w:val="18"/>
                <w:szCs w:val="18"/>
                <w:color w:val="auto"/>
              </w:rPr>
              <w:t>We currently anticipate that we will use the net proceeds from</w:t>
            </w:r>
          </w:p>
        </w:tc>
      </w:tr>
      <w:tr>
        <w:trPr>
          <w:trHeight w:val="203"/>
        </w:trPr>
        <w:tc>
          <w:tcPr>
            <w:tcW w:w="5340" w:type="dxa"/>
            <w:vAlign w:val="bottom"/>
          </w:tcPr>
          <w:p>
            <w:pPr>
              <w:spacing w:after="0"/>
              <w:rPr>
                <w:sz w:val="17"/>
                <w:szCs w:val="17"/>
                <w:color w:val="auto"/>
              </w:rPr>
            </w:pPr>
          </w:p>
        </w:tc>
        <w:tc>
          <w:tcPr>
            <w:tcW w:w="56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this offering, together with our existing cash, cash equivalents</w:t>
            </w:r>
          </w:p>
        </w:tc>
      </w:tr>
      <w:tr>
        <w:trPr>
          <w:trHeight w:val="203"/>
        </w:trPr>
        <w:tc>
          <w:tcPr>
            <w:tcW w:w="5340" w:type="dxa"/>
            <w:vAlign w:val="bottom"/>
          </w:tcPr>
          <w:p>
            <w:pPr>
              <w:spacing w:after="0"/>
              <w:rPr>
                <w:sz w:val="17"/>
                <w:szCs w:val="17"/>
                <w:color w:val="auto"/>
              </w:rPr>
            </w:pPr>
          </w:p>
        </w:tc>
        <w:tc>
          <w:tcPr>
            <w:tcW w:w="56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and short-term marketable securities, as follows: (1) to fund the</w:t>
            </w:r>
          </w:p>
        </w:tc>
      </w:tr>
      <w:tr>
        <w:trPr>
          <w:trHeight w:val="203"/>
        </w:trPr>
        <w:tc>
          <w:tcPr>
            <w:tcW w:w="5340" w:type="dxa"/>
            <w:vAlign w:val="bottom"/>
          </w:tcPr>
          <w:p>
            <w:pPr>
              <w:spacing w:after="0"/>
              <w:rPr>
                <w:sz w:val="17"/>
                <w:szCs w:val="17"/>
                <w:color w:val="auto"/>
              </w:rPr>
            </w:pPr>
          </w:p>
        </w:tc>
        <w:tc>
          <w:tcPr>
            <w:tcW w:w="56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Phase 1/2 development of PC14586; (2) to support the</w:t>
            </w:r>
          </w:p>
        </w:tc>
      </w:tr>
      <w:tr>
        <w:trPr>
          <w:trHeight w:val="203"/>
        </w:trPr>
        <w:tc>
          <w:tcPr>
            <w:tcW w:w="5340" w:type="dxa"/>
            <w:vAlign w:val="bottom"/>
          </w:tcPr>
          <w:p>
            <w:pPr>
              <w:spacing w:after="0"/>
              <w:rPr>
                <w:sz w:val="17"/>
                <w:szCs w:val="17"/>
                <w:color w:val="auto"/>
              </w:rPr>
            </w:pPr>
          </w:p>
        </w:tc>
        <w:tc>
          <w:tcPr>
            <w:tcW w:w="56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development of our R273H program, including lead optimization</w:t>
            </w:r>
          </w:p>
        </w:tc>
      </w:tr>
      <w:tr>
        <w:trPr>
          <w:trHeight w:val="203"/>
        </w:trPr>
        <w:tc>
          <w:tcPr>
            <w:tcW w:w="5340" w:type="dxa"/>
            <w:vAlign w:val="bottom"/>
          </w:tcPr>
          <w:p>
            <w:pPr>
              <w:spacing w:after="0"/>
              <w:rPr>
                <w:sz w:val="17"/>
                <w:szCs w:val="17"/>
                <w:color w:val="auto"/>
              </w:rPr>
            </w:pPr>
          </w:p>
        </w:tc>
        <w:tc>
          <w:tcPr>
            <w:tcW w:w="56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and IND-enabling studies; (3) for the development of our</w:t>
            </w:r>
          </w:p>
        </w:tc>
      </w:tr>
      <w:tr>
        <w:trPr>
          <w:trHeight w:val="203"/>
        </w:trPr>
        <w:tc>
          <w:tcPr>
            <w:tcW w:w="5340" w:type="dxa"/>
            <w:vAlign w:val="bottom"/>
          </w:tcPr>
          <w:p>
            <w:pPr>
              <w:spacing w:after="0"/>
              <w:rPr>
                <w:sz w:val="17"/>
                <w:szCs w:val="17"/>
                <w:color w:val="auto"/>
              </w:rPr>
            </w:pPr>
          </w:p>
        </w:tc>
        <w:tc>
          <w:tcPr>
            <w:tcW w:w="56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pipeline discovery programs; and (4) for other research and</w:t>
            </w:r>
          </w:p>
        </w:tc>
      </w:tr>
      <w:tr>
        <w:trPr>
          <w:trHeight w:val="202"/>
        </w:trPr>
        <w:tc>
          <w:tcPr>
            <w:tcW w:w="5340" w:type="dxa"/>
            <w:vAlign w:val="bottom"/>
          </w:tcPr>
          <w:p>
            <w:pPr>
              <w:spacing w:after="0"/>
              <w:rPr>
                <w:sz w:val="17"/>
                <w:szCs w:val="17"/>
                <w:color w:val="auto"/>
              </w:rPr>
            </w:pPr>
          </w:p>
        </w:tc>
        <w:tc>
          <w:tcPr>
            <w:tcW w:w="56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development opportunities, working capital and general</w:t>
            </w:r>
          </w:p>
        </w:tc>
      </w:tr>
      <w:tr>
        <w:trPr>
          <w:trHeight w:val="243"/>
        </w:trPr>
        <w:tc>
          <w:tcPr>
            <w:tcW w:w="5340" w:type="dxa"/>
            <w:vAlign w:val="bottom"/>
          </w:tcPr>
          <w:p>
            <w:pPr>
              <w:spacing w:after="0"/>
              <w:rPr>
                <w:sz w:val="21"/>
                <w:szCs w:val="21"/>
                <w:color w:val="auto"/>
              </w:rPr>
            </w:pPr>
          </w:p>
        </w:tc>
        <w:tc>
          <w:tcPr>
            <w:tcW w:w="2120" w:type="dxa"/>
            <w:vAlign w:val="bottom"/>
          </w:tcPr>
          <w:p>
            <w:pPr>
              <w:ind w:left="360"/>
              <w:spacing w:after="0"/>
              <w:rPr>
                <w:sz w:val="20"/>
                <w:szCs w:val="20"/>
                <w:color w:val="auto"/>
              </w:rPr>
            </w:pPr>
            <w:r>
              <w:rPr>
                <w:rFonts w:ascii="Arial" w:cs="Arial" w:eastAsia="Arial" w:hAnsi="Arial"/>
                <w:sz w:val="18"/>
                <w:szCs w:val="18"/>
                <w:color w:val="auto"/>
              </w:rPr>
              <w:t>corporate purposes.</w:t>
            </w:r>
          </w:p>
        </w:tc>
        <w:tc>
          <w:tcPr>
            <w:tcW w:w="940" w:type="dxa"/>
            <w:vAlign w:val="bottom"/>
          </w:tcPr>
          <w:p>
            <w:pPr>
              <w:spacing w:after="0"/>
              <w:rPr>
                <w:sz w:val="21"/>
                <w:szCs w:val="21"/>
                <w:color w:val="auto"/>
              </w:rPr>
            </w:pPr>
          </w:p>
        </w:tc>
        <w:tc>
          <w:tcPr>
            <w:tcW w:w="2620" w:type="dxa"/>
            <w:vAlign w:val="bottom"/>
          </w:tcPr>
          <w:p>
            <w:pPr>
              <w:spacing w:after="0"/>
              <w:rPr>
                <w:sz w:val="21"/>
                <w:szCs w:val="21"/>
                <w:color w:val="auto"/>
              </w:rPr>
            </w:pPr>
          </w:p>
        </w:tc>
      </w:tr>
      <w:tr>
        <w:trPr>
          <w:trHeight w:val="284"/>
        </w:trPr>
        <w:tc>
          <w:tcPr>
            <w:tcW w:w="5340" w:type="dxa"/>
            <w:vAlign w:val="bottom"/>
          </w:tcPr>
          <w:p>
            <w:pPr>
              <w:spacing w:after="0"/>
              <w:rPr>
                <w:sz w:val="24"/>
                <w:szCs w:val="24"/>
                <w:color w:val="auto"/>
              </w:rPr>
            </w:pPr>
          </w:p>
        </w:tc>
        <w:tc>
          <w:tcPr>
            <w:tcW w:w="5680" w:type="dxa"/>
            <w:vAlign w:val="bottom"/>
            <w:gridSpan w:val="3"/>
          </w:tcPr>
          <w:p>
            <w:pPr>
              <w:ind w:left="360"/>
              <w:spacing w:after="0"/>
              <w:rPr>
                <w:sz w:val="20"/>
                <w:szCs w:val="20"/>
                <w:color w:val="auto"/>
              </w:rPr>
            </w:pPr>
            <w:r>
              <w:rPr>
                <w:rFonts w:ascii="Arial" w:cs="Arial" w:eastAsia="Arial" w:hAnsi="Arial"/>
                <w:sz w:val="18"/>
                <w:szCs w:val="18"/>
                <w:color w:val="auto"/>
              </w:rPr>
              <w:t>See the section titled “Use of Proceeds” for more information.</w:t>
            </w:r>
          </w:p>
        </w:tc>
      </w:tr>
      <w:tr>
        <w:trPr>
          <w:trHeight w:val="243"/>
        </w:trPr>
        <w:tc>
          <w:tcPr>
            <w:tcW w:w="5340" w:type="dxa"/>
            <w:vAlign w:val="bottom"/>
          </w:tcPr>
          <w:p>
            <w:pPr>
              <w:ind w:left="180"/>
              <w:spacing w:after="0"/>
              <w:rPr>
                <w:sz w:val="20"/>
                <w:szCs w:val="20"/>
                <w:color w:val="auto"/>
              </w:rPr>
            </w:pPr>
            <w:r>
              <w:rPr>
                <w:rFonts w:ascii="Arial" w:cs="Arial" w:eastAsia="Arial" w:hAnsi="Arial"/>
                <w:sz w:val="18"/>
                <w:szCs w:val="18"/>
                <w:color w:val="auto"/>
              </w:rPr>
              <w:t>Risk factors</w:t>
            </w:r>
          </w:p>
        </w:tc>
        <w:tc>
          <w:tcPr>
            <w:tcW w:w="5680" w:type="dxa"/>
            <w:vAlign w:val="bottom"/>
            <w:gridSpan w:val="3"/>
          </w:tcPr>
          <w:p>
            <w:pPr>
              <w:ind w:left="360"/>
              <w:spacing w:after="0"/>
              <w:rPr>
                <w:sz w:val="20"/>
                <w:szCs w:val="20"/>
                <w:color w:val="auto"/>
              </w:rPr>
            </w:pPr>
            <w:r>
              <w:rPr>
                <w:rFonts w:ascii="Arial" w:cs="Arial" w:eastAsia="Arial" w:hAnsi="Arial"/>
                <w:sz w:val="18"/>
                <w:szCs w:val="18"/>
                <w:color w:val="auto"/>
              </w:rPr>
              <w:t>See the section of this prospectus titled “Risk Factors”</w:t>
            </w:r>
          </w:p>
        </w:tc>
      </w:tr>
      <w:tr>
        <w:trPr>
          <w:trHeight w:val="203"/>
        </w:trPr>
        <w:tc>
          <w:tcPr>
            <w:tcW w:w="5340" w:type="dxa"/>
            <w:vAlign w:val="bottom"/>
          </w:tcPr>
          <w:p>
            <w:pPr>
              <w:spacing w:after="0"/>
              <w:rPr>
                <w:sz w:val="17"/>
                <w:szCs w:val="17"/>
                <w:color w:val="auto"/>
              </w:rPr>
            </w:pPr>
          </w:p>
        </w:tc>
        <w:tc>
          <w:tcPr>
            <w:tcW w:w="56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beginning on page 12 and other information included in this</w:t>
            </w:r>
          </w:p>
        </w:tc>
      </w:tr>
      <w:tr>
        <w:trPr>
          <w:trHeight w:val="203"/>
        </w:trPr>
        <w:tc>
          <w:tcPr>
            <w:tcW w:w="5340" w:type="dxa"/>
            <w:vAlign w:val="bottom"/>
          </w:tcPr>
          <w:p>
            <w:pPr>
              <w:spacing w:after="0"/>
              <w:rPr>
                <w:sz w:val="17"/>
                <w:szCs w:val="17"/>
                <w:color w:val="auto"/>
              </w:rPr>
            </w:pPr>
          </w:p>
        </w:tc>
        <w:tc>
          <w:tcPr>
            <w:tcW w:w="56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prospectus for a discussion of factors you should carefully</w:t>
            </w:r>
          </w:p>
        </w:tc>
      </w:tr>
      <w:tr>
        <w:trPr>
          <w:trHeight w:val="203"/>
        </w:trPr>
        <w:tc>
          <w:tcPr>
            <w:tcW w:w="5340" w:type="dxa"/>
            <w:vAlign w:val="bottom"/>
          </w:tcPr>
          <w:p>
            <w:pPr>
              <w:spacing w:after="0"/>
              <w:rPr>
                <w:sz w:val="17"/>
                <w:szCs w:val="17"/>
                <w:color w:val="auto"/>
              </w:rPr>
            </w:pPr>
          </w:p>
        </w:tc>
        <w:tc>
          <w:tcPr>
            <w:tcW w:w="5680" w:type="dxa"/>
            <w:vAlign w:val="bottom"/>
            <w:gridSpan w:val="3"/>
          </w:tcPr>
          <w:p>
            <w:pPr>
              <w:ind w:left="360"/>
              <w:spacing w:after="0" w:line="202" w:lineRule="exact"/>
              <w:rPr>
                <w:sz w:val="20"/>
                <w:szCs w:val="20"/>
                <w:color w:val="auto"/>
              </w:rPr>
            </w:pPr>
            <w:r>
              <w:rPr>
                <w:rFonts w:ascii="Arial" w:cs="Arial" w:eastAsia="Arial" w:hAnsi="Arial"/>
                <w:sz w:val="18"/>
                <w:szCs w:val="18"/>
                <w:color w:val="auto"/>
              </w:rPr>
              <w:t>consider before deciding to invest in shares of our common</w:t>
            </w:r>
          </w:p>
        </w:tc>
      </w:tr>
      <w:tr>
        <w:trPr>
          <w:trHeight w:val="243"/>
        </w:trPr>
        <w:tc>
          <w:tcPr>
            <w:tcW w:w="5340" w:type="dxa"/>
            <w:vAlign w:val="bottom"/>
          </w:tcPr>
          <w:p>
            <w:pPr>
              <w:spacing w:after="0"/>
              <w:rPr>
                <w:sz w:val="21"/>
                <w:szCs w:val="21"/>
                <w:color w:val="auto"/>
              </w:rPr>
            </w:pPr>
          </w:p>
        </w:tc>
        <w:tc>
          <w:tcPr>
            <w:tcW w:w="2120" w:type="dxa"/>
            <w:vAlign w:val="bottom"/>
          </w:tcPr>
          <w:p>
            <w:pPr>
              <w:ind w:left="360"/>
              <w:spacing w:after="0"/>
              <w:rPr>
                <w:sz w:val="20"/>
                <w:szCs w:val="20"/>
                <w:color w:val="auto"/>
              </w:rPr>
            </w:pPr>
            <w:r>
              <w:rPr>
                <w:rFonts w:ascii="Arial" w:cs="Arial" w:eastAsia="Arial" w:hAnsi="Arial"/>
                <w:sz w:val="18"/>
                <w:szCs w:val="18"/>
                <w:color w:val="auto"/>
              </w:rPr>
              <w:t>stock.</w:t>
            </w:r>
          </w:p>
        </w:tc>
        <w:tc>
          <w:tcPr>
            <w:tcW w:w="940" w:type="dxa"/>
            <w:vAlign w:val="bottom"/>
          </w:tcPr>
          <w:p>
            <w:pPr>
              <w:spacing w:after="0"/>
              <w:rPr>
                <w:sz w:val="21"/>
                <w:szCs w:val="21"/>
                <w:color w:val="auto"/>
              </w:rPr>
            </w:pPr>
          </w:p>
        </w:tc>
        <w:tc>
          <w:tcPr>
            <w:tcW w:w="2620" w:type="dxa"/>
            <w:vAlign w:val="bottom"/>
          </w:tcPr>
          <w:p>
            <w:pPr>
              <w:spacing w:after="0"/>
              <w:rPr>
                <w:sz w:val="21"/>
                <w:szCs w:val="21"/>
                <w:color w:val="auto"/>
              </w:rPr>
            </w:pPr>
          </w:p>
        </w:tc>
      </w:tr>
      <w:tr>
        <w:trPr>
          <w:trHeight w:val="283"/>
        </w:trPr>
        <w:tc>
          <w:tcPr>
            <w:tcW w:w="5340" w:type="dxa"/>
            <w:vAlign w:val="bottom"/>
          </w:tcPr>
          <w:p>
            <w:pPr>
              <w:ind w:left="180"/>
              <w:spacing w:after="0"/>
              <w:rPr>
                <w:sz w:val="20"/>
                <w:szCs w:val="20"/>
                <w:color w:val="auto"/>
              </w:rPr>
            </w:pPr>
            <w:r>
              <w:rPr>
                <w:rFonts w:ascii="Arial" w:cs="Arial" w:eastAsia="Arial" w:hAnsi="Arial"/>
                <w:sz w:val="18"/>
                <w:szCs w:val="18"/>
                <w:color w:val="auto"/>
              </w:rPr>
              <w:t>Proposed Nasdaq Global Market trading symbol</w:t>
            </w:r>
          </w:p>
        </w:tc>
        <w:tc>
          <w:tcPr>
            <w:tcW w:w="2120" w:type="dxa"/>
            <w:vAlign w:val="bottom"/>
          </w:tcPr>
          <w:p>
            <w:pPr>
              <w:ind w:left="360"/>
              <w:spacing w:after="0"/>
              <w:rPr>
                <w:sz w:val="20"/>
                <w:szCs w:val="20"/>
                <w:color w:val="auto"/>
              </w:rPr>
            </w:pPr>
            <w:r>
              <w:rPr>
                <w:rFonts w:ascii="Arial" w:cs="Arial" w:eastAsia="Arial" w:hAnsi="Arial"/>
                <w:sz w:val="18"/>
                <w:szCs w:val="18"/>
                <w:color w:val="auto"/>
              </w:rPr>
              <w:t>“PMVP”</w:t>
            </w:r>
          </w:p>
        </w:tc>
        <w:tc>
          <w:tcPr>
            <w:tcW w:w="94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36"/>
        </w:trPr>
        <w:tc>
          <w:tcPr>
            <w:tcW w:w="53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r>
      <w:tr>
        <w:trPr>
          <w:trHeight w:val="608"/>
        </w:trPr>
        <w:tc>
          <w:tcPr>
            <w:tcW w:w="5340" w:type="dxa"/>
            <w:vAlign w:val="bottom"/>
          </w:tcPr>
          <w:p>
            <w:pPr>
              <w:spacing w:after="0"/>
              <w:rPr>
                <w:sz w:val="24"/>
                <w:szCs w:val="24"/>
                <w:color w:val="auto"/>
              </w:rPr>
            </w:pPr>
          </w:p>
        </w:tc>
        <w:tc>
          <w:tcPr>
            <w:tcW w:w="2120" w:type="dxa"/>
            <w:vAlign w:val="bottom"/>
          </w:tcPr>
          <w:p>
            <w:pPr>
              <w:ind w:left="120"/>
              <w:spacing w:after="0"/>
              <w:rPr>
                <w:sz w:val="20"/>
                <w:szCs w:val="20"/>
                <w:color w:val="auto"/>
              </w:rPr>
            </w:pPr>
            <w:r>
              <w:rPr>
                <w:rFonts w:ascii="Arial" w:cs="Arial" w:eastAsia="Arial" w:hAnsi="Arial"/>
                <w:sz w:val="18"/>
                <w:szCs w:val="18"/>
                <w:color w:val="auto"/>
              </w:rPr>
              <w:t>8</w:t>
            </w:r>
          </w:p>
        </w:tc>
        <w:tc>
          <w:tcPr>
            <w:tcW w:w="940" w:type="dxa"/>
            <w:vAlign w:val="bottom"/>
          </w:tcPr>
          <w:p>
            <w:pPr>
              <w:spacing w:after="0"/>
              <w:rPr>
                <w:sz w:val="24"/>
                <w:szCs w:val="24"/>
                <w:color w:val="auto"/>
              </w:rPr>
            </w:pPr>
          </w:p>
        </w:tc>
        <w:tc>
          <w:tcPr>
            <w:tcW w:w="262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type w:val="continuous"/>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1301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513016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firstLine="532"/>
        <w:spacing w:after="0" w:line="268" w:lineRule="auto"/>
        <w:rPr>
          <w:sz w:val="20"/>
          <w:szCs w:val="20"/>
          <w:color w:val="auto"/>
        </w:rPr>
      </w:pPr>
      <w:r>
        <w:rPr>
          <w:rFonts w:ascii="Arial" w:cs="Arial" w:eastAsia="Arial" w:hAnsi="Arial"/>
          <w:sz w:val="17"/>
          <w:szCs w:val="17"/>
          <w:color w:val="auto"/>
        </w:rPr>
        <w:t>The number of shares of our common stock to be outstanding after this offering is based on 136,431,740 shares of our common stock outstanding as of June 30, 2020 (including an aggregate of 120,393,150 shares of common stock issuable upon conversion of our outstanding convertible preferred stock as of June 30, 2020), plus 28,020,172 shares of our common stock issuable pursuant to the conversion of our Series D convertible preferred stock issued and sold in July 2020, and excludes the following:</w:t>
      </w:r>
    </w:p>
    <w:p>
      <w:pPr>
        <w:spacing w:after="0" w:line="58" w:lineRule="exact"/>
        <w:rPr>
          <w:sz w:val="20"/>
          <w:szCs w:val="20"/>
          <w:color w:val="auto"/>
        </w:rPr>
      </w:pPr>
    </w:p>
    <w:p>
      <w:pPr>
        <w:ind w:left="1020" w:right="20" w:hanging="195"/>
        <w:spacing w:after="0" w:line="276" w:lineRule="auto"/>
        <w:tabs>
          <w:tab w:leader="none" w:pos="1020" w:val="left"/>
        </w:tabs>
        <w:numPr>
          <w:ilvl w:val="0"/>
          <w:numId w:val="9"/>
        </w:numPr>
        <w:rPr>
          <w:rFonts w:ascii="Arial" w:cs="Arial" w:eastAsia="Arial" w:hAnsi="Arial"/>
          <w:sz w:val="18"/>
          <w:szCs w:val="18"/>
          <w:color w:val="auto"/>
        </w:rPr>
      </w:pPr>
      <w:r>
        <w:rPr>
          <w:rFonts w:ascii="Arial" w:cs="Arial" w:eastAsia="Arial" w:hAnsi="Arial"/>
          <w:sz w:val="18"/>
          <w:szCs w:val="18"/>
          <w:color w:val="auto"/>
        </w:rPr>
        <w:t>20,653,300 shares of common stock issuable upon exercise of options to purchase shares of our common stock outstanding as of June 30, 2020, with a weighted-average exercise price of $0.50 per share;</w:t>
      </w:r>
    </w:p>
    <w:p>
      <w:pPr>
        <w:spacing w:after="0" w:line="50" w:lineRule="exact"/>
        <w:rPr>
          <w:rFonts w:ascii="Arial" w:cs="Arial" w:eastAsia="Arial" w:hAnsi="Arial"/>
          <w:sz w:val="18"/>
          <w:szCs w:val="18"/>
          <w:color w:val="auto"/>
        </w:rPr>
      </w:pPr>
    </w:p>
    <w:p>
      <w:pPr>
        <w:ind w:left="1620" w:hanging="795"/>
        <w:spacing w:after="0"/>
        <w:tabs>
          <w:tab w:leader="none" w:pos="1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shares of common stock issuable upon exercise of options to purchase shares of our common stock that we granted</w:t>
      </w:r>
    </w:p>
    <w:p>
      <w:pPr>
        <w:spacing w:after="0" w:line="18" w:lineRule="exact"/>
        <w:rPr>
          <w:sz w:val="20"/>
          <w:szCs w:val="20"/>
          <w:color w:val="auto"/>
        </w:rPr>
      </w:pPr>
    </w:p>
    <w:p>
      <w:pPr>
        <w:ind w:left="1020"/>
        <w:spacing w:after="0"/>
        <w:tabs>
          <w:tab w:leader="none" w:pos="6900" w:val="left"/>
        </w:tabs>
        <w:rPr>
          <w:sz w:val="20"/>
          <w:szCs w:val="20"/>
          <w:color w:val="auto"/>
        </w:rPr>
      </w:pPr>
      <w:r>
        <w:rPr>
          <w:rFonts w:ascii="Arial" w:cs="Arial" w:eastAsia="Arial" w:hAnsi="Arial"/>
          <w:sz w:val="18"/>
          <w:szCs w:val="18"/>
          <w:color w:val="auto"/>
        </w:rPr>
        <w:t>after June 30, 2020, with a weighted-average exercise price of $</w:t>
      </w:r>
      <w:r>
        <w:rPr>
          <w:sz w:val="20"/>
          <w:szCs w:val="20"/>
          <w:color w:val="auto"/>
        </w:rPr>
        <w:tab/>
      </w:r>
      <w:r>
        <w:rPr>
          <w:rFonts w:ascii="Arial" w:cs="Arial" w:eastAsia="Arial" w:hAnsi="Arial"/>
          <w:sz w:val="18"/>
          <w:szCs w:val="18"/>
          <w:color w:val="auto"/>
        </w:rPr>
        <w:t>per share;</w:t>
      </w:r>
    </w:p>
    <w:p>
      <w:pPr>
        <w:spacing w:after="0" w:line="95" w:lineRule="exact"/>
        <w:rPr>
          <w:sz w:val="20"/>
          <w:szCs w:val="20"/>
          <w:color w:val="auto"/>
        </w:rPr>
      </w:pPr>
    </w:p>
    <w:p>
      <w:pPr>
        <w:ind w:left="1020" w:hanging="195"/>
        <w:spacing w:after="0"/>
        <w:tabs>
          <w:tab w:leader="none" w:pos="10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warrant to purchase an aggregate of 56,866 shares of our Series Seed convertible preferred stock outstanding as of</w:t>
      </w:r>
    </w:p>
    <w:p>
      <w:pPr>
        <w:spacing w:after="0" w:line="17" w:lineRule="exact"/>
        <w:rPr>
          <w:rFonts w:ascii="Arial" w:cs="Arial" w:eastAsia="Arial" w:hAnsi="Arial"/>
          <w:sz w:val="18"/>
          <w:szCs w:val="18"/>
          <w:color w:val="auto"/>
        </w:rPr>
      </w:pPr>
    </w:p>
    <w:p>
      <w:pPr>
        <w:ind w:left="1020"/>
        <w:spacing w:after="0" w:line="250" w:lineRule="auto"/>
        <w:rPr>
          <w:rFonts w:ascii="Arial" w:cs="Arial" w:eastAsia="Arial" w:hAnsi="Arial"/>
          <w:sz w:val="18"/>
          <w:szCs w:val="18"/>
          <w:color w:val="auto"/>
        </w:rPr>
      </w:pPr>
      <w:r>
        <w:rPr>
          <w:rFonts w:ascii="Arial" w:cs="Arial" w:eastAsia="Arial" w:hAnsi="Arial"/>
          <w:sz w:val="18"/>
          <w:szCs w:val="18"/>
          <w:color w:val="auto"/>
        </w:rPr>
        <w:t>June 30, 2020 that will be converted into a warrant to purchase an aggregate of 56,866 shares of our common stock, with an exercise price of $0.3517 per share, upon the completion of this offering;</w:t>
      </w:r>
    </w:p>
    <w:p>
      <w:pPr>
        <w:spacing w:after="0" w:line="73" w:lineRule="exact"/>
        <w:rPr>
          <w:rFonts w:ascii="Arial" w:cs="Arial" w:eastAsia="Arial" w:hAnsi="Arial"/>
          <w:sz w:val="18"/>
          <w:szCs w:val="18"/>
          <w:color w:val="auto"/>
        </w:rPr>
      </w:pPr>
    </w:p>
    <w:p>
      <w:pPr>
        <w:ind w:left="1020" w:right="40" w:hanging="195"/>
        <w:spacing w:after="0" w:line="248" w:lineRule="auto"/>
        <w:tabs>
          <w:tab w:leader="none" w:pos="16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2020 Equity Incentive Plan, or 2020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 and</w:t>
      </w:r>
    </w:p>
    <w:p>
      <w:pPr>
        <w:spacing w:after="0" w:line="75" w:lineRule="exact"/>
        <w:rPr>
          <w:rFonts w:ascii="Arial" w:cs="Arial" w:eastAsia="Arial" w:hAnsi="Arial"/>
          <w:sz w:val="18"/>
          <w:szCs w:val="18"/>
          <w:color w:val="auto"/>
        </w:rPr>
      </w:pPr>
    </w:p>
    <w:p>
      <w:pPr>
        <w:ind w:left="1020" w:right="60" w:hanging="195"/>
        <w:spacing w:after="0" w:line="248" w:lineRule="auto"/>
        <w:tabs>
          <w:tab w:leader="none" w:pos="167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shares of common stock reserved for issuance under our 2020 Employee Stock Purchase Plan, or ESPP,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170" w:lineRule="exact"/>
        <w:rPr>
          <w:sz w:val="20"/>
          <w:szCs w:val="20"/>
          <w:color w:val="auto"/>
        </w:rPr>
      </w:pPr>
    </w:p>
    <w:p>
      <w:pPr>
        <w:ind w:left="840"/>
        <w:spacing w:after="0"/>
        <w:rPr>
          <w:sz w:val="20"/>
          <w:szCs w:val="20"/>
          <w:color w:val="auto"/>
        </w:rPr>
      </w:pPr>
      <w:r>
        <w:rPr>
          <w:rFonts w:ascii="Arial" w:cs="Arial" w:eastAsia="Arial" w:hAnsi="Arial"/>
          <w:sz w:val="18"/>
          <w:szCs w:val="18"/>
          <w:color w:val="auto"/>
        </w:rPr>
        <w:t>Unless otherwise indicated, this prospectus reflects and assumes the following:</w:t>
      </w:r>
    </w:p>
    <w:p>
      <w:pPr>
        <w:spacing w:after="0" w:line="117" w:lineRule="exact"/>
        <w:rPr>
          <w:sz w:val="20"/>
          <w:szCs w:val="20"/>
          <w:color w:val="auto"/>
        </w:rPr>
      </w:pPr>
    </w:p>
    <w:p>
      <w:pPr>
        <w:ind w:left="820"/>
        <w:spacing w:after="0"/>
        <w:tabs>
          <w:tab w:leader="none" w:pos="1800" w:val="left"/>
          <w:tab w:leader="none" w:pos="10260" w:val="left"/>
        </w:tabs>
        <w:rPr>
          <w:sz w:val="20"/>
          <w:szCs w:val="20"/>
          <w:color w:val="auto"/>
        </w:rPr>
      </w:pPr>
      <w:r>
        <w:rPr>
          <w:rFonts w:ascii="Arial" w:cs="Arial" w:eastAsia="Arial" w:hAnsi="Arial"/>
          <w:sz w:val="18"/>
          <w:szCs w:val="18"/>
          <w:color w:val="auto"/>
        </w:rPr>
        <w:t>•  a</w:t>
      </w:r>
      <w:r>
        <w:rPr>
          <w:sz w:val="20"/>
          <w:szCs w:val="20"/>
          <w:color w:val="auto"/>
        </w:rPr>
        <w:tab/>
      </w:r>
      <w:r>
        <w:rPr>
          <w:rFonts w:ascii="Arial" w:cs="Arial" w:eastAsia="Arial" w:hAnsi="Arial"/>
          <w:sz w:val="18"/>
          <w:szCs w:val="18"/>
          <w:color w:val="auto"/>
        </w:rPr>
        <w:t>-for-1 reverse stock split of our common stock and our convertible preferred stock effected on</w:t>
      </w:r>
      <w:r>
        <w:rPr>
          <w:sz w:val="20"/>
          <w:szCs w:val="20"/>
          <w:color w:val="auto"/>
        </w:rPr>
        <w:tab/>
      </w:r>
      <w:r>
        <w:rPr>
          <w:rFonts w:ascii="Arial" w:cs="Arial" w:eastAsia="Arial" w:hAnsi="Arial"/>
          <w:sz w:val="17"/>
          <w:szCs w:val="17"/>
          <w:color w:val="auto"/>
        </w:rPr>
        <w:t>, 2020;</w:t>
      </w:r>
    </w:p>
    <w:p>
      <w:pPr>
        <w:spacing w:after="0" w:line="117" w:lineRule="exact"/>
        <w:rPr>
          <w:sz w:val="20"/>
          <w:szCs w:val="20"/>
          <w:color w:val="auto"/>
        </w:rPr>
      </w:pPr>
    </w:p>
    <w:p>
      <w:pPr>
        <w:ind w:left="1020" w:hanging="19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exercise of the outstanding options or warrant;</w:t>
      </w:r>
    </w:p>
    <w:p>
      <w:pPr>
        <w:spacing w:after="0" w:line="117" w:lineRule="exact"/>
        <w:rPr>
          <w:rFonts w:ascii="Arial" w:cs="Arial" w:eastAsia="Arial" w:hAnsi="Arial"/>
          <w:sz w:val="18"/>
          <w:szCs w:val="18"/>
          <w:color w:val="auto"/>
        </w:rPr>
      </w:pPr>
    </w:p>
    <w:p>
      <w:pPr>
        <w:ind w:left="1020" w:hanging="195"/>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additional shares of common stock from us in this offering;</w:t>
      </w:r>
    </w:p>
    <w:p>
      <w:pPr>
        <w:spacing w:after="0" w:line="117" w:lineRule="exact"/>
        <w:rPr>
          <w:rFonts w:ascii="Arial" w:cs="Arial" w:eastAsia="Arial" w:hAnsi="Arial"/>
          <w:sz w:val="18"/>
          <w:szCs w:val="18"/>
          <w:color w:val="auto"/>
        </w:rPr>
      </w:pPr>
    </w:p>
    <w:p>
      <w:pPr>
        <w:ind w:left="1020" w:right="60" w:hanging="195"/>
        <w:spacing w:after="0" w:line="276"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conversion of all outstanding shares of our convertible preferred stock into shares of our common stock, which will occur immediately prior to the completion of this offering;</w:t>
      </w:r>
    </w:p>
    <w:p>
      <w:pPr>
        <w:spacing w:after="0" w:line="50" w:lineRule="exact"/>
        <w:rPr>
          <w:rFonts w:ascii="Arial" w:cs="Arial" w:eastAsia="Arial" w:hAnsi="Arial"/>
          <w:sz w:val="18"/>
          <w:szCs w:val="18"/>
          <w:color w:val="auto"/>
        </w:rPr>
      </w:pPr>
    </w:p>
    <w:p>
      <w:pPr>
        <w:ind w:left="1020" w:hanging="195"/>
        <w:spacing w:after="0" w:line="255"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conversion of an outstanding warrant exercisable for shares of our Series Seed convertible preferred stock into a warrant exercisable for 56,866 shares of our common stock, with an exercise price of $0.3517 per share upon the completion of this offering; and</w:t>
      </w:r>
    </w:p>
    <w:p>
      <w:pPr>
        <w:spacing w:after="0" w:line="69" w:lineRule="exact"/>
        <w:rPr>
          <w:rFonts w:ascii="Arial" w:cs="Arial" w:eastAsia="Arial" w:hAnsi="Arial"/>
          <w:sz w:val="18"/>
          <w:szCs w:val="18"/>
          <w:color w:val="auto"/>
        </w:rPr>
      </w:pPr>
    </w:p>
    <w:p>
      <w:pPr>
        <w:ind w:left="1020" w:right="260" w:hanging="195"/>
        <w:spacing w:after="0" w:line="276"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and the effectiveness of our amended and restated bylaws, which will occur immediately prior to the completion of this offering.</w:t>
      </w:r>
    </w:p>
    <w:p>
      <w:pPr>
        <w:spacing w:after="0" w:line="200" w:lineRule="exact"/>
        <w:rPr>
          <w:sz w:val="20"/>
          <w:szCs w:val="20"/>
          <w:color w:val="auto"/>
        </w:rPr>
      </w:pPr>
    </w:p>
    <w:p>
      <w:pPr>
        <w:spacing w:after="0" w:line="37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320" w:top="455" w:right="65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13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601345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SUMMARY FINANCIAL DATA</w:t>
      </w:r>
    </w:p>
    <w:p>
      <w:pPr>
        <w:spacing w:after="0" w:line="106" w:lineRule="exact"/>
        <w:rPr>
          <w:sz w:val="20"/>
          <w:szCs w:val="20"/>
          <w:color w:val="auto"/>
        </w:rPr>
      </w:pPr>
    </w:p>
    <w:p>
      <w:pPr>
        <w:ind w:left="300" w:firstLine="532"/>
        <w:spacing w:after="0" w:line="238" w:lineRule="auto"/>
        <w:rPr>
          <w:sz w:val="20"/>
          <w:szCs w:val="20"/>
          <w:color w:val="auto"/>
        </w:rPr>
      </w:pPr>
      <w:r>
        <w:rPr>
          <w:rFonts w:ascii="Arial" w:cs="Arial" w:eastAsia="Arial" w:hAnsi="Arial"/>
          <w:sz w:val="18"/>
          <w:szCs w:val="18"/>
          <w:color w:val="auto"/>
        </w:rPr>
        <w:t>The following tables summarize our financial data for the periods and as of the dates indicated. We have derived our summary statements of operations data for the years ended December 31, 2018 and 2019 from our audited financial statements and related notes included elsewhere in this prospectus. For interim periods, we have derived our summary statements of operations data for the six months ended June 30, 2019 and 2020 and the summary balance sheet data as of June 30, 2020 from our unaudited condensed financial statements and related notes included elsewhere in this prospectus. The unaudited condensed financial statements were prepared on a basis consistent with our audited financial statements and include, in management’s opinion, all adjustments, consisting only of normal recurring adjustments that we consider necessary for a fair presentation of the financial information set forth in those statements. Our historical results are not necessarily indicative of the results that may be expected in the future and our interim results are not necessarily indicative of our expected results for the year ending December 31, 2020. You should read the following summary financial data together with our financial statements and the related notes appearing elsewhere in this prospectus and the information in the sections titled “Selected Financial Data” and “Management’s Discussion and Analysis of Financial Condition and Results of Operations.”</w:t>
      </w:r>
    </w:p>
    <w:p>
      <w:pPr>
        <w:spacing w:after="0" w:line="96" w:lineRule="exact"/>
        <w:rPr>
          <w:sz w:val="20"/>
          <w:szCs w:val="20"/>
          <w:color w:val="auto"/>
        </w:rPr>
      </w:pPr>
    </w:p>
    <w:tbl>
      <w:tblPr>
        <w:tblLayout w:type="fixed"/>
        <w:tblInd w:w="340" w:type="dxa"/>
        <w:tblCellMar>
          <w:top w:w="0" w:type="dxa"/>
          <w:left w:w="0" w:type="dxa"/>
          <w:bottom w:w="0" w:type="dxa"/>
          <w:right w:w="0" w:type="dxa"/>
        </w:tblCellMar>
      </w:tblPr>
      <w:tr>
        <w:trPr>
          <w:trHeight w:val="177"/>
        </w:trPr>
        <w:tc>
          <w:tcPr>
            <w:tcW w:w="4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300" w:type="dxa"/>
            <w:vAlign w:val="bottom"/>
            <w:gridSpan w:val="6"/>
          </w:tcPr>
          <w:p>
            <w:pPr>
              <w:jc w:val="right"/>
              <w:ind w:right="114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5"/>
                <w:szCs w:val="15"/>
                <w:color w:val="auto"/>
              </w:rPr>
            </w:pPr>
          </w:p>
        </w:tc>
        <w:tc>
          <w:tcPr>
            <w:tcW w:w="278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2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33"/>
              <w:spacing w:after="0" w:line="155" w:lineRule="exact"/>
              <w:rPr>
                <w:sz w:val="20"/>
                <w:szCs w:val="20"/>
                <w:color w:val="auto"/>
              </w:rPr>
            </w:pPr>
            <w:r>
              <w:rPr>
                <w:rFonts w:ascii="Arial" w:cs="Arial" w:eastAsia="Arial" w:hAnsi="Arial"/>
                <w:sz w:val="14"/>
                <w:szCs w:val="14"/>
                <w:b w:val="1"/>
                <w:bCs w:val="1"/>
                <w:color w:val="auto"/>
              </w:rPr>
              <w:t>2018</w:t>
            </w:r>
          </w:p>
        </w:tc>
        <w:tc>
          <w:tcPr>
            <w:tcW w:w="20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14"/>
              <w:spacing w:after="0" w:line="141" w:lineRule="exact"/>
              <w:rPr>
                <w:sz w:val="20"/>
                <w:szCs w:val="20"/>
                <w:color w:val="auto"/>
              </w:rPr>
            </w:pPr>
            <w:r>
              <w:rPr>
                <w:rFonts w:ascii="Arial" w:cs="Arial" w:eastAsia="Arial" w:hAnsi="Arial"/>
                <w:sz w:val="14"/>
                <w:szCs w:val="14"/>
                <w:b w:val="1"/>
                <w:bCs w:val="1"/>
                <w:color w:val="auto"/>
              </w:rPr>
              <w:t>(unaudited)</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right"/>
              <w:ind w:right="72"/>
              <w:spacing w:after="0" w:line="141"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4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8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Statement of operations data:</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tcPr>
          <w:p>
            <w:pPr>
              <w:ind w:left="20"/>
              <w:spacing w:after="0" w:line="202" w:lineRule="exact"/>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13,853</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20,759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10,165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11,760</w:t>
            </w:r>
          </w:p>
        </w:tc>
        <w:tc>
          <w:tcPr>
            <w:tcW w:w="0" w:type="dxa"/>
            <w:vAlign w:val="bottom"/>
          </w:tcPr>
          <w:p>
            <w:pPr>
              <w:spacing w:after="0"/>
              <w:rPr>
                <w:sz w:val="1"/>
                <w:szCs w:val="1"/>
                <w:color w:val="auto"/>
              </w:rPr>
            </w:pPr>
          </w:p>
        </w:tc>
      </w:tr>
      <w:tr>
        <w:trPr>
          <w:trHeight w:val="203"/>
        </w:trPr>
        <w:tc>
          <w:tcPr>
            <w:tcW w:w="4220" w:type="dxa"/>
            <w:vAlign w:val="bottom"/>
          </w:tcPr>
          <w:p>
            <w:pPr>
              <w:ind w:left="380"/>
              <w:spacing w:after="0" w:line="202" w:lineRule="exact"/>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7"/>
                <w:szCs w:val="17"/>
                <w:color w:val="auto"/>
              </w:rPr>
            </w:pP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5,039</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5,878</w:t>
            </w:r>
          </w:p>
        </w:tc>
        <w:tc>
          <w:tcPr>
            <w:tcW w:w="120" w:type="dxa"/>
            <w:vAlign w:val="bottom"/>
          </w:tcPr>
          <w:p>
            <w:pPr>
              <w:spacing w:after="0"/>
              <w:rPr>
                <w:sz w:val="17"/>
                <w:szCs w:val="17"/>
                <w:color w:val="auto"/>
              </w:rPr>
            </w:pPr>
          </w:p>
        </w:tc>
        <w:tc>
          <w:tcPr>
            <w:tcW w:w="15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2,676</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20" w:type="dxa"/>
            <w:vAlign w:val="bottom"/>
            <w:shd w:val="clear" w:color="auto" w:fill="CCEEFF"/>
          </w:tcPr>
          <w:p>
            <w:pPr>
              <w:ind w:left="740"/>
              <w:spacing w:after="0" w:line="202" w:lineRule="exact"/>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18,892</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26,637</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12,841</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15,739</w:t>
            </w:r>
          </w:p>
        </w:tc>
        <w:tc>
          <w:tcPr>
            <w:tcW w:w="0" w:type="dxa"/>
            <w:vAlign w:val="bottom"/>
          </w:tcPr>
          <w:p>
            <w:pPr>
              <w:spacing w:after="0"/>
              <w:rPr>
                <w:sz w:val="1"/>
                <w:szCs w:val="1"/>
                <w:color w:val="auto"/>
              </w:rPr>
            </w:pPr>
          </w:p>
        </w:tc>
      </w:tr>
      <w:tr>
        <w:trPr>
          <w:trHeight w:val="210"/>
        </w:trPr>
        <w:tc>
          <w:tcPr>
            <w:tcW w:w="4220" w:type="dxa"/>
            <w:vAlign w:val="bottom"/>
          </w:tcPr>
          <w:p>
            <w:pPr>
              <w:ind w:left="380"/>
              <w:spacing w:after="0"/>
              <w:rPr>
                <w:sz w:val="20"/>
                <w:szCs w:val="20"/>
                <w:color w:val="auto"/>
              </w:rPr>
            </w:pPr>
            <w:r>
              <w:rPr>
                <w:rFonts w:ascii="Arial" w:cs="Arial" w:eastAsia="Arial" w:hAnsi="Arial"/>
                <w:sz w:val="18"/>
                <w:szCs w:val="18"/>
                <w:color w:val="auto"/>
              </w:rPr>
              <w:t>Loss from operations</w:t>
            </w: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(18,892)</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(26,637)</w:t>
            </w:r>
          </w:p>
        </w:tc>
        <w:tc>
          <w:tcPr>
            <w:tcW w:w="6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(12,841)</w:t>
            </w:r>
          </w:p>
        </w:tc>
        <w:tc>
          <w:tcPr>
            <w:tcW w:w="6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220" w:type="dxa"/>
            <w:vAlign w:val="bottom"/>
          </w:tcPr>
          <w:p>
            <w:pPr>
              <w:ind w:left="380"/>
              <w:spacing w:after="0" w:line="202" w:lineRule="exact"/>
              <w:rPr>
                <w:sz w:val="20"/>
                <w:szCs w:val="20"/>
                <w:color w:val="auto"/>
              </w:rPr>
            </w:pPr>
            <w:r>
              <w:rPr>
                <w:rFonts w:ascii="Arial" w:cs="Arial" w:eastAsia="Arial" w:hAnsi="Arial"/>
                <w:sz w:val="18"/>
                <w:szCs w:val="18"/>
                <w:color w:val="auto"/>
              </w:rPr>
              <w:t>Interest income, net</w:t>
            </w:r>
          </w:p>
        </w:tc>
        <w:tc>
          <w:tcPr>
            <w:tcW w:w="120" w:type="dxa"/>
            <w:vAlign w:val="bottom"/>
          </w:tcPr>
          <w:p>
            <w:pPr>
              <w:spacing w:after="0"/>
              <w:rPr>
                <w:sz w:val="17"/>
                <w:szCs w:val="17"/>
                <w:color w:val="auto"/>
              </w:rPr>
            </w:pP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1,341</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1,301</w:t>
            </w:r>
          </w:p>
        </w:tc>
        <w:tc>
          <w:tcPr>
            <w:tcW w:w="120" w:type="dxa"/>
            <w:vAlign w:val="bottom"/>
          </w:tcPr>
          <w:p>
            <w:pPr>
              <w:spacing w:after="0"/>
              <w:rPr>
                <w:sz w:val="17"/>
                <w:szCs w:val="17"/>
                <w:color w:val="auto"/>
              </w:rPr>
            </w:pPr>
          </w:p>
        </w:tc>
        <w:tc>
          <w:tcPr>
            <w:tcW w:w="15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714</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16</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7"/>
        </w:trPr>
        <w:tc>
          <w:tcPr>
            <w:tcW w:w="4220" w:type="dxa"/>
            <w:vAlign w:val="bottom"/>
          </w:tcPr>
          <w:p>
            <w:pPr>
              <w:ind w:left="740"/>
              <w:spacing w:after="0"/>
              <w:rPr>
                <w:sz w:val="20"/>
                <w:szCs w:val="20"/>
                <w:color w:val="auto"/>
              </w:rPr>
            </w:pPr>
            <w:r>
              <w:rPr>
                <w:rFonts w:ascii="Arial" w:cs="Arial" w:eastAsia="Arial" w:hAnsi="Arial"/>
                <w:sz w:val="18"/>
                <w:szCs w:val="18"/>
                <w:color w:val="auto"/>
              </w:rPr>
              <w:t>Total other income (expense)</w:t>
            </w:r>
          </w:p>
        </w:tc>
        <w:tc>
          <w:tcPr>
            <w:tcW w:w="1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1,293</w:t>
            </w:r>
          </w:p>
        </w:tc>
        <w:tc>
          <w:tcPr>
            <w:tcW w:w="6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6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Loss before provision for income taxes</w:t>
            </w: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(17,535)</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(25,344)</w:t>
            </w: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(12,127)</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(15,219)</w:t>
            </w:r>
          </w:p>
        </w:tc>
        <w:tc>
          <w:tcPr>
            <w:tcW w:w="0" w:type="dxa"/>
            <w:vAlign w:val="bottom"/>
          </w:tcPr>
          <w:p>
            <w:pPr>
              <w:spacing w:after="0"/>
              <w:rPr>
                <w:sz w:val="1"/>
                <w:szCs w:val="1"/>
                <w:color w:val="auto"/>
              </w:rPr>
            </w:pPr>
          </w:p>
        </w:tc>
      </w:tr>
      <w:tr>
        <w:trPr>
          <w:trHeight w:val="203"/>
        </w:trPr>
        <w:tc>
          <w:tcPr>
            <w:tcW w:w="4220" w:type="dxa"/>
            <w:vAlign w:val="bottom"/>
          </w:tcPr>
          <w:p>
            <w:pPr>
              <w:ind w:left="740"/>
              <w:spacing w:after="0" w:line="202" w:lineRule="exact"/>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17"/>
                <w:szCs w:val="17"/>
                <w:color w:val="auto"/>
              </w:rPr>
            </w:pP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8</w:t>
            </w:r>
          </w:p>
        </w:tc>
        <w:tc>
          <w:tcPr>
            <w:tcW w:w="120" w:type="dxa"/>
            <w:vAlign w:val="bottom"/>
          </w:tcPr>
          <w:p>
            <w:pPr>
              <w:spacing w:after="0"/>
              <w:rPr>
                <w:sz w:val="17"/>
                <w:szCs w:val="17"/>
                <w:color w:val="auto"/>
              </w:rPr>
            </w:pPr>
          </w:p>
        </w:tc>
        <w:tc>
          <w:tcPr>
            <w:tcW w:w="15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220" w:type="dxa"/>
            <w:vAlign w:val="bottom"/>
            <w:shd w:val="clear" w:color="auto" w:fill="CCEEFF"/>
          </w:tcPr>
          <w:p>
            <w:pPr>
              <w:ind w:left="380"/>
              <w:spacing w:after="0" w:line="202" w:lineRule="exact"/>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(17,538)</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(25,352)</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(12,129)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(15,221)</w:t>
            </w:r>
          </w:p>
        </w:tc>
        <w:tc>
          <w:tcPr>
            <w:tcW w:w="0" w:type="dxa"/>
            <w:vAlign w:val="bottom"/>
          </w:tcPr>
          <w:p>
            <w:pPr>
              <w:spacing w:after="0"/>
              <w:rPr>
                <w:sz w:val="1"/>
                <w:szCs w:val="1"/>
                <w:color w:val="auto"/>
              </w:rPr>
            </w:pPr>
          </w:p>
        </w:tc>
      </w:tr>
      <w:tr>
        <w:trPr>
          <w:trHeight w:val="20"/>
        </w:trPr>
        <w:tc>
          <w:tcPr>
            <w:tcW w:w="4220" w:type="dxa"/>
            <w:vAlign w:val="bottom"/>
            <w:vMerge w:val="restart"/>
          </w:tcPr>
          <w:p>
            <w:pPr>
              <w:ind w:left="380"/>
              <w:spacing w:after="0"/>
              <w:rPr>
                <w:sz w:val="20"/>
                <w:szCs w:val="20"/>
                <w:color w:val="auto"/>
              </w:rPr>
            </w:pPr>
            <w:r>
              <w:rPr>
                <w:rFonts w:ascii="Arial" w:cs="Arial" w:eastAsia="Arial" w:hAnsi="Arial"/>
                <w:sz w:val="18"/>
                <w:szCs w:val="18"/>
                <w:color w:val="auto"/>
              </w:rPr>
              <w:t>Net loss per share — basic and diluted</w:t>
            </w:r>
            <w:r>
              <w:rPr>
                <w:rFonts w:ascii="Arial" w:cs="Arial" w:eastAsia="Arial" w:hAnsi="Arial"/>
                <w:sz w:val="15"/>
                <w:szCs w:val="15"/>
                <w:color w:val="auto"/>
              </w:rPr>
              <w:t>(1)</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20" w:type="dxa"/>
            <w:vAlign w:val="bottom"/>
            <w:vMerge w:val="continue"/>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(1.11)</w:t>
            </w:r>
          </w:p>
        </w:tc>
        <w:tc>
          <w:tcPr>
            <w:tcW w:w="46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580"/>
              <w:spacing w:after="0" w:line="196" w:lineRule="exact"/>
              <w:rPr>
                <w:sz w:val="20"/>
                <w:szCs w:val="20"/>
                <w:color w:val="auto"/>
              </w:rPr>
            </w:pPr>
            <w:r>
              <w:rPr>
                <w:rFonts w:ascii="Arial" w:cs="Arial" w:eastAsia="Arial" w:hAnsi="Arial"/>
                <w:sz w:val="18"/>
                <w:szCs w:val="18"/>
                <w:color w:val="auto"/>
              </w:rPr>
              <w:t>(1.59)</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540" w:type="dxa"/>
            <w:vAlign w:val="bottom"/>
            <w:gridSpan w:val="2"/>
          </w:tcPr>
          <w:p>
            <w:pPr>
              <w:jc w:val="right"/>
              <w:ind w:right="580"/>
              <w:spacing w:after="0" w:line="196" w:lineRule="exact"/>
              <w:rPr>
                <w:sz w:val="20"/>
                <w:szCs w:val="20"/>
                <w:color w:val="auto"/>
              </w:rPr>
            </w:pPr>
            <w:r>
              <w:rPr>
                <w:rFonts w:ascii="Arial" w:cs="Arial" w:eastAsia="Arial" w:hAnsi="Arial"/>
                <w:sz w:val="18"/>
                <w:szCs w:val="18"/>
                <w:color w:val="auto"/>
              </w:rPr>
              <w:t>(0.76)</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179"/>
        </w:trPr>
        <w:tc>
          <w:tcPr>
            <w:tcW w:w="4220" w:type="dxa"/>
            <w:vAlign w:val="bottom"/>
            <w:shd w:val="clear" w:color="auto" w:fill="CCEEFF"/>
          </w:tcPr>
          <w:p>
            <w:pPr>
              <w:ind w:left="380"/>
              <w:spacing w:after="0" w:line="179" w:lineRule="exact"/>
              <w:rPr>
                <w:sz w:val="20"/>
                <w:szCs w:val="20"/>
                <w:color w:val="auto"/>
              </w:rPr>
            </w:pPr>
            <w:r>
              <w:rPr>
                <w:rFonts w:ascii="Arial" w:cs="Arial" w:eastAsia="Arial" w:hAnsi="Arial"/>
                <w:sz w:val="18"/>
                <w:szCs w:val="18"/>
                <w:color w:val="auto"/>
              </w:rPr>
              <w:t>Weighted-average common shares</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2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outstanding — basic and diluted</w:t>
            </w:r>
            <w:r>
              <w:rPr>
                <w:rFonts w:ascii="Arial" w:cs="Arial" w:eastAsia="Arial" w:hAnsi="Arial"/>
                <w:sz w:val="15"/>
                <w:szCs w:val="15"/>
                <w:color w:val="auto"/>
              </w:rPr>
              <w:t>(1)</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15,860,018</w:t>
            </w: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15,980,859</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7"/>
              </w:rPr>
              <w:t>15,922,173</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16,038,590</w:t>
            </w:r>
          </w:p>
        </w:tc>
        <w:tc>
          <w:tcPr>
            <w:tcW w:w="0" w:type="dxa"/>
            <w:vAlign w:val="bottom"/>
          </w:tcPr>
          <w:p>
            <w:pPr>
              <w:spacing w:after="0"/>
              <w:rPr>
                <w:sz w:val="1"/>
                <w:szCs w:val="1"/>
                <w:color w:val="auto"/>
              </w:rPr>
            </w:pPr>
          </w:p>
        </w:tc>
      </w:tr>
      <w:tr>
        <w:trPr>
          <w:trHeight w:val="20"/>
        </w:trPr>
        <w:tc>
          <w:tcPr>
            <w:tcW w:w="4220" w:type="dxa"/>
            <w:vAlign w:val="bottom"/>
            <w:vMerge w:val="restart"/>
          </w:tcPr>
          <w:p>
            <w:pPr>
              <w:ind w:left="380"/>
              <w:spacing w:after="0"/>
              <w:rPr>
                <w:sz w:val="20"/>
                <w:szCs w:val="20"/>
                <w:color w:val="auto"/>
              </w:rPr>
            </w:pPr>
            <w:r>
              <w:rPr>
                <w:rFonts w:ascii="Arial" w:cs="Arial" w:eastAsia="Arial" w:hAnsi="Arial"/>
                <w:sz w:val="18"/>
                <w:szCs w:val="18"/>
                <w:color w:val="auto"/>
              </w:rPr>
              <w:t>Pro forma net loss per share attributable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2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220" w:type="dxa"/>
            <w:vAlign w:val="bottom"/>
          </w:tcPr>
          <w:p>
            <w:pPr>
              <w:ind w:left="560"/>
              <w:spacing w:after="0" w:line="202" w:lineRule="exact"/>
              <w:rPr>
                <w:sz w:val="20"/>
                <w:szCs w:val="20"/>
                <w:color w:val="auto"/>
              </w:rPr>
            </w:pPr>
            <w:r>
              <w:rPr>
                <w:rFonts w:ascii="Arial" w:cs="Arial" w:eastAsia="Arial" w:hAnsi="Arial"/>
                <w:sz w:val="18"/>
                <w:szCs w:val="18"/>
                <w:color w:val="auto"/>
              </w:rPr>
              <w:t>to common stockholders — basic and</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220" w:type="dxa"/>
            <w:vAlign w:val="bottom"/>
          </w:tcPr>
          <w:p>
            <w:pPr>
              <w:ind w:left="560"/>
              <w:spacing w:after="0"/>
              <w:rPr>
                <w:sz w:val="20"/>
                <w:szCs w:val="20"/>
                <w:color w:val="auto"/>
              </w:rPr>
            </w:pPr>
            <w:r>
              <w:rPr>
                <w:rFonts w:ascii="Arial" w:cs="Arial" w:eastAsia="Arial" w:hAnsi="Arial"/>
                <w:sz w:val="18"/>
                <w:szCs w:val="18"/>
                <w:color w:val="auto"/>
              </w:rPr>
              <w:t>diluted (unaudited)</w:t>
            </w:r>
            <w:r>
              <w:rPr>
                <w:rFonts w:ascii="Arial" w:cs="Arial" w:eastAsia="Arial" w:hAnsi="Arial"/>
                <w:sz w:val="15"/>
                <w:szCs w:val="15"/>
                <w:color w:val="auto"/>
              </w:rPr>
              <w:t>(1)</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580"/>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220" w:type="dxa"/>
            <w:vAlign w:val="bottom"/>
            <w:shd w:val="clear" w:color="auto" w:fill="CCEEFF"/>
          </w:tcPr>
          <w:p>
            <w:pPr>
              <w:ind w:left="380"/>
              <w:spacing w:after="0" w:line="174" w:lineRule="exact"/>
              <w:rPr>
                <w:sz w:val="20"/>
                <w:szCs w:val="20"/>
                <w:color w:val="auto"/>
              </w:rPr>
            </w:pPr>
            <w:r>
              <w:rPr>
                <w:rFonts w:ascii="Arial" w:cs="Arial" w:eastAsia="Arial" w:hAnsi="Arial"/>
                <w:sz w:val="18"/>
                <w:szCs w:val="18"/>
                <w:color w:val="auto"/>
              </w:rPr>
              <w:t>Pro forma weighted-average number of</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220" w:type="dxa"/>
            <w:vAlign w:val="bottom"/>
            <w:shd w:val="clear" w:color="auto" w:fill="CCEEFF"/>
          </w:tcPr>
          <w:p>
            <w:pPr>
              <w:ind w:left="560"/>
              <w:spacing w:after="0" w:line="202" w:lineRule="exact"/>
              <w:rPr>
                <w:sz w:val="20"/>
                <w:szCs w:val="20"/>
                <w:color w:val="auto"/>
              </w:rPr>
            </w:pPr>
            <w:r>
              <w:rPr>
                <w:rFonts w:ascii="Arial" w:cs="Arial" w:eastAsia="Arial" w:hAnsi="Arial"/>
                <w:sz w:val="18"/>
                <w:szCs w:val="18"/>
                <w:color w:val="auto"/>
              </w:rPr>
              <w:t>common shares — basic and diluted</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2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(1)</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7"/>
              </w:rPr>
              <w:t>164,394,181</w:t>
            </w: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164,451,912</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820" w:right="220" w:hanging="522"/>
        <w:spacing w:after="0" w:line="208" w:lineRule="auto"/>
        <w:tabs>
          <w:tab w:leader="none" w:pos="820" w:val="left"/>
        </w:tabs>
        <w:numPr>
          <w:ilvl w:val="0"/>
          <w:numId w:val="12"/>
        </w:numPr>
        <w:rPr>
          <w:rFonts w:ascii="Arial" w:cs="Arial" w:eastAsia="Arial" w:hAnsi="Arial"/>
          <w:sz w:val="24"/>
          <w:szCs w:val="24"/>
          <w:color w:val="auto"/>
          <w:vertAlign w:val="superscript"/>
        </w:rPr>
      </w:pPr>
      <w:r>
        <w:rPr>
          <w:rFonts w:ascii="Arial" w:cs="Arial" w:eastAsia="Arial" w:hAnsi="Arial"/>
          <w:sz w:val="14"/>
          <w:szCs w:val="14"/>
          <w:color w:val="auto"/>
        </w:rPr>
        <w:t>See Note 11 to our audited financial statements and Note 10 to our unaudited condensed financial statements included elsewhere in this prospectus for an explanation of the method used to calculate net loss per share, basic and diluted, pro forma net loss per share, basic and diluted, and the weighted-average number of shares used in the computation of the per share amounts.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5" w:right="63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0246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402463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tbl>
      <w:tblPr>
        <w:tblLayout w:type="fixed"/>
        <w:tblInd w:w="300" w:type="dxa"/>
        <w:tblCellMar>
          <w:top w:w="0" w:type="dxa"/>
          <w:left w:w="0" w:type="dxa"/>
          <w:bottom w:w="0" w:type="dxa"/>
          <w:right w:w="0" w:type="dxa"/>
        </w:tblCellMar>
      </w:tblPr>
      <w:tr>
        <w:trPr>
          <w:trHeight w:val="177"/>
        </w:trPr>
        <w:tc>
          <w:tcPr>
            <w:tcW w:w="5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3"/>
          </w:tcPr>
          <w:p>
            <w:pPr>
              <w:jc w:val="right"/>
              <w:ind w:right="480"/>
              <w:spacing w:after="0"/>
              <w:rPr>
                <w:sz w:val="20"/>
                <w:szCs w:val="20"/>
                <w:color w:val="auto"/>
              </w:rPr>
            </w:pPr>
            <w:r>
              <w:rPr>
                <w:rFonts w:ascii="Arial" w:cs="Arial" w:eastAsia="Arial" w:hAnsi="Arial"/>
                <w:sz w:val="14"/>
                <w:szCs w:val="14"/>
                <w:b w:val="1"/>
                <w:bCs w:val="1"/>
                <w:color w:val="auto"/>
              </w:rPr>
              <w:t>As of June 30, 2020</w:t>
            </w:r>
          </w:p>
        </w:tc>
        <w:tc>
          <w:tcPr>
            <w:tcW w:w="9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5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5"/>
              </w:rPr>
              <w:t>Pro Forma</w:t>
            </w:r>
            <w:r>
              <w:rPr>
                <w:rFonts w:ascii="Arial" w:cs="Arial" w:eastAsia="Arial" w:hAnsi="Arial"/>
                <w:sz w:val="24"/>
                <w:szCs w:val="24"/>
                <w:b w:val="1"/>
                <w:bCs w:val="1"/>
                <w:color w:val="auto"/>
                <w:w w:val="95"/>
                <w:vertAlign w:val="superscript"/>
              </w:rPr>
              <w:t>(1)</w:t>
            </w:r>
          </w:p>
        </w:tc>
        <w:tc>
          <w:tcPr>
            <w:tcW w:w="980" w:type="dxa"/>
            <w:vAlign w:val="bottom"/>
          </w:tcPr>
          <w:p>
            <w:pPr>
              <w:jc w:val="center"/>
              <w:spacing w:after="0" w:line="137" w:lineRule="exact"/>
              <w:rPr>
                <w:sz w:val="20"/>
                <w:szCs w:val="20"/>
                <w:color w:val="auto"/>
              </w:rPr>
            </w:pPr>
            <w:r>
              <w:rPr>
                <w:rFonts w:ascii="Arial" w:cs="Arial" w:eastAsia="Arial" w:hAnsi="Arial"/>
                <w:sz w:val="14"/>
                <w:szCs w:val="14"/>
                <w:b w:val="1"/>
                <w:bCs w:val="1"/>
                <w:color w:val="auto"/>
              </w:rPr>
              <w:t>Pro Forma</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5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Actual</w:t>
            </w:r>
          </w:p>
        </w:tc>
        <w:tc>
          <w:tcPr>
            <w:tcW w:w="380" w:type="dxa"/>
            <w:vAlign w:val="bottom"/>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1020" w:type="dxa"/>
            <w:vAlign w:val="bottom"/>
            <w:gridSpan w:val="2"/>
          </w:tcPr>
          <w:p>
            <w:pPr>
              <w:jc w:val="center"/>
              <w:ind w:right="40"/>
              <w:spacing w:after="0" w:line="181" w:lineRule="exact"/>
              <w:rPr>
                <w:sz w:val="20"/>
                <w:szCs w:val="20"/>
                <w:color w:val="auto"/>
              </w:rPr>
            </w:pPr>
            <w:r>
              <w:rPr>
                <w:rFonts w:ascii="Arial" w:cs="Arial" w:eastAsia="Arial" w:hAnsi="Arial"/>
                <w:sz w:val="12"/>
                <w:szCs w:val="12"/>
                <w:b w:val="1"/>
                <w:bCs w:val="1"/>
                <w:color w:val="auto"/>
              </w:rPr>
              <w:t>As Adjusted</w:t>
            </w:r>
            <w:r>
              <w:rPr>
                <w:rFonts w:ascii="Arial" w:cs="Arial" w:eastAsia="Arial" w:hAnsi="Arial"/>
                <w:sz w:val="20"/>
                <w:szCs w:val="20"/>
                <w:b w:val="1"/>
                <w:bCs w:val="1"/>
                <w:color w:val="auto"/>
                <w:vertAlign w:val="superscript"/>
              </w:rPr>
              <w:t>(2)</w:t>
            </w:r>
          </w:p>
        </w:tc>
        <w:tc>
          <w:tcPr>
            <w:tcW w:w="0" w:type="dxa"/>
            <w:vAlign w:val="bottom"/>
          </w:tcPr>
          <w:p>
            <w:pPr>
              <w:spacing w:after="0"/>
              <w:rPr>
                <w:sz w:val="1"/>
                <w:szCs w:val="1"/>
                <w:color w:val="auto"/>
              </w:rPr>
            </w:pPr>
          </w:p>
        </w:tc>
      </w:tr>
      <w:tr>
        <w:trPr>
          <w:trHeight w:val="140"/>
        </w:trPr>
        <w:tc>
          <w:tcPr>
            <w:tcW w:w="55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b w:val="1"/>
                <w:bCs w:val="1"/>
                <w:color w:val="auto"/>
                <w:w w:val="99"/>
              </w:rPr>
              <w:t>(unaudited)</w:t>
            </w: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rPr>
              <w:t>(unaudited)</w:t>
            </w:r>
          </w:p>
        </w:tc>
        <w:tc>
          <w:tcPr>
            <w:tcW w:w="740" w:type="dxa"/>
            <w:vAlign w:val="bottom"/>
          </w:tcPr>
          <w:p>
            <w:pPr>
              <w:spacing w:after="0"/>
              <w:rPr>
                <w:sz w:val="12"/>
                <w:szCs w:val="12"/>
                <w:color w:val="auto"/>
              </w:rPr>
            </w:pPr>
          </w:p>
        </w:tc>
        <w:tc>
          <w:tcPr>
            <w:tcW w:w="9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rPr>
              <w:t>(unaudited)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5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7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w:t>
            </w:r>
          </w:p>
        </w:tc>
        <w:tc>
          <w:tcPr>
            <w:tcW w:w="7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Cash, cash equivalents and short-term marketable securities</w:t>
            </w:r>
          </w:p>
        </w:tc>
        <w:tc>
          <w:tcPr>
            <w:tcW w:w="192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  86,136</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156,106</w:t>
            </w: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(3)</w:t>
            </w:r>
          </w:p>
        </w:tc>
        <w:tc>
          <w:tcPr>
            <w:tcW w:w="1920" w:type="dxa"/>
            <w:vAlign w:val="bottom"/>
            <w:gridSpan w:val="3"/>
            <w:shd w:val="clear" w:color="auto" w:fill="CCEEFF"/>
          </w:tcPr>
          <w:p>
            <w:pPr>
              <w:jc w:val="right"/>
              <w:ind w:right="360"/>
              <w:spacing w:after="0" w:line="202" w:lineRule="exact"/>
              <w:rPr>
                <w:sz w:val="20"/>
                <w:szCs w:val="20"/>
                <w:color w:val="auto"/>
              </w:rPr>
            </w:pPr>
            <w:r>
              <w:rPr>
                <w:rFonts w:ascii="Arial" w:cs="Arial" w:eastAsia="Arial" w:hAnsi="Arial"/>
                <w:sz w:val="18"/>
                <w:szCs w:val="18"/>
                <w:color w:val="auto"/>
              </w:rPr>
              <w:t>81,704</w:t>
            </w:r>
          </w:p>
        </w:tc>
        <w:tc>
          <w:tcPr>
            <w:tcW w:w="1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151,704</w:t>
            </w:r>
          </w:p>
        </w:tc>
        <w:tc>
          <w:tcPr>
            <w:tcW w:w="7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1920" w:type="dxa"/>
            <w:vAlign w:val="bottom"/>
            <w:gridSpan w:val="3"/>
          </w:tcPr>
          <w:p>
            <w:pPr>
              <w:jc w:val="right"/>
              <w:ind w:right="360"/>
              <w:spacing w:after="0" w:line="202" w:lineRule="exact"/>
              <w:rPr>
                <w:sz w:val="20"/>
                <w:szCs w:val="20"/>
                <w:color w:val="auto"/>
              </w:rPr>
            </w:pPr>
            <w:r>
              <w:rPr>
                <w:rFonts w:ascii="Arial" w:cs="Arial" w:eastAsia="Arial" w:hAnsi="Arial"/>
                <w:sz w:val="18"/>
                <w:szCs w:val="18"/>
                <w:color w:val="auto"/>
              </w:rPr>
              <w:t>89,102</w:t>
            </w: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159,042</w:t>
            </w: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5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5,177</w:t>
            </w:r>
          </w:p>
        </w:tc>
        <w:tc>
          <w:tcPr>
            <w:tcW w:w="36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5,147</w:t>
            </w:r>
          </w:p>
        </w:tc>
        <w:tc>
          <w:tcPr>
            <w:tcW w:w="7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tcPr>
          <w:p>
            <w:pPr>
              <w:spacing w:after="0" w:line="202" w:lineRule="exact"/>
              <w:rPr>
                <w:sz w:val="20"/>
                <w:szCs w:val="20"/>
                <w:color w:val="auto"/>
              </w:rPr>
            </w:pPr>
            <w:r>
              <w:rPr>
                <w:rFonts w:ascii="Arial" w:cs="Arial" w:eastAsia="Arial" w:hAnsi="Arial"/>
                <w:sz w:val="18"/>
                <w:szCs w:val="18"/>
                <w:color w:val="auto"/>
              </w:rPr>
              <w:t>Convertible preferred stock</w:t>
            </w:r>
          </w:p>
        </w:tc>
        <w:tc>
          <w:tcPr>
            <w:tcW w:w="15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168,933</w:t>
            </w: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4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92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(90,661)</w:t>
            </w:r>
          </w:p>
        </w:tc>
        <w:tc>
          <w:tcPr>
            <w:tcW w:w="2120" w:type="dxa"/>
            <w:vAlign w:val="bottom"/>
            <w:gridSpan w:val="3"/>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(90,661)</w:t>
            </w: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Total stockholder's (deficit) equity</w:t>
            </w:r>
          </w:p>
        </w:tc>
        <w:tc>
          <w:tcPr>
            <w:tcW w:w="1920" w:type="dxa"/>
            <w:vAlign w:val="bottom"/>
            <w:gridSpan w:val="3"/>
          </w:tcPr>
          <w:p>
            <w:pPr>
              <w:jc w:val="right"/>
              <w:ind w:right="300"/>
              <w:spacing w:after="0"/>
              <w:rPr>
                <w:sz w:val="20"/>
                <w:szCs w:val="20"/>
                <w:color w:val="auto"/>
              </w:rPr>
            </w:pPr>
            <w:r>
              <w:rPr>
                <w:rFonts w:ascii="Arial" w:cs="Arial" w:eastAsia="Arial" w:hAnsi="Arial"/>
                <w:sz w:val="18"/>
                <w:szCs w:val="18"/>
                <w:color w:val="auto"/>
              </w:rPr>
              <w:t>(85,008)</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153,895</w:t>
            </w:r>
          </w:p>
        </w:tc>
        <w:tc>
          <w:tcPr>
            <w:tcW w:w="7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820" w:right="400" w:hanging="522"/>
        <w:spacing w:after="0" w:line="187" w:lineRule="auto"/>
        <w:tabs>
          <w:tab w:leader="none" w:pos="820" w:val="left"/>
        </w:tabs>
        <w:numPr>
          <w:ilvl w:val="0"/>
          <w:numId w:val="13"/>
        </w:numPr>
        <w:rPr>
          <w:rFonts w:ascii="Arial" w:cs="Arial" w:eastAsia="Arial" w:hAnsi="Arial"/>
          <w:sz w:val="24"/>
          <w:szCs w:val="24"/>
          <w:color w:val="auto"/>
          <w:vertAlign w:val="superscript"/>
        </w:rPr>
      </w:pPr>
      <w:r>
        <w:rPr>
          <w:rFonts w:ascii="Arial" w:cs="Arial" w:eastAsia="Arial" w:hAnsi="Arial"/>
          <w:sz w:val="14"/>
          <w:szCs w:val="14"/>
          <w:color w:val="auto"/>
        </w:rPr>
        <w:t>The pro forma balance sheet data give effect to (i) our issuance and sale in July 2020 of an aggregate of 28,020,172 shares of our Series D convertible preferred stock for gross proceeds of $70.0 million, (ii) the automatic conversion of all outstanding shares of our convertible preferred stock, including our</w:t>
      </w:r>
    </w:p>
    <w:tbl>
      <w:tblPr>
        <w:tblLayout w:type="fixed"/>
        <w:tblInd w:w="300" w:type="dxa"/>
        <w:tblCellMar>
          <w:top w:w="0" w:type="dxa"/>
          <w:left w:w="0" w:type="dxa"/>
          <w:bottom w:w="0" w:type="dxa"/>
          <w:right w:w="0" w:type="dxa"/>
        </w:tblCellMar>
      </w:tblPr>
      <w:tr>
        <w:trPr>
          <w:trHeight w:val="146"/>
        </w:trPr>
        <w:tc>
          <w:tcPr>
            <w:tcW w:w="340" w:type="dxa"/>
            <w:vAlign w:val="bottom"/>
          </w:tcPr>
          <w:p>
            <w:pPr>
              <w:spacing w:after="0"/>
              <w:rPr>
                <w:sz w:val="12"/>
                <w:szCs w:val="12"/>
                <w:color w:val="auto"/>
              </w:rPr>
            </w:pPr>
          </w:p>
        </w:tc>
        <w:tc>
          <w:tcPr>
            <w:tcW w:w="10280" w:type="dxa"/>
            <w:vAlign w:val="bottom"/>
            <w:gridSpan w:val="5"/>
          </w:tcPr>
          <w:p>
            <w:pPr>
              <w:ind w:left="180"/>
              <w:spacing w:after="0" w:line="145" w:lineRule="exact"/>
              <w:rPr>
                <w:sz w:val="20"/>
                <w:szCs w:val="20"/>
                <w:color w:val="auto"/>
              </w:rPr>
            </w:pPr>
            <w:r>
              <w:rPr>
                <w:rFonts w:ascii="Arial" w:cs="Arial" w:eastAsia="Arial" w:hAnsi="Arial"/>
                <w:sz w:val="14"/>
                <w:szCs w:val="14"/>
                <w:color w:val="auto"/>
              </w:rPr>
              <w:t>shares of our Series D convertible preferred stock issued in July 2020, into an aggregate of 148,413,322 shares of our common stock immediately prior to the</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0280" w:type="dxa"/>
            <w:vAlign w:val="bottom"/>
            <w:gridSpan w:val="5"/>
          </w:tcPr>
          <w:p>
            <w:pPr>
              <w:ind w:left="180"/>
              <w:spacing w:after="0"/>
              <w:rPr>
                <w:sz w:val="20"/>
                <w:szCs w:val="20"/>
                <w:color w:val="auto"/>
              </w:rPr>
            </w:pPr>
            <w:r>
              <w:rPr>
                <w:rFonts w:ascii="Arial" w:cs="Arial" w:eastAsia="Arial" w:hAnsi="Arial"/>
                <w:sz w:val="14"/>
                <w:szCs w:val="14"/>
                <w:color w:val="auto"/>
              </w:rPr>
              <w:t>completion of this offering and (iii) the filing and effectiveness of our amended and restated certificate of incorporation, which will occur immediately prior to the</w:t>
            </w:r>
          </w:p>
        </w:tc>
        <w:tc>
          <w:tcPr>
            <w:tcW w:w="0" w:type="dxa"/>
            <w:vAlign w:val="bottom"/>
          </w:tcPr>
          <w:p>
            <w:pPr>
              <w:spacing w:after="0"/>
              <w:rPr>
                <w:sz w:val="1"/>
                <w:szCs w:val="1"/>
                <w:color w:val="auto"/>
              </w:rPr>
            </w:pPr>
          </w:p>
        </w:tc>
      </w:tr>
      <w:tr>
        <w:trPr>
          <w:trHeight w:val="162"/>
        </w:trPr>
        <w:tc>
          <w:tcPr>
            <w:tcW w:w="340" w:type="dxa"/>
            <w:vAlign w:val="bottom"/>
            <w:vMerge w:val="restart"/>
          </w:tcPr>
          <w:p>
            <w:pPr>
              <w:jc w:val="right"/>
              <w:ind w:right="139"/>
              <w:spacing w:after="0"/>
              <w:rPr>
                <w:sz w:val="20"/>
                <w:szCs w:val="20"/>
                <w:color w:val="auto"/>
              </w:rPr>
            </w:pPr>
            <w:r>
              <w:rPr>
                <w:rFonts w:ascii="Arial" w:cs="Arial" w:eastAsia="Arial" w:hAnsi="Arial"/>
                <w:sz w:val="12"/>
                <w:szCs w:val="12"/>
                <w:color w:val="auto"/>
                <w:w w:val="81"/>
              </w:rPr>
              <w:t>(2)</w:t>
            </w:r>
          </w:p>
        </w:tc>
        <w:tc>
          <w:tcPr>
            <w:tcW w:w="1880" w:type="dxa"/>
            <w:vAlign w:val="bottom"/>
          </w:tcPr>
          <w:p>
            <w:pPr>
              <w:ind w:left="180"/>
              <w:spacing w:after="0"/>
              <w:rPr>
                <w:sz w:val="20"/>
                <w:szCs w:val="20"/>
                <w:color w:val="auto"/>
              </w:rPr>
            </w:pPr>
            <w:r>
              <w:rPr>
                <w:rFonts w:ascii="Arial" w:cs="Arial" w:eastAsia="Arial" w:hAnsi="Arial"/>
                <w:sz w:val="14"/>
                <w:szCs w:val="14"/>
                <w:color w:val="auto"/>
              </w:rPr>
              <w:t>completion of this offering.</w:t>
            </w:r>
          </w:p>
        </w:tc>
        <w:tc>
          <w:tcPr>
            <w:tcW w:w="10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 w:type="dxa"/>
            <w:vAlign w:val="bottom"/>
            <w:vMerge w:val="continue"/>
          </w:tcPr>
          <w:p>
            <w:pPr>
              <w:spacing w:after="0"/>
              <w:rPr>
                <w:sz w:val="14"/>
                <w:szCs w:val="14"/>
                <w:color w:val="auto"/>
              </w:rPr>
            </w:pPr>
          </w:p>
        </w:tc>
        <w:tc>
          <w:tcPr>
            <w:tcW w:w="6160" w:type="dxa"/>
            <w:vAlign w:val="bottom"/>
            <w:gridSpan w:val="4"/>
          </w:tcPr>
          <w:p>
            <w:pPr>
              <w:ind w:left="180"/>
              <w:spacing w:after="0"/>
              <w:rPr>
                <w:sz w:val="20"/>
                <w:szCs w:val="20"/>
                <w:color w:val="auto"/>
              </w:rPr>
            </w:pPr>
            <w:r>
              <w:rPr>
                <w:rFonts w:ascii="Arial" w:cs="Arial" w:eastAsia="Arial" w:hAnsi="Arial"/>
                <w:sz w:val="14"/>
                <w:szCs w:val="14"/>
                <w:color w:val="auto"/>
              </w:rPr>
              <w:t>The pro forma as adjusted balance sheet data give further effect to our issuance and sale of</w:t>
            </w:r>
          </w:p>
        </w:tc>
        <w:tc>
          <w:tcPr>
            <w:tcW w:w="4120" w:type="dxa"/>
            <w:vAlign w:val="bottom"/>
          </w:tcPr>
          <w:p>
            <w:pPr>
              <w:jc w:val="center"/>
              <w:ind w:right="148"/>
              <w:spacing w:after="0"/>
              <w:rPr>
                <w:sz w:val="20"/>
                <w:szCs w:val="20"/>
                <w:color w:val="auto"/>
              </w:rPr>
            </w:pPr>
            <w:r>
              <w:rPr>
                <w:rFonts w:ascii="Arial" w:cs="Arial" w:eastAsia="Arial" w:hAnsi="Arial"/>
                <w:sz w:val="14"/>
                <w:szCs w:val="14"/>
                <w:color w:val="auto"/>
              </w:rPr>
              <w:t>shares of our common stock in this offering at the</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2940" w:type="dxa"/>
            <w:vAlign w:val="bottom"/>
            <w:gridSpan w:val="2"/>
          </w:tcPr>
          <w:p>
            <w:pPr>
              <w:ind w:left="180"/>
              <w:spacing w:after="0"/>
              <w:rPr>
                <w:sz w:val="20"/>
                <w:szCs w:val="20"/>
                <w:color w:val="auto"/>
              </w:rPr>
            </w:pPr>
            <w:r>
              <w:rPr>
                <w:rFonts w:ascii="Arial" w:cs="Arial" w:eastAsia="Arial" w:hAnsi="Arial"/>
                <w:sz w:val="14"/>
                <w:szCs w:val="14"/>
                <w:color w:val="auto"/>
              </w:rPr>
              <w:t>assumed initial public offering price of $</w:t>
            </w:r>
          </w:p>
        </w:tc>
        <w:tc>
          <w:tcPr>
            <w:tcW w:w="7340" w:type="dxa"/>
            <w:vAlign w:val="bottom"/>
            <w:gridSpan w:val="3"/>
          </w:tcPr>
          <w:p>
            <w:pPr>
              <w:ind w:left="240"/>
              <w:spacing w:after="0"/>
              <w:rPr>
                <w:sz w:val="20"/>
                <w:szCs w:val="20"/>
                <w:color w:val="auto"/>
              </w:rPr>
            </w:pPr>
            <w:r>
              <w:rPr>
                <w:rFonts w:ascii="Arial" w:cs="Arial" w:eastAsia="Arial" w:hAnsi="Arial"/>
                <w:sz w:val="14"/>
                <w:szCs w:val="14"/>
                <w:color w:val="auto"/>
              </w:rPr>
              <w:t>per share, which is the midpoint of the estimated offering price range set forth on the cover page of this</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0280" w:type="dxa"/>
            <w:vAlign w:val="bottom"/>
            <w:gridSpan w:val="5"/>
          </w:tcPr>
          <w:p>
            <w:pPr>
              <w:ind w:left="180"/>
              <w:spacing w:after="0"/>
              <w:rPr>
                <w:sz w:val="20"/>
                <w:szCs w:val="20"/>
                <w:color w:val="auto"/>
              </w:rPr>
            </w:pPr>
            <w:r>
              <w:rPr>
                <w:rFonts w:ascii="Arial" w:cs="Arial" w:eastAsia="Arial" w:hAnsi="Arial"/>
                <w:sz w:val="14"/>
                <w:szCs w:val="14"/>
                <w:color w:val="auto"/>
              </w:rPr>
              <w:t>prospectus, after deducting estimated underwriting discounts and commissions and estimated offering expenses payable by us. The pro forma as adjusted</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0280" w:type="dxa"/>
            <w:vAlign w:val="bottom"/>
            <w:gridSpan w:val="5"/>
          </w:tcPr>
          <w:p>
            <w:pPr>
              <w:ind w:left="180"/>
              <w:spacing w:after="0"/>
              <w:rPr>
                <w:sz w:val="20"/>
                <w:szCs w:val="20"/>
                <w:color w:val="auto"/>
              </w:rPr>
            </w:pPr>
            <w:r>
              <w:rPr>
                <w:rFonts w:ascii="Arial" w:cs="Arial" w:eastAsia="Arial" w:hAnsi="Arial"/>
                <w:sz w:val="14"/>
                <w:szCs w:val="14"/>
                <w:color w:val="auto"/>
              </w:rPr>
              <w:t>balance sheet data is illustrative only and will depend on the actual initial public offering price and other terms of this offering determined at pricing. Each $1.00</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4740" w:type="dxa"/>
            <w:vAlign w:val="bottom"/>
            <w:gridSpan w:val="3"/>
          </w:tcPr>
          <w:p>
            <w:pPr>
              <w:ind w:left="180"/>
              <w:spacing w:after="0"/>
              <w:rPr>
                <w:sz w:val="20"/>
                <w:szCs w:val="20"/>
                <w:color w:val="auto"/>
              </w:rPr>
            </w:pPr>
            <w:r>
              <w:rPr>
                <w:rFonts w:ascii="Arial" w:cs="Arial" w:eastAsia="Arial" w:hAnsi="Arial"/>
                <w:sz w:val="14"/>
                <w:szCs w:val="14"/>
                <w:color w:val="auto"/>
              </w:rPr>
              <w:t>increase or decrease in the assumed initial public offering price of $</w:t>
            </w:r>
          </w:p>
        </w:tc>
        <w:tc>
          <w:tcPr>
            <w:tcW w:w="5540" w:type="dxa"/>
            <w:vAlign w:val="bottom"/>
            <w:gridSpan w:val="2"/>
          </w:tcPr>
          <w:p>
            <w:pPr>
              <w:ind w:left="260"/>
              <w:spacing w:after="0"/>
              <w:rPr>
                <w:sz w:val="20"/>
                <w:szCs w:val="20"/>
                <w:color w:val="auto"/>
              </w:rPr>
            </w:pPr>
            <w:r>
              <w:rPr>
                <w:rFonts w:ascii="Arial" w:cs="Arial" w:eastAsia="Arial" w:hAnsi="Arial"/>
                <w:sz w:val="14"/>
                <w:szCs w:val="14"/>
                <w:color w:val="auto"/>
              </w:rPr>
              <w:t>per share, which is the midpoint of the estimated offering price range set forth on</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0280" w:type="dxa"/>
            <w:vAlign w:val="bottom"/>
            <w:gridSpan w:val="5"/>
          </w:tcPr>
          <w:p>
            <w:pPr>
              <w:ind w:left="180"/>
              <w:spacing w:after="0"/>
              <w:rPr>
                <w:sz w:val="20"/>
                <w:szCs w:val="20"/>
                <w:color w:val="auto"/>
              </w:rPr>
            </w:pPr>
            <w:r>
              <w:rPr>
                <w:rFonts w:ascii="Arial" w:cs="Arial" w:eastAsia="Arial" w:hAnsi="Arial"/>
                <w:sz w:val="14"/>
                <w:szCs w:val="14"/>
                <w:color w:val="auto"/>
              </w:rPr>
              <w:t>the cover page of this prospectus, would increase or decrease, as applicable, our pro forma as adjusted cash, cash equivalents and short-term marketable</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6160" w:type="dxa"/>
            <w:vAlign w:val="bottom"/>
            <w:gridSpan w:val="4"/>
          </w:tcPr>
          <w:p>
            <w:pPr>
              <w:ind w:left="180"/>
              <w:spacing w:after="0"/>
              <w:rPr>
                <w:sz w:val="20"/>
                <w:szCs w:val="20"/>
                <w:color w:val="auto"/>
              </w:rPr>
            </w:pPr>
            <w:r>
              <w:rPr>
                <w:rFonts w:ascii="Arial" w:cs="Arial" w:eastAsia="Arial" w:hAnsi="Arial"/>
                <w:sz w:val="14"/>
                <w:szCs w:val="14"/>
                <w:color w:val="auto"/>
              </w:rPr>
              <w:t>securities, working capital, total assets and total stockholders’ equity by approximately $</w:t>
            </w:r>
          </w:p>
        </w:tc>
        <w:tc>
          <w:tcPr>
            <w:tcW w:w="4120" w:type="dxa"/>
            <w:vAlign w:val="bottom"/>
          </w:tcPr>
          <w:p>
            <w:pPr>
              <w:jc w:val="center"/>
              <w:ind w:right="148"/>
              <w:spacing w:after="0"/>
              <w:rPr>
                <w:sz w:val="20"/>
                <w:szCs w:val="20"/>
                <w:color w:val="auto"/>
              </w:rPr>
            </w:pPr>
            <w:r>
              <w:rPr>
                <w:rFonts w:ascii="Arial" w:cs="Arial" w:eastAsia="Arial" w:hAnsi="Arial"/>
                <w:sz w:val="14"/>
                <w:szCs w:val="14"/>
                <w:color w:val="auto"/>
              </w:rPr>
              <w:t>million, assuming the number of shares of common stock</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0280" w:type="dxa"/>
            <w:vAlign w:val="bottom"/>
            <w:gridSpan w:val="5"/>
          </w:tcPr>
          <w:p>
            <w:pPr>
              <w:ind w:left="180"/>
              <w:spacing w:after="0"/>
              <w:rPr>
                <w:sz w:val="20"/>
                <w:szCs w:val="20"/>
                <w:color w:val="auto"/>
              </w:rPr>
            </w:pPr>
            <w:r>
              <w:rPr>
                <w:rFonts w:ascii="Arial" w:cs="Arial" w:eastAsia="Arial" w:hAnsi="Arial"/>
                <w:sz w:val="14"/>
                <w:szCs w:val="14"/>
                <w:color w:val="auto"/>
              </w:rPr>
              <w:t>offered by us, as set forth on the cover page of this prospectus, remains the same, and after deducting estimated underwriting discounts and commissions and</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0280" w:type="dxa"/>
            <w:vAlign w:val="bottom"/>
            <w:gridSpan w:val="5"/>
          </w:tcPr>
          <w:p>
            <w:pPr>
              <w:ind w:left="180"/>
              <w:spacing w:after="0"/>
              <w:rPr>
                <w:sz w:val="20"/>
                <w:szCs w:val="20"/>
                <w:color w:val="auto"/>
              </w:rPr>
            </w:pPr>
            <w:r>
              <w:rPr>
                <w:rFonts w:ascii="Arial" w:cs="Arial" w:eastAsia="Arial" w:hAnsi="Arial"/>
                <w:sz w:val="14"/>
                <w:szCs w:val="14"/>
                <w:color w:val="auto"/>
              </w:rPr>
              <w:t>estimated offering expenses payable by us. Each increase or decrease of 1.0 million shares of common stock offered by us would increase or decrease, as</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0280" w:type="dxa"/>
            <w:vAlign w:val="bottom"/>
            <w:gridSpan w:val="5"/>
          </w:tcPr>
          <w:p>
            <w:pPr>
              <w:ind w:left="180"/>
              <w:spacing w:after="0"/>
              <w:rPr>
                <w:sz w:val="20"/>
                <w:szCs w:val="20"/>
                <w:color w:val="auto"/>
              </w:rPr>
            </w:pPr>
            <w:r>
              <w:rPr>
                <w:rFonts w:ascii="Arial" w:cs="Arial" w:eastAsia="Arial" w:hAnsi="Arial"/>
                <w:sz w:val="14"/>
                <w:szCs w:val="14"/>
                <w:color w:val="auto"/>
              </w:rPr>
              <w:t>applicable, our pro forma as adjusted cash, cash equivalents and short-term marketable securities, working capital, total assets and total stockholders’ equity</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880" w:type="dxa"/>
            <w:vAlign w:val="bottom"/>
          </w:tcPr>
          <w:p>
            <w:pPr>
              <w:ind w:left="180"/>
              <w:spacing w:after="0"/>
              <w:rPr>
                <w:sz w:val="20"/>
                <w:szCs w:val="20"/>
                <w:color w:val="auto"/>
              </w:rPr>
            </w:pPr>
            <w:r>
              <w:rPr>
                <w:rFonts w:ascii="Arial" w:cs="Arial" w:eastAsia="Arial" w:hAnsi="Arial"/>
                <w:sz w:val="14"/>
                <w:szCs w:val="14"/>
                <w:color w:val="auto"/>
              </w:rPr>
              <w:t>by approximately $</w:t>
            </w:r>
          </w:p>
        </w:tc>
        <w:tc>
          <w:tcPr>
            <w:tcW w:w="4280" w:type="dxa"/>
            <w:vAlign w:val="bottom"/>
            <w:gridSpan w:val="3"/>
          </w:tcPr>
          <w:p>
            <w:pPr>
              <w:ind w:left="40"/>
              <w:spacing w:after="0"/>
              <w:rPr>
                <w:sz w:val="20"/>
                <w:szCs w:val="20"/>
                <w:color w:val="auto"/>
              </w:rPr>
            </w:pPr>
            <w:r>
              <w:rPr>
                <w:rFonts w:ascii="Arial" w:cs="Arial" w:eastAsia="Arial" w:hAnsi="Arial"/>
                <w:sz w:val="14"/>
                <w:szCs w:val="14"/>
                <w:color w:val="auto"/>
              </w:rPr>
              <w:t>million, assuming the assumed initial public offering price of $</w:t>
            </w:r>
          </w:p>
        </w:tc>
        <w:tc>
          <w:tcPr>
            <w:tcW w:w="4120" w:type="dxa"/>
            <w:vAlign w:val="bottom"/>
          </w:tcPr>
          <w:p>
            <w:pPr>
              <w:ind w:left="180"/>
              <w:spacing w:after="0"/>
              <w:rPr>
                <w:sz w:val="20"/>
                <w:szCs w:val="20"/>
                <w:color w:val="auto"/>
              </w:rPr>
            </w:pPr>
            <w:r>
              <w:rPr>
                <w:rFonts w:ascii="Arial" w:cs="Arial" w:eastAsia="Arial" w:hAnsi="Arial"/>
                <w:sz w:val="14"/>
                <w:szCs w:val="14"/>
                <w:color w:val="auto"/>
              </w:rPr>
              <w:t>per share, which is the midpoint of the estimated offering price</w:t>
            </w:r>
          </w:p>
        </w:tc>
        <w:tc>
          <w:tcPr>
            <w:tcW w:w="0" w:type="dxa"/>
            <w:vAlign w:val="bottom"/>
          </w:tcPr>
          <w:p>
            <w:pPr>
              <w:spacing w:after="0"/>
              <w:rPr>
                <w:sz w:val="1"/>
                <w:szCs w:val="1"/>
                <w:color w:val="auto"/>
              </w:rPr>
            </w:pPr>
          </w:p>
        </w:tc>
      </w:tr>
      <w:tr>
        <w:trPr>
          <w:trHeight w:val="162"/>
        </w:trPr>
        <w:tc>
          <w:tcPr>
            <w:tcW w:w="340" w:type="dxa"/>
            <w:vAlign w:val="bottom"/>
          </w:tcPr>
          <w:p>
            <w:pPr>
              <w:spacing w:after="0"/>
              <w:rPr>
                <w:sz w:val="14"/>
                <w:szCs w:val="14"/>
                <w:color w:val="auto"/>
              </w:rPr>
            </w:pPr>
          </w:p>
        </w:tc>
        <w:tc>
          <w:tcPr>
            <w:tcW w:w="10280" w:type="dxa"/>
            <w:vAlign w:val="bottom"/>
            <w:gridSpan w:val="5"/>
          </w:tcPr>
          <w:p>
            <w:pPr>
              <w:ind w:left="180"/>
              <w:spacing w:after="0"/>
              <w:rPr>
                <w:sz w:val="20"/>
                <w:szCs w:val="20"/>
                <w:color w:val="auto"/>
              </w:rPr>
            </w:pPr>
            <w:r>
              <w:rPr>
                <w:rFonts w:ascii="Arial" w:cs="Arial" w:eastAsia="Arial" w:hAnsi="Arial"/>
                <w:sz w:val="14"/>
                <w:szCs w:val="14"/>
                <w:color w:val="auto"/>
              </w:rPr>
              <w:t>range set forth on the cover page of this prospectus, remains the same, and after deducting estimated underwriting discounts and commissions and estimated</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2940" w:type="dxa"/>
            <w:vAlign w:val="bottom"/>
            <w:gridSpan w:val="2"/>
          </w:tcPr>
          <w:p>
            <w:pPr>
              <w:ind w:left="180"/>
              <w:spacing w:after="0"/>
              <w:rPr>
                <w:sz w:val="20"/>
                <w:szCs w:val="20"/>
                <w:color w:val="auto"/>
              </w:rPr>
            </w:pPr>
            <w:r>
              <w:rPr>
                <w:rFonts w:ascii="Arial" w:cs="Arial" w:eastAsia="Arial" w:hAnsi="Arial"/>
                <w:sz w:val="14"/>
                <w:szCs w:val="14"/>
                <w:color w:val="auto"/>
              </w:rPr>
              <w:t>offering expenses payable by us.</w:t>
            </w:r>
          </w:p>
        </w:tc>
        <w:tc>
          <w:tcPr>
            <w:tcW w:w="18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4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820" w:right="240" w:hanging="522"/>
        <w:spacing w:after="0" w:line="189" w:lineRule="auto"/>
        <w:tabs>
          <w:tab w:leader="none" w:pos="820" w:val="left"/>
        </w:tabs>
        <w:numPr>
          <w:ilvl w:val="0"/>
          <w:numId w:val="14"/>
        </w:numPr>
        <w:rPr>
          <w:rFonts w:ascii="Arial" w:cs="Arial" w:eastAsia="Arial" w:hAnsi="Arial"/>
          <w:sz w:val="24"/>
          <w:szCs w:val="24"/>
          <w:color w:val="auto"/>
          <w:vertAlign w:val="superscript"/>
        </w:rPr>
      </w:pPr>
      <w:r>
        <w:rPr>
          <w:rFonts w:ascii="Arial" w:cs="Arial" w:eastAsia="Arial" w:hAnsi="Arial"/>
          <w:sz w:val="14"/>
          <w:szCs w:val="14"/>
          <w:color w:val="auto"/>
        </w:rPr>
        <w:t>We define working capital as current assets less current liabilities. See our unaudited condensed financial statements included elsewhere in this prospectus and related notes for further details regarding our current assets and current liabilities.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40"/>
          </w:cols>
          <w:pgMar w:left="320" w:top="455" w:right="6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 FACTORS</w:t>
      </w:r>
    </w:p>
    <w:p>
      <w:pPr>
        <w:spacing w:after="0" w:line="216"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described below, as well as the other information in this prospectus, including our financial statements and the related notes and “Management’s Discussion and Analysis of Financial Condition and Results of Operations,” before deciding whether to invest in our common stock. The occurrence of any of the events or developments described below could materially adversely affect our business, financial condition, results of operations and growth prospects. In such an event, the market price of our common stock could decline and you may lose all or part of your investment. Many of the following risks and uncertainties are, and will be, exacerbated by the coronavirus disease 2019, or COVID-19, pandemic and any worsening of the global business and economic environment as a result. Additional risks and uncertainties not presently known to us or that we currently deem immaterial also may impair our business operations.</w:t>
      </w:r>
    </w:p>
    <w:p>
      <w:pPr>
        <w:spacing w:after="0" w:line="28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Our Limited Operating History, Business, Financial Condition, Results of</w:t>
      </w:r>
    </w:p>
    <w:p>
      <w:pPr>
        <w:spacing w:after="0" w:line="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Operations and Need for Additional Capital</w:t>
      </w:r>
    </w:p>
    <w:p>
      <w:pPr>
        <w:spacing w:after="0" w:line="190" w:lineRule="exact"/>
        <w:rPr>
          <w:sz w:val="20"/>
          <w:szCs w:val="20"/>
          <w:color w:val="auto"/>
        </w:rPr>
      </w:pPr>
    </w:p>
    <w:p>
      <w:pPr>
        <w:ind w:left="120" w:right="380"/>
        <w:spacing w:after="0" w:line="314" w:lineRule="auto"/>
        <w:rPr>
          <w:sz w:val="20"/>
          <w:szCs w:val="20"/>
          <w:color w:val="auto"/>
        </w:rPr>
      </w:pPr>
      <w:r>
        <w:rPr>
          <w:rFonts w:ascii="Arial" w:cs="Arial" w:eastAsia="Arial" w:hAnsi="Arial"/>
          <w:sz w:val="17"/>
          <w:szCs w:val="17"/>
          <w:b w:val="1"/>
          <w:bCs w:val="1"/>
          <w:i w:val="1"/>
          <w:iCs w:val="1"/>
          <w:color w:val="auto"/>
        </w:rPr>
        <w:t>We have a limited operating history, have not initiated or completed any clinical trials, and have no products approved for commercial sale, which may make it difficult for you to evaluate our current business and likelihood of success and viability.</w:t>
      </w:r>
    </w:p>
    <w:p>
      <w:pPr>
        <w:spacing w:after="0" w:line="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are a preclinical stage biotechnology company with a limited operating history. We commenced operations in March 2013, and our operations to date have been primarily limited to organizing and staffing our company, business planning, raising capital, conducting discovery and research activities, filing patent applications, identifying potential product candidates, undertaking preclinical studies and establishing arrangements with third parties for the manufacture of initial quantities of product candidates. Our lead product candidate, PC14586, is still in preclinical development, and we submitted an investigational new drug application, or IND, with the U.S. Food and Drug Administration, or FDA, on August 5, 2020. We have not demonstrated an ability to successfully initiate, conduct or complete any clinical trials, obtain marketing approvals, manufacture a commercial-scale product or arrange for a third party to do so on our behalf, or conduct sales, marketing and distribution activities necessary for successful product commercialization. Consequently, any predictions you make about our future success or viability may not be as accurate as they could be if we had a longer operating history.</w:t>
      </w:r>
    </w:p>
    <w:p>
      <w:pPr>
        <w:spacing w:after="0" w:line="176"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In addition, as a company with a limited operating history, we may encounter unforeseen expenses, difficulties, complications, delays and other known and unknown factors. We will need to transition at some point from a company with a research and development focus to a company capable of supporting commercial activities. We may not be successful in such a transition.</w:t>
      </w:r>
    </w:p>
    <w:p>
      <w:pPr>
        <w:spacing w:after="0" w:line="164"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8"/>
          <w:szCs w:val="18"/>
          <w:color w:val="auto"/>
        </w:rPr>
        <w:t>We expect our financial condition and results of operations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272"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We have incurred significant losses since inception, and we expect to incur significant losses for the foreseeable future and may not be able to achieve or sustain revenue or profitability in the future.</w:t>
      </w:r>
    </w:p>
    <w:p>
      <w:pPr>
        <w:spacing w:after="0" w:line="21" w:lineRule="exact"/>
        <w:rPr>
          <w:sz w:val="20"/>
          <w:szCs w:val="20"/>
          <w:color w:val="auto"/>
        </w:rPr>
      </w:pPr>
    </w:p>
    <w:p>
      <w:pPr>
        <w:jc w:val="both"/>
        <w:ind w:left="120" w:right="360" w:firstLine="551"/>
        <w:spacing w:after="0" w:line="255" w:lineRule="auto"/>
        <w:rPr>
          <w:sz w:val="20"/>
          <w:szCs w:val="20"/>
          <w:color w:val="auto"/>
        </w:rPr>
      </w:pPr>
      <w:r>
        <w:rPr>
          <w:rFonts w:ascii="Arial" w:cs="Arial" w:eastAsia="Arial" w:hAnsi="Arial"/>
          <w:sz w:val="18"/>
          <w:szCs w:val="18"/>
          <w:color w:val="auto"/>
        </w:rPr>
        <w:t>Investment in biopharmaceutical product development is a highly speculative undertaking and entails substantial upfront capital expenditures and significant risk that any potential product candidate will fail to demonstrate adequate efficacy or an acceptable safety profile, gain regulatory approval and</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40"/>
          </w:cols>
          <w:pgMar w:left="320" w:top="455" w:right="4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48" w:lineRule="auto"/>
        <w:rPr>
          <w:sz w:val="20"/>
          <w:szCs w:val="20"/>
          <w:color w:val="auto"/>
        </w:rPr>
      </w:pPr>
      <w:r>
        <w:rPr>
          <w:rFonts w:ascii="Arial" w:cs="Arial" w:eastAsia="Arial" w:hAnsi="Arial"/>
          <w:sz w:val="18"/>
          <w:szCs w:val="18"/>
          <w:color w:val="auto"/>
        </w:rPr>
        <w:t>become commercially viable. We are still in the early stages of development of our product candidates and have not yet initiated our first clinical trial. We have no products approved for commercial sale and have not generated any revenue from product sales to date, and we continue to incur significant research and development and other expenses related to our ongoing operations. We have financed our operations primarily through private placements of our preferred stock.</w:t>
      </w:r>
    </w:p>
    <w:p>
      <w:pPr>
        <w:spacing w:after="0" w:line="170"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have incurred significant net losses in each period since we commenced operations in March 2013. Our net losses were $17.5 million and $25.4 million for the years ended December 31, 2018 and 2019, respectively, and $12.1 million and $15.2 million for the six months ended June 30, 2019 and 2020, respectively. As of June 30, 2020, we had an accumulated deficit of $90.7 million. Substantially all of our losses have resulted from expenses incurred in connection with our research and development programs and from general and administrative costs associated with our operations. We expect to continue to incur significant losses for the foreseeable future, and we expect these losses to increase substantially if and as we:</w:t>
      </w:r>
    </w:p>
    <w:p>
      <w:pPr>
        <w:spacing w:after="0" w:line="79" w:lineRule="exact"/>
        <w:rPr>
          <w:sz w:val="20"/>
          <w:szCs w:val="20"/>
          <w:color w:val="auto"/>
        </w:rPr>
      </w:pPr>
    </w:p>
    <w:p>
      <w:pPr>
        <w:ind w:left="880" w:right="900" w:hanging="224"/>
        <w:spacing w:after="0" w:line="276"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 our research and development efforts and submit INDs for our lead product candidate and any other product candidates;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 preclinical studies and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seek marketing approvals for any product candidates that successfully complete clinical trials;</w:t>
      </w:r>
    </w:p>
    <w:p>
      <w:pPr>
        <w:spacing w:after="0" w:line="117"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50" w:lineRule="exact"/>
        <w:rPr>
          <w:rFonts w:ascii="Arial" w:cs="Arial" w:eastAsia="Arial" w:hAnsi="Arial"/>
          <w:sz w:val="18"/>
          <w:szCs w:val="18"/>
          <w:color w:val="auto"/>
        </w:rPr>
      </w:pPr>
    </w:p>
    <w:p>
      <w:pPr>
        <w:ind w:left="880" w:right="240" w:hanging="224"/>
        <w:spacing w:after="0" w:line="276"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and scale-up manufacturing capabilities, whether alone or with third parties, to commercialize any product candidates for which we may obtain regulatory approval, if any;</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obtain, expand, maintain, enforce and protect our intellectual property portfolio;</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hire additional clinical, regulatory and scientific personnel;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212"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Because of the numerous risks and uncertainties associated with biopharmaceutical product development, we are unable to accurately predict the timing or amount of increased expenses we will incur or when, if ever, we will be able to achieve profitability. Even if we succeed in commercializing one or more of our product candidates, we will continue to incur substantial research and development and other expenditures to develop, seek regulatory approval for and market additional product candidates. We may encounter unforeseen expenses, difficulties, complications, delays and other unknown factors that may adversely affect our business. The size of our future net losses will depend, in part, on the rate of future growth of our expenses and our ability to generate revenue. Our prior losses and expected future losses have had and will continue to have an adverse effect on our stockholders’ equity and working capital.</w:t>
      </w:r>
    </w:p>
    <w:p>
      <w:pPr>
        <w:spacing w:after="0" w:line="287" w:lineRule="exact"/>
        <w:rPr>
          <w:sz w:val="20"/>
          <w:szCs w:val="20"/>
          <w:color w:val="auto"/>
        </w:rPr>
      </w:pPr>
    </w:p>
    <w:p>
      <w:pPr>
        <w:ind w:left="120" w:right="20"/>
        <w:spacing w:after="0" w:line="260" w:lineRule="auto"/>
        <w:rPr>
          <w:sz w:val="20"/>
          <w:szCs w:val="20"/>
          <w:color w:val="auto"/>
        </w:rPr>
      </w:pPr>
      <w:r>
        <w:rPr>
          <w:rFonts w:ascii="Arial" w:cs="Arial" w:eastAsia="Arial" w:hAnsi="Arial"/>
          <w:sz w:val="18"/>
          <w:szCs w:val="18"/>
          <w:b w:val="1"/>
          <w:bCs w:val="1"/>
          <w:i w:val="1"/>
          <w:iCs w:val="1"/>
          <w:color w:val="auto"/>
        </w:rPr>
        <w:t>We have not generated any revenue from our product candidates and may never generate revenue or be profitable. Our ability to generate revenue and achieve profitability depends significantly on our ability to achieve several objectives relating to the discovery, development and commercialization of our product candidates.</w:t>
      </w:r>
    </w:p>
    <w:p>
      <w:pPr>
        <w:spacing w:after="0" w:line="43"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Our ability to become profitable depends upon our ability to generate revenue. We have not received marketing approval for any product candidate, and we have not generated any revenue from any product sales. We do not expect to generate revenue unless or until we successfully complete preclinical and clinical development and obtain regulatory approval of, and then successfully commercialize, at least one product candidate. We have not evaluated any product candidate in humans, including PC14586, our lead product candidate. As such, we face significant translational</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5" w:right="4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0"/>
        <w:spacing w:after="0" w:line="248" w:lineRule="auto"/>
        <w:rPr>
          <w:sz w:val="20"/>
          <w:szCs w:val="20"/>
          <w:color w:val="auto"/>
        </w:rPr>
      </w:pPr>
      <w:r>
        <w:rPr>
          <w:rFonts w:ascii="Arial" w:cs="Arial" w:eastAsia="Arial" w:hAnsi="Arial"/>
          <w:sz w:val="18"/>
          <w:szCs w:val="18"/>
          <w:color w:val="auto"/>
        </w:rPr>
        <w:t>risk as our product candidates advance to the clinical stage, and promising results in preclinical studies may not be replicated in clinical trials. All of our current and future product candidates will require preclinical and clinical development, regulatory review and approval, substantial investment, access to sufficient commercial manufacturing capacity and significant marketing efforts before we can generate any revenue from product sales. Our ability to generate revenue depends on a number of factors, including, but not limited to:</w:t>
      </w:r>
    </w:p>
    <w:p>
      <w:pPr>
        <w:spacing w:after="0" w:line="76" w:lineRule="exact"/>
        <w:rPr>
          <w:sz w:val="20"/>
          <w:szCs w:val="20"/>
          <w:color w:val="auto"/>
        </w:rPr>
      </w:pPr>
    </w:p>
    <w:p>
      <w:pPr>
        <w:ind w:left="880" w:right="440" w:hanging="224"/>
        <w:spacing w:after="0" w:line="255"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timely initiation and completion of our preclinical studies and clinical trials for our lead product candidate, PC14586, and our future product candidates, which may be significantly slower or cost more than we currently anticipate and will depend substantially upon the performance of third-party contractors;</w:t>
      </w:r>
    </w:p>
    <w:p>
      <w:pPr>
        <w:spacing w:after="0" w:line="69" w:lineRule="exact"/>
        <w:rPr>
          <w:rFonts w:ascii="Arial" w:cs="Arial" w:eastAsia="Arial" w:hAnsi="Arial"/>
          <w:sz w:val="18"/>
          <w:szCs w:val="18"/>
          <w:color w:val="auto"/>
        </w:rPr>
      </w:pPr>
    </w:p>
    <w:p>
      <w:pPr>
        <w:ind w:left="880" w:right="620" w:hanging="224"/>
        <w:spacing w:after="0" w:line="276"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establishing and maintaining relationships with contract research organizations, or CROs, and clinical sites for the clinical development of PC14586 and our future product candidates;</w:t>
      </w:r>
    </w:p>
    <w:p>
      <w:pPr>
        <w:spacing w:after="0" w:line="50" w:lineRule="exact"/>
        <w:rPr>
          <w:rFonts w:ascii="Arial" w:cs="Arial" w:eastAsia="Arial" w:hAnsi="Arial"/>
          <w:sz w:val="18"/>
          <w:szCs w:val="18"/>
          <w:color w:val="auto"/>
        </w:rPr>
      </w:pPr>
    </w:p>
    <w:p>
      <w:pPr>
        <w:ind w:left="880" w:right="700" w:hanging="224"/>
        <w:spacing w:after="0" w:line="276"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complete IND-enabling studies and successfully submit and receive authorization to proceed under INDs or comparable applications;</w:t>
      </w:r>
    </w:p>
    <w:p>
      <w:pPr>
        <w:spacing w:after="0" w:line="50" w:lineRule="exact"/>
        <w:rPr>
          <w:rFonts w:ascii="Arial" w:cs="Arial" w:eastAsia="Arial" w:hAnsi="Arial"/>
          <w:sz w:val="18"/>
          <w:szCs w:val="18"/>
          <w:color w:val="auto"/>
        </w:rPr>
      </w:pPr>
    </w:p>
    <w:p>
      <w:pPr>
        <w:ind w:left="880" w:right="440" w:hanging="224"/>
        <w:spacing w:after="0" w:line="255"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we are required by the FDA or other comparable foreign regulatory authorities to conduct additional clinical trials or other studies beyond those planned to support the approval and commercialization of our product candidates or any future product candidates;</w:t>
      </w:r>
    </w:p>
    <w:p>
      <w:pPr>
        <w:spacing w:after="0" w:line="69" w:lineRule="exact"/>
        <w:rPr>
          <w:rFonts w:ascii="Arial" w:cs="Arial" w:eastAsia="Arial" w:hAnsi="Arial"/>
          <w:sz w:val="18"/>
          <w:szCs w:val="18"/>
          <w:color w:val="auto"/>
        </w:rPr>
      </w:pPr>
    </w:p>
    <w:p>
      <w:pPr>
        <w:ind w:left="880" w:right="560" w:hanging="224"/>
        <w:spacing w:after="0" w:line="255"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demonstrate to the satisfaction of the FDA and comparable foreign regulatory authorities the safety, efficacy, consistent manufacturing quality and acceptable risk-benefit profile of our small molecule product candidates or any future product candidates, and such regulatory authorities’ acceptance of our tumor-agnostic development strategy;</w:t>
      </w:r>
    </w:p>
    <w:p>
      <w:pPr>
        <w:spacing w:after="0" w:line="69" w:lineRule="exact"/>
        <w:rPr>
          <w:rFonts w:ascii="Arial" w:cs="Arial" w:eastAsia="Arial" w:hAnsi="Arial"/>
          <w:sz w:val="18"/>
          <w:szCs w:val="18"/>
          <w:color w:val="auto"/>
        </w:rPr>
      </w:pPr>
    </w:p>
    <w:p>
      <w:pPr>
        <w:ind w:left="880" w:right="160" w:hanging="224"/>
        <w:spacing w:after="0" w:line="276"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prevalence, duration and severity of potential side effects or other safety issues experienced with our product candidates or future product candidates, if any;</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timely receipt of necessary marketing approvals from the FDA and comparable foreign regulatory authorities;</w:t>
      </w:r>
    </w:p>
    <w:p>
      <w:pPr>
        <w:spacing w:after="0" w:line="117"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willingness of physicians, operators of clinics and patients to utilize or adopt any of our product candidates or future product candidates over alternative or more conventional therapies, such as chemotherapy, to treat solid tumors;</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actual and perceived availability, cost, risk profile and side effects and efficacy of our product candidates, if approved, relative to existing and future alternative cancer therapies and competitive product candidates and technologies;</w:t>
      </w:r>
    </w:p>
    <w:p>
      <w:pPr>
        <w:spacing w:after="0" w:line="50" w:lineRule="exact"/>
        <w:rPr>
          <w:rFonts w:ascii="Arial" w:cs="Arial" w:eastAsia="Arial" w:hAnsi="Arial"/>
          <w:sz w:val="18"/>
          <w:szCs w:val="18"/>
          <w:color w:val="auto"/>
        </w:rPr>
      </w:pPr>
    </w:p>
    <w:p>
      <w:pPr>
        <w:ind w:left="880" w:right="80" w:hanging="224"/>
        <w:spacing w:after="0" w:line="248"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and the ability of third parties with whom we contract to manufacture adequate clinical and commercial supplies of our product candidates or any future product candidates, remain in good standing with regulatory authorities and develop, validate and maintain commercially viable manufacturing processes that are compliant with current good manufacturing practices, or cGMP;</w:t>
      </w:r>
    </w:p>
    <w:p>
      <w:pPr>
        <w:spacing w:after="0" w:line="75" w:lineRule="exact"/>
        <w:rPr>
          <w:rFonts w:ascii="Arial" w:cs="Arial" w:eastAsia="Arial" w:hAnsi="Arial"/>
          <w:sz w:val="18"/>
          <w:szCs w:val="18"/>
          <w:color w:val="auto"/>
        </w:rPr>
      </w:pPr>
    </w:p>
    <w:p>
      <w:pPr>
        <w:ind w:left="880" w:right="320" w:hanging="224"/>
        <w:spacing w:after="0" w:line="255"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develop a commercial strategy and thereafter commercialize our product candidates or any future product candidates in the United States and internationally, if approved for marketing, reimbursement, sale and distribution in such countries and territories, whether alone or in collaboration with others;</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patient demand for our product candidates and any future product candidates, if approved;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establish and enforce intellectual property rights in and to our product candidates or any future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coverage and adequate reimbursement by third-party payors for our product candidates;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5" w:right="45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12" w:lineRule="exact"/>
        <w:rPr>
          <w:sz w:val="20"/>
          <w:szCs w:val="20"/>
          <w:color w:val="auto"/>
        </w:rPr>
      </w:pPr>
    </w:p>
    <w:p>
      <w:pPr>
        <w:ind w:left="120" w:right="160" w:firstLine="551"/>
        <w:spacing w:after="0" w:line="268" w:lineRule="auto"/>
        <w:rPr>
          <w:sz w:val="20"/>
          <w:szCs w:val="20"/>
          <w:color w:val="auto"/>
        </w:rPr>
      </w:pPr>
      <w:r>
        <w:rPr>
          <w:rFonts w:ascii="Arial" w:cs="Arial" w:eastAsia="Arial" w:hAnsi="Arial"/>
          <w:sz w:val="17"/>
          <w:szCs w:val="17"/>
          <w:color w:val="auto"/>
        </w:rPr>
        <w:t>Many of the factors listed above are beyond our control and could cause us to experience significant delays or prevent us from obtaining regulatory approvals or commercializing our product candidates. Even if we are able to commercialize our product candidates, we may not achieve profitability soon after generating product sales, if ever. If we are unable to generate sufficient revenue through the sale of our product candidates or any future product candidates, we may be unable to continue operations without continued funding.</w:t>
      </w:r>
    </w:p>
    <w:p>
      <w:pPr>
        <w:spacing w:after="0" w:line="261" w:lineRule="exact"/>
        <w:rPr>
          <w:sz w:val="20"/>
          <w:szCs w:val="20"/>
          <w:color w:val="auto"/>
        </w:rPr>
      </w:pPr>
    </w:p>
    <w:p>
      <w:pPr>
        <w:ind w:left="120" w:right="40"/>
        <w:spacing w:after="0" w:line="251" w:lineRule="auto"/>
        <w:rPr>
          <w:sz w:val="20"/>
          <w:szCs w:val="20"/>
          <w:color w:val="auto"/>
        </w:rPr>
      </w:pPr>
      <w:r>
        <w:rPr>
          <w:rFonts w:ascii="Arial" w:cs="Arial" w:eastAsia="Arial" w:hAnsi="Arial"/>
          <w:sz w:val="18"/>
          <w:szCs w:val="18"/>
          <w:b w:val="1"/>
          <w:bCs w:val="1"/>
          <w:i w:val="1"/>
          <w:iCs w:val="1"/>
          <w:color w:val="auto"/>
        </w:rPr>
        <w:t>Due to the significant resources required for the development of our product candidates, we must prioritize development of certain product candidates and/or certain indications. We may expend our limited resources to pursue a particular product candidate or indication and fail to capitalize on product candidates or indications that may be more profitable or for which there is a greater likelihood of success.</w:t>
      </w:r>
    </w:p>
    <w:p>
      <w:pPr>
        <w:spacing w:after="0" w:line="52"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We are currently focused on developing orally available small molecule, tumor-agnostic therapies targeting p53 mutants. We seek to maintain a process of prioritization and resource allocation among our programs to maintain a balance between advancing our lead product candidate, PC14586, as well as developing our other and any future product candidates.</w:t>
      </w:r>
    </w:p>
    <w:p>
      <w:pPr>
        <w:spacing w:after="0" w:line="16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with other therapeutic platforms or product candidates or for other indications that later prove to have greater commercial potential or a greater likelihood of success. Our resource allocation decisions may cause us to fail to capitalize on viable commercial products or profitable market opportunities. If we do not accurately evaluate the commercial potential or target market for a particular product candidate, we may relinquish valuable rights to that product candidate through future collaboration, licensing or other royalty arrangements in cases in which it would have been more advantageous for us to retain sole development and commercialization rights. In addition, if we make incorrect determinations regarding the viability or market potential of any of our programs or product candidates or misread trends in the cancer or pharmaceutical, biopharmaceutical or biotechnology industry, our business, financial condition and results of operations could be materially adversely affected.</w:t>
      </w:r>
    </w:p>
    <w:p>
      <w:pPr>
        <w:spacing w:after="0" w:line="288"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b w:val="1"/>
          <w:bCs w:val="1"/>
          <w:i w:val="1"/>
          <w:iCs w:val="1"/>
          <w:color w:val="auto"/>
        </w:rPr>
        <w:t>Even if this offering is successful, we will require substantial additional capital to finance our operations. If we are unable to raise such capital when needed, or on acceptable terms, we may be forced to delay, reduce and/or eliminate one or more of our research and product development programs or future commercialization efforts.</w:t>
      </w:r>
    </w:p>
    <w:p>
      <w:pPr>
        <w:spacing w:after="0" w:line="4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Developing biopharmaceutical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PC14586, and advance our future product candidates. Even if one or more of the product candidates that we develop is approved for commercial sale, we anticipate incurring significant costs associated with sales, marketing, manufacturing and distribution activities. Our expenses could increase beyond expectations if we are required by the FDA or other regulatory agencies to perform preclinical studies or clinical trials in addition to those that we currently anticipate. Other unanticipated costs may also arise. Because the design and outcome of our planned and</w:t>
      </w:r>
    </w:p>
    <w:p>
      <w:pPr>
        <w:spacing w:after="0" w:line="11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0"/>
          </w:cols>
          <w:pgMar w:left="320" w:top="455" w:right="49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48" w:lineRule="auto"/>
        <w:rPr>
          <w:sz w:val="20"/>
          <w:szCs w:val="20"/>
          <w:color w:val="auto"/>
        </w:rPr>
      </w:pPr>
      <w:r>
        <w:rPr>
          <w:rFonts w:ascii="Arial" w:cs="Arial" w:eastAsia="Arial" w:hAnsi="Arial"/>
          <w:sz w:val="18"/>
          <w:szCs w:val="18"/>
          <w:color w:val="auto"/>
        </w:rPr>
        <w:t>anticipated clinical trials are highly uncertain, we cannot reasonably estimate the actual amount of resources and funding that will be necessary to successfully complete the development and commercialization of any product candidate we develop. Following this offering, we also expect to incur additional costs associated with operating as a public company. Accordingly, we will need to obtain substantial additional funding in order to continue our operations.</w:t>
      </w:r>
    </w:p>
    <w:p>
      <w:pPr>
        <w:spacing w:after="0" w:line="170" w:lineRule="exact"/>
        <w:rPr>
          <w:sz w:val="20"/>
          <w:szCs w:val="20"/>
          <w:color w:val="auto"/>
        </w:rPr>
      </w:pPr>
    </w:p>
    <w:p>
      <w:pPr>
        <w:ind w:left="120" w:right="100" w:firstLine="551"/>
        <w:spacing w:after="0" w:line="257" w:lineRule="auto"/>
        <w:rPr>
          <w:sz w:val="20"/>
          <w:szCs w:val="20"/>
          <w:color w:val="auto"/>
        </w:rPr>
      </w:pPr>
      <w:r>
        <w:rPr>
          <w:rFonts w:ascii="Arial" w:cs="Arial" w:eastAsia="Arial" w:hAnsi="Arial"/>
          <w:sz w:val="17"/>
          <w:szCs w:val="17"/>
          <w:color w:val="auto"/>
        </w:rPr>
        <w:t>As of June 30, 2020, we had $86.1 million in cash, cash equivalents and short-term marketable securities. We also received gross proceeds of $70.0 million from the sale of shares of Series D convertible preferred stock in July 2020. Based on our current operating plan, we believe that the proceeds from this offering, together with our existing cash, cash equivalents and short-term marketable</w:t>
      </w:r>
    </w:p>
    <w:p>
      <w:pPr>
        <w:spacing w:after="0" w:line="2"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securities, will be sufficient to fund our operations through . Our estimate as to how long we expect the net proceeds from this offering, together with our existing cash, cash equivalents and short-term marketable securities, to be able to continue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 through public or private equity offerings, debt financings, collaborations and licensing arrangements or other sources. Such financing may dilute our stockholders or restrict our operating activities. To the extent that we raise additional capital through the sale of equity or convertible debt securities, your ownership interest will be diluted, and the terms may include liquidation or other preferences that adversely affect your rights as a stockholder. Debt financing may result in imposition of debt covenants, increased fixed payment obligations or other restrictions that may affect our business. If we raise additional funds through upfront payments or milestone payments pursuant to future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17" w:lineRule="exact"/>
        <w:rPr>
          <w:sz w:val="20"/>
          <w:szCs w:val="20"/>
          <w:color w:val="auto"/>
        </w:rPr>
      </w:pPr>
    </w:p>
    <w:p>
      <w:pPr>
        <w:ind w:left="880" w:right="460" w:hanging="224"/>
        <w:spacing w:after="0" w:line="255"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current product candidates or any future product candidates we choose to pursue, and conducting preclinical studies and clinical trials, including our planned clinical trials of PC14586;</w:t>
      </w:r>
    </w:p>
    <w:p>
      <w:pPr>
        <w:spacing w:after="0" w:line="69" w:lineRule="exact"/>
        <w:rPr>
          <w:rFonts w:ascii="Arial" w:cs="Arial" w:eastAsia="Arial" w:hAnsi="Arial"/>
          <w:sz w:val="18"/>
          <w:szCs w:val="18"/>
          <w:color w:val="auto"/>
        </w:rPr>
      </w:pPr>
    </w:p>
    <w:p>
      <w:pPr>
        <w:ind w:left="880" w:right="820" w:hanging="224"/>
        <w:spacing w:after="0" w:line="27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and the costs involved in, obtaining regulatory approvals for our product candidates or any future product candidates;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and characteristics of any additional product candidates we develop or acquire;</w:t>
      </w:r>
    </w:p>
    <w:p>
      <w:pPr>
        <w:spacing w:after="0" w:line="117"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and amount of any milestone, royalty and/or other payments we are required to make pursuant to any future license or collaboration agreements;</w:t>
      </w:r>
    </w:p>
    <w:p>
      <w:pPr>
        <w:spacing w:after="0" w:line="50" w:lineRule="exact"/>
        <w:rPr>
          <w:rFonts w:ascii="Arial" w:cs="Arial" w:eastAsia="Arial" w:hAnsi="Arial"/>
          <w:sz w:val="18"/>
          <w:szCs w:val="18"/>
          <w:color w:val="auto"/>
        </w:rPr>
      </w:pPr>
    </w:p>
    <w:p>
      <w:pPr>
        <w:ind w:left="880" w:right="960" w:hanging="224"/>
        <w:spacing w:after="0" w:line="27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manufacturing our product candidates or any future product candidates and any products we successfully commercialize;</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building a sales force in anticipation of product commercialization;</w:t>
      </w:r>
    </w:p>
    <w:p>
      <w:pPr>
        <w:spacing w:after="0" w:line="117" w:lineRule="exact"/>
        <w:rPr>
          <w:rFonts w:ascii="Arial" w:cs="Arial" w:eastAsia="Arial" w:hAnsi="Arial"/>
          <w:sz w:val="18"/>
          <w:szCs w:val="18"/>
          <w:color w:val="auto"/>
        </w:rPr>
      </w:pPr>
    </w:p>
    <w:p>
      <w:pPr>
        <w:ind w:left="880" w:right="20" w:hanging="224"/>
        <w:spacing w:after="0" w:line="276"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 of commercialization activities of our product candidates, if approved for sale, including marketing, sales and distribution costs;</w:t>
      </w:r>
    </w:p>
    <w:p>
      <w:pPr>
        <w:spacing w:after="0" w:line="50" w:lineRule="exact"/>
        <w:rPr>
          <w:rFonts w:ascii="Arial" w:cs="Arial" w:eastAsia="Arial" w:hAnsi="Arial"/>
          <w:sz w:val="18"/>
          <w:szCs w:val="18"/>
          <w:color w:val="auto"/>
        </w:rPr>
      </w:pPr>
    </w:p>
    <w:p>
      <w:pPr>
        <w:ind w:left="880" w:right="320" w:hanging="224"/>
        <w:spacing w:after="0" w:line="306" w:lineRule="auto"/>
        <w:tabs>
          <w:tab w:leader="none" w:pos="8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our ability to establish future collaborations, licensing or other arrangements and the financial terms of any such agreements, including the timing and amount of any future milestone, royalty or other payments due under any such agreement;</w:t>
      </w:r>
    </w:p>
    <w:p>
      <w:pPr>
        <w:spacing w:after="0" w:line="28" w:lineRule="exact"/>
        <w:rPr>
          <w:rFonts w:ascii="Arial" w:cs="Arial" w:eastAsia="Arial" w:hAnsi="Arial"/>
          <w:sz w:val="17"/>
          <w:szCs w:val="17"/>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expenses needed to attract, hire and retain skilled personnel;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5" w:right="4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our intellectual property portfolio;</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receipt and amount of sales of any future approved products;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the COVID-19 pandemic, which may exacerbate the magnitude of the factors discussed above.</w:t>
      </w:r>
    </w:p>
    <w:p>
      <w:pPr>
        <w:spacing w:after="0" w:line="212" w:lineRule="exact"/>
        <w:rPr>
          <w:sz w:val="20"/>
          <w:szCs w:val="20"/>
          <w:color w:val="auto"/>
        </w:rPr>
      </w:pPr>
    </w:p>
    <w:p>
      <w:pPr>
        <w:ind w:left="120" w:right="80" w:firstLine="551"/>
        <w:spacing w:after="0" w:line="243" w:lineRule="auto"/>
        <w:rPr>
          <w:sz w:val="20"/>
          <w:szCs w:val="20"/>
          <w:color w:val="auto"/>
        </w:rPr>
      </w:pPr>
      <w:r>
        <w:rPr>
          <w:rFonts w:ascii="Arial" w:cs="Arial" w:eastAsia="Arial" w:hAnsi="Arial"/>
          <w:sz w:val="18"/>
          <w:szCs w:val="18"/>
          <w:color w:val="auto"/>
        </w:rPr>
        <w:t>We do not have any committed external source of funds and adequate additional financing may not be available to us on acceptable terms, or at all. In addition, our ability to raise additional capital may be adversely impacted by potential worsening global economic conditions and the recent disruptions to and volatility in the credit and financial markets in the United States and worldwide resulting from the ongoing COVID-19 pandemic. 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Product Development</w:t>
      </w:r>
    </w:p>
    <w:p>
      <w:pPr>
        <w:spacing w:after="0" w:line="214" w:lineRule="exact"/>
        <w:rPr>
          <w:sz w:val="20"/>
          <w:szCs w:val="20"/>
          <w:color w:val="auto"/>
        </w:rPr>
      </w:pPr>
    </w:p>
    <w:p>
      <w:pPr>
        <w:ind w:left="120" w:right="120"/>
        <w:spacing w:after="0" w:line="251" w:lineRule="auto"/>
        <w:rPr>
          <w:sz w:val="20"/>
          <w:szCs w:val="20"/>
          <w:color w:val="auto"/>
        </w:rPr>
      </w:pPr>
      <w:r>
        <w:rPr>
          <w:rFonts w:ascii="Arial" w:cs="Arial" w:eastAsia="Arial" w:hAnsi="Arial"/>
          <w:sz w:val="18"/>
          <w:szCs w:val="18"/>
          <w:b w:val="1"/>
          <w:bCs w:val="1"/>
          <w:i w:val="1"/>
          <w:iCs w:val="1"/>
          <w:color w:val="auto"/>
        </w:rPr>
        <w:t>Our discovery and preclinical development is focused on the development of precision medicines for patients with genetically defined cancers, which is a rapidly evolving area of science, and the approach we are taking to discover and develop drugs targeting p53 hotspot mutations is novel, may never lead to marketable products and may not ultimately represent a significant market.</w:t>
      </w:r>
    </w:p>
    <w:p>
      <w:pPr>
        <w:spacing w:after="0" w:line="52" w:lineRule="exact"/>
        <w:rPr>
          <w:sz w:val="20"/>
          <w:szCs w:val="20"/>
          <w:color w:val="auto"/>
        </w:rPr>
      </w:pPr>
    </w:p>
    <w:p>
      <w:pPr>
        <w:ind w:left="120" w:right="60" w:firstLine="551"/>
        <w:spacing w:after="0" w:line="241" w:lineRule="auto"/>
        <w:rPr>
          <w:sz w:val="20"/>
          <w:szCs w:val="20"/>
          <w:color w:val="auto"/>
        </w:rPr>
      </w:pPr>
      <w:r>
        <w:rPr>
          <w:rFonts w:ascii="Arial" w:cs="Arial" w:eastAsia="Arial" w:hAnsi="Arial"/>
          <w:sz w:val="18"/>
          <w:szCs w:val="18"/>
          <w:color w:val="auto"/>
        </w:rPr>
        <w:t>The discovery and development of precision medicines for patients with genetically defined cancers is an emerging field, and the scientific discoveries that form the basis for our efforts to discover and develop product candidates are relatively new. The scientific evidence to support the feasibility of developing product candidates based on these discoveries is both preliminary and limited. Further, despite decades of research on p53 as a target for precision medicines, prior product development efforts have been unsuccessful. Although we believe, based on our preclinical work and p53 research generally, that the top ten most frequent, or hotspot, p53 mutations have potential as precision oncology targets, clinical results may not confirm this hypothesis or may only confirm it for certain mutations or certain tumor types.</w:t>
      </w:r>
    </w:p>
    <w:p>
      <w:pPr>
        <w:spacing w:after="0" w:line="179"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Further, even if our approach is successful in showing clinical benefit for tumors harboring the p53 mutation targeted by our lead product candidate, PC14586, we may never successfully identify additional product candidates for targeting other p53 mutants through our platform. Therefore, we do not know if our approach of treating patients with genetically defined cancers will be successful, and if our approach is unsuccessful, our business will be materially adversely affected.</w:t>
      </w:r>
    </w:p>
    <w:p>
      <w:pPr>
        <w:spacing w:after="0" w:line="170"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In addition, because our approach targets genetically defined cancer patients and not specific tumors based on tumor or cancer types, we are initially pursuing a tumor-agnostic development strategy (</w:t>
      </w:r>
      <w:r>
        <w:rPr>
          <w:rFonts w:ascii="Arial" w:cs="Arial" w:eastAsia="Arial" w:hAnsi="Arial"/>
          <w:sz w:val="18"/>
          <w:szCs w:val="18"/>
          <w:i w:val="1"/>
          <w:iCs w:val="1"/>
          <w:color w:val="auto"/>
        </w:rPr>
        <w:t>i.e.</w:t>
      </w:r>
      <w:r>
        <w:rPr>
          <w:rFonts w:ascii="Arial" w:cs="Arial" w:eastAsia="Arial" w:hAnsi="Arial"/>
          <w:sz w:val="18"/>
          <w:szCs w:val="18"/>
          <w:color w:val="auto"/>
        </w:rPr>
        <w:t>, pursuing approval for a potential indication based on a specific genetic mutation rather than a specific type of tissue). There is currently a limited number of approved tumor-agnostic therapies and we may not receive approval for a broad tumor-agnostic indication or may be delayed in receiving broad tumor-agnostic approval. If our planned Phase 1/2 trial for PC14586 does not support a tumor-agnostic indication, but we observe clinical benefit in certain tumor or cancer types, we may decide to pursue a tumor- or cancer-specific indication which may require additional clinical trials. Further, even if our planned Phase 1/2 trial for PC14586 is successful, the FDA may not agree that such study can serve as a pivotal study, which would require us to conduct additional clinical trials prior to approval.</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5" w:right="4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51" w:lineRule="auto"/>
        <w:rPr>
          <w:sz w:val="20"/>
          <w:szCs w:val="20"/>
          <w:color w:val="auto"/>
        </w:rPr>
      </w:pPr>
      <w:r>
        <w:rPr>
          <w:rFonts w:ascii="Arial" w:cs="Arial" w:eastAsia="Arial" w:hAnsi="Arial"/>
          <w:sz w:val="18"/>
          <w:szCs w:val="18"/>
          <w:b w:val="1"/>
          <w:bCs w:val="1"/>
          <w:i w:val="1"/>
          <w:iCs w:val="1"/>
          <w:color w:val="auto"/>
        </w:rPr>
        <w:t>We are very early in our development efforts and are substantially dependent on our lead product candidate, PC14586. If we are unable to advance PC14586 or any of our future product candidates through clinical development, obtain regulatory approval and ultimately commercialize PC14586 or any of our future product candidates, or experience significant delays in doing so, our business, financial condition and results of operations will be materially adversely affected.</w:t>
      </w:r>
    </w:p>
    <w:p>
      <w:pPr>
        <w:spacing w:after="0" w:line="52"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We are very early in our development efforts. All of our product candidates are still in preclinical development and have never been tested in human subjects. Our ability to generate product revenue, which we do not expect will occur for many years, if ever, will depend heavily on the successful clinical development and eventual commercialization of PC14586 and one or more of our future product candidates. In addition, our product development programs contemplate the development with third party collaborators of companion diagnostics, which are assays or tests used to identify an appropriate patient population for our product candidates. Companion diagnostics are subject to regulation as medical devices and must themselves be approved for marketing by the FDA and comparable foreign regulatory agencies before we may commercialize such companion diagnostics with our product candidates. The success of our product candidates will depend on several factors, including the following:</w:t>
      </w:r>
    </w:p>
    <w:p>
      <w:pPr>
        <w:spacing w:after="0" w:line="86" w:lineRule="exact"/>
        <w:rPr>
          <w:sz w:val="20"/>
          <w:szCs w:val="20"/>
          <w:color w:val="auto"/>
        </w:rPr>
      </w:pPr>
    </w:p>
    <w:p>
      <w:pPr>
        <w:ind w:left="880" w:right="200" w:hanging="224"/>
        <w:spacing w:after="0" w:line="248"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continue our business operations and product candidate research and development, and adapt to any changes in the regulatory approval process, manufacturing supply or clinical trial requirements and timing due to the ongoing COVID-19 pandemic and otherwise, including complying with new regulatory guidance or requirements on conducting clinical trials during the COVID-19 pandemic;</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completion of preclinical studies;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receipt of authorization to proceed under INDs for our planned clinical trials or future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FDA acceptance of our tumor-agnostic development strategy;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initiation of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patient enrollment in and completion of clinical trials, which may be impacted by the COVID-19 pandemic;</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development with third party collaborators of companion diagnostics for use with our product candidates;</w:t>
      </w:r>
    </w:p>
    <w:p>
      <w:pPr>
        <w:spacing w:after="0" w:line="117" w:lineRule="exact"/>
        <w:rPr>
          <w:rFonts w:ascii="Arial" w:cs="Arial" w:eastAsia="Arial" w:hAnsi="Arial"/>
          <w:sz w:val="18"/>
          <w:szCs w:val="18"/>
          <w:color w:val="auto"/>
        </w:rPr>
      </w:pPr>
    </w:p>
    <w:p>
      <w:pPr>
        <w:ind w:left="880" w:right="560" w:hanging="224"/>
        <w:spacing w:after="0" w:line="27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safety, tolerability and efficacy profiles for our product candidates that are satisfactory to the FDA or any foreign regulatory authority for marketing approval;</w:t>
      </w:r>
    </w:p>
    <w:p>
      <w:pPr>
        <w:spacing w:after="0" w:line="50" w:lineRule="exact"/>
        <w:rPr>
          <w:rFonts w:ascii="Arial" w:cs="Arial" w:eastAsia="Arial" w:hAnsi="Arial"/>
          <w:sz w:val="18"/>
          <w:szCs w:val="18"/>
          <w:color w:val="auto"/>
        </w:rPr>
      </w:pPr>
    </w:p>
    <w:p>
      <w:pPr>
        <w:ind w:left="880" w:right="80" w:hanging="224"/>
        <w:spacing w:after="0" w:line="27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receipt of marketing approvals for our product candidates and any companion diagnostics from applicable regulatory authorities, which must be approved contemporaneously;</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completion of any required post-marketing approval commitments to applicable regulatory authorities;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our product candidates;</w:t>
      </w:r>
    </w:p>
    <w:p>
      <w:pPr>
        <w:spacing w:after="0" w:line="117"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making arrangements with third-party manufacturers, or establishing manufacturing capabilities, for both clinical and commercial supplies of our product candidates, if any product candidates are approved;</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establishing sales, marketing and distribution capabilities and launching commercial sales of our products, if and when approved, whether alone or in collaboration with others;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5" w:right="4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of our products, if and when approved, by patients, the medical community and third-party payors;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effectively competing with other cancer therapies;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obtaining and maintaining third-party coverage and adequate reimbursement;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maintaining a continued acceptable safety profile of our products following approval.</w:t>
      </w:r>
    </w:p>
    <w:p>
      <w:pPr>
        <w:spacing w:after="0" w:line="212" w:lineRule="exact"/>
        <w:rPr>
          <w:sz w:val="20"/>
          <w:szCs w:val="20"/>
          <w:color w:val="auto"/>
        </w:rPr>
      </w:pPr>
    </w:p>
    <w:p>
      <w:pPr>
        <w:ind w:left="120" w:right="200" w:firstLine="551"/>
        <w:spacing w:after="0" w:line="245" w:lineRule="auto"/>
        <w:rPr>
          <w:sz w:val="20"/>
          <w:szCs w:val="20"/>
          <w:color w:val="auto"/>
        </w:rPr>
      </w:pPr>
      <w:r>
        <w:rPr>
          <w:rFonts w:ascii="Arial" w:cs="Arial" w:eastAsia="Arial" w:hAnsi="Arial"/>
          <w:sz w:val="18"/>
          <w:szCs w:val="18"/>
          <w:color w:val="auto"/>
        </w:rPr>
        <w:t>Many of these factors are beyond our control, and it is possible that we may never obtain regulatory approval for our product candidates even if we expend substantial time and resources seeking their development and approval. If we do not achieve regulatory approval in a timely manner or at all, we could experience significant delays or an inability to commercialize our current or future product candidates, which would materially adversely affect our business. If we do not receive regulatory approvals for our current or future product candidates, we will not be able to continue our operations.</w:t>
      </w:r>
    </w:p>
    <w:p>
      <w:pPr>
        <w:spacing w:after="0" w:line="172"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success of our business, including our ability to finance our company and generate revenue from products in the future, which we do not expect will occur for several years, if ever, will depend heavily on the successful development and eventual commercialization of the product candidates we develop, which may never occur. Our current product candidates, and any future product candidates we develop, will require additional preclinical and clinical development, management of clinical, preclinical and manufacturing activities, marketing approval in the United States and other markets, demonstrating cost-effectiveness to pricing and reimbursement authorities, obtaining sufficient manufacturing supply for both clinical development and commercial production in accordance with cGMP, building of a commercial organization, and substantial investment and significant marketing efforts before we generate any revenue from product sales.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Changes in the manufacturing process or facilities will require further comparability analysis and approval by FDA before implementation, which could delay our clinical trials and product candidate development, and could require additional clinical trials, including bridging studies, to demonstrate consistent and continued safety and efficacy.</w:t>
      </w:r>
    </w:p>
    <w:p>
      <w:pPr>
        <w:spacing w:after="0" w:line="183"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have not previously submitted a new drug application, or NDA, to the FDA or similar approval filings to a comparable foreign regulatory authority, for any product candidate. An NDA or other relevant regulatory filing must include extensive preclinical and clinical data and supporting information to establish that the product candidate is safe and effective for each desired indication. The NDA or other relevant regulatory filing must also include significant information regarding the chemistry, manufacturing and controls for the product. We cannot be certain that our current or future product candidates will be successful in clinical trials or receive regulatory approval. Further, even if they are successful in clinical trials, our product candidates or any future product candidates may not receive regulatory approval. If we do not receive regulatory approvals for current or future product candidates, we may not be able to continue our operations. Even if we successfully obtain regulatory approval to market a product candidate, our revenue will depend, in part, upon the size of the markets in the territories for which we gain regulatory approval and have commercial rights for each product candidate, as well as the availability of competitive products, whether there is sufficient third-party reimbursement and adoption by physicians.</w:t>
      </w:r>
    </w:p>
    <w:p>
      <w:pPr>
        <w:spacing w:after="0" w:line="288" w:lineRule="exact"/>
        <w:rPr>
          <w:sz w:val="20"/>
          <w:szCs w:val="20"/>
          <w:color w:val="auto"/>
        </w:rPr>
      </w:pPr>
    </w:p>
    <w:p>
      <w:pPr>
        <w:jc w:val="both"/>
        <w:ind w:left="120" w:right="100"/>
        <w:spacing w:after="0" w:line="260" w:lineRule="auto"/>
        <w:rPr>
          <w:sz w:val="20"/>
          <w:szCs w:val="20"/>
          <w:color w:val="auto"/>
        </w:rPr>
      </w:pPr>
      <w:r>
        <w:rPr>
          <w:rFonts w:ascii="Arial" w:cs="Arial" w:eastAsia="Arial" w:hAnsi="Arial"/>
          <w:sz w:val="18"/>
          <w:szCs w:val="18"/>
          <w:b w:val="1"/>
          <w:bCs w:val="1"/>
          <w:i w:val="1"/>
          <w:iCs w:val="1"/>
          <w:color w:val="auto"/>
        </w:rPr>
        <w:t>The subset of cancer patients that we are targeting are expected to have certain p53 mutants and we may not be able to identify a sufficient number of patients whom we can recruit and retain for our clinical trials to obtain approval for our current or future product candidates.</w:t>
      </w:r>
    </w:p>
    <w:p>
      <w:pPr>
        <w:spacing w:after="0" w:line="43" w:lineRule="exact"/>
        <w:rPr>
          <w:sz w:val="20"/>
          <w:szCs w:val="20"/>
          <w:color w:val="auto"/>
        </w:rPr>
      </w:pPr>
    </w:p>
    <w:p>
      <w:pPr>
        <w:ind w:left="120" w:right="460" w:firstLine="551"/>
        <w:spacing w:after="0" w:line="276" w:lineRule="auto"/>
        <w:rPr>
          <w:sz w:val="20"/>
          <w:szCs w:val="20"/>
          <w:color w:val="auto"/>
        </w:rPr>
      </w:pPr>
      <w:r>
        <w:rPr>
          <w:rFonts w:ascii="Arial" w:cs="Arial" w:eastAsia="Arial" w:hAnsi="Arial"/>
          <w:sz w:val="18"/>
          <w:szCs w:val="18"/>
          <w:color w:val="auto"/>
        </w:rPr>
        <w:t>The patient populations for our current product candidates are limited to those with specific p53 mutations, which represents a substantially smaller subset of the generally treated cancer patient</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5" w:right="4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population. We expect our future product candidates to be similarly limited. We will need to screen and identify patients with these targeted mutations. Further, even if we are successful in identifying patients, we cannot be certain that the resulting patient populations with each p53 hotspot mutation will be large enough to allow us to successfully conduct the requisite clinical trials necessary to obtain marketing approval for each mutation-specific product candidate before we can commercialize our products, if approved, and achieve profitability.</w:t>
      </w:r>
    </w:p>
    <w:p>
      <w:pPr>
        <w:spacing w:after="0" w:line="261" w:lineRule="exact"/>
        <w:rPr>
          <w:sz w:val="20"/>
          <w:szCs w:val="20"/>
          <w:color w:val="auto"/>
        </w:rPr>
      </w:pPr>
    </w:p>
    <w:p>
      <w:pPr>
        <w:ind w:left="120" w:right="80"/>
        <w:spacing w:after="0" w:line="314" w:lineRule="auto"/>
        <w:rPr>
          <w:sz w:val="20"/>
          <w:szCs w:val="20"/>
          <w:color w:val="auto"/>
        </w:rPr>
      </w:pPr>
      <w:r>
        <w:rPr>
          <w:rFonts w:ascii="Arial" w:cs="Arial" w:eastAsia="Arial" w:hAnsi="Arial"/>
          <w:sz w:val="17"/>
          <w:szCs w:val="17"/>
          <w:b w:val="1"/>
          <w:bCs w:val="1"/>
          <w:i w:val="1"/>
          <w:iCs w:val="1"/>
          <w:color w:val="auto"/>
        </w:rPr>
        <w:t>Our novel approach to the discovery and development of our current and future product candidates is unproven, and we may not be successful in our efforts to use and expand our platform to build a pipeline of product candidates with commercial value.</w:t>
      </w:r>
    </w:p>
    <w:p>
      <w:pPr>
        <w:spacing w:after="0" w:line="2" w:lineRule="exact"/>
        <w:rPr>
          <w:sz w:val="20"/>
          <w:szCs w:val="20"/>
          <w:color w:val="auto"/>
        </w:rPr>
      </w:pPr>
    </w:p>
    <w:p>
      <w:pPr>
        <w:ind w:left="120" w:right="160" w:firstLine="551"/>
        <w:spacing w:after="0" w:line="238" w:lineRule="auto"/>
        <w:rPr>
          <w:sz w:val="20"/>
          <w:szCs w:val="20"/>
          <w:color w:val="auto"/>
        </w:rPr>
      </w:pPr>
      <w:r>
        <w:rPr>
          <w:rFonts w:ascii="Arial" w:cs="Arial" w:eastAsia="Arial" w:hAnsi="Arial"/>
          <w:sz w:val="18"/>
          <w:szCs w:val="18"/>
          <w:color w:val="auto"/>
        </w:rPr>
        <w:t>A key element of our strategy is to use and expand our platform to build a pipeline of product candidates and progress these product candidates through clinical development for the treatment of various cancers. Although our research and development efforts to date have resulted in our discovery and preclinical development of PC14586 and future product candidates, PC14586 and future product candidates may not be safe or effective as a cancer treatment, and we may not be able to further develop PC14586 and develop any future product candidates. Our platform is evolving and may not reach a state at which building a pipeline of product candidates is possible. For example, we may not be successful in identifying additional p53 hotspot mutations for which our platform can develop safe and effective product candidates. There can be no assurance that any development problems we experience in the future related to our platform will not cause significant delays or unanticipated costs or that such development problems can be solved. Even if we are successful in building our pipeline of product candidates, the potential product candidates that we identify may not be suitable for clinical development or generate acceptable clinical data, including as a result of being shown to have unacceptable toxicity or other characteristics that indicate that they are unlikely to be products that will receive marketing approval from the FDA or other regulatory authorities or achieve market acceptance.</w:t>
      </w:r>
    </w:p>
    <w:p>
      <w:pPr>
        <w:spacing w:after="0" w:line="183" w:lineRule="exact"/>
        <w:rPr>
          <w:sz w:val="20"/>
          <w:szCs w:val="20"/>
          <w:color w:val="auto"/>
        </w:rPr>
      </w:pPr>
    </w:p>
    <w:p>
      <w:pPr>
        <w:ind w:left="120" w:right="160" w:firstLine="551"/>
        <w:spacing w:after="0" w:line="243" w:lineRule="auto"/>
        <w:rPr>
          <w:sz w:val="20"/>
          <w:szCs w:val="20"/>
          <w:color w:val="auto"/>
        </w:rPr>
      </w:pPr>
      <w:r>
        <w:rPr>
          <w:rFonts w:ascii="Arial" w:cs="Arial" w:eastAsia="Arial" w:hAnsi="Arial"/>
          <w:sz w:val="18"/>
          <w:szCs w:val="18"/>
          <w:color w:val="auto"/>
        </w:rPr>
        <w:t xml:space="preserve">Furthermore, even if our product candidates are successful in correcting structural deficiencies associated with p53 mutants, such success would not provide a guarantee of the effectiveness of such product candidate in total tumor regression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There can be no assurances that one or more of our future product candidates would succeed in correcting or restoring function of specific p53 mutants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vivo </w:t>
      </w:r>
      <w:r>
        <w:rPr>
          <w:rFonts w:ascii="Arial" w:cs="Arial" w:eastAsia="Arial" w:hAnsi="Arial"/>
          <w:sz w:val="18"/>
          <w:szCs w:val="18"/>
          <w:color w:val="auto"/>
        </w:rPr>
        <w:t>and that such mutation would be the only genetic mutation resulting in a patient’s cancer. In the event that a patient’s cancer is the</w:t>
      </w:r>
      <w:r>
        <w:rPr>
          <w:rFonts w:ascii="Arial" w:cs="Arial" w:eastAsia="Arial" w:hAnsi="Arial"/>
          <w:sz w:val="18"/>
          <w:szCs w:val="18"/>
          <w:i w:val="1"/>
          <w:iCs w:val="1"/>
          <w:color w:val="auto"/>
        </w:rPr>
        <w:t xml:space="preserve"> </w:t>
      </w:r>
      <w:r>
        <w:rPr>
          <w:rFonts w:ascii="Arial" w:cs="Arial" w:eastAsia="Arial" w:hAnsi="Arial"/>
          <w:sz w:val="18"/>
          <w:szCs w:val="18"/>
          <w:color w:val="auto"/>
        </w:rPr>
        <w:t>result of other mutations or factors in addition to a p53 mutation, even if we correct or restore the p53 functionality, the patient’s cancer may persist.</w:t>
      </w:r>
    </w:p>
    <w:p>
      <w:pPr>
        <w:spacing w:after="0" w:line="174" w:lineRule="exact"/>
        <w:rPr>
          <w:sz w:val="20"/>
          <w:szCs w:val="20"/>
          <w:color w:val="auto"/>
        </w:rPr>
      </w:pPr>
    </w:p>
    <w:p>
      <w:pPr>
        <w:ind w:left="120" w:right="340" w:firstLine="551"/>
        <w:spacing w:after="0" w:line="276" w:lineRule="auto"/>
        <w:rPr>
          <w:sz w:val="20"/>
          <w:szCs w:val="20"/>
          <w:color w:val="auto"/>
        </w:rPr>
      </w:pPr>
      <w:r>
        <w:rPr>
          <w:rFonts w:ascii="Arial" w:cs="Arial" w:eastAsia="Arial" w:hAnsi="Arial"/>
          <w:sz w:val="18"/>
          <w:szCs w:val="18"/>
          <w:color w:val="auto"/>
        </w:rPr>
        <w:t>If we do not successfully develop and commercialize product candidates, we will not be able to generate product revenue which materially adversely affect our business, financial condition and results of operations.</w:t>
      </w:r>
    </w:p>
    <w:p>
      <w:pPr>
        <w:spacing w:after="0" w:line="253" w:lineRule="exact"/>
        <w:rPr>
          <w:sz w:val="20"/>
          <w:szCs w:val="20"/>
          <w:color w:val="auto"/>
        </w:rPr>
      </w:pPr>
    </w:p>
    <w:p>
      <w:pPr>
        <w:jc w:val="both"/>
        <w:ind w:left="120" w:right="220"/>
        <w:spacing w:after="0" w:line="260" w:lineRule="auto"/>
        <w:rPr>
          <w:sz w:val="20"/>
          <w:szCs w:val="20"/>
          <w:color w:val="auto"/>
        </w:rPr>
      </w:pPr>
      <w:r>
        <w:rPr>
          <w:rFonts w:ascii="Arial" w:cs="Arial" w:eastAsia="Arial" w:hAnsi="Arial"/>
          <w:sz w:val="18"/>
          <w:szCs w:val="18"/>
          <w:b w:val="1"/>
          <w:bCs w:val="1"/>
          <w:i w:val="1"/>
          <w:iCs w:val="1"/>
          <w:color w:val="auto"/>
        </w:rPr>
        <w:t>Preclinical development is uncertain. Our preclinical programs may experience delays or may never advance to clinical trials, which would adversely affect our clinical development and ability to obtain regulatory approvals or commercialize our product candidates on a timely basis or at all, which could have an adverse effect on our business.</w:t>
      </w:r>
    </w:p>
    <w:p>
      <w:pPr>
        <w:spacing w:after="0" w:line="43"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In order to obtain FDA approval to market a new small molecule product, we must demonstrate the safety and efficacy of our product candidates in humans to the satisfaction of the FDA. To meet these requirements, we will have to conduct adequate and well-controlled clinical trials. Before we can commence clinical trials for a product candidate, we must complete extensive preclinical studies that support our planned INDs in the United States. At present, all of our product candidates, including our lead product candidate, PC14586, are in preclinical development. We cannot be certain of the timely completion or outcome of our preclinical studies and cannot predict if the FDA will accept our proposed clinical programs or if the outcome of our preclinical studies will ultimately support further development of our programs. While we have submitted an IND for our lead product candidate, PC14586, we cannot be sure that we will be able to submit INDs or similar applications with respect to our other product</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5" w:right="43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76" w:lineRule="auto"/>
        <w:rPr>
          <w:sz w:val="20"/>
          <w:szCs w:val="20"/>
          <w:color w:val="auto"/>
        </w:rPr>
      </w:pPr>
      <w:r>
        <w:rPr>
          <w:rFonts w:ascii="Arial" w:cs="Arial" w:eastAsia="Arial" w:hAnsi="Arial"/>
          <w:sz w:val="18"/>
          <w:szCs w:val="18"/>
          <w:color w:val="auto"/>
        </w:rPr>
        <w:t>candidates on the timelines we expect, if at all, and we cannot be sure that submission of IND or similar applications will result in the FDA or other regulatory authorities allowing clinical trials to begin.</w:t>
      </w:r>
    </w:p>
    <w:p>
      <w:pPr>
        <w:spacing w:after="0" w:line="14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Conducting preclinical testing is a lengthy, time-consuming and expensive process. The length of time may vary substantially according to the type, complexity and novelty of the program, and often can be several years or more per program. Delays associated with programs for which we are directly conducting preclinical studies may cause us to incur additional operating expenses. The commencement and rate of completion of preclinical studies and clinical trials for a product candidate may be delayed by many factors, including, for example:</w:t>
      </w:r>
    </w:p>
    <w:p>
      <w:pPr>
        <w:spacing w:after="0" w:line="78" w:lineRule="exact"/>
        <w:rPr>
          <w:sz w:val="20"/>
          <w:szCs w:val="20"/>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inability to generate sufficient preclinical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clinical studies;</w:t>
      </w:r>
    </w:p>
    <w:p>
      <w:pPr>
        <w:spacing w:after="0" w:line="117"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timely completion of preclinical laboratory tests, animal studies and formulation studies in accordance with FDA’s good laboratory practice requirements and other applicable regulations;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timely submission to the FDA of an IND, which must become effective before human clinical trials may begin;</w:t>
      </w:r>
    </w:p>
    <w:p>
      <w:pPr>
        <w:spacing w:after="0" w:line="117" w:lineRule="exact"/>
        <w:rPr>
          <w:rFonts w:ascii="Arial" w:cs="Arial" w:eastAsia="Arial" w:hAnsi="Arial"/>
          <w:sz w:val="18"/>
          <w:szCs w:val="18"/>
          <w:color w:val="auto"/>
        </w:rPr>
      </w:pPr>
    </w:p>
    <w:p>
      <w:pPr>
        <w:ind w:left="880" w:right="300" w:hanging="224"/>
        <w:spacing w:after="0" w:line="27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ethics committee at each clinical site before each trial may be initiated;</w:t>
      </w:r>
    </w:p>
    <w:p>
      <w:pPr>
        <w:spacing w:after="0" w:line="50" w:lineRule="exact"/>
        <w:rPr>
          <w:rFonts w:ascii="Arial" w:cs="Arial" w:eastAsia="Arial" w:hAnsi="Arial"/>
          <w:sz w:val="18"/>
          <w:szCs w:val="18"/>
          <w:color w:val="auto"/>
        </w:rPr>
      </w:pPr>
    </w:p>
    <w:p>
      <w:pPr>
        <w:ind w:left="880" w:right="240" w:hanging="224"/>
        <w:spacing w:after="0" w:line="27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and obtaining regulatory authorization to commence clinical trials; and</w:t>
      </w:r>
    </w:p>
    <w:p>
      <w:pPr>
        <w:spacing w:after="0" w:line="50" w:lineRule="exact"/>
        <w:rPr>
          <w:rFonts w:ascii="Arial" w:cs="Arial" w:eastAsia="Arial" w:hAnsi="Arial"/>
          <w:sz w:val="18"/>
          <w:szCs w:val="18"/>
          <w:color w:val="auto"/>
        </w:rPr>
      </w:pPr>
    </w:p>
    <w:p>
      <w:pPr>
        <w:ind w:left="880" w:right="180" w:hanging="224"/>
        <w:spacing w:after="0" w:line="276"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obtaining sufficient quantities of our product candidates for use in preclinical studies and clinical trials from third-party suppliers on a timely basis.</w:t>
      </w:r>
    </w:p>
    <w:p>
      <w:pPr>
        <w:spacing w:after="0" w:line="145" w:lineRule="exact"/>
        <w:rPr>
          <w:sz w:val="20"/>
          <w:szCs w:val="20"/>
          <w:color w:val="auto"/>
        </w:rPr>
      </w:pPr>
    </w:p>
    <w:p>
      <w:pPr>
        <w:ind w:left="120" w:right="280" w:firstLine="551"/>
        <w:spacing w:after="0" w:line="248" w:lineRule="auto"/>
        <w:rPr>
          <w:sz w:val="20"/>
          <w:szCs w:val="20"/>
          <w:color w:val="auto"/>
        </w:rPr>
      </w:pPr>
      <w:r>
        <w:rPr>
          <w:rFonts w:ascii="Arial" w:cs="Arial" w:eastAsia="Arial" w:hAnsi="Arial"/>
          <w:sz w:val="18"/>
          <w:szCs w:val="18"/>
          <w:color w:val="auto"/>
        </w:rPr>
        <w:t>Moreover, even if clinical trials do begin for our preclinical programs, our development efforts may not be successful, and clinical trials that we conduct or that third parties conduct on our behalf may not demonstrate sufficient safety or efficacy to obtain the requisite regulatory approvals for any product candidates we develop. Even if we obtain positive results from preclinical studies or initial clinical trials, we may not achieve the same success in future trials.</w:t>
      </w:r>
    </w:p>
    <w:p>
      <w:pPr>
        <w:spacing w:after="0" w:line="278" w:lineRule="exact"/>
        <w:rPr>
          <w:sz w:val="20"/>
          <w:szCs w:val="20"/>
          <w:color w:val="auto"/>
        </w:rPr>
      </w:pPr>
    </w:p>
    <w:p>
      <w:pPr>
        <w:jc w:val="both"/>
        <w:ind w:left="120" w:right="480"/>
        <w:spacing w:after="0" w:line="260" w:lineRule="auto"/>
        <w:rPr>
          <w:sz w:val="20"/>
          <w:szCs w:val="20"/>
          <w:color w:val="auto"/>
        </w:rPr>
      </w:pPr>
      <w:r>
        <w:rPr>
          <w:rFonts w:ascii="Arial" w:cs="Arial" w:eastAsia="Arial" w:hAnsi="Arial"/>
          <w:sz w:val="18"/>
          <w:szCs w:val="18"/>
          <w:b w:val="1"/>
          <w:bCs w:val="1"/>
          <w:i w:val="1"/>
          <w:iCs w:val="1"/>
          <w:color w:val="auto"/>
        </w:rPr>
        <w:t>The results of preclinical testing and early clinical trials may not be predictive of the success of later clinical trials, and the results of our clinical trials may not satisfy the requirements of the FDA or other comparable foreign regulatory authorities. Successful preclinical studies and clinical trials cannot provide assurance of successful commercialization.</w:t>
      </w:r>
    </w:p>
    <w:p>
      <w:pPr>
        <w:spacing w:after="0" w:line="4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will be required to demonstrate with substantial evidence through well-controlled clinical trials that our product candidates are safe and effective before we can seek marketing approvals for their commercial sale. Success in preclinical studies does not mean that future clinical trials will be successful. For instance, we do not know whether PC14586 will perform in future clinical trials as PC14586 has performed in preclinical studies, nor can we predict how our future product candidates will perform in future preclinical studies or clinical trials. Product candidates in later-stage clinical trials may fail to demonstrate sufficient safety and efficacy to the satisfaction of the FDA and other comparable foreign regulatory authorities despite having progressed through preclinical studies and early-stage clinical trials. Regulatory authorities may also limit the scope of later-stage trials until we have demonstrated satisfactory safety, which could delay regulatory approval, limit the size of the patient population to which we may market our product candidates or prevent regulatory approval. 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dose and dosing regimen and other trial protocols and the rate of dropout among clinical trial participants. Patients treated with our product candidates may also be undergoing surgical, radiation and chemotherapy treatments and may be using other approved products or investigational new drugs, which can cause side effects or adverse events that are unrelated to our product candidates. As a result, assessments of efficacy can vary widely for a particular patient, and from patient to patient and</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5" w:right="4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site to site within a clinical trial. This subjectivity can increase the uncertainty of, and adversely impact, our clinical trial outcomes.</w:t>
      </w:r>
    </w:p>
    <w:p>
      <w:pPr>
        <w:spacing w:after="0" w:line="212" w:lineRule="exact"/>
        <w:rPr>
          <w:sz w:val="20"/>
          <w:szCs w:val="20"/>
          <w:color w:val="auto"/>
        </w:rPr>
      </w:pPr>
    </w:p>
    <w:p>
      <w:pPr>
        <w:ind w:left="120" w:right="60" w:firstLine="551"/>
        <w:spacing w:after="0" w:line="276" w:lineRule="auto"/>
        <w:rPr>
          <w:sz w:val="20"/>
          <w:szCs w:val="20"/>
          <w:color w:val="auto"/>
        </w:rPr>
      </w:pPr>
      <w:r>
        <w:rPr>
          <w:rFonts w:ascii="Arial" w:cs="Arial" w:eastAsia="Arial" w:hAnsi="Arial"/>
          <w:sz w:val="18"/>
          <w:szCs w:val="18"/>
          <w:color w:val="auto"/>
        </w:rPr>
        <w:t>We do not know whether any clinical trials we may conduct will demonstrate consistent or adequate efficacy and safety sufficient to obtain approval to market any of our product candidates.</w:t>
      </w:r>
    </w:p>
    <w:p>
      <w:pPr>
        <w:spacing w:after="0" w:line="145" w:lineRule="exact"/>
        <w:rPr>
          <w:sz w:val="20"/>
          <w:szCs w:val="20"/>
          <w:color w:val="auto"/>
        </w:rPr>
      </w:pPr>
    </w:p>
    <w:p>
      <w:pPr>
        <w:ind w:left="120" w:right="320" w:firstLine="551"/>
        <w:spacing w:after="0" w:line="276" w:lineRule="auto"/>
        <w:rPr>
          <w:sz w:val="20"/>
          <w:szCs w:val="20"/>
          <w:color w:val="auto"/>
        </w:rPr>
      </w:pPr>
      <w:r>
        <w:rPr>
          <w:rFonts w:ascii="Arial" w:cs="Arial" w:eastAsia="Arial" w:hAnsi="Arial"/>
          <w:sz w:val="18"/>
          <w:szCs w:val="18"/>
          <w:color w:val="auto"/>
        </w:rPr>
        <w:t>Even if we succeed in developing and commercializing our product candidates, we may never generate sufficient or sustainable revenue to enable us to be profitable.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no experience as a company in conducting clinical trials.</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have no experience as a company in conducting clinical trials. In part because of this lack of experience, we cannot be certain that our ongoing preclinical studies will be completed on time or if the planned preclinical studies and clinical trials will begin or be completed on time, if at all. Large-scale clinical trials would require significant additional financial and management resources and reliance on third-party clinical investigators, CROs and consultants. Relying on third-party clinical investigators, CROs and consultants may force us to encounter delays that are outside of our control. We may be unable to identify and contract with sufficient investigators, CROs and consultants on a timely basis or at all. For our lead product candidate, PC14586, we recently entered in to a master services agreement with a CRO to lead our first-in-human planned open label Phase 1/2 clinical trial. There can be no assurance that we will be able to negotiate and enter into any additional master services agreement with other CROs, as necessary, on terms that are acceptable to us on a timely basis or at all.</w:t>
      </w:r>
    </w:p>
    <w:p>
      <w:pPr>
        <w:spacing w:after="0" w:line="284" w:lineRule="exact"/>
        <w:rPr>
          <w:sz w:val="20"/>
          <w:szCs w:val="20"/>
          <w:color w:val="auto"/>
        </w:rPr>
      </w:pPr>
    </w:p>
    <w:p>
      <w:pPr>
        <w:ind w:left="120" w:right="60"/>
        <w:spacing w:after="0" w:line="251" w:lineRule="auto"/>
        <w:rPr>
          <w:sz w:val="20"/>
          <w:szCs w:val="20"/>
          <w:color w:val="auto"/>
        </w:rPr>
      </w:pPr>
      <w:r>
        <w:rPr>
          <w:rFonts w:ascii="Arial" w:cs="Arial" w:eastAsia="Arial" w:hAnsi="Arial"/>
          <w:sz w:val="18"/>
          <w:szCs w:val="18"/>
          <w:b w:val="1"/>
          <w:bCs w:val="1"/>
          <w:i w:val="1"/>
          <w:iCs w:val="1"/>
          <w:color w:val="auto"/>
        </w:rPr>
        <w:t>We may need to use existing commercial diagnostic tests or develop, or enter into a collaboration or partnership in the future to develop, novel companion diagnostics for some of our current or future product candidates. If we or our future partners are unable to successfully develop, validate and obtain approval for such companion diagnostics, or experience significant delays in doing so, we may not realize the full commercial potential of our future product candidates.</w:t>
      </w:r>
    </w:p>
    <w:p>
      <w:pPr>
        <w:spacing w:after="0" w:line="52" w:lineRule="exact"/>
        <w:rPr>
          <w:sz w:val="20"/>
          <w:szCs w:val="20"/>
          <w:color w:val="auto"/>
        </w:rPr>
      </w:pPr>
    </w:p>
    <w:p>
      <w:pPr>
        <w:ind w:left="120" w:right="220" w:firstLine="551"/>
        <w:spacing w:after="0" w:line="245" w:lineRule="auto"/>
        <w:rPr>
          <w:sz w:val="20"/>
          <w:szCs w:val="20"/>
          <w:color w:val="auto"/>
        </w:rPr>
      </w:pPr>
      <w:r>
        <w:rPr>
          <w:rFonts w:ascii="Arial" w:cs="Arial" w:eastAsia="Arial" w:hAnsi="Arial"/>
          <w:sz w:val="18"/>
          <w:szCs w:val="18"/>
          <w:color w:val="auto"/>
        </w:rPr>
        <w:t>As one of the key elements of our product development strategy, we seek to identify cancer patient populations that may derive meaningful benefit from our current or future product candidates. Because specific genetic mutations will be used to identify the appropriate patients for our programs and our current or future product candidates, we believe that our success may depend, in part, on our ability to use existing diagnostic tests and genetic sequencing, or to develop novel companion diagnostics in collaboration with partners.</w:t>
      </w:r>
    </w:p>
    <w:p>
      <w:pPr>
        <w:spacing w:after="0" w:line="172"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Such companion diagnostics would be used during our clinical trials as well as in connection with the commercialization of our product candidates. In our Phase 1/2 clinical trial, we plan to work with physicians and leading academic centers to enroll patients with the p53 Y220C mutation identified through next generation sequencing, or NGS. To be successful, we or our collaborators will need to address a number of scientific, technical, regulatory and logistical challenges.</w:t>
      </w:r>
    </w:p>
    <w:p>
      <w:pPr>
        <w:spacing w:after="0" w:line="170"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have little experience as a company in the development of diagnostics. As such, we expect to rely on future partners for the design, development and manufacture of appropriate diagnostics to pair with our current or future product candidates. We have not yet begun discussions with any potential partners with respect to the development of companion diagnostics and may be unsuccessful in entering into collaborations for the development of companion diagnostics for our programs and our current or future product candidates. If we enter into such collaborative agreements, we will be dependent on the sustained cooperation and effort of our future collaborators in developing and obtaining approval for these companion diagnostics. It may be necessary to resolve issues such as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5" w:right="4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48" w:lineRule="auto"/>
        <w:rPr>
          <w:sz w:val="20"/>
          <w:szCs w:val="20"/>
          <w:color w:val="auto"/>
        </w:rPr>
      </w:pPr>
      <w:r>
        <w:rPr>
          <w:rFonts w:ascii="Arial" w:cs="Arial" w:eastAsia="Arial" w:hAnsi="Arial"/>
          <w:sz w:val="18"/>
          <w:szCs w:val="18"/>
          <w:color w:val="auto"/>
        </w:rPr>
        <w:t>selectivity/specificity, analytical validation, reproducibility or clinical validation of companion diagnostics during the development and regulatory approval processes. Moreover, even if data from preclinical studies and early clinical trials appear to support development of a companion diagnostic for a product candidate, data generated in later clinical trials may fail to support the analytical and clinical validation of the companion diagnostic.</w:t>
      </w:r>
    </w:p>
    <w:p>
      <w:pPr>
        <w:spacing w:after="0" w:line="170" w:lineRule="exact"/>
        <w:rPr>
          <w:sz w:val="20"/>
          <w:szCs w:val="20"/>
          <w:color w:val="auto"/>
        </w:rPr>
      </w:pPr>
    </w:p>
    <w:p>
      <w:pPr>
        <w:ind w:left="120" w:right="120" w:firstLine="551"/>
        <w:spacing w:after="0" w:line="255" w:lineRule="auto"/>
        <w:rPr>
          <w:sz w:val="20"/>
          <w:szCs w:val="20"/>
          <w:color w:val="auto"/>
        </w:rPr>
      </w:pPr>
      <w:r>
        <w:rPr>
          <w:rFonts w:ascii="Arial" w:cs="Arial" w:eastAsia="Arial" w:hAnsi="Arial"/>
          <w:sz w:val="18"/>
          <w:szCs w:val="18"/>
          <w:color w:val="auto"/>
        </w:rPr>
        <w:t>Companion diagnostics are subject to regulation by the FDA and comparable foreign regulatory authorities outside the United States as medical devices and require separate regulatory approval or clearance prior to commercialization. Moreover, the FDA generally requires the contemporaneous approval of companion diagnostics and the associated therapeutic.</w:t>
      </w:r>
    </w:p>
    <w:p>
      <w:pPr>
        <w:spacing w:after="0" w:line="164" w:lineRule="exact"/>
        <w:rPr>
          <w:sz w:val="20"/>
          <w:szCs w:val="20"/>
          <w:color w:val="auto"/>
        </w:rPr>
      </w:pPr>
    </w:p>
    <w:p>
      <w:pPr>
        <w:ind w:left="120" w:right="20" w:firstLine="551"/>
        <w:spacing w:after="0" w:line="263" w:lineRule="auto"/>
        <w:rPr>
          <w:sz w:val="20"/>
          <w:szCs w:val="20"/>
          <w:color w:val="auto"/>
        </w:rPr>
      </w:pPr>
      <w:r>
        <w:rPr>
          <w:rFonts w:ascii="Arial" w:cs="Arial" w:eastAsia="Arial" w:hAnsi="Arial"/>
          <w:sz w:val="17"/>
          <w:szCs w:val="17"/>
          <w:color w:val="auto"/>
        </w:rPr>
        <w:t>We and our future collaborators may encounter difficulties in developing, obtaining regulatory approval for, manufacturing and commercializing companion diagnostics similar to those we face with respect to our product candidates themselves, including issues with achieving regulatory clearance or approval, production of sufficient quantities at commercial scale and with appropriate quality standards, and in gaining market acceptance. If we, our partners, or any third parties that we engage to assist us, are unable to successfully develop and supply companion diagnostics for our current product candidates and any future product candidates, or experience delays in doing so:</w:t>
      </w:r>
    </w:p>
    <w:p>
      <w:pPr>
        <w:spacing w:after="0" w:line="63" w:lineRule="exact"/>
        <w:rPr>
          <w:sz w:val="20"/>
          <w:szCs w:val="20"/>
          <w:color w:val="auto"/>
        </w:rPr>
      </w:pPr>
    </w:p>
    <w:p>
      <w:pPr>
        <w:ind w:left="880" w:hanging="224"/>
        <w:spacing w:after="0" w:line="276"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development of our current product candidates and any future product candidates may be adversely affected if we are unable to appropriately select patients for enrollment in our clinical trials; and</w:t>
      </w:r>
    </w:p>
    <w:p>
      <w:pPr>
        <w:spacing w:after="0" w:line="50" w:lineRule="exact"/>
        <w:rPr>
          <w:rFonts w:ascii="Arial" w:cs="Arial" w:eastAsia="Arial" w:hAnsi="Arial"/>
          <w:sz w:val="18"/>
          <w:szCs w:val="18"/>
          <w:color w:val="auto"/>
        </w:rPr>
      </w:pPr>
    </w:p>
    <w:p>
      <w:pPr>
        <w:ind w:left="880" w:right="800" w:hanging="224"/>
        <w:spacing w:after="0" w:line="276"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not be able to obtain approval of our current product candidates and any future product candidates that require companion diagnostics on a timely basis or at all.</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any of these events were to occur, our business would be adversely impacted.</w:t>
      </w:r>
    </w:p>
    <w:p>
      <w:pPr>
        <w:spacing w:after="0" w:line="320" w:lineRule="exact"/>
        <w:rPr>
          <w:sz w:val="20"/>
          <w:szCs w:val="20"/>
          <w:color w:val="auto"/>
        </w:rPr>
      </w:pPr>
    </w:p>
    <w:p>
      <w:pPr>
        <w:ind w:left="120" w:right="80"/>
        <w:spacing w:after="0" w:line="285" w:lineRule="auto"/>
        <w:rPr>
          <w:sz w:val="20"/>
          <w:szCs w:val="20"/>
          <w:color w:val="auto"/>
        </w:rPr>
      </w:pPr>
      <w:r>
        <w:rPr>
          <w:rFonts w:ascii="Arial" w:cs="Arial" w:eastAsia="Arial" w:hAnsi="Arial"/>
          <w:sz w:val="18"/>
          <w:szCs w:val="18"/>
          <w:b w:val="1"/>
          <w:bCs w:val="1"/>
          <w:i w:val="1"/>
          <w:iCs w:val="1"/>
          <w:color w:val="auto"/>
        </w:rPr>
        <w:t>The outbreak of the novel coronavirus disease, COVID-19, could materially adversely impact our business, results of operations and financial condition, including our preclinical studies and clinical trials.</w:t>
      </w:r>
    </w:p>
    <w:p>
      <w:pPr>
        <w:spacing w:after="0" w:line="21"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In January 2020, the World Health Organization declared the outbreak of COVID-19 as a “Public Health Emergency of International Concern,” which continues to spread throughout the world and has adversely impacted global commercial activity and contributed to significant declines and volatility in financial markets. The COVID-19 outbreak and government responses are creating disruption in global supply chains and adversely impacting many industries. The outbreak could have a continued material adverse impact on economic and market conditions and trigger a period of global economic slowdown. We continue to monitor the impact of the COVID-19 outbreak closely. The extent to which the COVID-19 outbreak will impact its operations or financial results is uncertain.</w:t>
      </w:r>
    </w:p>
    <w:p>
      <w:pPr>
        <w:spacing w:after="0" w:line="174"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The outbreak and government measures taken in response have also had a significant impact, both direct and indirect, on businesses and commerce, as worker shortages have occurred; supply chains have been disrupted; facilities and production have been suspended; and demand for certain goods and services, such as medical services and supplies, has spiked, while demand for other goods and services, such as travel, has fallen. In response to the spread of COVID-19, we have our administrative employees continuing their work outside of our offices and limited the number of staff in any given research and development laboratory. Our research and development teams are currently operating on a staggered schedule, which has altered our operations and processes. While the extent of the impact of the COVID-19 pandemic on our business and financial results is uncertain, a continued and prolonged public health crisis such as the COVID-19 pandemic could have a material adverse effect on our business, financial condition and results of operations. As a result of the COVID-19</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40"/>
          </w:cols>
          <w:pgMar w:left="320" w:top="455" w:right="4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pandemic, we may experience disruptions that could severely impact our business, preclinical studies and clinical trials, including:</w:t>
      </w:r>
    </w:p>
    <w:p>
      <w:pPr>
        <w:spacing w:after="0" w:line="117" w:lineRule="exact"/>
        <w:rPr>
          <w:sz w:val="20"/>
          <w:szCs w:val="20"/>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or difficulties in enrolling and retaining patients in our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clinical site investigators and clinical site staff;</w:t>
      </w:r>
    </w:p>
    <w:p>
      <w:pPr>
        <w:spacing w:after="0" w:line="117" w:lineRule="exact"/>
        <w:rPr>
          <w:rFonts w:ascii="Arial" w:cs="Arial" w:eastAsia="Arial" w:hAnsi="Arial"/>
          <w:sz w:val="18"/>
          <w:szCs w:val="18"/>
          <w:color w:val="auto"/>
        </w:rPr>
      </w:pPr>
    </w:p>
    <w:p>
      <w:pPr>
        <w:ind w:left="880" w:right="480" w:hanging="224"/>
        <w:spacing w:after="0" w:line="276"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clinical trial sites and hospital staff supporting the conduct of our clinical trials;</w:t>
      </w:r>
    </w:p>
    <w:p>
      <w:pPr>
        <w:spacing w:after="0" w:line="50" w:lineRule="exact"/>
        <w:rPr>
          <w:rFonts w:ascii="Arial" w:cs="Arial" w:eastAsia="Arial" w:hAnsi="Arial"/>
          <w:sz w:val="18"/>
          <w:szCs w:val="18"/>
          <w:color w:val="auto"/>
        </w:rPr>
      </w:pPr>
    </w:p>
    <w:p>
      <w:pPr>
        <w:ind w:left="880" w:right="320" w:hanging="224"/>
        <w:spacing w:after="0" w:line="248"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data monitoring, due to limitations on travel imposed or recommended by federal or state governments, employers and others or interruption of clinical trial subject visits and study procedures (such as endoscopies that are deemed non-essential), which may impact the integrity of subject data and clinical study endpoints;</w:t>
      </w:r>
    </w:p>
    <w:p>
      <w:pPr>
        <w:spacing w:after="0" w:line="75" w:lineRule="exact"/>
        <w:rPr>
          <w:rFonts w:ascii="Arial" w:cs="Arial" w:eastAsia="Arial" w:hAnsi="Arial"/>
          <w:sz w:val="18"/>
          <w:szCs w:val="18"/>
          <w:color w:val="auto"/>
        </w:rPr>
      </w:pPr>
    </w:p>
    <w:p>
      <w:pPr>
        <w:ind w:left="880" w:right="660" w:hanging="224"/>
        <w:spacing w:after="0" w:line="276"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 or delays in the operations of the FDA or other regulatory authorities, which may impact review and approval timelines;</w:t>
      </w:r>
    </w:p>
    <w:p>
      <w:pPr>
        <w:spacing w:after="0" w:line="50" w:lineRule="exact"/>
        <w:rPr>
          <w:rFonts w:ascii="Arial" w:cs="Arial" w:eastAsia="Arial" w:hAnsi="Arial"/>
          <w:sz w:val="18"/>
          <w:szCs w:val="18"/>
          <w:color w:val="auto"/>
        </w:rPr>
      </w:pPr>
    </w:p>
    <w:p>
      <w:pPr>
        <w:ind w:left="880" w:right="220" w:hanging="224"/>
        <w:spacing w:after="0" w:line="276"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and disruptions in delivery systems;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interruptions in preclinical studies due to restricted or limited operations at our laboratory facility;</w:t>
      </w:r>
    </w:p>
    <w:p>
      <w:pPr>
        <w:spacing w:after="0" w:line="117" w:lineRule="exact"/>
        <w:rPr>
          <w:rFonts w:ascii="Arial" w:cs="Arial" w:eastAsia="Arial" w:hAnsi="Arial"/>
          <w:sz w:val="18"/>
          <w:szCs w:val="18"/>
          <w:color w:val="auto"/>
        </w:rPr>
      </w:pPr>
    </w:p>
    <w:p>
      <w:pPr>
        <w:ind w:left="880" w:right="260" w:hanging="224"/>
        <w:spacing w:after="0" w:line="255"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limitations on employee resources that would otherwise be focused on the conduct of our preclinical studies and clinical trials, including because of sickness of employees or their families or the desire of employees to avoid contact with large groups of people;</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interruption or delays to our sourced discovery and clinical activities; and</w:t>
      </w:r>
    </w:p>
    <w:p>
      <w:pPr>
        <w:spacing w:after="0" w:line="117" w:lineRule="exact"/>
        <w:rPr>
          <w:rFonts w:ascii="Arial" w:cs="Arial" w:eastAsia="Arial" w:hAnsi="Arial"/>
          <w:sz w:val="18"/>
          <w:szCs w:val="18"/>
          <w:color w:val="auto"/>
        </w:rPr>
      </w:pPr>
    </w:p>
    <w:p>
      <w:pPr>
        <w:ind w:left="880" w:right="200" w:hanging="224"/>
        <w:spacing w:after="0" w:line="276"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clinical site procedures and requirements as well as regulatory requirements for conducting clinical trials during the pandemic.</w:t>
      </w:r>
    </w:p>
    <w:p>
      <w:pPr>
        <w:spacing w:after="0" w:line="145"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We may be required to develop and implement additional clinical trial policies and procedures designed to help protect subjects from the COVID-19 virus. For example, in March 2020, the FDA issued a guidance, which FDA subsequently updated, on conducting clinical trials during the pandemic, which describes a number of considerations for sponsors of clinical trials impacted by the pandemic, including the requirement to include in the clinical trial report contingency measures implemented to manage the trial, and any disruption of the trial as a result of the COVID-19 pandemic; a list of all subjects affected by the COVID-19 pandemic related study disruption by unique subject identifier and by investigational site and a description of how the individual’s participation was altered; and analyses and corresponding discussions that address the impact of implemented contingency measures (e.g., participant discontinuation from investigational product and/or study, alternative procedures used to collect critical safety and/or efficacy data) on the safety and efficacy results reported for the trial.</w:t>
      </w:r>
    </w:p>
    <w:p>
      <w:pPr>
        <w:spacing w:after="0" w:line="176"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The COVID-19 pandemic continues to revolve rapidly, with the status of operations and government restrictions evolving weekly. The extent to which the outbreak impacts our business, preclinical studies and clinical trials will depend on future developments, which are highly uncertain and cannot be predicted with confidence, such as the duration of the pandemic, travel restrictions and social distancing in the United States and other countries, business closures or business disruptions and the effectiveness of actions taken in the United States and other countries to contain and treat the disease.</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5" w:right="47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The trading prices for shares of other biopharmaceutical companies have been highly volatile as a result of the COVID-19 pandemic and following this offering the trading prices for shares of our common stock could also experience high volatility. As a result, we may face difficulties raising capital through sales of our common stock or such sales may be on unfavorable terms. In addition, a recession, depression or other sustained adverse market event resulting from the spread of the COVID-19 could materially and adversely affect our business and the value of our common stock.</w:t>
      </w:r>
    </w:p>
    <w:p>
      <w:pPr>
        <w:spacing w:after="0" w:line="172"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The ultimate impact of the COVID-19 pandemic on our business operations is highly uncertain and subject to change and will depend on future developments, which cannot be accurately predicted, including the duration of the pandemic, the ultimate geographic spread of the disease, additional or modified government actions, new information that will emerge concerning the severity and impact of COVID-19 and the actions taken to contain COVID-19 or address its impact in the short and long term, among others. We do not yet know the full extent of potential delays or impacts on our business, our clinical trials, our research programs, healthcare systems or the global economy. We will continue to monitor the situation closely.</w:t>
      </w:r>
    </w:p>
    <w:p>
      <w:pPr>
        <w:spacing w:after="0" w:line="17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addition, our business could be materially adversely affected by other business disruptions to us or our third-party providers that could materially adversely affect our potential future revenue and financial condition and increase our costs and expenses. Our operations, and those of our CROs, contract manufacturing organizations, or CMOs, and other contractors, consultants and third parties could be subject to other global pandemics, earthquakes, power shortages, telecommunications failures, water shortages, floods, hurricanes, typhoons, fires, extreme weather conditions, medical epidemics and other natural or man-made disasters or business interruptions, for which we are predominantly self-insured. The occurrence of any of these business disruptions could materially adversely affect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w:t>
      </w:r>
    </w:p>
    <w:p>
      <w:pPr>
        <w:spacing w:after="0" w:line="284" w:lineRule="exact"/>
        <w:rPr>
          <w:sz w:val="20"/>
          <w:szCs w:val="20"/>
          <w:color w:val="auto"/>
        </w:rPr>
      </w:pPr>
    </w:p>
    <w:p>
      <w:pPr>
        <w:ind w:left="120" w:right="120"/>
        <w:spacing w:after="0" w:line="285" w:lineRule="auto"/>
        <w:rPr>
          <w:sz w:val="20"/>
          <w:szCs w:val="20"/>
          <w:color w:val="auto"/>
        </w:rPr>
      </w:pPr>
      <w:r>
        <w:rPr>
          <w:rFonts w:ascii="Arial" w:cs="Arial" w:eastAsia="Arial" w:hAnsi="Arial"/>
          <w:sz w:val="18"/>
          <w:szCs w:val="18"/>
          <w:b w:val="1"/>
          <w:bCs w:val="1"/>
          <w:i w:val="1"/>
          <w:iCs w:val="1"/>
          <w:color w:val="auto"/>
        </w:rPr>
        <w:t>If we experience delays or difficulties in the enrollment and/or retention of patients in clinical trials, our regulatory submissions or receipt of necessary marketing approvals could be delayed or prevented.</w:t>
      </w:r>
    </w:p>
    <w:p>
      <w:pPr>
        <w:spacing w:after="0" w:line="21"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may not be able to initiate or continue clinical trials on a timely basis or at all for our product candidates if we are unable to recruit and enroll a sufficient number of eligible patients to participate in these trials through completion of such trials as required by the FDA or other comparable foreign regulatory authorities. Patient enrollment is a significant factor in the timing of clinical trials. Our ability to enroll eligible patients may be limited or may result in slower enrollment than we anticipate. For example, our enrollment for clinical trials of PC14586 will require patients to have the specific p53 Y220C mutation. If we are unable to locate a sufficient number of such patients, our clinical trial and development plans could be delayed.</w:t>
      </w:r>
    </w:p>
    <w:p>
      <w:pPr>
        <w:spacing w:after="0" w:line="174" w:lineRule="exact"/>
        <w:rPr>
          <w:sz w:val="20"/>
          <w:szCs w:val="20"/>
          <w:color w:val="auto"/>
        </w:rPr>
      </w:pPr>
    </w:p>
    <w:p>
      <w:pPr>
        <w:ind w:left="120" w:right="200" w:firstLine="551"/>
        <w:spacing w:after="0" w:line="241" w:lineRule="auto"/>
        <w:rPr>
          <w:sz w:val="20"/>
          <w:szCs w:val="20"/>
          <w:color w:val="auto"/>
        </w:rPr>
      </w:pPr>
      <w:r>
        <w:rPr>
          <w:rFonts w:ascii="Arial" w:cs="Arial" w:eastAsia="Arial" w:hAnsi="Arial"/>
          <w:sz w:val="18"/>
          <w:szCs w:val="18"/>
          <w:color w:val="auto"/>
        </w:rPr>
        <w:t>Enrollment of patients in our clinical trials may be delayed or limited as our clinical trial sites limit their onsite staff or temporarily close as a result of the COVID-19 pandemic. In addition, patients may not be able to visit clinical trial sites for dosing or data collection purposes due to limitations on travel and physical distancing imposed or recommended by federal or state governments or patients’ reluctance to visit the clinical trial sites during the pandemic. The drop-out rates in our clinical trials may be increased during the pandemic. Clinical trial patients who become infected with the COVID-19 virus may complicate the clinical trial data, procedures and analysis. These factors resulting from the COVID-19 pandemic could delay the anticipated readouts from our PC14586 clinical trials and our regulatory submissions, and increase the costs associated of the clinical trials.</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5" w:right="4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firstLine="551"/>
        <w:spacing w:after="0" w:line="277" w:lineRule="auto"/>
        <w:rPr>
          <w:sz w:val="20"/>
          <w:szCs w:val="20"/>
          <w:color w:val="auto"/>
        </w:rPr>
      </w:pPr>
      <w:r>
        <w:rPr>
          <w:rFonts w:ascii="Arial" w:cs="Arial" w:eastAsia="Arial" w:hAnsi="Arial"/>
          <w:sz w:val="17"/>
          <w:szCs w:val="17"/>
          <w:color w:val="auto"/>
        </w:rPr>
        <w:t>Patient enrollment may also be affected if our competitors have ongoing clinical trials for programs that are under development for the same indications as our product candidates, and patients who would otherwise be eligible for our clinical trials instead enroll in clinical trials of our competitors’ programs. Patient enrollment for our current or any future clinical trials may be affected by other factors, including:</w:t>
      </w:r>
    </w:p>
    <w:p>
      <w:pPr>
        <w:spacing w:after="0" w:line="52" w:lineRule="exact"/>
        <w:rPr>
          <w:sz w:val="20"/>
          <w:szCs w:val="20"/>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size and nature of the patient population;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severity of the disease under investigation;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availability and efficacy of approved drugs for the disease under investigation;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patient eligibility criteria for the trial in question as defined in the protocol;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perceived risks and benefits of the product candidate under study;</w:t>
      </w:r>
    </w:p>
    <w:p>
      <w:pPr>
        <w:spacing w:after="0" w:line="117" w:lineRule="exact"/>
        <w:rPr>
          <w:rFonts w:ascii="Arial" w:cs="Arial" w:eastAsia="Arial" w:hAnsi="Arial"/>
          <w:sz w:val="18"/>
          <w:szCs w:val="18"/>
          <w:color w:val="auto"/>
        </w:rPr>
      </w:pPr>
    </w:p>
    <w:p>
      <w:pPr>
        <w:jc w:val="both"/>
        <w:ind w:left="880" w:right="340" w:hanging="224"/>
        <w:spacing w:after="0" w:line="255"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clinicians’ and patients’ perceptions as to the potential advantages of the product candidate being studied in relation to other available therapies, including any new products that may be approved or future product candidates being investigated for the indications we are investigating;</w:t>
      </w:r>
    </w:p>
    <w:p>
      <w:pPr>
        <w:spacing w:after="0" w:line="69" w:lineRule="exact"/>
        <w:rPr>
          <w:rFonts w:ascii="Arial" w:cs="Arial" w:eastAsia="Arial" w:hAnsi="Arial"/>
          <w:sz w:val="18"/>
          <w:szCs w:val="18"/>
          <w:color w:val="auto"/>
        </w:rPr>
      </w:pPr>
    </w:p>
    <w:p>
      <w:pPr>
        <w:ind w:left="880" w:right="520" w:hanging="224"/>
        <w:spacing w:after="0" w:line="276"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clinicians’ willingness to screen their patients for biomarkers to indicate which patients may be eligible for enrollment in our clinical trials;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or temporary suspension of the enrollment of patients in our planned clinical trial due to the COVID-19 pandemic;</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ability to obtain and maintain patient consents;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patient referral practices of physicians;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proximity and availability of clinical trial sites for prospective patients; and</w:t>
      </w:r>
    </w:p>
    <w:p>
      <w:pPr>
        <w:spacing w:after="0" w:line="117" w:lineRule="exact"/>
        <w:rPr>
          <w:rFonts w:ascii="Arial" w:cs="Arial" w:eastAsia="Arial" w:hAnsi="Arial"/>
          <w:sz w:val="18"/>
          <w:szCs w:val="18"/>
          <w:color w:val="auto"/>
        </w:rPr>
      </w:pPr>
    </w:p>
    <w:p>
      <w:pPr>
        <w:ind w:left="880" w:right="180" w:hanging="224"/>
        <w:spacing w:after="0" w:line="255"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 including as a result of contracting COVID-19 or other health conditions or being forced to quarantine, or, because they may be late-stage cancer patients, will not survive the full terms of the clinical trials.</w:t>
      </w:r>
    </w:p>
    <w:p>
      <w:pPr>
        <w:spacing w:after="0" w:line="164"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such difficulties or delays in initiating, enrolling, conducting or completing our planned and ongoing clinical trials. Our inability to enroll a sufficient number of patients for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product candidates. Furthermore, even if we are able to enroll a sufficient number of patients for our clinical trials, we may have difficulty maintaining participation in our clinical trials through the treatment and any follow-up periods.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104"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As product candidates progress through preclinical and clinical trials to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For example, we may introduce an alternative formulation of PC14586 into the dose expansion phases of our future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5" w:right="45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45" w:lineRule="auto"/>
        <w:rPr>
          <w:sz w:val="20"/>
          <w:szCs w:val="20"/>
          <w:color w:val="auto"/>
        </w:rPr>
      </w:pPr>
      <w:r>
        <w:rPr>
          <w:rFonts w:ascii="Arial" w:cs="Arial" w:eastAsia="Arial" w:hAnsi="Arial"/>
          <w:sz w:val="18"/>
          <w:szCs w:val="18"/>
          <w:color w:val="auto"/>
        </w:rPr>
        <w:t>clinical trials. Such changes carry the risk that they will not achieve these intended objectives. Any of these changes could cause our product candidates to perform differently and affect the results of planned clinical trials or future clinical trials conducted with the altered materials. This could delay completion of clinical trials, require the conduct of bridging clinical trials or the repetition of one or more clinical trials, increase clinical trial costs, delay approval of our product candidates and jeopardize our ability to commercialize our product candidates, if approved, and generate revenue.</w:t>
      </w:r>
    </w:p>
    <w:p>
      <w:pPr>
        <w:spacing w:after="0" w:line="280" w:lineRule="exact"/>
        <w:rPr>
          <w:sz w:val="20"/>
          <w:szCs w:val="20"/>
          <w:color w:val="auto"/>
        </w:rPr>
      </w:pPr>
    </w:p>
    <w:p>
      <w:pPr>
        <w:jc w:val="both"/>
        <w:ind w:left="120" w:right="660"/>
        <w:spacing w:after="0" w:line="260" w:lineRule="auto"/>
        <w:rPr>
          <w:sz w:val="20"/>
          <w:szCs w:val="20"/>
          <w:color w:val="auto"/>
        </w:rPr>
      </w:pPr>
      <w:r>
        <w:rPr>
          <w:rFonts w:ascii="Arial" w:cs="Arial" w:eastAsia="Arial" w:hAnsi="Arial"/>
          <w:sz w:val="18"/>
          <w:szCs w:val="18"/>
          <w:b w:val="1"/>
          <w:bCs w:val="1"/>
          <w:i w:val="1"/>
          <w:iCs w:val="1"/>
          <w:color w:val="auto"/>
        </w:rPr>
        <w:t>The market opportunities for our product candidates may be relatively small as it will be limited to those patients who are ineligible for or have failed prior treatments and our estimates of the prevalence of our target patient populations may be inaccurate.</w:t>
      </w:r>
    </w:p>
    <w:p>
      <w:pPr>
        <w:spacing w:after="0" w:line="43" w:lineRule="exact"/>
        <w:rPr>
          <w:sz w:val="20"/>
          <w:szCs w:val="20"/>
          <w:color w:val="auto"/>
        </w:rPr>
      </w:pPr>
    </w:p>
    <w:p>
      <w:pPr>
        <w:ind w:left="120" w:right="160" w:firstLine="551"/>
        <w:spacing w:after="0" w:line="239" w:lineRule="auto"/>
        <w:rPr>
          <w:sz w:val="20"/>
          <w:szCs w:val="20"/>
          <w:color w:val="auto"/>
        </w:rPr>
      </w:pPr>
      <w:r>
        <w:rPr>
          <w:rFonts w:ascii="Arial" w:cs="Arial" w:eastAsia="Arial" w:hAnsi="Arial"/>
          <w:sz w:val="18"/>
          <w:szCs w:val="18"/>
          <w:color w:val="auto"/>
        </w:rPr>
        <w:t>Cancer therapies are sometimes characterized as first line, second line, or third line, and the FDA customarily approves new therapies only for a second line or later lines of use. When cancer is detected early enough, first line therapy is sometimes adequate to cure the cancer or prolong life without a cure. Whenever first line therapies, usually chemotherapy, antibody drugs, tumor-targeted small molecules, hormone therapy, radiation therapy, surgery or a combination of these, proves unsuccessful, second line therapy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 We expect to initially seek approval of our product candidates in most instances at least as a second line therapy. Subsequently, depending on the nature of the clinical data and experience with any approved products or product candidates, if any, we may pursue approval as an earlier line therapy and potentially as a first line therapy. But there is no guarantee that our product candidates, even if approved as a second or subsequent line of therapy, would be approved for an earlier line of therapy, and, prior to any such approvals, we may have to conduct additional clinical trials.</w:t>
      </w:r>
    </w:p>
    <w:p>
      <w:pPr>
        <w:spacing w:after="0" w:line="176"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Our projections of both the number of people who have the p53 hotspot mutations we are targeting, who may have their tumors genetically sequenced, as well as the subset of people with these mutations in a position to receive a particular line of therapy and who have the potential to benefit from treatment with our product candidates, are based on our assumptions and estimates. These estimates have been derived from a variety of sources, including scientific literature, surveys of clinics, patient foundations or market research, and may prove to be incorrect. Further, new therapies may change the estimated incidence or prevalence of the cancers that we are targeting. Consequently, even if our product candidates are approved for a second or third line of therapy, the number of patients that may be eligible for treatment with our product candidates may turn out to be much lower than expected. In addition, we have not yet conducted market research to determine how treating physicians would expect to prescribe a product that is approved for multiple tumor types if there are different lines of approved therapies for each such tumor type.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 variety of risks associated with marketing our product candidates internationally may materially adversely affect our business.</w:t>
      </w:r>
    </w:p>
    <w:p>
      <w:pPr>
        <w:spacing w:after="0" w:line="104" w:lineRule="exact"/>
        <w:rPr>
          <w:sz w:val="20"/>
          <w:szCs w:val="20"/>
          <w:color w:val="auto"/>
        </w:rPr>
      </w:pPr>
    </w:p>
    <w:p>
      <w:pPr>
        <w:ind w:left="120" w:right="140" w:firstLine="551"/>
        <w:spacing w:after="0" w:line="276" w:lineRule="auto"/>
        <w:rPr>
          <w:sz w:val="20"/>
          <w:szCs w:val="20"/>
          <w:color w:val="auto"/>
        </w:rPr>
      </w:pPr>
      <w:r>
        <w:rPr>
          <w:rFonts w:ascii="Arial" w:cs="Arial" w:eastAsia="Arial" w:hAnsi="Arial"/>
          <w:sz w:val="18"/>
          <w:szCs w:val="18"/>
          <w:color w:val="auto"/>
        </w:rPr>
        <w:t>We plan to eventually seek regulatory approval of our product candidates outside of the United States and, accordingly, we expect that we will be subject to additional risks related to operating in foreign countries if we obtain the necessary approvals, including:</w:t>
      </w:r>
    </w:p>
    <w:p>
      <w:pPr>
        <w:spacing w:after="0" w:line="50" w:lineRule="exact"/>
        <w:rPr>
          <w:sz w:val="20"/>
          <w:szCs w:val="20"/>
          <w:color w:val="auto"/>
        </w:rPr>
      </w:pPr>
    </w:p>
    <w:p>
      <w:pPr>
        <w:ind w:left="880" w:hanging="224"/>
        <w:spacing w:after="0"/>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117"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foreign regulatory authorities may disagree with the design, implementation or results of our clinical trials or our interpretation of data from preclinical studies or clinical trials;</w:t>
      </w:r>
    </w:p>
    <w:p>
      <w:pPr>
        <w:spacing w:after="0" w:line="50"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approval policies or regulations of foreign regulatory authorities may significantly change in a manner rendering our clinical data insufficient for approval;</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5" w:right="4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820" w:hanging="224"/>
        <w:spacing w:after="0" w:line="27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impact of the COVID-19 pandemic on our ability to produce our product candidates and conduct clinical trials in foreign countries;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17" w:lineRule="exact"/>
        <w:rPr>
          <w:rFonts w:ascii="Arial" w:cs="Arial" w:eastAsia="Arial" w:hAnsi="Arial"/>
          <w:sz w:val="18"/>
          <w:szCs w:val="18"/>
          <w:color w:val="auto"/>
        </w:rPr>
      </w:pPr>
    </w:p>
    <w:p>
      <w:pPr>
        <w:ind w:left="880" w:right="300" w:hanging="224"/>
        <w:spacing w:after="0" w:line="27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comparable foreign regulations;</w:t>
      </w:r>
    </w:p>
    <w:p>
      <w:pPr>
        <w:spacing w:after="0" w:line="117"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12" w:lineRule="exact"/>
        <w:rPr>
          <w:sz w:val="20"/>
          <w:szCs w:val="20"/>
          <w:color w:val="auto"/>
        </w:rPr>
      </w:pPr>
    </w:p>
    <w:p>
      <w:pPr>
        <w:ind w:left="120" w:right="60" w:firstLine="551"/>
        <w:spacing w:after="0" w:line="276" w:lineRule="auto"/>
        <w:rPr>
          <w:sz w:val="20"/>
          <w:szCs w:val="20"/>
          <w:color w:val="auto"/>
        </w:rPr>
      </w:pPr>
      <w:r>
        <w:rPr>
          <w:rFonts w:ascii="Arial" w:cs="Arial" w:eastAsia="Arial" w:hAnsi="Arial"/>
          <w:sz w:val="18"/>
          <w:szCs w:val="18"/>
          <w:color w:val="auto"/>
        </w:rPr>
        <w:t>These and other risks associated with international operations may materially adversely affect our business, financial condition and results of operations.</w:t>
      </w:r>
    </w:p>
    <w:p>
      <w:pPr>
        <w:spacing w:after="0" w:line="253" w:lineRule="exact"/>
        <w:rPr>
          <w:sz w:val="20"/>
          <w:szCs w:val="20"/>
          <w:color w:val="auto"/>
        </w:rPr>
      </w:pPr>
    </w:p>
    <w:p>
      <w:pPr>
        <w:ind w:left="120" w:right="440"/>
        <w:spacing w:after="0" w:line="285"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21"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Our industry is intensely competitive and subject to rapid and significant technological change as well as strong defense of intellectual property. While we believe that our knowledge, experience and scientific resources provide us with competitive advantages, we face substantial competition from major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 As a result, our competitors may discover, develop, license or commercialize products before or more successfully than we do.</w:t>
      </w:r>
    </w:p>
    <w:p>
      <w:pPr>
        <w:spacing w:after="0" w:line="174" w:lineRule="exact"/>
        <w:rPr>
          <w:sz w:val="20"/>
          <w:szCs w:val="20"/>
          <w:color w:val="auto"/>
        </w:rPr>
      </w:pPr>
    </w:p>
    <w:p>
      <w:pPr>
        <w:ind w:left="120" w:right="200" w:firstLine="551"/>
        <w:spacing w:after="0" w:line="243" w:lineRule="auto"/>
        <w:rPr>
          <w:sz w:val="20"/>
          <w:szCs w:val="20"/>
          <w:color w:val="auto"/>
        </w:rPr>
      </w:pPr>
      <w:r>
        <w:rPr>
          <w:rFonts w:ascii="Arial" w:cs="Arial" w:eastAsia="Arial" w:hAnsi="Arial"/>
          <w:sz w:val="18"/>
          <w:szCs w:val="18"/>
          <w:color w:val="auto"/>
        </w:rPr>
        <w:t>In particular, we are aware of molecules in development that also are being explored for p53 upregulation/activation in various stages of clinical development being tested by Actavalon, Aprea Therapeutics, CDG Therapeutics, Cotinga Pharmaceuticals, Innovation Pharmaceuticals and Senhwa Biosciences, among others. We are also aware of selective small molecule inhibitors that are designed to target wild-type p53 containing tumors through the p53-murine double minute 2, or MDM2, interaction, which are in various stages of clinical development being tested by Aileron Therapeutics, Ascentage Pharma, Boehringer Ingelheim, Daiichi Sankyo, Kartos Therapeutics, Novartis and Roche, including testing MDM2 inhibitors in combination with a variety of other anti-cancer agents.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5" w:right="4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We face competition with respect to our current product candidates and will face competition with respect to future product candidates, from segments of the pharmaceutical, biotechnology and other related markets that pursue targeted therapies for patients with genetically-defined cancers. If PC14586 or our future product candidates do not offer sustainable advantages over competing products, we may otherwise not be able to successfully compete against current and future competitors.</w:t>
      </w:r>
    </w:p>
    <w:p>
      <w:pPr>
        <w:spacing w:after="0" w:line="170"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Our competitors may obtain regulatory approval of their products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p>
    <w:p>
      <w:pPr>
        <w:spacing w:after="0" w:line="170"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In addition, we will likely need to develop our product candidates in collaboration with companion diagnostic companies, and we will face competition from other companies in establishing these future collaborations. Our competitors will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7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Furthermore, we also face competition more broadly across the market for cost-effective and reimbursable cancer treatments. The most common methods of treating patients with cancer are surgery, radiation and drug therapy, including chemotherapy, hormone therapy and targeted drug therapy or a combination of such methods. There are a variety of available drug therapies marketed for cancer. In many cases, these drugs are administered in combination to enhance efficacy. While our product candidates, if any are approved, may compete with these existing drug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including branded generic, products. As a result, obtaining market acceptance of, and gaining significant share of the market for, any of our product candidates that we successfully introduce to the market will pose challenges. In addition, many companies are developing new therapeutics, and we cannot predict what the standard of care will be as our product candidates progress through clinical development.</w:t>
      </w:r>
    </w:p>
    <w:p>
      <w:pPr>
        <w:spacing w:after="0" w:line="183" w:lineRule="exact"/>
        <w:rPr>
          <w:sz w:val="20"/>
          <w:szCs w:val="20"/>
          <w:color w:val="auto"/>
        </w:rPr>
      </w:pPr>
    </w:p>
    <w:p>
      <w:pPr>
        <w:ind w:left="120" w:right="260" w:firstLine="551"/>
        <w:spacing w:after="0" w:line="248" w:lineRule="auto"/>
        <w:rPr>
          <w:sz w:val="20"/>
          <w:szCs w:val="20"/>
          <w:color w:val="auto"/>
        </w:rPr>
      </w:pPr>
      <w:r>
        <w:rPr>
          <w:rFonts w:ascii="Arial" w:cs="Arial" w:eastAsia="Arial" w:hAnsi="Arial"/>
          <w:sz w:val="18"/>
          <w:szCs w:val="18"/>
          <w:color w:val="auto"/>
        </w:rPr>
        <w:t>Product candidates that we may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For additional information regarding our competition, see “Business— Competition.”</w:t>
      </w:r>
    </w:p>
    <w:p>
      <w:pPr>
        <w:spacing w:after="0" w:line="278" w:lineRule="exact"/>
        <w:rPr>
          <w:sz w:val="20"/>
          <w:szCs w:val="20"/>
          <w:color w:val="auto"/>
        </w:rPr>
      </w:pPr>
    </w:p>
    <w:p>
      <w:pPr>
        <w:ind w:left="120" w:right="520"/>
        <w:spacing w:after="0" w:line="285" w:lineRule="auto"/>
        <w:rPr>
          <w:sz w:val="20"/>
          <w:szCs w:val="20"/>
          <w:color w:val="auto"/>
        </w:rPr>
      </w:pPr>
      <w:r>
        <w:rPr>
          <w:rFonts w:ascii="Arial" w:cs="Arial" w:eastAsia="Arial" w:hAnsi="Arial"/>
          <w:sz w:val="18"/>
          <w:szCs w:val="18"/>
          <w:b w:val="1"/>
          <w:bCs w:val="1"/>
          <w:i w:val="1"/>
          <w:iCs w:val="1"/>
          <w:color w:val="auto"/>
        </w:rPr>
        <w:t>Our long-term prospects depend in part upon discovering, developing and commercializing additional product candidates, which may fail in development or suffer delays that adversely affect their commercial viability.</w:t>
      </w:r>
    </w:p>
    <w:p>
      <w:pPr>
        <w:spacing w:after="0" w:line="21"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Our future operating results are dependent on our ability to successfully discover, develop, obtain regulatory approval for and commercialize product candidates beyond those we currently have in preclinical development. A product candidate can unexpectedly fail at any stage of preclinical and clinical development. The historical failure rate for product candidates is high due to risks relating to safety, efficacy, clinical execution, changing standards of medical care and other unpredictable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5" w:right="4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20"/>
        <w:spacing w:after="0" w:line="276" w:lineRule="auto"/>
        <w:rPr>
          <w:sz w:val="20"/>
          <w:szCs w:val="20"/>
          <w:color w:val="auto"/>
        </w:rPr>
      </w:pPr>
      <w:r>
        <w:rPr>
          <w:rFonts w:ascii="Arial" w:cs="Arial" w:eastAsia="Arial" w:hAnsi="Arial"/>
          <w:sz w:val="18"/>
          <w:szCs w:val="18"/>
          <w:color w:val="auto"/>
        </w:rPr>
        <w:t>variables. The results from preclinical testing or early clinical trials of a product candidate may not be predictive of the results that will be obtained in later stage clinical trials of the product candidate.</w:t>
      </w:r>
    </w:p>
    <w:p>
      <w:pPr>
        <w:spacing w:after="0" w:line="145" w:lineRule="exact"/>
        <w:rPr>
          <w:sz w:val="20"/>
          <w:szCs w:val="20"/>
          <w:color w:val="auto"/>
        </w:rPr>
      </w:pPr>
    </w:p>
    <w:p>
      <w:pPr>
        <w:ind w:left="120" w:right="560" w:firstLine="551"/>
        <w:spacing w:after="0" w:line="276" w:lineRule="auto"/>
        <w:rPr>
          <w:sz w:val="20"/>
          <w:szCs w:val="20"/>
          <w:color w:val="auto"/>
        </w:rPr>
      </w:pPr>
      <w:r>
        <w:rPr>
          <w:rFonts w:ascii="Arial" w:cs="Arial" w:eastAsia="Arial" w:hAnsi="Arial"/>
          <w:sz w:val="18"/>
          <w:szCs w:val="18"/>
          <w:color w:val="auto"/>
        </w:rPr>
        <w:t>The success of future product candidates we may develop will depend on many factors, including the following and the other factors relating to product development described elsewhere in this “Risk Factors” section:</w:t>
      </w:r>
    </w:p>
    <w:p>
      <w:pPr>
        <w:spacing w:after="0" w:line="50" w:lineRule="exact"/>
        <w:rPr>
          <w:sz w:val="20"/>
          <w:szCs w:val="20"/>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generating sufficient data to support the initiation or continuation of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obtaining regulatory permission to initiate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contracting with the necessary parties to conduct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 enrollment of patients in, and the completion of, clinical trials on a timely basis;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timely manufacture of sufficient quantities of the product candidate for use in clinical trials;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events in the clinical trials.</w:t>
      </w:r>
    </w:p>
    <w:p>
      <w:pPr>
        <w:spacing w:after="0" w:line="212" w:lineRule="exact"/>
        <w:rPr>
          <w:sz w:val="20"/>
          <w:szCs w:val="20"/>
          <w:color w:val="auto"/>
        </w:rPr>
      </w:pPr>
    </w:p>
    <w:p>
      <w:pPr>
        <w:jc w:val="both"/>
        <w:ind w:left="120" w:right="80" w:firstLine="551"/>
        <w:spacing w:after="0" w:line="255"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or an inability to successfully commercialize additional product candidates, which would materially adversely affect our business, financial condition and results of operations.</w:t>
      </w:r>
    </w:p>
    <w:p>
      <w:pPr>
        <w:spacing w:after="0" w:line="164"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Even if we successfully advance any future product candidates into clinical development, their success will be subject to all of the clinical, regulatory and commercial risks described elsewhere in this “Risk Factors” section. Accordingly, we cannot assure you that we will ever be able to discover, develop, obtain regulatory approval of, commercialize or generate significant revenue from our future product candidates.</w:t>
      </w:r>
    </w:p>
    <w:p>
      <w:pPr>
        <w:spacing w:after="0" w:line="278"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b w:val="1"/>
          <w:bCs w:val="1"/>
          <w:i w:val="1"/>
          <w:iCs w:val="1"/>
          <w:color w:val="auto"/>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p>
    <w:p>
      <w:pPr>
        <w:spacing w:after="0" w:line="43"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If our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patients to complete the trial or result in potential product liability claims. Any of these occurrences may prevent us from achieving or maintaining market acceptance of the affected product candidate and may adversely affect our business, financial condition and prospects significantly.</w:t>
      </w:r>
    </w:p>
    <w:p>
      <w:pPr>
        <w:spacing w:after="0" w:line="179"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While we have not yet initiated clinical trials for any of our product candidates, as is the case with all oncology drugs, it is likely that there may be significant side effects associated with their use. PC14586 or future product candidates may be used in populations for which safety concerns may be reviewed by regulatory agencies. In addition, we expect that PC14586 will be studied in combination with other therapies, which may exacerbate adverse events associated with the therapy. Further, our product candidates will be used in patients that have weakened immune systems, which may exacerbate any potential side effects associated with their use. Patients treated with PC14586 or any of our future product candidates may also be undergoing surgical, radiation and chemotherapy</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5" w:right="45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3" w:lineRule="auto"/>
        <w:rPr>
          <w:sz w:val="20"/>
          <w:szCs w:val="20"/>
          <w:color w:val="auto"/>
        </w:rPr>
      </w:pPr>
      <w:r>
        <w:rPr>
          <w:rFonts w:ascii="Arial" w:cs="Arial" w:eastAsia="Arial" w:hAnsi="Arial"/>
          <w:sz w:val="18"/>
          <w:szCs w:val="18"/>
          <w:color w:val="auto"/>
        </w:rPr>
        <w:t>treatments, which can cause side effects or adverse events that are unrelated to our product candidate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 For example, it is expected that some of the patients enrolled in our PC14586 clinical trials will die or experience major clinical events either during the course of our clinical trials or after participating in such trials. Results of our trials could reveal a high and unacceptable severity and prevalence of these or other side effects.</w:t>
      </w:r>
    </w:p>
    <w:p>
      <w:pPr>
        <w:spacing w:after="0" w:line="174"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If further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other comparable regulatory authorities or an IRB may suspend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materially adversely affect our business, financial condition and prospects. Further, if any of our product candidates obtains marketing approval, toxicities associated with such product candidates previously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 stage clinical trials.</w:t>
      </w:r>
    </w:p>
    <w:p>
      <w:pPr>
        <w:spacing w:after="0" w:line="285" w:lineRule="exact"/>
        <w:rPr>
          <w:sz w:val="20"/>
          <w:szCs w:val="20"/>
          <w:color w:val="auto"/>
        </w:rPr>
      </w:pPr>
    </w:p>
    <w:p>
      <w:pPr>
        <w:ind w:left="120" w:right="700"/>
        <w:spacing w:after="0" w:line="285" w:lineRule="auto"/>
        <w:rPr>
          <w:sz w:val="20"/>
          <w:szCs w:val="20"/>
          <w:color w:val="auto"/>
        </w:rPr>
      </w:pPr>
      <w:r>
        <w:rPr>
          <w:rFonts w:ascii="Arial" w:cs="Arial" w:eastAsia="Arial" w:hAnsi="Arial"/>
          <w:sz w:val="18"/>
          <w:szCs w:val="18"/>
          <w:b w:val="1"/>
          <w:bCs w:val="1"/>
          <w:i w:val="1"/>
          <w:iCs w:val="1"/>
          <w:color w:val="auto"/>
        </w:rPr>
        <w:t>We expect to develop our current or future product candidates in combination with other therapies, which exposes us to additional risks.</w:t>
      </w:r>
    </w:p>
    <w:p>
      <w:pPr>
        <w:spacing w:after="0" w:line="21"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intend to develop our current or future product candidates in combination with one or more currently approved cancer therapies or therapies in development. For example, our preclinical studies have demonstrated robust tumor regression when sub-therapeutic doses of PC14586 were used in combination with anti-PD-1 therapy. Patients may not be able to tolerate PC14586 or any of our future product candidates in combination with other therapies or dosing of PC14586 or any of our future product candidates in combination with other therapies may have unexpected consequences. Even if any of our current or future product candidates were to receive marketing approval or be commercialized for use in combination with other existing therapies, we would continue to be subject to the risks that the FDA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removed from the market or being less successful commercially.</w:t>
      </w:r>
    </w:p>
    <w:p>
      <w:pPr>
        <w:spacing w:after="0" w:line="176" w:lineRule="exact"/>
        <w:rPr>
          <w:sz w:val="20"/>
          <w:szCs w:val="20"/>
          <w:color w:val="auto"/>
        </w:rPr>
      </w:pPr>
    </w:p>
    <w:p>
      <w:pPr>
        <w:jc w:val="both"/>
        <w:ind w:left="120" w:right="220" w:firstLine="551"/>
        <w:spacing w:after="0" w:line="255" w:lineRule="auto"/>
        <w:rPr>
          <w:sz w:val="20"/>
          <w:szCs w:val="20"/>
          <w:color w:val="auto"/>
        </w:rPr>
      </w:pPr>
      <w:r>
        <w:rPr>
          <w:rFonts w:ascii="Arial" w:cs="Arial" w:eastAsia="Arial" w:hAnsi="Arial"/>
          <w:sz w:val="18"/>
          <w:szCs w:val="18"/>
          <w:color w:val="auto"/>
        </w:rPr>
        <w:t>We may also evaluate our current or future product candidates in combination with one or more other cancer therapies that have not yet been approved for marketing by the FDA or comparable foreign regulatory authorities. We will not be able to market and sell any product candidate in combination with any such unapproved cancer therapies that do not ultimately obtain marketing approval.</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55" w:right="4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If the FDA or other comparable foreign regulatory authorities do not approve or withdraw their approval of these other therapies, or if safety, efficacy, commercial adoption, manufacturing or supply issues arise with the therapies we choose to evaluate in combination with PC14586 or any future product candidate, we may be unable to obtain approval of or successfully market any one or all of the current or future product candidates we develop. Additionally, if the third -party providers of therapies or therapies in development used in combination with our current or future product candidates are unable to produce sufficient quantities for clinical trials or for commercialization of our current or future product candidates, or if the cost of combination therapies are prohibitive, our development and commercialization efforts would be impaired, which would have an adverse effect on our business, financial condition, results of operations and growth prospects.</w:t>
      </w:r>
    </w:p>
    <w:p>
      <w:pPr>
        <w:spacing w:after="0" w:line="288" w:lineRule="exact"/>
        <w:rPr>
          <w:sz w:val="20"/>
          <w:szCs w:val="20"/>
          <w:color w:val="auto"/>
        </w:rPr>
      </w:pPr>
    </w:p>
    <w:p>
      <w:pPr>
        <w:jc w:val="both"/>
        <w:ind w:left="120" w:right="80"/>
        <w:spacing w:after="0" w:line="260" w:lineRule="auto"/>
        <w:rPr>
          <w:sz w:val="20"/>
          <w:szCs w:val="20"/>
          <w:color w:val="auto"/>
        </w:rPr>
      </w:pPr>
      <w:r>
        <w:rPr>
          <w:rFonts w:ascii="Arial" w:cs="Arial" w:eastAsia="Arial" w:hAnsi="Arial"/>
          <w:sz w:val="18"/>
          <w:szCs w:val="18"/>
          <w:b w:val="1"/>
          <w:bCs w:val="1"/>
          <w:i w:val="1"/>
          <w:iCs w:val="1"/>
          <w:color w:val="auto"/>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43"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80" w:lineRule="exact"/>
        <w:rPr>
          <w:sz w:val="20"/>
          <w:szCs w:val="20"/>
          <w:color w:val="auto"/>
        </w:rPr>
      </w:pPr>
    </w:p>
    <w:p>
      <w:pPr>
        <w:ind w:left="120" w:right="220" w:firstLine="551"/>
        <w:spacing w:after="0" w:line="263" w:lineRule="auto"/>
        <w:rPr>
          <w:sz w:val="20"/>
          <w:szCs w:val="20"/>
          <w:color w:val="auto"/>
        </w:rPr>
      </w:pPr>
      <w:r>
        <w:rPr>
          <w:rFonts w:ascii="Arial" w:cs="Arial" w:eastAsia="Arial" w:hAnsi="Arial"/>
          <w:sz w:val="17"/>
          <w:szCs w:val="17"/>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materially adversely affect our business prospects. Further, disclosure of interim data by us or by our competitors could result in volatility in the price of our common stock after this offering.</w:t>
      </w:r>
    </w:p>
    <w:p>
      <w:pPr>
        <w:spacing w:after="0" w:line="157"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 If the interim, top-line, or preliminary data that we report differ from actual results, or if others, including regulatory authorities, disagree with the conclusions reached, our ability to obtain approval for, and commercialize, our product candidates may be adversely affected, which could materially adversely affect our business, financial condition and results of operations.</w:t>
      </w:r>
    </w:p>
    <w:p>
      <w:pPr>
        <w:spacing w:after="0" w:line="288" w:lineRule="exact"/>
        <w:rPr>
          <w:sz w:val="20"/>
          <w:szCs w:val="20"/>
          <w:color w:val="auto"/>
        </w:rPr>
      </w:pPr>
    </w:p>
    <w:p>
      <w:pPr>
        <w:ind w:left="120" w:right="900"/>
        <w:spacing w:after="0" w:line="285" w:lineRule="auto"/>
        <w:rPr>
          <w:sz w:val="20"/>
          <w:szCs w:val="20"/>
          <w:color w:val="auto"/>
        </w:rPr>
      </w:pPr>
      <w:r>
        <w:rPr>
          <w:rFonts w:ascii="Arial" w:cs="Arial" w:eastAsia="Arial" w:hAnsi="Arial"/>
          <w:sz w:val="18"/>
          <w:szCs w:val="18"/>
          <w:b w:val="1"/>
          <w:bCs w:val="1"/>
          <w:i w:val="1"/>
          <w:iCs w:val="1"/>
          <w:color w:val="auto"/>
        </w:rPr>
        <w:t>Even if we obtain regulatory approval of our product candidates, the products may not gain market acceptance among physicians, patients, hospitals, cancer treatment centers and others in the medical community.</w:t>
      </w:r>
    </w:p>
    <w:p>
      <w:pPr>
        <w:spacing w:after="0" w:line="21" w:lineRule="exact"/>
        <w:rPr>
          <w:sz w:val="20"/>
          <w:szCs w:val="20"/>
          <w:color w:val="auto"/>
        </w:rPr>
      </w:pPr>
    </w:p>
    <w:p>
      <w:pPr>
        <w:ind w:left="120" w:right="120" w:firstLine="551"/>
        <w:spacing w:after="0" w:line="276" w:lineRule="auto"/>
        <w:rPr>
          <w:sz w:val="20"/>
          <w:szCs w:val="20"/>
          <w:color w:val="auto"/>
        </w:rPr>
      </w:pPr>
      <w:r>
        <w:rPr>
          <w:rFonts w:ascii="Arial" w:cs="Arial" w:eastAsia="Arial" w:hAnsi="Arial"/>
          <w:sz w:val="18"/>
          <w:szCs w:val="18"/>
          <w:color w:val="auto"/>
        </w:rPr>
        <w:t>The use of precision medicines as a potential cancer treatment is a recent development and may not become broadly accepted by physicians, patients, hospitals, cancer treatment centers and others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40"/>
          </w:cols>
          <w:pgMar w:left="320" w:top="455" w:right="4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medical community. Various factors will influence whether our product candidates are accepted in the market, including:</w:t>
      </w:r>
    </w:p>
    <w:p>
      <w:pPr>
        <w:spacing w:after="0" w:line="117" w:lineRule="exact"/>
        <w:rPr>
          <w:sz w:val="20"/>
          <w:szCs w:val="20"/>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117" w:lineRule="exact"/>
        <w:rPr>
          <w:rFonts w:ascii="Arial" w:cs="Arial" w:eastAsia="Arial" w:hAnsi="Arial"/>
          <w:sz w:val="18"/>
          <w:szCs w:val="18"/>
          <w:color w:val="auto"/>
        </w:rPr>
      </w:pPr>
    </w:p>
    <w:p>
      <w:pPr>
        <w:ind w:left="880" w:right="740" w:hanging="224"/>
        <w:spacing w:after="0" w:line="276" w:lineRule="auto"/>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physicians, hospitals, cancer treatment centers and patients considering our product candidates as a safe and effective treatment;</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potential and perceived advantages of our product candidates over alternative treatments;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demonstrate the advantages of our product candidates over other cancer medicines;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prevalence and severity of any side effects for other precision medicines and public perception of other precision medicines;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labeling or product insert requirements of the FDA or other regulatory authorities;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by the FDA;</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market introduction of our product candidates as well as competitive products;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availability of adequate coverage, reimbursement and pricing by third-party payors and government authorities;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coverage by third-party payors and government authorities;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relative convenience and ease of administration, including as compared to alternative treatments and competitive therapies;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212" w:lineRule="exact"/>
        <w:rPr>
          <w:sz w:val="20"/>
          <w:szCs w:val="20"/>
          <w:color w:val="auto"/>
        </w:rPr>
      </w:pPr>
    </w:p>
    <w:p>
      <w:pPr>
        <w:ind w:left="120" w:right="720" w:firstLine="551"/>
        <w:spacing w:after="0" w:line="276" w:lineRule="auto"/>
        <w:rPr>
          <w:sz w:val="20"/>
          <w:szCs w:val="20"/>
          <w:color w:val="auto"/>
        </w:rPr>
      </w:pPr>
      <w:r>
        <w:rPr>
          <w:rFonts w:ascii="Arial" w:cs="Arial" w:eastAsia="Arial" w:hAnsi="Arial"/>
          <w:sz w:val="18"/>
          <w:szCs w:val="18"/>
          <w:color w:val="auto"/>
        </w:rPr>
        <w:t>If our product candidates are licensed but fail to achieve market acceptance among physicians, patients, hospitals, cancer treatment centers or others in the medical community, we will not be able to generate significant revenue.</w:t>
      </w:r>
    </w:p>
    <w:p>
      <w:pPr>
        <w:spacing w:after="0" w:line="14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In addition, although our product candidates differ in certain ways from other precision medicine approaches, serious adverse events or deaths in other clinical trials involving precision medicines, even if not ultimately attributable to our product or product candidates, could result in increased government regulation, unfavorable public perception and publicity, potential regulatory delays in the testing or licensing of our product candidates, stricter labeling requirements for those product candidates that are licensed and a decrease in demand for any such product candidates.</w:t>
      </w:r>
    </w:p>
    <w:p>
      <w:pPr>
        <w:spacing w:after="0" w:line="172"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Even if our products achieve market acceptance, we may not be able to maintain that market acceptance over time if new products or technologies are introduced that are more favorably received than our products, are more cost effective or render our products obsolete.</w:t>
      </w:r>
    </w:p>
    <w:p>
      <w:pPr>
        <w:spacing w:after="0" w:line="272" w:lineRule="exact"/>
        <w:rPr>
          <w:sz w:val="20"/>
          <w:szCs w:val="20"/>
          <w:color w:val="auto"/>
        </w:rPr>
      </w:pPr>
    </w:p>
    <w:p>
      <w:pPr>
        <w:ind w:left="120" w:right="160"/>
        <w:spacing w:after="0" w:line="251" w:lineRule="auto"/>
        <w:rPr>
          <w:sz w:val="20"/>
          <w:szCs w:val="20"/>
          <w:color w:val="auto"/>
        </w:rPr>
      </w:pPr>
      <w:r>
        <w:rPr>
          <w:rFonts w:ascii="Arial" w:cs="Arial" w:eastAsia="Arial" w:hAnsi="Arial"/>
          <w:sz w:val="18"/>
          <w:szCs w:val="18"/>
          <w:b w:val="1"/>
          <w:bCs w:val="1"/>
          <w:i w:val="1"/>
          <w:iCs w:val="1"/>
          <w:color w:val="auto"/>
        </w:rPr>
        <w:t>The insurance coverage and reimbursement status of newly-approved products is uncertain. Our product candidates may become subject to unfavorable pricing regulations, third-party coverage and reimbursement practices, or healthcare reform initiatives, which would adversely affect our business. Failure to obtain or maintain adequate coverage and reimbursement for new or current products could limit our ability to market those products and decrease our ability to generate revenue.</w:t>
      </w:r>
    </w:p>
    <w:p>
      <w:pPr>
        <w:spacing w:after="0" w:line="52" w:lineRule="exact"/>
        <w:rPr>
          <w:sz w:val="20"/>
          <w:szCs w:val="20"/>
          <w:color w:val="auto"/>
        </w:rPr>
      </w:pPr>
    </w:p>
    <w:p>
      <w:pPr>
        <w:ind w:left="120" w:right="160" w:firstLine="551"/>
        <w:spacing w:after="0" w:line="276" w:lineRule="auto"/>
        <w:rPr>
          <w:sz w:val="20"/>
          <w:szCs w:val="20"/>
          <w:color w:val="auto"/>
        </w:rPr>
      </w:pPr>
      <w:r>
        <w:rPr>
          <w:rFonts w:ascii="Arial" w:cs="Arial" w:eastAsia="Arial" w:hAnsi="Arial"/>
          <w:sz w:val="18"/>
          <w:szCs w:val="18"/>
          <w:color w:val="auto"/>
        </w:rPr>
        <w:t>The regulations that govern marketing approvals, pricing, coverage and reimbursement for new drugs vary widely from country to country. In the United States, recently enacted legislation may</w:t>
      </w:r>
    </w:p>
    <w:p>
      <w:pPr>
        <w:spacing w:after="0" w:line="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080"/>
          </w:cols>
          <w:pgMar w:left="320" w:top="455" w:right="49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rPr>
          <w:sz w:val="20"/>
          <w:szCs w:val="20"/>
          <w:color w:val="auto"/>
        </w:rPr>
      </w:pPr>
      <w:r>
        <w:rPr>
          <w:rFonts w:ascii="Arial" w:cs="Arial" w:eastAsia="Arial" w:hAnsi="Arial"/>
          <w:sz w:val="18"/>
          <w:szCs w:val="18"/>
          <w:color w:val="auto"/>
        </w:rPr>
        <w:t>materially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spacing w:after="0" w:line="180"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 candidates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such as gene therapy products. Sales of these or future product candidates that we may identify will depend substantially, both domestically and abroad, on the extent to which the costs of our product candidates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 Reimbursement by a third-party payor may depend upon a number of factors, including, but not limited to, the third-party payor’s determination that use of a product is:</w:t>
      </w:r>
    </w:p>
    <w:p>
      <w:pPr>
        <w:spacing w:after="0" w:line="93" w:lineRule="exact"/>
        <w:rPr>
          <w:sz w:val="20"/>
          <w:szCs w:val="20"/>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12"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medications. In many countries, the prices of medical products are subject to varying price control mechanisms as part of national health systems. In general, the prices of medicines under such systems are substantially lower than in the United States. Other countries allow companies to fix their own prices for medicines, but monitor and control company profits. Additional foreign price controls or other changes in pricing regulation could restrict the amount that we are able to charge for our product candidates. Accordingly, in markets outside the United States, the reimbursement for products may be reduced compared with the United States and may be insufficient to generate commercially reasonable revenue and profits.</w:t>
      </w:r>
    </w:p>
    <w:p>
      <w:pPr>
        <w:spacing w:after="0" w:line="180" w:lineRule="exact"/>
        <w:rPr>
          <w:sz w:val="20"/>
          <w:szCs w:val="20"/>
          <w:color w:val="auto"/>
        </w:rPr>
      </w:pPr>
    </w:p>
    <w:p>
      <w:pPr>
        <w:ind w:left="120" w:right="720" w:firstLine="551"/>
        <w:spacing w:after="0" w:line="276" w:lineRule="auto"/>
        <w:rPr>
          <w:sz w:val="20"/>
          <w:szCs w:val="20"/>
          <w:color w:val="auto"/>
        </w:rPr>
      </w:pPr>
      <w:r>
        <w:rPr>
          <w:rFonts w:ascii="Arial" w:cs="Arial" w:eastAsia="Arial" w:hAnsi="Arial"/>
          <w:sz w:val="18"/>
          <w:szCs w:val="18"/>
          <w:color w:val="auto"/>
        </w:rPr>
        <w:t>There is also significant uncertainty related to the insurance coverage and reimbursement of newly approved products and coverage may be more limited than the purposes for which the medicine</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5" w:right="4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is approved by the FDA or comparable foreign regulatory authorities. In the United States, the principal decisions about reimbursement for new medicines are typically made by the Centers for Medicare &amp; Medicaid Services, or CMS, an agency within the U.S. Department of Health and Human Services, or HHS. CMS decides whether and to what extent a new medicine will be covered and reimbursed under Medicare and private payors tend to follow CMS to a substantial degree.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It is difficult to predict what CMS will decide with respect to reimbursement for fundamentally novel products such as ours. Reimbursement agencies in Europe may be more conservative than CMS. For example, a number of cancer drugs have been approved for reimbursement in the United States and have not been approved for reimbursement in certain European countries.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Our inability to promptly obtain coverage and profitable payment rates from both government-funded and private payors for any approved products we may develop could have a material adverse effect on our business, financial condition and results of operations, our ability to raise capital needed to commercialize product candidates and our overall financial condition.</w:t>
      </w:r>
    </w:p>
    <w:p>
      <w:pPr>
        <w:spacing w:after="0" w:line="182"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Our inability to promptly obtain coverage and profitable reimbursement rates third-party payors for any approved products that we develop could have a material adverse effect on our business, financial condition and results of operations, our ability to raise capital needed to commercialize products and our overall financial condition.</w:t>
      </w:r>
    </w:p>
    <w:p>
      <w:pPr>
        <w:spacing w:after="0" w:line="172" w:lineRule="exact"/>
        <w:rPr>
          <w:sz w:val="20"/>
          <w:szCs w:val="20"/>
          <w:color w:val="auto"/>
        </w:rPr>
      </w:pPr>
    </w:p>
    <w:p>
      <w:pPr>
        <w:ind w:left="120" w:right="80" w:firstLine="551"/>
        <w:spacing w:after="0" w:line="255" w:lineRule="auto"/>
        <w:rPr>
          <w:sz w:val="20"/>
          <w:szCs w:val="20"/>
          <w:color w:val="auto"/>
        </w:rPr>
      </w:pPr>
      <w:r>
        <w:rPr>
          <w:rFonts w:ascii="Arial" w:cs="Arial" w:eastAsia="Arial" w:hAnsi="Arial"/>
          <w:sz w:val="17"/>
          <w:szCs w:val="17"/>
          <w:color w:val="auto"/>
        </w:rPr>
        <w:t>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the level of reimbursement. Reimbursement may impact the demand for, or the price of, any product candidate for which we obtain marketing approval. In order to obtain reimbursement, physicians may need to show that patients have superior treatment outcomes with our products compared to standard of care drugs, including lower-priced generic versions of standard of care drugs.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169"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Additionally, we may develop companion diagnostic tests for use with our product candidates. We, or our collaborators, may be required to obtain coverage and reimbursement for these tests separate and apart from the coverage and reimbursement we seek for our product candidates, once approved. Even if we obtain regulatory approval or clearance for such companion diagnostics, there is significant uncertainty regarding our ability to obtain coverage and adequate reimbursement for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5" w:right="45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45" w:lineRule="auto"/>
        <w:rPr>
          <w:sz w:val="20"/>
          <w:szCs w:val="20"/>
          <w:color w:val="auto"/>
        </w:rPr>
      </w:pPr>
      <w:r>
        <w:rPr>
          <w:rFonts w:ascii="Arial" w:cs="Arial" w:eastAsia="Arial" w:hAnsi="Arial"/>
          <w:sz w:val="18"/>
          <w:szCs w:val="18"/>
          <w:color w:val="auto"/>
        </w:rPr>
        <w:t>same reasons applicable to our product candidates. Medicare reimbursement methodologies, whether under Part A, Part B or clinical laboratory fee schedule may be amended from time to time, and we cannot predict what effect any change to these methodologies would have on any product candidate or companion diagnostic for which we receive approval. Our inability to promptly obtain coverage and adequate reimbursement from both third-party payors for the companion diagnostic tests that we develop and for which we obtain regulatory approval could have a material and adverse effect on our business, financial condition, results of operations and prospects.</w:t>
      </w:r>
    </w:p>
    <w:p>
      <w:pPr>
        <w:spacing w:after="0" w:line="280" w:lineRule="exact"/>
        <w:rPr>
          <w:sz w:val="20"/>
          <w:szCs w:val="20"/>
          <w:color w:val="auto"/>
        </w:rPr>
      </w:pPr>
    </w:p>
    <w:p>
      <w:pPr>
        <w:ind w:left="120" w:right="1220"/>
        <w:spacing w:after="0" w:line="285"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21"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face an inherent risk of product liability as a result of the planned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86" w:lineRule="exact"/>
        <w:rPr>
          <w:sz w:val="20"/>
          <w:szCs w:val="20"/>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decreased demand for our product candidates or products that we may develop;</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diversion of management’s time and our resources;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12"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Failure to obtain or retain sufficient product liability insurance at an acceptable cost to protect against potential product liability claims could prevent or inhibit the commercialization of products we develop, alone or with corporate collaborators. Although we have clinical trial insurance, our insurance policies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5" w:right="4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500"/>
        <w:spacing w:after="0" w:line="285"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if we are unable to obtain sufficient insurance coverage such inability could have an adverse effect on our business and financial condition.</w:t>
      </w:r>
    </w:p>
    <w:p>
      <w:pPr>
        <w:spacing w:after="0" w:line="2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or other comparable foreign regulatory authority investigation of the safety and effectiveness of our products, our manufacturing processes and facilities or our marketing programs. FDA or other comparable foreign regulatory authority investigations could potentially lead to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any of our product candidates,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 and financial condition.</w:t>
      </w:r>
    </w:p>
    <w:p>
      <w:pPr>
        <w:spacing w:after="0" w:line="288" w:lineRule="exact"/>
        <w:rPr>
          <w:sz w:val="20"/>
          <w:szCs w:val="20"/>
          <w:color w:val="auto"/>
        </w:rPr>
      </w:pPr>
    </w:p>
    <w:p>
      <w:pPr>
        <w:ind w:left="120" w:right="240"/>
        <w:spacing w:after="0" w:line="285" w:lineRule="auto"/>
        <w:rPr>
          <w:sz w:val="20"/>
          <w:szCs w:val="20"/>
          <w:color w:val="auto"/>
        </w:rPr>
      </w:pPr>
      <w:r>
        <w:rPr>
          <w:rFonts w:ascii="Arial" w:cs="Arial" w:eastAsia="Arial" w:hAnsi="Arial"/>
          <w:sz w:val="18"/>
          <w:szCs w:val="18"/>
          <w:b w:val="1"/>
          <w:bCs w:val="1"/>
          <w:i w:val="1"/>
          <w:iCs w:val="1"/>
          <w:color w:val="auto"/>
        </w:rPr>
        <w:t>We have never commercialized a product candidate before and may lack the necessary expertise, personnel and resources to successfully commercialize any products on our own or together with suitable collaborators.</w:t>
      </w:r>
    </w:p>
    <w:p>
      <w:pPr>
        <w:spacing w:after="0" w:line="21"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We have never commercialized a product candidate and we currently have no sales force, marketing or distribution capabilities. To achieve commercial success for the product candidates which we may license to others, we will rely on the assistance and guidance of those collaborators. For product candidates for which we retain commercialization rights and marketing approval, we will have to develop our own sales, marketing and supply organization or outsource these activities to a third party.</w:t>
      </w:r>
    </w:p>
    <w:p>
      <w:pPr>
        <w:spacing w:after="0" w:line="170"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Factors that may affect our ability to commercialize our product candidates, if approved, on our own include recruiting and retaining adequate numbers of effective sales and marketing personnel, developing adequate educational and marketing programs to increase public acceptance of our product candidates, ensuring regulatory compliance of our company, employees and third parties under applicable healthcare laws and other unforeseen costs associated with creating an independent sales and marketing organization. Developing a sales and marketing organization will be expensive and time-consuming and could delay the launch of our product candidates upon approval. We may not be able to build an effective sales and marketing organization. If we are unable to build our own distribution and marketing capabilities or to find suitable partners for the commercialization of our product candidates, we may not generate revenue from them or be able to reach or sustain profitability.</w:t>
      </w:r>
    </w:p>
    <w:p>
      <w:pPr>
        <w:spacing w:after="0" w:line="288" w:lineRule="exact"/>
        <w:rPr>
          <w:sz w:val="20"/>
          <w:szCs w:val="20"/>
          <w:color w:val="auto"/>
        </w:rPr>
      </w:pPr>
    </w:p>
    <w:p>
      <w:pPr>
        <w:ind w:left="120" w:right="60"/>
        <w:spacing w:after="0" w:line="260"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in marketing products. If we are unable to establish marketing and sales capabilities or enter into agreements with third parties to market and sell our product candidates, if approved, we may not be able to generate product revenue.</w:t>
      </w:r>
    </w:p>
    <w:p>
      <w:pPr>
        <w:spacing w:after="0" w:line="43" w:lineRule="exact"/>
        <w:rPr>
          <w:sz w:val="20"/>
          <w:szCs w:val="20"/>
          <w:color w:val="auto"/>
        </w:rPr>
      </w:pPr>
    </w:p>
    <w:p>
      <w:pPr>
        <w:ind w:left="120" w:right="260" w:firstLine="551"/>
        <w:spacing w:after="0" w:line="255" w:lineRule="auto"/>
        <w:rPr>
          <w:sz w:val="20"/>
          <w:szCs w:val="20"/>
          <w:color w:val="auto"/>
        </w:rPr>
      </w:pPr>
      <w:r>
        <w:rPr>
          <w:rFonts w:ascii="Arial" w:cs="Arial" w:eastAsia="Arial" w:hAnsi="Arial"/>
          <w:sz w:val="18"/>
          <w:szCs w:val="18"/>
          <w:color w:val="auto"/>
        </w:rPr>
        <w:t>We currently have no sales, marketing or distribution capabilities and have no experience in marketing products. We intend to develop an in-house marketing organization and sales force, which will require significant capital expenditures, management resources and time. We will have to compete</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5" w:right="47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other pharmaceutical and biotechnology companies to recruit, hire, train and retain marketing and sales personnel.</w:t>
      </w:r>
    </w:p>
    <w:p>
      <w:pPr>
        <w:spacing w:after="0" w:line="21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If we are unable or decide not to establish internal sales, marketing and distribution capabilities, we will pursue arrangements with third-party sales, marketing and distribution collaborators regarding the sales and marketing of our products, if approved. However, there can be no assurance that we will be able to establish or maintain such arrangements on favorable terms or if at all, or if we are able to do so, that these third-party arrangements will provide effective sales forces or marketing and distribution capabilities. Any revenue we receive will depend upon the efforts of such third parties, which may not be successful.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80" w:lineRule="exact"/>
        <w:rPr>
          <w:sz w:val="20"/>
          <w:szCs w:val="20"/>
          <w:color w:val="auto"/>
        </w:rPr>
      </w:pPr>
    </w:p>
    <w:p>
      <w:pPr>
        <w:ind w:left="120" w:right="480" w:firstLine="551"/>
        <w:spacing w:after="0" w:line="276" w:lineRule="auto"/>
        <w:rPr>
          <w:sz w:val="20"/>
          <w:szCs w:val="20"/>
          <w:color w:val="auto"/>
        </w:rPr>
      </w:pPr>
      <w:r>
        <w:rPr>
          <w:rFonts w:ascii="Arial" w:cs="Arial" w:eastAsia="Arial" w:hAnsi="Arial"/>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Regulatory Process and Other Legal Compliance Matters</w:t>
      </w:r>
    </w:p>
    <w:p>
      <w:pPr>
        <w:spacing w:after="0" w:line="214" w:lineRule="exact"/>
        <w:rPr>
          <w:sz w:val="20"/>
          <w:szCs w:val="20"/>
          <w:color w:val="auto"/>
        </w:rPr>
      </w:pPr>
    </w:p>
    <w:p>
      <w:pPr>
        <w:ind w:left="120" w:right="20"/>
        <w:spacing w:after="0" w:line="251" w:lineRule="auto"/>
        <w:rPr>
          <w:sz w:val="20"/>
          <w:szCs w:val="20"/>
          <w:color w:val="auto"/>
        </w:rPr>
      </w:pPr>
      <w:r>
        <w:rPr>
          <w:rFonts w:ascii="Arial" w:cs="Arial" w:eastAsia="Arial" w:hAnsi="Arial"/>
          <w:sz w:val="18"/>
          <w:szCs w:val="18"/>
          <w:b w:val="1"/>
          <w:bCs w:val="1"/>
          <w:i w:val="1"/>
          <w:iCs w:val="1"/>
          <w:color w:val="auto"/>
        </w:rPr>
        <w:t>The regulatory approval processes of the FDA and other comparable foreign regulatory authorities are lengthy, time consuming and inherently unpredictable. 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p>
      <w:pPr>
        <w:spacing w:after="0" w:line="52"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We cannot commercialize product candidates in the United States without first obtaining regulatory approval from the FDA. Similarly, we cannot commercialize product candidates outside of the United States without obtaining regulatory approval from comparable foreign regulatory authorities. Before obtaining regulatory approvals for the commercial sale of our product candidates, including our lead product candidate PC14586, we must demonstrate through lengthy, complex and expensive preclinical studies and clinical trials that our product candidates are both safe and effective for each targeted indication.</w:t>
      </w:r>
    </w:p>
    <w:p>
      <w:pPr>
        <w:spacing w:after="0" w:line="172" w:lineRule="exact"/>
        <w:rPr>
          <w:sz w:val="20"/>
          <w:szCs w:val="20"/>
          <w:color w:val="auto"/>
        </w:rPr>
      </w:pPr>
    </w:p>
    <w:p>
      <w:pPr>
        <w:ind w:left="120" w:right="120" w:firstLine="551"/>
        <w:spacing w:after="0" w:line="248" w:lineRule="auto"/>
        <w:rPr>
          <w:sz w:val="20"/>
          <w:szCs w:val="20"/>
          <w:color w:val="auto"/>
        </w:rPr>
      </w:pPr>
      <w:r>
        <w:rPr>
          <w:rFonts w:ascii="Arial" w:cs="Arial" w:eastAsia="Arial" w:hAnsi="Arial"/>
          <w:sz w:val="18"/>
          <w:szCs w:val="18"/>
          <w:color w:val="auto"/>
        </w:rPr>
        <w:t>Securing regulatory approval also requires the submission of information about the drug manufacturing process to, and inspection of manufacturing facilities by, the relevant regulatory authority. Further, our product candidates may not be effective, may be only moderately effective or may prove to have undesirable or unintended side effects, toxicities or other characteristics that may preclude our obtaining marketing approval.</w:t>
      </w:r>
    </w:p>
    <w:p>
      <w:pPr>
        <w:spacing w:after="0" w:line="170" w:lineRule="exact"/>
        <w:rPr>
          <w:sz w:val="20"/>
          <w:szCs w:val="20"/>
          <w:color w:val="auto"/>
        </w:rPr>
      </w:pPr>
    </w:p>
    <w:p>
      <w:pPr>
        <w:ind w:left="120" w:right="120" w:firstLine="551"/>
        <w:spacing w:after="0"/>
        <w:rPr>
          <w:sz w:val="20"/>
          <w:szCs w:val="20"/>
          <w:color w:val="auto"/>
        </w:rPr>
      </w:pPr>
      <w:r>
        <w:rPr>
          <w:rFonts w:ascii="Arial" w:cs="Arial" w:eastAsia="Arial" w:hAnsi="Arial"/>
          <w:sz w:val="18"/>
          <w:szCs w:val="18"/>
          <w:color w:val="auto"/>
        </w:rPr>
        <w:t>The process of obtaining regulatory approvals, both in the United States and abroad, is unpredictable, expensive and typically takes many years following commencement of clinical trials,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IND, NDA or equivalent application types, may cause delays in the approval or rejection of an application. For example, FDA has recently issued guidance on conducting clinical trials during the pandemic, which describes a number of considerations for sponsors of clinical trials impacted by the COVID-19 pandemic, including recordkeeping and implementation of contingency measures in response to the ongoing pandemic. The FDA and comparable authorities in other countries have substantial discretion in the approval process and may refuse to accept any application or may decide that our data are insufficient for</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5" w:right="45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40"/>
        <w:spacing w:after="0" w:line="276" w:lineRule="auto"/>
        <w:rPr>
          <w:sz w:val="20"/>
          <w:szCs w:val="20"/>
          <w:color w:val="auto"/>
        </w:rPr>
      </w:pPr>
      <w:r>
        <w:rPr>
          <w:rFonts w:ascii="Arial" w:cs="Arial" w:eastAsia="Arial" w:hAnsi="Arial"/>
          <w:sz w:val="18"/>
          <w:szCs w:val="18"/>
          <w:color w:val="auto"/>
        </w:rPr>
        <w:t>approval and require additional preclinical, clinical or other data. Our product candidates could be delayed in receiving, or fail to receive, regulatory approval for many reasons, including the following:</w:t>
      </w:r>
    </w:p>
    <w:p>
      <w:pPr>
        <w:spacing w:after="0" w:line="50" w:lineRule="exact"/>
        <w:rPr>
          <w:sz w:val="20"/>
          <w:szCs w:val="20"/>
          <w:color w:val="auto"/>
        </w:rPr>
      </w:pPr>
    </w:p>
    <w:p>
      <w:pPr>
        <w:ind w:left="880" w:right="400" w:hanging="224"/>
        <w:spacing w:after="0" w:line="248"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 including our proposed Phase 1/2 clinical trial design for PC14586, or require us to modify the design of our clinical trials, including additional procedures and contingency measures in response to the COVID-19 pandemic or as required by clinical sites, IRBs, FDA or other regulatory authorities;</w:t>
      </w:r>
    </w:p>
    <w:p>
      <w:pPr>
        <w:spacing w:after="0" w:line="75" w:lineRule="exact"/>
        <w:rPr>
          <w:rFonts w:ascii="Arial" w:cs="Arial" w:eastAsia="Arial" w:hAnsi="Arial"/>
          <w:sz w:val="18"/>
          <w:szCs w:val="18"/>
          <w:color w:val="auto"/>
        </w:rPr>
      </w:pPr>
    </w:p>
    <w:p>
      <w:pPr>
        <w:ind w:left="880" w:hanging="224"/>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tumor-agnostic development strategy;</w:t>
      </w:r>
    </w:p>
    <w:p>
      <w:pPr>
        <w:spacing w:after="0" w:line="117" w:lineRule="exact"/>
        <w:rPr>
          <w:rFonts w:ascii="Arial" w:cs="Arial" w:eastAsia="Arial" w:hAnsi="Arial"/>
          <w:sz w:val="18"/>
          <w:szCs w:val="18"/>
          <w:color w:val="auto"/>
        </w:rPr>
      </w:pPr>
    </w:p>
    <w:p>
      <w:pPr>
        <w:ind w:left="880" w:right="260" w:hanging="224"/>
        <w:spacing w:after="0" w:line="27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population studied in the clinical trial may not be sufficiently broad or representative to assure efficacy and safety in the full population for which we seek approval;</w:t>
      </w:r>
    </w:p>
    <w:p>
      <w:pPr>
        <w:spacing w:after="0" w:line="50" w:lineRule="exact"/>
        <w:rPr>
          <w:rFonts w:ascii="Arial" w:cs="Arial" w:eastAsia="Arial" w:hAnsi="Arial"/>
          <w:sz w:val="18"/>
          <w:szCs w:val="18"/>
          <w:color w:val="auto"/>
        </w:rPr>
      </w:pPr>
    </w:p>
    <w:p>
      <w:pPr>
        <w:ind w:left="880" w:right="320" w:hanging="224"/>
        <w:spacing w:after="0" w:line="255"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drug candidate is safe and effective for its proposed indication, or a related companion diagnostic is suitable to identify appropriate patient populations;</w:t>
      </w:r>
    </w:p>
    <w:p>
      <w:pPr>
        <w:spacing w:after="0" w:line="69" w:lineRule="exact"/>
        <w:rPr>
          <w:rFonts w:ascii="Arial" w:cs="Arial" w:eastAsia="Arial" w:hAnsi="Arial"/>
          <w:sz w:val="18"/>
          <w:szCs w:val="18"/>
          <w:color w:val="auto"/>
        </w:rPr>
      </w:pPr>
    </w:p>
    <w:p>
      <w:pPr>
        <w:ind w:left="880" w:right="160" w:hanging="224"/>
        <w:spacing w:after="0" w:line="27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or other comparable regulatory authorities may fail to approve companion diagnostic tests that may be required for our product candidates;</w:t>
      </w:r>
    </w:p>
    <w:p>
      <w:pPr>
        <w:spacing w:after="0" w:line="50"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 or that a product candidate has an acceptable benefit-risk ratio for its proposed indication;</w:t>
      </w:r>
    </w:p>
    <w:p>
      <w:pPr>
        <w:spacing w:after="0" w:line="50" w:lineRule="exact"/>
        <w:rPr>
          <w:rFonts w:ascii="Arial" w:cs="Arial" w:eastAsia="Arial" w:hAnsi="Arial"/>
          <w:sz w:val="18"/>
          <w:szCs w:val="18"/>
          <w:color w:val="auto"/>
        </w:rPr>
      </w:pPr>
    </w:p>
    <w:p>
      <w:pPr>
        <w:ind w:left="880" w:right="480" w:hanging="224"/>
        <w:spacing w:after="0" w:line="27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50" w:lineRule="exact"/>
        <w:rPr>
          <w:rFonts w:ascii="Arial" w:cs="Arial" w:eastAsia="Arial" w:hAnsi="Arial"/>
          <w:sz w:val="18"/>
          <w:szCs w:val="18"/>
          <w:color w:val="auto"/>
        </w:rPr>
      </w:pPr>
    </w:p>
    <w:p>
      <w:pPr>
        <w:ind w:left="880" w:right="460" w:hanging="224"/>
        <w:spacing w:after="0" w:line="27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 or to obtain regulatory approval in the United States or elsewhere;</w:t>
      </w:r>
    </w:p>
    <w:p>
      <w:pPr>
        <w:spacing w:after="0" w:line="50" w:lineRule="exact"/>
        <w:rPr>
          <w:rFonts w:ascii="Arial" w:cs="Arial" w:eastAsia="Arial" w:hAnsi="Arial"/>
          <w:sz w:val="18"/>
          <w:szCs w:val="18"/>
          <w:color w:val="auto"/>
        </w:rPr>
      </w:pPr>
    </w:p>
    <w:p>
      <w:pPr>
        <w:ind w:left="880" w:right="760" w:hanging="224"/>
        <w:spacing w:after="0" w:line="306" w:lineRule="auto"/>
        <w:tabs>
          <w:tab w:leader="none" w:pos="8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the manufacturing processes, test procedures, specifications or facilities of third-party manufacturers with which we contract for clinical and commercial supplies;</w:t>
      </w:r>
    </w:p>
    <w:p>
      <w:pPr>
        <w:spacing w:after="0" w:line="28" w:lineRule="exact"/>
        <w:rPr>
          <w:rFonts w:ascii="Arial" w:cs="Arial" w:eastAsia="Arial" w:hAnsi="Arial"/>
          <w:sz w:val="17"/>
          <w:szCs w:val="17"/>
          <w:color w:val="auto"/>
        </w:rPr>
      </w:pPr>
    </w:p>
    <w:p>
      <w:pPr>
        <w:ind w:left="880" w:right="240" w:hanging="224"/>
        <w:spacing w:after="0" w:line="27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otherwise fail or be unable to adequately perform their obligations to allow for the conduct of our planned or future clinical studies; and</w:t>
      </w:r>
    </w:p>
    <w:p>
      <w:pPr>
        <w:spacing w:after="0" w:line="50"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45"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materially adversely affect our business, results of operations and prospects.</w:t>
      </w:r>
    </w:p>
    <w:p>
      <w:pPr>
        <w:spacing w:after="0" w:line="170" w:lineRule="exact"/>
        <w:rPr>
          <w:sz w:val="20"/>
          <w:szCs w:val="20"/>
          <w:color w:val="auto"/>
        </w:rPr>
      </w:pPr>
    </w:p>
    <w:p>
      <w:pPr>
        <w:ind w:left="120" w:right="140" w:firstLine="551"/>
        <w:spacing w:after="0" w:line="248" w:lineRule="auto"/>
        <w:rPr>
          <w:sz w:val="20"/>
          <w:szCs w:val="20"/>
          <w:color w:val="auto"/>
        </w:rPr>
      </w:pPr>
      <w:r>
        <w:rPr>
          <w:rFonts w:ascii="Arial" w:cs="Arial" w:eastAsia="Arial" w:hAnsi="Arial"/>
          <w:sz w:val="18"/>
          <w:szCs w:val="18"/>
          <w:color w:val="auto"/>
        </w:rPr>
        <w:t>The FDA or a comparable foreign regulatory authority may require more information, including additional preclinical or clinical data to support approval, which may delay or prevent approval and our commercialization plans, or we may decide to abandon the development program. If we were to obtain approval, regulatory authorities may approve any of our product candidates for fewer or more limited indications than we request (including failing to approve the most commercially promising indications),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55" w:right="43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00"/>
        <w:spacing w:after="0" w:line="276" w:lineRule="auto"/>
        <w:rPr>
          <w:sz w:val="20"/>
          <w:szCs w:val="20"/>
          <w:color w:val="auto"/>
        </w:rPr>
      </w:pPr>
      <w:r>
        <w:rPr>
          <w:rFonts w:ascii="Arial" w:cs="Arial" w:eastAsia="Arial" w:hAnsi="Arial"/>
          <w:sz w:val="18"/>
          <w:szCs w:val="18"/>
          <w:color w:val="auto"/>
        </w:rPr>
        <w:t>may grant approval contingent on the performance of costly post-marketing clinical studies, or may approve a product candidate with a label that does not include the labeling claims necessary or desirable for the successful commercialization of that product candidate.</w:t>
      </w:r>
    </w:p>
    <w:p>
      <w:pPr>
        <w:spacing w:after="0" w:line="253" w:lineRule="exact"/>
        <w:rPr>
          <w:sz w:val="20"/>
          <w:szCs w:val="20"/>
          <w:color w:val="auto"/>
        </w:rPr>
      </w:pPr>
    </w:p>
    <w:p>
      <w:pPr>
        <w:ind w:left="120" w:right="160"/>
        <w:spacing w:after="0" w:line="260" w:lineRule="auto"/>
        <w:rPr>
          <w:sz w:val="20"/>
          <w:szCs w:val="20"/>
          <w:color w:val="auto"/>
        </w:rPr>
      </w:pPr>
      <w:r>
        <w:rPr>
          <w:rFonts w:ascii="Arial" w:cs="Arial" w:eastAsia="Arial" w:hAnsi="Arial"/>
          <w:sz w:val="18"/>
          <w:szCs w:val="18"/>
          <w:b w:val="1"/>
          <w:bCs w:val="1"/>
          <w:i w:val="1"/>
          <w:iCs w:val="1"/>
          <w:color w:val="auto"/>
        </w:rPr>
        <w:t>We may not be able to obtain orphan drug designation or obtain or maintain the benefits associated with orphan drug designation, such as orphan drug exclusivity and, even if we do, that exclusivity may not prevent the FDA or other comparable foreign regulatory authorities, from approving competing products.</w:t>
      </w:r>
    </w:p>
    <w:p>
      <w:pPr>
        <w:spacing w:after="0" w:line="4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As part of our business strategy, we may seek orphan drug designation, or ODD, for any eligible product candidates we develop, and we may be unsuccessful. 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and making available the drug will be recovered from sales in the United States. Our target indications may include diseases with large patient populations or may include orphan indications. However, there can be no assurances that we will be able to obtain orphan designations for our product candidates.</w:t>
      </w:r>
    </w:p>
    <w:p>
      <w:pPr>
        <w:spacing w:after="0" w:line="180"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In the United States, ODD entitles a party to financial incentives such as opportunities for grant funding towards clinical trial costs, tax advantages and user-fee waivers. In addition, if a product that has ODD subsequently receives the first FDA approval for a particular active ingredient for the disease for which it has such designation, the product is entitled to orphan drug exclusivity. Orphan drug exclusivity in the United States provides that the FDA may not approve any other applications, including a full NDA, to market the same drug for the same indication for seven years, except in limited circumstances such as a showing of clinical superiority to the product with orphan product exclusivity or if FDA finds that the holder of the orphan exclusivity has not shown that it can ensure the availability of sufficient quantities of the orphan product to meet the needs of patients with the disease or condition for which the product was designated. The applicable exclusivity period is 10 years in Europe. The European exclusivity period can be reduced to six years if a drug no longer meets the criteria for ODD or if the drug is sufficiently profitable so that market exclusivity is no longer justified.</w:t>
      </w:r>
    </w:p>
    <w:p>
      <w:pPr>
        <w:spacing w:after="0" w:line="176" w:lineRule="exact"/>
        <w:rPr>
          <w:sz w:val="20"/>
          <w:szCs w:val="20"/>
          <w:color w:val="auto"/>
        </w:rPr>
      </w:pPr>
    </w:p>
    <w:p>
      <w:pPr>
        <w:ind w:left="120" w:firstLine="551"/>
        <w:spacing w:after="0" w:line="253" w:lineRule="auto"/>
        <w:rPr>
          <w:sz w:val="20"/>
          <w:szCs w:val="20"/>
          <w:color w:val="auto"/>
        </w:rPr>
      </w:pPr>
      <w:r>
        <w:rPr>
          <w:rFonts w:ascii="Arial" w:cs="Arial" w:eastAsia="Arial" w:hAnsi="Arial"/>
          <w:sz w:val="17"/>
          <w:szCs w:val="17"/>
          <w:color w:val="auto"/>
        </w:rPr>
        <w:t>Even if we obtain ODD for a product candidate, we may not be able to obtain or maintain orphan drug exclusivity for that product candidate. We may not be the first to obtain marketing approval of any product candidate for which we have obtained ODD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we are unable to ensure that we will be able to manufacture sufficient quantities of the product to meet the needs of patients with the rare disease or condition. Further, even if we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Orphan drug designation neither shortens the development time or regulatory review time of a drug nor gives the product candidate any advantage in the regulatory review or approval process.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5" w:right="47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51" w:lineRule="auto"/>
        <w:rPr>
          <w:sz w:val="20"/>
          <w:szCs w:val="20"/>
          <w:color w:val="auto"/>
        </w:rPr>
      </w:pPr>
      <w:r>
        <w:rPr>
          <w:rFonts w:ascii="Arial" w:cs="Arial" w:eastAsia="Arial" w:hAnsi="Arial"/>
          <w:sz w:val="18"/>
          <w:szCs w:val="18"/>
          <w:b w:val="1"/>
          <w:bCs w:val="1"/>
          <w:i w:val="1"/>
          <w:iCs w:val="1"/>
          <w:color w:val="auto"/>
        </w:rPr>
        <w:t>We may seek and fail to obtain fast track or breakthrough therapy designations for our current or future product candidates. Even if we are successful, these programs may not lead to a faster development or regulatory review process, and they do not guarantee we will receive approval for any product candidate. We may also seek to obtain accelerated approval for one or more of our product candidates but the FDA may disagree that we have met the requirements for such approval.</w:t>
      </w:r>
    </w:p>
    <w:p>
      <w:pPr>
        <w:spacing w:after="0" w:line="52" w:lineRule="exact"/>
        <w:rPr>
          <w:sz w:val="20"/>
          <w:szCs w:val="20"/>
          <w:color w:val="auto"/>
        </w:rPr>
      </w:pPr>
    </w:p>
    <w:p>
      <w:pPr>
        <w:ind w:left="120" w:right="200" w:firstLine="551"/>
        <w:spacing w:after="0" w:line="243" w:lineRule="auto"/>
        <w:rPr>
          <w:sz w:val="20"/>
          <w:szCs w:val="20"/>
          <w:color w:val="auto"/>
        </w:rPr>
      </w:pPr>
      <w:r>
        <w:rPr>
          <w:rFonts w:ascii="Arial" w:cs="Arial" w:eastAsia="Arial" w:hAnsi="Arial"/>
          <w:sz w:val="18"/>
          <w:szCs w:val="18"/>
          <w:color w:val="auto"/>
        </w:rPr>
        <w:t>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174"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18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Separately from fast track or breakthrough therapy designation, we may seek accelerated approval for one or more of our product candidates. A product candidate intended to treat serious or life-threatening diseases or conditions may be eligible for accelerated approval if it is determined to have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post-approval clinical studies to verify and describe the anticipated effect on irreversible morbidity or mortality or other clinical benefit. In addition, the FDA currently requires pre-approval of promotional materials for accelerated approval products, once approved. We cannot guarantee that the FDA will agree any of our product candidates has met the criteria to receive accelerated approval, which would require us to conduct additional clinical testing prior to seeking FDA approval. Even if any of our product candidates received approval through this pathway, the required post-approval confirmatory clinical trials may fail to verify the predicted clinical benefit of the product, and we may be required to remove the product from the market or amend the product label in a way that adversely impacts its marketing.</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5" w:right="4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540"/>
        <w:spacing w:after="0" w:line="285"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21"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Obtaining and maintaining regulatory approval of our product candidates in one jurisdiction does not guarantee that we will be able to obtain or maintain regulatory approval in any other jurisdiction. For example, even if the FDA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products is also subject to approval.</w:t>
      </w:r>
    </w:p>
    <w:p>
      <w:pPr>
        <w:spacing w:after="0" w:line="176" w:lineRule="exact"/>
        <w:rPr>
          <w:sz w:val="20"/>
          <w:szCs w:val="20"/>
          <w:color w:val="auto"/>
        </w:rPr>
      </w:pPr>
    </w:p>
    <w:p>
      <w:pPr>
        <w:ind w:left="120" w:right="220" w:firstLine="551"/>
        <w:spacing w:after="0" w:line="241" w:lineRule="auto"/>
        <w:rPr>
          <w:sz w:val="20"/>
          <w:szCs w:val="20"/>
          <w:color w:val="auto"/>
        </w:rPr>
      </w:pPr>
      <w:r>
        <w:rPr>
          <w:rFonts w:ascii="Arial" w:cs="Arial" w:eastAsia="Arial" w:hAnsi="Arial"/>
          <w:sz w:val="18"/>
          <w:szCs w:val="18"/>
          <w:color w:val="auto"/>
        </w:rPr>
        <w:t>We may also submit marketing applications in other countries. Regulatory authorities in jurisdictions outside of the United States have requirements for approval of product candidates with which we must comply prior to marketing in those jurisdictions. 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the regulatory requirements in international markets or fail to receive applicable marketing approvals, our target market will be reduced and our ability to realize the full market potential of our potential product candidates will be adversely affected.</w:t>
      </w:r>
    </w:p>
    <w:p>
      <w:pPr>
        <w:spacing w:after="0" w:line="287" w:lineRule="exact"/>
        <w:rPr>
          <w:sz w:val="20"/>
          <w:szCs w:val="20"/>
          <w:color w:val="auto"/>
        </w:rPr>
      </w:pPr>
    </w:p>
    <w:p>
      <w:pPr>
        <w:ind w:left="120" w:right="220"/>
        <w:spacing w:after="0" w:line="247" w:lineRule="auto"/>
        <w:rPr>
          <w:sz w:val="20"/>
          <w:szCs w:val="20"/>
          <w:color w:val="auto"/>
        </w:rPr>
      </w:pPr>
      <w:r>
        <w:rPr>
          <w:rFonts w:ascii="Arial" w:cs="Arial" w:eastAsia="Arial" w:hAnsi="Arial"/>
          <w:sz w:val="18"/>
          <w:szCs w:val="18"/>
          <w:b w:val="1"/>
          <w:bCs w:val="1"/>
          <w:i w:val="1"/>
          <w:iCs w:val="1"/>
          <w:color w:val="auto"/>
        </w:rPr>
        <w:t>Preclinical and clinical development involves a lengthy and expensive process with uncertain outcomes, and results of earlier studies and trials may not be predictive of future clinical trial results. We may encounter substantial delays in clinical trials, or may not be able to conduct or complete clinical trials on the expected timelines, if at all. If our preclinical studies and clinical trials are not sufficient to support regulatory approval of any of our product candidates, we may incur additional costs or experience delays in completing, or ultimately be unable to complete, the development of such product candidate.</w:t>
      </w:r>
    </w:p>
    <w:p>
      <w:pPr>
        <w:spacing w:after="0" w:line="55"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All of our lead product candidates are in preclinical development and their risk of failure is high. It is impossible to predict when or if any of our product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product candidates in humans. Our clinical trials may not be conducted as planned or completed on schedule, if at all, and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Our preclinical studies and future clinical trials may not be successful.</w:t>
      </w:r>
    </w:p>
    <w:p>
      <w:pPr>
        <w:spacing w:after="0" w:line="180" w:lineRule="exact"/>
        <w:rPr>
          <w:sz w:val="20"/>
          <w:szCs w:val="20"/>
          <w:color w:val="auto"/>
        </w:rPr>
      </w:pPr>
    </w:p>
    <w:p>
      <w:pPr>
        <w:jc w:val="both"/>
        <w:ind w:left="120" w:firstLine="551"/>
        <w:spacing w:after="0" w:line="255" w:lineRule="auto"/>
        <w:rPr>
          <w:sz w:val="20"/>
          <w:szCs w:val="20"/>
          <w:color w:val="auto"/>
        </w:rPr>
      </w:pPr>
      <w:r>
        <w:rPr>
          <w:rFonts w:ascii="Arial" w:cs="Arial" w:eastAsia="Arial" w:hAnsi="Arial"/>
          <w:sz w:val="18"/>
          <w:szCs w:val="18"/>
          <w:color w:val="auto"/>
        </w:rPr>
        <w:t>We cannot be certain that our preclinical study and clinical trial results will be sufficient to support regulatory approval of our product candidates, or that FDA or other comparable regulatory authorities will find our planned clinical strategy to be acceptable. Clinical testing is expensive and can take many</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5" w:right="4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45" w:lineRule="auto"/>
        <w:rPr>
          <w:sz w:val="20"/>
          <w:szCs w:val="20"/>
          <w:color w:val="auto"/>
        </w:rPr>
      </w:pPr>
      <w:r>
        <w:rPr>
          <w:rFonts w:ascii="Arial" w:cs="Arial" w:eastAsia="Arial" w:hAnsi="Arial"/>
          <w:sz w:val="18"/>
          <w:szCs w:val="18"/>
          <w:color w:val="auto"/>
        </w:rPr>
        <w:t>years to complete, and its outcome is inherently uncertain. Human clinical trials are expensive and difficult to design and implement, in part because they are subject to rigorous regulatory requirements. Failure or delay can occur at any time during the clinical trial process. In addition, the COVID-19 pandemic is still evolving as of this time and much of its impact remains unknown, and it is impossible to predict the impact the COVID-19 pandemic may have on the development of our product candidates, our preclinical studies and clinical trials and our business.</w:t>
      </w:r>
    </w:p>
    <w:p>
      <w:pPr>
        <w:spacing w:after="0" w:line="172"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Additionally, some of the clinical trials we conduct, including our planned PC14586 Phase 1/2 clinical trial, may be open-label in study design and may be conducted at a limited number of clinical sites on a limited number of patients.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Moreover, patients selected for early clinical studies often include the most severe sufferers and their symptoms may have been bound to improve notwithstanding the new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w:t>
      </w:r>
    </w:p>
    <w:p>
      <w:pPr>
        <w:spacing w:after="0" w:line="176"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We may experience delays in obtaining the FDA’s authorization to initiate clinical trials, completing ongoing preclinical studies of our future product candidates and initiating our planned preclinical studies and clinical trials. Additionally, we cannot be certain that preclinical studies or clinical trials for our product candidates will begin on time, not require redesign, enroll an adequate number of research subjects or patients on time, or be completed on schedule, if at all. Clinical trials can be delayed or terminated for a variety of reasons, including delays or failures related to:</w:t>
      </w:r>
    </w:p>
    <w:p>
      <w:pPr>
        <w:spacing w:after="0" w:line="78" w:lineRule="exact"/>
        <w:rPr>
          <w:sz w:val="20"/>
          <w:szCs w:val="20"/>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availability of financial resources to commence and complete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as to the design or implementation of our clinical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disagreeing with our tumor-agnostic development strategy;</w:t>
      </w:r>
    </w:p>
    <w:p>
      <w:pPr>
        <w:spacing w:after="0" w:line="117" w:lineRule="exact"/>
        <w:rPr>
          <w:rFonts w:ascii="Arial" w:cs="Arial" w:eastAsia="Arial" w:hAnsi="Arial"/>
          <w:sz w:val="18"/>
          <w:szCs w:val="18"/>
          <w:color w:val="auto"/>
        </w:rPr>
      </w:pPr>
    </w:p>
    <w:p>
      <w:pPr>
        <w:ind w:left="880" w:right="340" w:hanging="224"/>
        <w:spacing w:after="0" w:line="276"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delays in obtaining regulatory approval or authorization to commence a clinical trial, including delays or issues relating to any future companion diagnostics which we may develop;</w:t>
      </w:r>
    </w:p>
    <w:p>
      <w:pPr>
        <w:spacing w:after="0" w:line="50" w:lineRule="exact"/>
        <w:rPr>
          <w:rFonts w:ascii="Arial" w:cs="Arial" w:eastAsia="Arial" w:hAnsi="Arial"/>
          <w:sz w:val="18"/>
          <w:szCs w:val="18"/>
          <w:color w:val="auto"/>
        </w:rPr>
      </w:pPr>
    </w:p>
    <w:p>
      <w:pPr>
        <w:ind w:left="880" w:right="420" w:hanging="224"/>
        <w:spacing w:after="0" w:line="276"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clinical trial sites;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obtaining IRB or ethics committee approval at each clinical trial site;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recruiting an adequate number of suitable patients to participate in a clinical trial;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w:t>
      </w:r>
    </w:p>
    <w:p>
      <w:pPr>
        <w:spacing w:after="0" w:line="117" w:lineRule="exact"/>
        <w:rPr>
          <w:rFonts w:ascii="Arial" w:cs="Arial" w:eastAsia="Arial" w:hAnsi="Arial"/>
          <w:sz w:val="18"/>
          <w:szCs w:val="18"/>
          <w:color w:val="auto"/>
        </w:rPr>
      </w:pPr>
    </w:p>
    <w:p>
      <w:pPr>
        <w:jc w:val="both"/>
        <w:ind w:left="880" w:right="340" w:hanging="224"/>
        <w:spacing w:after="0" w:line="255" w:lineRule="auto"/>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for example, if we experience delays or challenges in identifying patients with the mutations required for our clinical trials, we may have to reimburse sites for genetic sequencing costs in order to encourage sequencing of additional patients;</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5" w:right="4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having subjects complete a clinical trial or return for post-treatment follow-up;</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clinical trial sites deviating from clinical trial protocol or dropping out of a clinical trial;</w:t>
      </w:r>
    </w:p>
    <w:p>
      <w:pPr>
        <w:spacing w:after="0" w:line="117" w:lineRule="exact"/>
        <w:rPr>
          <w:rFonts w:ascii="Arial" w:cs="Arial" w:eastAsia="Arial" w:hAnsi="Arial"/>
          <w:sz w:val="18"/>
          <w:szCs w:val="18"/>
          <w:color w:val="auto"/>
        </w:rPr>
      </w:pPr>
    </w:p>
    <w:p>
      <w:pPr>
        <w:ind w:left="880" w:right="200" w:hanging="224"/>
        <w:spacing w:after="0" w:line="276" w:lineRule="auto"/>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having third-party contractors fail to complete their obligations in a timely manner or failing to comply with applicable regulatory requirements;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addressing subject safety concerns that arise during the course of a clinical trial;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adding a sufficient number of clinical trial sites;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obtaining sufficient product supply of product candidate for use in preclinical studies or clinical trials from third-party suppliers.</w:t>
      </w:r>
    </w:p>
    <w:p>
      <w:pPr>
        <w:spacing w:after="0" w:line="212" w:lineRule="exact"/>
        <w:rPr>
          <w:sz w:val="20"/>
          <w:szCs w:val="20"/>
          <w:color w:val="auto"/>
        </w:rPr>
      </w:pPr>
    </w:p>
    <w:p>
      <w:pPr>
        <w:ind w:left="120" w:right="120" w:firstLine="551"/>
        <w:spacing w:after="0" w:line="239"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moderately positive or if there are safety concerns, our business and results of operations may be adversely affected and we may incur significant additional costs. We could also encounter delays if a clinical trial is suspended or terminated by us, by the IRBs of the institutions in which such clinical trials are being conducted, by the Data Safety Monitoring Board, if any, for such clinical trial or by the FDA or other regulatory authorities. Such authorities may suspend or terminate a clinical trial due to a number of factors, including failure to conduct the clinical trial in accordance with regulatory requirements or our clinical trial protocols, inspection of the clinical trial operations or trial site by the FDA or other regulatory authorities resulting in the imposition of a clinical hold, unforeseen safety issues or adverse side effects, failure to demonstrate a benefit from the product candidates, changes in governmental regulations or administrative actions or lack of adequate funding to continue the clinical trial.</w:t>
      </w:r>
    </w:p>
    <w:p>
      <w:pPr>
        <w:spacing w:after="0" w:line="180"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Moreover, principal investigators for our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180"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If we experience delays in the completion, or termination, of any preclinical study or clinical trial of our product candidates, the commercial prospects of our product candidates may be adversely affected, and our ability to generate revenue from any of these product candidates will be delayed or not realized at all. In addition, any delays in completing our preclinical studies or clinical trials may increase our costs, slow down our product candidate development and approval process and jeopardize our ability to commence product sales and generate revenue. Any of these occurrences may materially adversely affect our business, financial condition and prospects. In addition, many of the factors that cause, or lead to, a delay in the commencement or completion of clinical trials may also ultimately lead to the denial of regulatory approval of our product candidates. If one or more of our product candidates generally prove to be ineffective, unsafe or commercially unviable, our entire pipeline and platform would have little, if any, value, which would have a material and adverse effect on our business, financial condition, results of operations and prospects.</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5" w:right="4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b w:val="1"/>
          <w:bCs w:val="1"/>
          <w:i w:val="1"/>
          <w:iCs w:val="1"/>
          <w:color w:val="auto"/>
        </w:rPr>
        <w:t>Changes in funding or disruptions at the FDA, the Securities and Exchange Commission and other government agencies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agencies from performing normal business functions on which the operation of our business may rely, which could negatively impact our business.</w:t>
      </w:r>
    </w:p>
    <w:p>
      <w:pPr>
        <w:spacing w:after="0" w:line="55" w:lineRule="exact"/>
        <w:rPr>
          <w:sz w:val="20"/>
          <w:szCs w:val="20"/>
          <w:color w:val="auto"/>
        </w:rPr>
      </w:pPr>
    </w:p>
    <w:p>
      <w:pPr>
        <w:ind w:left="120" w:right="180" w:firstLine="551"/>
        <w:spacing w:after="0" w:line="243"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and other events that may otherwise affect the FDA’s ability to perform routine functions. Average review times at the agency have fluctuated in recent years as a result. In addition, government funding of the Securities and Exchange Commission, or SEC, and other government agencies on which our operations may rely, including those that fund research and development activities is subject to the political process, which is inherently fluid and unpredictable.</w:t>
      </w:r>
    </w:p>
    <w:p>
      <w:pPr>
        <w:spacing w:after="0" w:line="17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Disruptions at the FDA and other agencies may also slow the time necessary for new drugs to be reviewed and/or approved by necessary government agencies, which would adversely affect our business. For example, in recent years, including for 35 days beginning on December 22, 2018, the U.S. government shut down several times and certain regulatory agencies, such as the FDA and the SEC, had to furlough critical employees and stop critical activities. Separately, in response to the COVID-19 pandemic, on March 10, 2020 the FDA announced its intention to postpone most inspections of foreign manufacturing facilities. On March 18, 2020, the FDA announced its intention to temporarily postpone routine surveillance inspections of domestic manufacturing facilities and provided guidance regarding the conduct of clinical trials. In May 2020, FDA announced that it will continue to postpone domestic and foreign routine surveillance inspections due to COVID-19. While FDA indicated that it will consider alternative methods for inspections and could exercise discretion on a case-by-case basis to approve products based on a desk review, if a 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 Further, upon completion of this offering and in our operations as a public company, future government shutdowns or delays could impact our ability to access the public markets and obtain necessary capital in order to properly capitalize and continue our operations.</w:t>
      </w:r>
    </w:p>
    <w:p>
      <w:pPr>
        <w:spacing w:after="0" w:line="285" w:lineRule="exact"/>
        <w:rPr>
          <w:sz w:val="20"/>
          <w:szCs w:val="20"/>
          <w:color w:val="auto"/>
        </w:rPr>
      </w:pPr>
    </w:p>
    <w:p>
      <w:pPr>
        <w:jc w:val="both"/>
        <w:ind w:left="120" w:right="40"/>
        <w:spacing w:after="0" w:line="260" w:lineRule="auto"/>
        <w:rPr>
          <w:sz w:val="20"/>
          <w:szCs w:val="20"/>
          <w:color w:val="auto"/>
        </w:rPr>
      </w:pPr>
      <w:r>
        <w:rPr>
          <w:rFonts w:ascii="Arial" w:cs="Arial" w:eastAsia="Arial" w:hAnsi="Arial"/>
          <w:sz w:val="18"/>
          <w:szCs w:val="18"/>
          <w:b w:val="1"/>
          <w:bCs w:val="1"/>
          <w:i w:val="1"/>
          <w:iCs w:val="1"/>
          <w:color w:val="auto"/>
        </w:rPr>
        <w:t>Even if we receive regulatory approval of our product candidates, we will be subject to extensive ongoing regulatory obligations and continued regulatory review, which may result in significant additional expense and we may be subject to penalties if we fail to comply with regulatory requirements or experience unanticipated problems with our product candidates.</w:t>
      </w:r>
    </w:p>
    <w:p>
      <w:pPr>
        <w:spacing w:after="0" w:line="43"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w:t>
      </w:r>
    </w:p>
    <w:p>
      <w:pPr>
        <w:spacing w:after="0" w:line="170"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Following potential approval of any of our current or future product candidates, the FDA or other comparable regulatory authorities may impose significant restrictions on a product’s indicated uses or marketing or impose ongoing requirements for potentially costly and time consuming post-approval studies, post-market surveillance or clinical trials to monitor the safety and efficacy of the product. The FDA may also require a risk evaluation and mitigation strategy, or REMS, in order to approve our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5" w:right="4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55" w:lineRule="auto"/>
        <w:rPr>
          <w:sz w:val="20"/>
          <w:szCs w:val="20"/>
          <w:color w:val="auto"/>
        </w:rPr>
      </w:pPr>
      <w:r>
        <w:rPr>
          <w:rFonts w:ascii="Arial" w:cs="Arial" w:eastAsia="Arial" w:hAnsi="Arial"/>
          <w:sz w:val="17"/>
          <w:szCs w:val="17"/>
          <w:color w:val="auto"/>
        </w:rPr>
        <w:t>product candidates, which could entail requirements for a medication guide, physician communication plans or additional elements to ensure safe use, such as restricted distribution methods, patient registries and other risk minimization tools. In addition, if the FDA or a comparable foreign regulatory authority approves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 requirements, good laboratory practice, or GLP, requirements and good clinical practice, or GCP, requirements, for any clinical trials that we conduct post-approval. Later discovery of previously unknown problems with our product candidates, including adverse events of unanticipated severity or frequency, or with our third-party manufacturers or manufacturing processes, or failure to comply with regulatory requirements, may result in, among other things:</w:t>
      </w:r>
    </w:p>
    <w:p>
      <w:pPr>
        <w:spacing w:after="0" w:line="75" w:lineRule="exact"/>
        <w:rPr>
          <w:sz w:val="20"/>
          <w:szCs w:val="20"/>
          <w:color w:val="auto"/>
        </w:rPr>
      </w:pPr>
    </w:p>
    <w:p>
      <w:pPr>
        <w:ind w:left="880" w:right="40" w:hanging="224"/>
        <w:spacing w:after="0" w:line="276"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our product candidates, withdrawal of the product from the market or voluntary or mandatory product recalls;</w:t>
      </w:r>
    </w:p>
    <w:p>
      <w:pPr>
        <w:spacing w:after="0" w:line="50" w:lineRule="exact"/>
        <w:rPr>
          <w:rFonts w:ascii="Arial" w:cs="Arial" w:eastAsia="Arial" w:hAnsi="Arial"/>
          <w:sz w:val="18"/>
          <w:szCs w:val="18"/>
          <w:color w:val="auto"/>
        </w:rPr>
      </w:pPr>
    </w:p>
    <w:p>
      <w:pPr>
        <w:ind w:left="880" w:right="400" w:hanging="224"/>
        <w:spacing w:after="0" w:line="276"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manufacturing delays and supply disruptions where regulatory inspections identify observations of noncompliance requiring remediation;</w:t>
      </w:r>
    </w:p>
    <w:p>
      <w:pPr>
        <w:spacing w:after="0" w:line="50" w:lineRule="exact"/>
        <w:rPr>
          <w:rFonts w:ascii="Arial" w:cs="Arial" w:eastAsia="Arial" w:hAnsi="Arial"/>
          <w:sz w:val="18"/>
          <w:szCs w:val="18"/>
          <w:color w:val="auto"/>
        </w:rPr>
      </w:pPr>
    </w:p>
    <w:p>
      <w:pPr>
        <w:ind w:left="880" w:right="160" w:hanging="224"/>
        <w:spacing w:after="0" w:line="276"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imposition of a REMS, which may include distribution or use restrictions;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fines, warning or untitled letters or holds on clinical trials;</w:t>
      </w:r>
    </w:p>
    <w:p>
      <w:pPr>
        <w:spacing w:after="0" w:line="117" w:lineRule="exact"/>
        <w:rPr>
          <w:rFonts w:ascii="Arial" w:cs="Arial" w:eastAsia="Arial" w:hAnsi="Arial"/>
          <w:sz w:val="18"/>
          <w:szCs w:val="18"/>
          <w:color w:val="auto"/>
        </w:rPr>
      </w:pPr>
    </w:p>
    <w:p>
      <w:pPr>
        <w:ind w:left="880" w:right="580" w:hanging="224"/>
        <w:spacing w:after="0" w:line="276" w:lineRule="auto"/>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our product candidates;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FDA’s and other regulatory authorities’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FDA’s ability to engage in routine oversight activities such as implementing statutes through rulemaking, issuance of guidance and review and approval of marketing applications. It is difficult to predict how these orders will be implemented, and the extent to which they will impact the FDA’s ability to exercise its regulatory authority. If these executive actions impose restrictions on FDA’s ability to engage in oversight and implementation activities in the normal course, our business may be negatively impacted.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spacing w:after="0" w:line="176" w:lineRule="exact"/>
        <w:rPr>
          <w:sz w:val="20"/>
          <w:szCs w:val="20"/>
          <w:color w:val="auto"/>
        </w:rPr>
      </w:pPr>
    </w:p>
    <w:p>
      <w:pPr>
        <w:ind w:left="120" w:right="700" w:firstLine="551"/>
        <w:spacing w:after="0" w:line="276" w:lineRule="auto"/>
        <w:rPr>
          <w:sz w:val="20"/>
          <w:szCs w:val="20"/>
          <w:color w:val="auto"/>
        </w:rPr>
      </w:pPr>
      <w:r>
        <w:rPr>
          <w:rFonts w:ascii="Arial" w:cs="Arial" w:eastAsia="Arial" w:hAnsi="Arial"/>
          <w:sz w:val="18"/>
          <w:szCs w:val="18"/>
          <w:color w:val="auto"/>
        </w:rPr>
        <w:t>The occurrence of any event or penalty described above may inhibit our ability to commercialize our product candidates, if approved, and generate revenue.</w:t>
      </w:r>
    </w:p>
    <w:p>
      <w:pPr>
        <w:spacing w:after="0" w:line="7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60"/>
          </w:cols>
          <w:pgMar w:left="320" w:top="455" w:right="51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80"/>
        <w:spacing w:after="0" w:line="285" w:lineRule="auto"/>
        <w:rPr>
          <w:sz w:val="20"/>
          <w:szCs w:val="20"/>
          <w:color w:val="auto"/>
        </w:rPr>
      </w:pPr>
      <w:r>
        <w:rPr>
          <w:rFonts w:ascii="Arial" w:cs="Arial" w:eastAsia="Arial" w:hAnsi="Arial"/>
          <w:sz w:val="18"/>
          <w:szCs w:val="18"/>
          <w:b w:val="1"/>
          <w:bCs w:val="1"/>
          <w:i w:val="1"/>
          <w:iCs w:val="1"/>
          <w:color w:val="auto"/>
        </w:rPr>
        <w:t>Healthcare legislative measures aimed at reducing healthcare costs may have a material adverse effect on our business and results of operations.</w:t>
      </w:r>
    </w:p>
    <w:p>
      <w:pPr>
        <w:spacing w:after="0" w:line="21" w:lineRule="exact"/>
        <w:rPr>
          <w:sz w:val="20"/>
          <w:szCs w:val="20"/>
          <w:color w:val="auto"/>
        </w:rPr>
      </w:pPr>
    </w:p>
    <w:p>
      <w:pPr>
        <w:ind w:left="120" w:right="240" w:firstLine="551"/>
        <w:spacing w:after="0" w:line="241" w:lineRule="auto"/>
        <w:rPr>
          <w:sz w:val="20"/>
          <w:szCs w:val="20"/>
          <w:color w:val="auto"/>
        </w:rPr>
      </w:pPr>
      <w:r>
        <w:rPr>
          <w:rFonts w:ascii="Arial" w:cs="Arial" w:eastAsia="Arial" w:hAnsi="Arial"/>
          <w:sz w:val="18"/>
          <w:szCs w:val="18"/>
          <w:color w:val="auto"/>
        </w:rPr>
        <w:t>The United States and many foreign jurisdictions have enacted or proposed legislative and regulatory changes affecting the healthcare system that could prevent or delay marketing approval of our product candidates or any future product candidates, restrict or regulate post-approval activities and affect our ability to profitably sell a product for which we obtain marketing approval. Changes in regulations, statutes or the interpretation of existing regulations could impact our business in the future by requiring, for example:</w:t>
      </w:r>
    </w:p>
    <w:p>
      <w:pPr>
        <w:spacing w:after="0" w:line="1" w:lineRule="exact"/>
        <w:rPr>
          <w:sz w:val="20"/>
          <w:szCs w:val="20"/>
          <w:color w:val="auto"/>
        </w:rPr>
      </w:pPr>
    </w:p>
    <w:p>
      <w:pPr>
        <w:ind w:left="120" w:right="260" w:hanging="4"/>
        <w:spacing w:after="0" w:line="242" w:lineRule="auto"/>
        <w:tabs>
          <w:tab w:leader="none" w:pos="33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w:t>
      </w:r>
    </w:p>
    <w:p>
      <w:pPr>
        <w:spacing w:after="0" w:line="175"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In the United States, there have been and continue to be a number of legislative initiatives to contain healthcare costs. For example, in March 2010, the Affordable Care Act, or ACA, was passed, which substantially changed the way healthcare is financed by both governmental and private insurers, and significantly impacted the U.S. pharmaceutical industry. The ACA, among other things, subjected biological products to potential competition by lower-cost biosimilars,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70% (increased pursuant to the Bipartisan Budget Act of 2018, effective as of 2019) point-of-sale discounts off negotiated prices of applicable brand drugs to eligible beneficiaries during their coverage gap period, as a condition for the manufacturer’s outpatient drugs to be covered under Medicare Part D.</w:t>
      </w:r>
    </w:p>
    <w:p>
      <w:pPr>
        <w:spacing w:after="0" w:line="17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Members of the U.S. Congress and the Trump administration have expressed an intent to pass legislation or adopt executive orders to fundamentally change or repeal parts of the ACA. While Congress has not passed repeal legislation to date, the Tax Cuts and JOBS Act, or Tax Act, repealed, effective January 1, 2019, the tax-based shared responsibility payment imposed by the ACA on certain individuals who fail to maintain qualifying health coverage for all or part of a year that is commonly referred to as the “individual mandate.” On December 14, 2018, a federal district court in Texas ruled the individual mandate is a critical and inseverable feature of the ACA, and therefore, because it was repealed as part of the Tax Act, the remaining provisions of the ACA are invalid as well. The Trump Administration and CMS have both stated that the ruling will have no immediate effect, and on December 18, 2019, the Fifth Circuit U.S. Court of Appeals held that the individual mandate is unconstitutional, and remanded the case to the lower court to reconsider its earlier invalidation of the full ACA. On March 2, 2020, the United States Supreme Court granted the petitions for writs of certiorari to review this case, although it is unclear when or how the Supreme Court will rule. It is also unclear how other efforts to challenge, repeal or replace the ACA will impact the ACA or our business. We will continue to evaluate the effect that the ACA and its possible repeal and replacement has on our business. Complying with any new legislation or reversing changes implemented under the ACA could be time-intensive and expensive, resulting in a material adverse effect on our business.</w:t>
      </w:r>
    </w:p>
    <w:p>
      <w:pPr>
        <w:spacing w:after="0" w:line="180" w:lineRule="exact"/>
        <w:rPr>
          <w:sz w:val="20"/>
          <w:szCs w:val="20"/>
          <w:color w:val="auto"/>
        </w:rPr>
      </w:pPr>
    </w:p>
    <w:p>
      <w:pPr>
        <w:ind w:left="120" w:right="140" w:firstLine="551"/>
        <w:spacing w:after="0" w:line="245" w:lineRule="auto"/>
        <w:rPr>
          <w:sz w:val="20"/>
          <w:szCs w:val="20"/>
          <w:color w:val="auto"/>
        </w:rPr>
      </w:pPr>
      <w:r>
        <w:rPr>
          <w:rFonts w:ascii="Arial" w:cs="Arial" w:eastAsia="Arial" w:hAnsi="Arial"/>
          <w:sz w:val="18"/>
          <w:szCs w:val="18"/>
          <w:color w:val="auto"/>
        </w:rPr>
        <w:t>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ACA. The</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5" w:right="45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Trump administration has concluded that cost-sharing reduction, or CSR, payments to insurance companies required under the ACA have not received necessary appropriations from Congress and announced that it will discontinue these payments immediately until those appropriations are made. The loss of the CSR payments is expected to increase premiums on certain policies issued by qualified health plans under the ACA. Several state Attorneys General filed suit to stop the administration from terminating the subsidies, but their request for a restraining order was denied by a federal judge in California on October 25, 2017. The loss of the cost share reduction payments is expected to increase premiums on certain policies issued by qualified health plans under the ACA. Further, on June 14, 2018, the U.S. Court of Appeals for the Federal Circuit ruled that the federal government was not required to pay to third-party payors more than</w:t>
      </w:r>
    </w:p>
    <w:p>
      <w:pPr>
        <w:spacing w:after="0" w:line="3" w:lineRule="exact"/>
        <w:rPr>
          <w:sz w:val="20"/>
          <w:szCs w:val="20"/>
          <w:color w:val="auto"/>
        </w:rPr>
      </w:pPr>
    </w:p>
    <w:p>
      <w:pPr>
        <w:ind w:left="120" w:right="620"/>
        <w:spacing w:after="0" w:line="250" w:lineRule="auto"/>
        <w:rPr>
          <w:sz w:val="20"/>
          <w:szCs w:val="20"/>
          <w:color w:val="auto"/>
        </w:rPr>
      </w:pPr>
      <w:r>
        <w:rPr>
          <w:rFonts w:ascii="Arial" w:cs="Arial" w:eastAsia="Arial" w:hAnsi="Arial"/>
          <w:sz w:val="18"/>
          <w:szCs w:val="18"/>
          <w:color w:val="auto"/>
        </w:rPr>
        <w:t>$12 billion in ACA risk corridor payments that they argued were owed to them. This was appealed to the U.S. Supreme Court, who reversed the Federal Circuit’s decision on April 27, 2020, and ruled that the government must make risk corridor payments.</w:t>
      </w:r>
    </w:p>
    <w:p>
      <w:pPr>
        <w:spacing w:after="0" w:line="168"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Moreover, on January 22, 2018, President Trump signed a continuing resolution on appropriations for fiscal year 2018 that delayed the implementation of certain ACA-mandated fees, including the so called “Cadillac” tax on certain high cost employer-sponsored insurance plans, the annual fee imposed on certain health insurance providers based on market share, and the medical device excise tax on non-exempt medical devices; however on December 20, 2019, President Trump signed into law the Further Consolidated Appropriations Act (H.R. 1865), which repeals the Cadillac tax and the health insurance provider tax. It is impossible to determine whether similar taxes could be instated in the future. CMS published a final rule permitting further collections and payments to and from certain ACA qualified health plans and health insurance issuers under the ACA risk adjustment program in response to the outcome of federal district court litigation regarding the method CMS uses to determine this risk adjustment. In addition, CMS has recently published a final rule that would give states greater flexibility, starting in 2020, in setting benchmarks for insurers in the individual and small group marketplaces, which may have the effect of relaxing the essential health benefits required under the ACA for plans sold through such marketplaces. The American Taxpayer Relief Act of 2012, among other things, reduced Medicare payments to several providers, including hospitals, imaging centers and cancer treatment centers, and increased the statute of limitations period for the government to recover overpayments to providers from three to five years. Other legislative changes include aggregate reductions to Medicare payments to providers of 2% per fiscal year pursuant to the Budget Control Act of 2011, which began in 2013 and was to remain in effect through 2029 unless additional Congressional action was taken. The Coronavirus Aid, Relief, and Economic Security Act, or CARES Act, which was signed into law on March 27, 2020, designed to provide financial support and resources to individuals and businesses affected by the COVID-19 pandemic, suspended the 2% Medicare sequester from May 1, 2020 through December 31, 2020, and extended the sequester by one year, through 2030, in order to offset the added expense of the 2020 cancellation.</w:t>
      </w:r>
    </w:p>
    <w:p>
      <w:pPr>
        <w:spacing w:after="0" w:line="182"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There has been increasing legislative and enforcement interest in the United States with respect to specialty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for fiscal year 2021 includes allowance to support legislative proposals seeking to reduce drug prices, increase competition, lower out-of-pocket drug costs for patients, and increase patient access to lower-cost generic and biosimilar drugs. Additionally,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out of pocket costs of drug products paid by consumers. HHS has already started the process of soliciting feedback on some of these measures and, at the same time, is immediately implementing others under its existing</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5" w:right="47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authority. For example, in May 2019, CMS issued a final rule to allow Medicare Advantage Plans the option of using step therapy, a type of prior authorization, for Part B drugs beginning January 1, 2020. This final rule codified CMS’s policy change that was effective January 1, 2019.</w:t>
      </w:r>
    </w:p>
    <w:p>
      <w:pPr>
        <w:spacing w:after="0" w:line="164"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color w:val="auto"/>
        </w:rPr>
        <w:t>Further, 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172"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76"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70"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There have been, and likely will continue to be, legislative and regulatory proposals at the foreign, federal and state levels directed at broadening the availability of healthcare and containing or lowering the cost of healthcare. We cannot predict the initiatives that may be adopted in the future, including repeal, replacement or significant revisions to the ACA. The continuing efforts of the government, insurance companies, managed care organizations and other payors of healthcare services to contain or reduce costs of healthcare and/or impose price controls may adversely affect:</w:t>
      </w:r>
    </w:p>
    <w:p>
      <w:pPr>
        <w:spacing w:after="0" w:line="78" w:lineRule="exact"/>
        <w:rPr>
          <w:sz w:val="20"/>
          <w:szCs w:val="20"/>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demand for our product candidates, if we obtain regulatory approval;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obtain coverage and reimbursement approval for a product;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generate revenue and achieve or maintain profitability;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2" w:lineRule="exact"/>
        <w:rPr>
          <w:sz w:val="20"/>
          <w:szCs w:val="20"/>
          <w:color w:val="auto"/>
        </w:rPr>
      </w:pPr>
    </w:p>
    <w:p>
      <w:pPr>
        <w:ind w:left="120" w:right="220" w:firstLine="551"/>
        <w:spacing w:after="0" w:line="276"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5" w:right="45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w:t>
      </w:r>
    </w:p>
    <w:p>
      <w:pPr>
        <w:spacing w:after="0" w:line="104" w:lineRule="exact"/>
        <w:rPr>
          <w:sz w:val="20"/>
          <w:szCs w:val="20"/>
          <w:color w:val="auto"/>
        </w:rPr>
      </w:pPr>
    </w:p>
    <w:p>
      <w:pPr>
        <w:ind w:left="120" w:right="160" w:firstLine="551"/>
        <w:spacing w:after="0" w:line="239" w:lineRule="auto"/>
        <w:rPr>
          <w:sz w:val="20"/>
          <w:szCs w:val="20"/>
          <w:color w:val="auto"/>
        </w:rPr>
      </w:pPr>
      <w:r>
        <w:rPr>
          <w:rFonts w:ascii="Arial" w:cs="Arial" w:eastAsia="Arial" w:hAnsi="Arial"/>
          <w:sz w:val="18"/>
          <w:szCs w:val="18"/>
          <w:color w:val="auto"/>
        </w:rPr>
        <w:t>If any of our product candidates are approved and we are found to have improperly promoted off-label uses of those products, we may become subject to significant liability. The FDA and other regulatory agencies strictly regulate the promotional claims that may be made about prescription products, if approved. In particular, while the FDA permits the dissemination of truthful and non-misleading information about an approved product, a manufacturer may not promote a product for uses that are not approved by the FDA or such other regulatory agencies as reflected in the product’s approved labeling. If we are found to have promoted such off-label uses, we may become subject to significant liability. The federal government has levied large civil and criminal fines against companies for alleged improper promotion of off-label use and has enjoined several companies from engaging in off-label promotion. The FDA has also requested that companies enter into consent decrees, corporate integrity agreements or permanent injunctions under which specified promotional conduct must be changed or curtailed. If we cannot successfully manage the promotion of our product candidates, if approved, we could become subject to significant liability, which would materially adversely affect our business and financial condition.</w:t>
      </w:r>
    </w:p>
    <w:p>
      <w:pPr>
        <w:spacing w:after="0" w:line="288" w:lineRule="exact"/>
        <w:rPr>
          <w:sz w:val="20"/>
          <w:szCs w:val="20"/>
          <w:color w:val="auto"/>
        </w:rPr>
      </w:pPr>
    </w:p>
    <w:p>
      <w:pPr>
        <w:ind w:left="120" w:right="200"/>
        <w:spacing w:after="0" w:line="260"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collaborators, principal investigators, CROs, suppliers and vendors may engage in misconduct or other improper activities, including noncompliance with regulatory standards and requirements.</w:t>
      </w:r>
    </w:p>
    <w:p>
      <w:pPr>
        <w:spacing w:after="0" w:line="43"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are exposed to the risk that our employees, independent contractors, consultants, commercial collaborators, principal investigators, CROs, suppliers and vendors acting for or on our behalf may engage in misconduct or other improper activities. Misconduct by these parties could include failures to comply with FDA regulations, provide accurate information to the FDA, comply with federal and state health care fraud and abuse laws and regulations, accurately report financial information or data or disclose unauthorized activities to us. In particular, research,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material adversely affect to our reputation. We have adopted a code of conduct, which will be effective as of the date of the effectiveness of the registration statement of which this prospectus forms a part, but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spacing w:after="0" w:line="290"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43" w:lineRule="exact"/>
        <w:rPr>
          <w:sz w:val="20"/>
          <w:szCs w:val="20"/>
          <w:color w:val="auto"/>
        </w:rPr>
      </w:pPr>
    </w:p>
    <w:p>
      <w:pPr>
        <w:ind w:left="120" w:right="120" w:firstLine="551"/>
        <w:spacing w:after="0" w:line="276"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5" w:right="45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60"/>
        <w:spacing w:after="0" w:line="255" w:lineRule="auto"/>
        <w:rPr>
          <w:sz w:val="20"/>
          <w:szCs w:val="20"/>
          <w:color w:val="auto"/>
        </w:rPr>
      </w:pPr>
      <w:r>
        <w:rPr>
          <w:rFonts w:ascii="Arial" w:cs="Arial" w:eastAsia="Arial" w:hAnsi="Arial"/>
          <w:sz w:val="18"/>
          <w:szCs w:val="18"/>
          <w:color w:val="auto"/>
        </w:rPr>
        <w:t>broadly applicable fraud and abuse and other healthcare laws and regulations. These laws may constrain the business or financial arrangements and relationships through which we conduct our operations, including how we research, market, sell and distribute our product candidates, if approved. The laws that may affect our ability to operate include, but are not limited to:</w:t>
      </w:r>
    </w:p>
    <w:p>
      <w:pPr>
        <w:spacing w:after="0" w:line="69" w:lineRule="exact"/>
        <w:rPr>
          <w:sz w:val="20"/>
          <w:szCs w:val="20"/>
          <w:color w:val="auto"/>
        </w:rPr>
      </w:pPr>
    </w:p>
    <w:p>
      <w:pPr>
        <w:ind w:left="880" w:right="4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Violations are subject to civil and criminal fines and penalties for each violation, plus up to three times the remuneration involved, imprisonment and exclusion from government healthcare programs. There are a number of statutory exceptions and regulatory safe harbors protecting some common activities from prosecution;</w:t>
      </w:r>
    </w:p>
    <w:p>
      <w:pPr>
        <w:spacing w:after="0" w:line="85" w:lineRule="exact"/>
        <w:rPr>
          <w:rFonts w:ascii="Arial" w:cs="Arial" w:eastAsia="Arial" w:hAnsi="Arial"/>
          <w:sz w:val="18"/>
          <w:szCs w:val="18"/>
          <w:color w:val="auto"/>
        </w:rPr>
      </w:pPr>
    </w:p>
    <w:p>
      <w:pPr>
        <w:ind w:left="880" w:hanging="224"/>
        <w:spacing w:after="0" w:line="238"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federal civil and criminal false claims laws, including the False Claims Act, or FCA, which can be enforced through civil “qui tam” or “whistleblower” actions, and civil monetary penalty laws, impose criminal and civil penalties against individuals or entities for, among other things, knowingly presenting, or causing to be presented, claims for payment or approval from Medicare, Medicaid or other federal health care programs that are false or fraudulent; knowingly making or causing a false statement material to a false or fraudulent claim or an obligation to pay money to the federal government; or knowingly concealing or knowingly and improperly avoiding or decreasing such an obligation. Manufacturers can be held liable under the FCA even when they do not submit claims directly to government payors if they are deemed to “cause” the submission of false or fraudulent claims. In addition, the government may assert that a claim including items or services resulting from a violation of the federal Anti-Kickback Statute constitutes a false or fraudulent claim for purposes of the FCA. The FCA also permits a private individual acting as a “whistleblower” to bring actions on behalf of the federal government alleging violations of the FCA and to share in any monetary recovery. When an entity is determined to have violated the federal civil FCA, the government may impose civil fines and penalties for each false claim, plus treble damages, and exclude the entity from participation in Medicare, Medicaid and other federal healthcare programs;</w:t>
      </w:r>
    </w:p>
    <w:p>
      <w:pPr>
        <w:spacing w:after="0" w:line="85" w:lineRule="exact"/>
        <w:rPr>
          <w:rFonts w:ascii="Arial" w:cs="Arial" w:eastAsia="Arial" w:hAnsi="Arial"/>
          <w:sz w:val="18"/>
          <w:szCs w:val="18"/>
          <w:color w:val="auto"/>
        </w:rPr>
      </w:pPr>
    </w:p>
    <w:p>
      <w:pPr>
        <w:ind w:left="880" w:right="20" w:hanging="224"/>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 in order to have committed a violation;</w:t>
      </w:r>
    </w:p>
    <w:p>
      <w:pPr>
        <w:spacing w:after="0" w:line="85" w:lineRule="exact"/>
        <w:rPr>
          <w:rFonts w:ascii="Arial" w:cs="Arial" w:eastAsia="Arial" w:hAnsi="Arial"/>
          <w:sz w:val="18"/>
          <w:szCs w:val="18"/>
          <w:color w:val="auto"/>
        </w:rPr>
      </w:pPr>
    </w:p>
    <w:p>
      <w:pPr>
        <w:ind w:left="880" w:right="60" w:hanging="224"/>
        <w:spacing w:after="0" w:line="243"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Physician Payment Sunshine Act, created under the ACA and its implementing regulations, which require manufacturers of drugs, devices, biologicals and medical supplies for which payment is available under Medicare, Medicaid or the Children’s Health Insurance Program (with certain exceptions) to report annually to HHS information related to payments or other transfers of value made to physicians (defined to include doctors, dentists, optometrists, podiatrists and chiropractors) and teaching hospitals, as well as ownership and investment interests held by physicians and their immediate family members. Effective January 1, 2022,</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5" w:right="47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120"/>
        <w:spacing w:after="0" w:line="276" w:lineRule="auto"/>
        <w:rPr>
          <w:sz w:val="20"/>
          <w:szCs w:val="20"/>
          <w:color w:val="auto"/>
        </w:rPr>
      </w:pPr>
      <w:r>
        <w:rPr>
          <w:rFonts w:ascii="Arial" w:cs="Arial" w:eastAsia="Arial" w:hAnsi="Arial"/>
          <w:sz w:val="18"/>
          <w:szCs w:val="18"/>
          <w:color w:val="auto"/>
        </w:rPr>
        <w:t>these reporting obligations will extend to include payments and transfers of value made to certain non-physician providers such as physician assistants and nurse practitioners;</w:t>
      </w:r>
    </w:p>
    <w:p>
      <w:pPr>
        <w:spacing w:after="0" w:line="50" w:lineRule="exact"/>
        <w:rPr>
          <w:sz w:val="20"/>
          <w:szCs w:val="20"/>
          <w:color w:val="auto"/>
        </w:rPr>
      </w:pPr>
    </w:p>
    <w:p>
      <w:pPr>
        <w:ind w:left="880" w:right="660" w:hanging="224"/>
        <w:spacing w:after="0" w:line="276"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and state and local laws requiring the registration of pharmaceutical sales representatives.</w:t>
      </w:r>
    </w:p>
    <w:p>
      <w:pPr>
        <w:spacing w:after="0" w:line="176"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Ensuring that our internal operations and future business arrangements with third parties comply with applicable healthcare laws and regulations will involve substantial costs. It is possible that governmental authorities will conclude that our business practices, including our relationships with physicians and other healthcare providers, some of whom are compensated in the form of stock or stock options for services provided to us and may be in the position to influence the ordering of or use of our product candidates, if approved, may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government-funded healthcare programs, such as Medicare and Medicaid or similar programs in other countries or jurisdictions, integrity oversight and reporting obligations to resolve allegations of non-compliance,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 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296" w:lineRule="exact"/>
        <w:rPr>
          <w:sz w:val="20"/>
          <w:szCs w:val="20"/>
          <w:color w:val="auto"/>
        </w:rPr>
      </w:pPr>
    </w:p>
    <w:p>
      <w:pPr>
        <w:ind w:left="120" w:right="520"/>
        <w:spacing w:after="0" w:line="285" w:lineRule="auto"/>
        <w:rPr>
          <w:sz w:val="20"/>
          <w:szCs w:val="20"/>
          <w:color w:val="auto"/>
        </w:rPr>
      </w:pPr>
      <w:r>
        <w:rPr>
          <w:rFonts w:ascii="Arial" w:cs="Arial" w:eastAsia="Arial" w:hAnsi="Arial"/>
          <w:sz w:val="18"/>
          <w:szCs w:val="18"/>
          <w:b w:val="1"/>
          <w:bCs w:val="1"/>
          <w:i w:val="1"/>
          <w:iCs w:val="1"/>
          <w:color w:val="auto"/>
        </w:rPr>
        <w:t>Data collection is governed by restrictive regulations governing the use, processing and cross-border transfer of personal information.</w:t>
      </w:r>
    </w:p>
    <w:p>
      <w:pPr>
        <w:spacing w:after="0" w:line="21"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connection with our planned clinical trials or enrollment or continued enrollment of patients in any future clinical trials, we will be subject to additional privacy restrictions. The collection, use, storage, disclosure, transfer, or other processing of personal data regarding individuals in the EU, including personal health data, is subject to the EU General Data Protection Regulation, or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5" w:right="47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56" w:lineRule="auto"/>
        <w:rPr>
          <w:sz w:val="20"/>
          <w:szCs w:val="20"/>
          <w:color w:val="auto"/>
        </w:rPr>
      </w:pPr>
      <w:r>
        <w:rPr>
          <w:rFonts w:ascii="Arial" w:cs="Arial" w:eastAsia="Arial" w:hAnsi="Arial"/>
          <w:sz w:val="17"/>
          <w:szCs w:val="17"/>
          <w:color w:val="auto"/>
        </w:rPr>
        <w:t xml:space="preserve">the transfer of personal data to countries outside the EU, including the United States, and permits data protection authorities to impose large penalties for violations of the GDPR, including potential fines of up to </w:t>
      </w:r>
      <w:r>
        <w:rPr>
          <w:rFonts w:ascii="Times New Roman" w:cs="Times New Roman" w:eastAsia="Times New Roman" w:hAnsi="Times New Roman"/>
          <w:sz w:val="17"/>
          <w:szCs w:val="17"/>
          <w:color w:val="auto"/>
        </w:rPr>
        <w:t>€</w:t>
      </w:r>
      <w:r>
        <w:rPr>
          <w:rFonts w:ascii="Arial" w:cs="Arial" w:eastAsia="Arial" w:hAnsi="Arial"/>
          <w:sz w:val="17"/>
          <w:szCs w:val="17"/>
          <w:color w:val="auto"/>
        </w:rPr>
        <w:t>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increased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Further, the United Kingdom’s vote in favor of exiting the EU, often referred to as Brexit, has created uncertainty with regard to data protection regulation in the United Kingdom. In particular, it is unclear how data transfers to and from the United Kingdom will be regulated.</w:t>
      </w:r>
    </w:p>
    <w:p>
      <w:pPr>
        <w:spacing w:after="0" w:line="16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the United States, most healthcare providers, including research institutions from which we obtain patient health information, are subject to privacy and security regulations promulgated under HIPAA, as amended by the Health Information Technology for Economic and Clinical Health Act of 2009, or HITECH, and their respective implementing regulations. HIPAA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without appropriate authorization.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 Even when HIPAA does not apply, according to the Federal Trade Commission, or FTC, failing to take appropriate steps to keep consumers’ personal information secure constitutes unfair acts or practices in or affecting commerce in violation of Section 5(a) of the Federal Trade Commission Act, 15 U.S.C § 45(a). The FTC expects a company’s data security measures to be reasonable and appropriate in light of the sensitivity and volume of consumer information it holds, the size and complexity of its business and the cost of available tools to improve security and reduce vulnerabilities. Individually identifiable health information is considered sensitive data that merits stronger safeguards.</w:t>
      </w:r>
    </w:p>
    <w:p>
      <w:pPr>
        <w:spacing w:after="0" w:line="177" w:lineRule="exact"/>
        <w:rPr>
          <w:sz w:val="20"/>
          <w:szCs w:val="20"/>
          <w:color w:val="auto"/>
        </w:rPr>
      </w:pPr>
    </w:p>
    <w:p>
      <w:pPr>
        <w:ind w:left="120" w:right="140" w:firstLine="551"/>
        <w:spacing w:after="0" w:line="239" w:lineRule="auto"/>
        <w:rPr>
          <w:sz w:val="20"/>
          <w:szCs w:val="20"/>
          <w:color w:val="auto"/>
        </w:rPr>
      </w:pPr>
      <w:r>
        <w:rPr>
          <w:rFonts w:ascii="Arial" w:cs="Arial" w:eastAsia="Arial" w:hAnsi="Arial"/>
          <w:sz w:val="18"/>
          <w:szCs w:val="18"/>
          <w:color w:val="auto"/>
        </w:rPr>
        <w:t>In addition, certain states have enacted additional laws governing the privacy and security of health information in certain circumstances, many of which differ from each other in significant ways and may not have the same effect, thus complicating compliance efforts. By way of example, California recently enacted the California Consumer Privacy Act, or CCPA, which creates new individual privacy rights for California consumers (as defined in the law) and places increased privacy and security obligations on entities handling personal data of consumers or households. The CCPA requires covered companies to provide new disclosure to consumers about such companies’ data collection, use and sharing practices, provide such consumers new ways to opt-out of certain sales or transfers of personal information, and provide consumers with additional causes of action. The CCPA went into effect on January 1, 2020, and the California Attorney General may bring enforcement actions for violations beginning July 1, 2020. The CCPA was amended on September 23, 2018, and it remains unclear what, if any, further modifications will be made to this legislation or how it will be interpreted. As currently written, the CCPA may impact our business activities and exemplifies the vulnerability of our business to the evolving regulatory environment related to personal data and protected health information.</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5" w:right="45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Compliance with U.S. and international data protection laws and regulations could require us to take on more onerous obligations in our contracts, restrict our ability to collect, use and disclose data, or in some cases, impact our ability to operate in certain jurisdictions. Failure to comply with U.S. and international data protection laws and regulations could result in government enforcement actions (which could include civil or criminal penalties), private litigation or adverse publicity and could materially adversely affect our business, financial condition and results of operations. Moreover, clinical trial subjects about whom we or our potential collaborators obtain information, as well as the providers who share this information with us, may contractually limit our ability to use and disclose the information. Claims that we have violated individuals’ privacy rights, failed to comply with data protection laws, or breached our contractual obligations, even if we are not found liable, could be expensive and time consuming to defend and could result in adverse publicity that could adversely affect our business.</w:t>
      </w:r>
    </w:p>
    <w:p>
      <w:pPr>
        <w:spacing w:after="0" w:line="284" w:lineRule="exact"/>
        <w:rPr>
          <w:sz w:val="20"/>
          <w:szCs w:val="20"/>
          <w:color w:val="auto"/>
        </w:rPr>
      </w:pPr>
    </w:p>
    <w:p>
      <w:pPr>
        <w:ind w:left="120" w:right="40"/>
        <w:spacing w:after="0" w:line="285"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21"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may involve the use of hazardous and flammable materials, including chemicals and biological and radioactive materials. Our operations may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80" w:lineRule="exact"/>
        <w:rPr>
          <w:sz w:val="20"/>
          <w:szCs w:val="20"/>
          <w:color w:val="auto"/>
        </w:rPr>
      </w:pPr>
    </w:p>
    <w:p>
      <w:pPr>
        <w:ind w:left="120" w:right="280" w:firstLine="551"/>
        <w:spacing w:after="0" w:line="255"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research and development activities could be affected or delayed as a result of possible restrictions on animal testing.</w:t>
      </w:r>
    </w:p>
    <w:p>
      <w:pPr>
        <w:spacing w:after="0" w:line="104"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5" w:right="45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85"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21"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Employee Matters, Managing Our Growth and Other Risks Related to Our Business</w:t>
      </w:r>
    </w:p>
    <w:p>
      <w:pPr>
        <w:spacing w:after="0" w:line="214" w:lineRule="exact"/>
        <w:rPr>
          <w:sz w:val="20"/>
          <w:szCs w:val="20"/>
          <w:color w:val="auto"/>
        </w:rPr>
      </w:pPr>
    </w:p>
    <w:p>
      <w:pPr>
        <w:ind w:left="120" w:right="340"/>
        <w:spacing w:after="0" w:line="285" w:lineRule="auto"/>
        <w:rPr>
          <w:sz w:val="20"/>
          <w:szCs w:val="20"/>
          <w:color w:val="auto"/>
        </w:rPr>
      </w:pPr>
      <w:r>
        <w:rPr>
          <w:rFonts w:ascii="Arial" w:cs="Arial" w:eastAsia="Arial" w:hAnsi="Arial"/>
          <w:sz w:val="18"/>
          <w:szCs w:val="18"/>
          <w:b w:val="1"/>
          <w:bCs w:val="1"/>
          <w:i w:val="1"/>
          <w:iCs w:val="1"/>
          <w:color w:val="auto"/>
        </w:rPr>
        <w:t>We are highly dependent on our key personnel and anticipate hiring new key personnel. If we are not successful in attracting and retaining highly qualified personnel, we may not be able to successfully implement our business strategy.</w:t>
      </w:r>
    </w:p>
    <w:p>
      <w:pPr>
        <w:spacing w:after="0" w:line="21"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Our ability to compete in the highly competitive biotechnology and pharmaceutical industries depends upon our ability to attract and retain highly qualified managerial, scientific and medical personnel. We are highly dependent on our management, scientific and medical personnel, including our Chief Executive Officer and President, our Chief Operating Officer and Chief Financial Officer and our Chief Medical Officer. If we do not succeed in attracting and retaining qualified personnel, particularly at the management level, it could materially adversely affect our business, financial condition and results of operations. We could in the future have difficulty attracting and retaining experienced personnel and may be required to expend significant financial resources in our employee recruitment and retention efforts.</w:t>
      </w:r>
    </w:p>
    <w:p>
      <w:pPr>
        <w:spacing w:after="0" w:line="179"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Many of the other biotechnology companies that we compete against for qualified personnel have greater financial and other resources, different risk profiles and a longer history in the industry than we do. They also may provide higher compensation,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our product candidates will be limited and the potential for successfully growing our business will be adversely affected.</w:t>
      </w:r>
    </w:p>
    <w:p>
      <w:pPr>
        <w:spacing w:after="0" w:line="174" w:lineRule="exact"/>
        <w:rPr>
          <w:sz w:val="20"/>
          <w:szCs w:val="20"/>
          <w:color w:val="auto"/>
        </w:rPr>
      </w:pPr>
    </w:p>
    <w:p>
      <w:pPr>
        <w:ind w:left="120" w:right="200" w:firstLine="551"/>
        <w:spacing w:after="0" w:line="243" w:lineRule="auto"/>
        <w:rPr>
          <w:sz w:val="20"/>
          <w:szCs w:val="20"/>
          <w:color w:val="auto"/>
        </w:rPr>
      </w:pPr>
      <w:r>
        <w:rPr>
          <w:rFonts w:ascii="Arial" w:cs="Arial" w:eastAsia="Arial" w:hAnsi="Arial"/>
          <w:sz w:val="18"/>
          <w:szCs w:val="18"/>
          <w:color w:val="auto"/>
        </w:rPr>
        <w:t>Additionally, we rely on our founders and other scientific and clinical advisors and consultants to assist us in formulating our research, development and clinical strategies. These advisors and consultants are not our employees and may have commitments to, or consulting or advisory contracts with, other entities that may limit their availability to us. In addition, these advisors and consultants typically will not enter into non-compete agreements with us. If a conflict of interest arises between their work for us and their work for another entity, we may lose their services. Furthermore, our advisors may have arrangements with other companies to assist those companies in developing products or technologies that may compete with ours. In particular, if we are unable to maintain</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55" w:right="43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76" w:lineRule="auto"/>
        <w:rPr>
          <w:sz w:val="20"/>
          <w:szCs w:val="20"/>
          <w:color w:val="auto"/>
        </w:rPr>
      </w:pPr>
      <w:r>
        <w:rPr>
          <w:rFonts w:ascii="Arial" w:cs="Arial" w:eastAsia="Arial" w:hAnsi="Arial"/>
          <w:sz w:val="18"/>
          <w:szCs w:val="18"/>
          <w:color w:val="auto"/>
        </w:rPr>
        <w:t>consulting relationships with our scientific founders or if they provide services to our competitors, our development and commercialization efforts will be impaired and our business will be materially adversely affected.</w:t>
      </w:r>
    </w:p>
    <w:p>
      <w:pPr>
        <w:spacing w:after="0" w:line="253" w:lineRule="exact"/>
        <w:rPr>
          <w:sz w:val="20"/>
          <w:szCs w:val="20"/>
          <w:color w:val="auto"/>
        </w:rPr>
      </w:pPr>
    </w:p>
    <w:p>
      <w:pPr>
        <w:ind w:left="120" w:right="520"/>
        <w:spacing w:after="0" w:line="285" w:lineRule="auto"/>
        <w:rPr>
          <w:sz w:val="20"/>
          <w:szCs w:val="20"/>
          <w:color w:val="auto"/>
        </w:rPr>
      </w:pPr>
      <w:r>
        <w:rPr>
          <w:rFonts w:ascii="Arial" w:cs="Arial" w:eastAsia="Arial" w:hAnsi="Arial"/>
          <w:sz w:val="18"/>
          <w:szCs w:val="18"/>
          <w:b w:val="1"/>
          <w:bCs w:val="1"/>
          <w:i w:val="1"/>
          <w:iCs w:val="1"/>
          <w:color w:val="auto"/>
        </w:rPr>
        <w:t>In order to successfully implement our plans and strategies, we will need to grow the size of our organization, and we may experience difficulties in managing this growth.</w:t>
      </w:r>
    </w:p>
    <w:p>
      <w:pPr>
        <w:spacing w:after="0" w:line="21"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As of August 31, 2020, we had 39 full-time employees, including 32 employees engaged in research and development activities. In order to successfully implement our development and commercialization plans and strategies, and as we transition into operating as a public company, we expect to need additional managerial, operational, sales, marketing, financial and other personnel. Future growth would impose significant added responsibilities on members of management, including:</w:t>
      </w:r>
    </w:p>
    <w:p>
      <w:pPr>
        <w:spacing w:after="0" w:line="76" w:lineRule="exact"/>
        <w:rPr>
          <w:sz w:val="20"/>
          <w:szCs w:val="20"/>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identifying, recruiting, integrating, maintaining and motivating additional employees;</w:t>
      </w:r>
    </w:p>
    <w:p>
      <w:pPr>
        <w:spacing w:after="0" w:line="117" w:lineRule="exact"/>
        <w:rPr>
          <w:rFonts w:ascii="Arial" w:cs="Arial" w:eastAsia="Arial" w:hAnsi="Arial"/>
          <w:sz w:val="18"/>
          <w:szCs w:val="18"/>
          <w:color w:val="auto"/>
        </w:rPr>
      </w:pPr>
    </w:p>
    <w:p>
      <w:pPr>
        <w:ind w:left="880" w:right="260" w:hanging="224"/>
        <w:spacing w:after="0" w:line="255" w:lineRule="auto"/>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managing our internal development efforts effectively, including the clinical, FDA and other comparable foreign regulatory agencies’ review process for PC14586 and any future product candidates, while complying with any contractual obligations to contractors and other third parties we may have; and</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improving our operational, financial and management controls, reporting systems and procedures.</w:t>
      </w:r>
    </w:p>
    <w:p>
      <w:pPr>
        <w:spacing w:after="0" w:line="212"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Our future financial performance and our ability to successfully develop and, if approved, commercialize PC14586 and future product candidates will depend, in part, on our ability to effectively manage any future growth. Our management may also have to divert a disproportionate amount of its attention away from day-to-day activities in order to devote a substantial amount of time to managing these growth activities.</w:t>
      </w:r>
    </w:p>
    <w:p>
      <w:pPr>
        <w:spacing w:after="0" w:line="170"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PC14586 and any future product candidates or otherwise advance our business. We cannot assure you that we will be able to manage our existing third-party service providers or find other competent outside contractors and consultants on economically reasonable terms, or at all.</w:t>
      </w:r>
    </w:p>
    <w:p>
      <w:pPr>
        <w:spacing w:after="0" w:line="180" w:lineRule="exact"/>
        <w:rPr>
          <w:sz w:val="20"/>
          <w:szCs w:val="20"/>
          <w:color w:val="auto"/>
        </w:rPr>
      </w:pPr>
    </w:p>
    <w:p>
      <w:pPr>
        <w:ind w:left="120" w:right="180" w:firstLine="551"/>
        <w:spacing w:after="0" w:line="255" w:lineRule="auto"/>
        <w:rPr>
          <w:sz w:val="20"/>
          <w:szCs w:val="20"/>
          <w:color w:val="auto"/>
        </w:rPr>
      </w:pPr>
      <w:r>
        <w:rPr>
          <w:rFonts w:ascii="Arial" w:cs="Arial" w:eastAsia="Arial" w:hAnsi="Arial"/>
          <w:sz w:val="18"/>
          <w:szCs w:val="18"/>
          <w:color w:val="auto"/>
        </w:rPr>
        <w:t>If we are not able to effectively expand our organization by hiring new employees and/or engaging additional third-party service providers, we may not be able to successfully implement the tasks necessary to further develop and commercialize PC14586 and future product candidates and, accordingly, may not achieve our research, development and commercialization goals.</w:t>
      </w:r>
    </w:p>
    <w:p>
      <w:pPr>
        <w:spacing w:after="0" w:line="272" w:lineRule="exact"/>
        <w:rPr>
          <w:sz w:val="20"/>
          <w:szCs w:val="20"/>
          <w:color w:val="auto"/>
        </w:rPr>
      </w:pPr>
    </w:p>
    <w:p>
      <w:pPr>
        <w:ind w:left="120"/>
        <w:spacing w:after="0" w:line="251" w:lineRule="auto"/>
        <w:rPr>
          <w:sz w:val="20"/>
          <w:szCs w:val="20"/>
          <w:color w:val="auto"/>
        </w:rPr>
      </w:pPr>
      <w:r>
        <w:rPr>
          <w:rFonts w:ascii="Arial" w:cs="Arial" w:eastAsia="Arial" w:hAnsi="Arial"/>
          <w:sz w:val="18"/>
          <w:szCs w:val="18"/>
          <w:b w:val="1"/>
          <w:bCs w:val="1"/>
          <w:i w:val="1"/>
          <w:iCs w:val="1"/>
          <w:color w:val="auto"/>
        </w:rPr>
        <w:t>Our internal computer systems, or those of any of our CROs, manufacturers, other contractors or consultants or potential future collaborators, may fail or suffer security or data privacy breaches or other unauthorized or improper access to, use of, or destruction of our proprietary or confidential data, employee data, or personal data, which could result in additional costs, loss of revenue, significant liabilities, harm to our brand and material disruption of our operations.</w:t>
      </w:r>
    </w:p>
    <w:p>
      <w:pPr>
        <w:spacing w:after="0" w:line="52" w:lineRule="exact"/>
        <w:rPr>
          <w:sz w:val="20"/>
          <w:szCs w:val="20"/>
          <w:color w:val="auto"/>
        </w:rPr>
      </w:pPr>
    </w:p>
    <w:p>
      <w:pPr>
        <w:ind w:left="120" w:right="440" w:firstLine="551"/>
        <w:spacing w:after="0" w:line="276" w:lineRule="auto"/>
        <w:rPr>
          <w:sz w:val="20"/>
          <w:szCs w:val="20"/>
          <w:color w:val="auto"/>
        </w:rPr>
      </w:pPr>
      <w:r>
        <w:rPr>
          <w:rFonts w:ascii="Arial" w:cs="Arial" w:eastAsia="Arial" w:hAnsi="Arial"/>
          <w:sz w:val="18"/>
          <w:szCs w:val="18"/>
          <w:color w:val="auto"/>
        </w:rPr>
        <w:t>Despite the implementation of security measures in an effort to protect systems that store our information, given their size and complexity and the increasing amounts of information maintained on</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5" w:right="47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our internal information technology systems, and those of our third-party CROs, other contractors (including sites performing our clinical trials) and consultants, these systems are potentially vulnerable to breakdown or other damage or interruption from service interruptions, system malfunction, natural disasters, terrorism, war and telecommunication and electrical failures, as well as security breaches from inadvertent or intentional actions by our employees, contractors, consultants, business partners and/or other third parties, or from cyber-attacks by malicious third parties (including the deployment of harmful malware, ransomware, denial-of-service attacks, social engineering and other means to affect service reliability and threaten the confidentiality, integrity and availability of information), which may compromise our system infrastructure or lead to the loss, destruction, alteration or dissemination of, or damage to, our data. For example, companies have experienced an increase in phishing and social engineering attacks from third parties in connection with the COVID-19 pandemic. To the extent that any disruption or security breach were to result in a loss, destruction, unavailability, alteration or dissemination of, or damage to, our data or applications, or for it to be believed or reported that any of these occurred, we could incur liability and reputational damage and the development and commercialization of our product candidates could be delayed. We cannot assure you that our data protection efforts and our investment in information technology, or the efforts or investments of CROs, consultants or other third parties, will prevent significant breakdowns or breaches in systems or other cyber incidents that cause loss, destruction, unavailability, alteration or dissemination of, or damage to, our data that could have a material adverse effect upon our reputation, business, operations or financial condition. For example, if such an event were to occur and cause interruptions in our operations, it could result in a material disruption of our programs and the development of our product candidates could be delayed. In addition, the loss of clinical trial data for our product candidates could result in delays in our marketing approval efforts and significantly increase our costs to recover or reproduce the data. Furthermore, significant disruptions of our internal information technology systems or security breaches could result in the loss, misappropriation and/or unauthorized access, use or disclosure of, or the prevention of access to, data (including trade secrets or other confidential information, intellectual property, proprietary business information and personal information), which could result in financial, legal, business and reputational harm to us. For example, any such event that leads to unauthorized access, use or disclosure of personal information, including personal information regarding our clinical trial subjects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potentially have an adverse effect on our business.</w:t>
      </w:r>
    </w:p>
    <w:p>
      <w:pPr>
        <w:spacing w:after="0" w:line="189"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Notifications and follow-up actions related to a security incident could impact our reputation and cause us to incur significant costs, including legal expenses and remediation costs. For example, the loss of clinical trial data from completed or future clinical trials could result in delays in our regulatory approval efforts and significantly increase our costs to recover or reproduce the lost data. We expect to incur significant costs in an effort to detect and prevent security incidents, and we may face increased costs and requirements to expend substantial resources in the event of an actual or perceived security breach. We also rely on third parties to manufacture our product candidates, and similar events relating to their computer systems could also have a material adverse effect on our business. To the extent that any disruption or security incident were to result in a loss, destruction or alteration of, or damage to, our data, or inappropriate disclosure of confidential or proprietary information, we could be exposed to litigation and governmental investigations, the further development and commercialization of our product candidates could be delayed, and we could be subject to significant fines or penalties for any noncompliance with certain state, federal and/or international privacy and security laws.</w:t>
      </w:r>
    </w:p>
    <w:p>
      <w:pPr>
        <w:spacing w:after="0" w:line="180"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Our insurance policies may not be adequate to compensate us for the potential losses arising from any such disruption in or, failure or security breach of our systems or third-party systems where</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80"/>
          </w:cols>
          <w:pgMar w:left="320" w:top="455" w:right="49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information important to our business operations or commercial development is stored.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spacing w:after="0" w:line="272" w:lineRule="exact"/>
        <w:rPr>
          <w:sz w:val="20"/>
          <w:szCs w:val="20"/>
          <w:color w:val="auto"/>
        </w:rPr>
      </w:pPr>
    </w:p>
    <w:p>
      <w:pPr>
        <w:ind w:left="120" w:right="320"/>
        <w:spacing w:after="0" w:line="285" w:lineRule="auto"/>
        <w:rPr>
          <w:sz w:val="20"/>
          <w:szCs w:val="20"/>
          <w:color w:val="auto"/>
        </w:rPr>
      </w:pPr>
      <w:r>
        <w:rPr>
          <w:rFonts w:ascii="Arial" w:cs="Arial" w:eastAsia="Arial" w:hAnsi="Arial"/>
          <w:sz w:val="18"/>
          <w:szCs w:val="18"/>
          <w:b w:val="1"/>
          <w:bCs w:val="1"/>
          <w:i w:val="1"/>
          <w:iCs w:val="1"/>
          <w:color w:val="auto"/>
        </w:rPr>
        <w:t>Business disruptions could materially adversely affect our future revenue and financial condition and increase our costs and expenses.</w:t>
      </w:r>
    </w:p>
    <w:p>
      <w:pPr>
        <w:spacing w:after="0" w:line="21" w:lineRule="exact"/>
        <w:rPr>
          <w:sz w:val="20"/>
          <w:szCs w:val="20"/>
          <w:color w:val="auto"/>
        </w:rPr>
      </w:pPr>
    </w:p>
    <w:p>
      <w:pPr>
        <w:ind w:left="120" w:right="100" w:firstLine="551"/>
        <w:spacing w:after="0" w:line="260" w:lineRule="auto"/>
        <w:rPr>
          <w:sz w:val="20"/>
          <w:szCs w:val="20"/>
          <w:color w:val="auto"/>
        </w:rPr>
      </w:pPr>
      <w:r>
        <w:rPr>
          <w:rFonts w:ascii="Arial" w:cs="Arial" w:eastAsia="Arial" w:hAnsi="Arial"/>
          <w:sz w:val="17"/>
          <w:szCs w:val="17"/>
          <w:color w:val="auto"/>
        </w:rPr>
        <w:t>Our operations, and those of our CROs, CMOs and other contractors and consultants, could be subject to earthquakes, power shortages, telecommunications failures, water shortages, floods, hurricanes, typhoons, fires, extreme weather conditions, pandemics and other natural or man-made disasters or business interruptions, for which we are predominantly self-insured. The occurrence of any of these business disruptions could seriously adversely affect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268" w:lineRule="exact"/>
        <w:rPr>
          <w:sz w:val="20"/>
          <w:szCs w:val="20"/>
          <w:color w:val="auto"/>
        </w:rPr>
      </w:pPr>
    </w:p>
    <w:p>
      <w:pPr>
        <w:ind w:left="120" w:right="120"/>
        <w:spacing w:after="0" w:line="285" w:lineRule="auto"/>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to offset future taxable income may be limited.</w:t>
      </w:r>
    </w:p>
    <w:p>
      <w:pPr>
        <w:spacing w:after="0" w:line="21"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Our net operating loss, or NOL, carryforwards may be unavailable to offset future taxable income because of restrictions under U.S. tax law. Our federal NOLs generated in tax years ending on or prior to December 31, 2017 are only permitted to be carried forward for 20 taxable years, and therefore could expire unused. Under the Tax Act, as amended by the CARES Act, our federal NOLs generated in tax years beginning after December 31, 2017 may be carried forward indefinitely, but for taxable years beginning after December 31, 2020, the deductibility of federal NOLs generated in tax years beginning after December 31, 2017 is limited to 80% of current year taxable income.</w:t>
      </w:r>
    </w:p>
    <w:p>
      <w:pPr>
        <w:spacing w:after="0" w:line="174" w:lineRule="exact"/>
        <w:rPr>
          <w:sz w:val="20"/>
          <w:szCs w:val="20"/>
          <w:color w:val="auto"/>
        </w:rPr>
      </w:pPr>
    </w:p>
    <w:p>
      <w:pPr>
        <w:ind w:left="120" w:right="120" w:firstLine="551"/>
        <w:spacing w:after="0" w:line="241" w:lineRule="auto"/>
        <w:rPr>
          <w:sz w:val="20"/>
          <w:szCs w:val="20"/>
          <w:color w:val="auto"/>
        </w:rPr>
      </w:pPr>
      <w:r>
        <w:rPr>
          <w:rFonts w:ascii="Arial" w:cs="Arial" w:eastAsia="Arial" w:hAnsi="Arial"/>
          <w:sz w:val="18"/>
          <w:szCs w:val="18"/>
          <w:color w:val="auto"/>
        </w:rPr>
        <w:t>As of December 31, 2018 and 2019, we had federal NOL carryforwards of $43.0 million and $ 66.4 million, respectively. As of December 31, 2018, we had state NOL carryforwards for New Jersey, California and Massachusetts of approximately $38.8 million, $4.9 million and $0.4 million, respectively. As of December 31, 2019, we had state NOL carryforwards for New Jersey, California and Massachusetts of approximately $61.5 million, $ 4.9 million and $0.9 million, respectively. The federal and state NOL carryforwards expire beginning in the year 2033. We also had federal and state research and development credit carryforwards of approximately $1.7 million and $2.2 million, respectively, as of December 31, 2018 and 2019. The federal credits will begin to expire in 2034 if not utilized. The California state credits carryforward indefinitely and the New Jersey state credits expire starting in 2021.</w:t>
      </w:r>
    </w:p>
    <w:p>
      <w:pPr>
        <w:spacing w:after="0" w:line="179"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addition, under Sections 382 and 383 of the Code, if a corporation undergoes an “ownership change” (generally defined as a cumulative change (by value) in the corporation’s ownership by “5-percent shareholders” that exceeds 50 percentage points over a rolling three-year period), the corporation’s ability to use its pre-change NOLs and certain other pre-change tax attributes to offset its post-change taxable income or tax liabilities may be limited. Similar rules may apply under state tax laws. We may have experienced such ownership changes in the past, and we may experience ownership changes in the future as a result of this offering or subsequent shifts in our stock ownership, some of which are outside our control. We have not conducted any studies to determine whether we have experienced an ownership change or the annual limitations, if any, that could result from such an ownership change. Our ability to utilize our NOLs and certain other tax attributes could be limited by an ownership change as described above and consequently, we may not be able to utilize a material</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55" w:right="4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60"/>
        <w:spacing w:after="0" w:line="276" w:lineRule="auto"/>
        <w:rPr>
          <w:sz w:val="20"/>
          <w:szCs w:val="20"/>
          <w:color w:val="auto"/>
        </w:rPr>
      </w:pPr>
      <w:r>
        <w:rPr>
          <w:rFonts w:ascii="Arial" w:cs="Arial" w:eastAsia="Arial" w:hAnsi="Arial"/>
          <w:sz w:val="18"/>
          <w:szCs w:val="18"/>
          <w:color w:val="auto"/>
        </w:rPr>
        <w:t>portion of our NOLs and certain other tax attributes, which could have a material adverse effect on our cash flows and results of operations.</w:t>
      </w:r>
    </w:p>
    <w:p>
      <w:pPr>
        <w:spacing w:after="0" w:line="253" w:lineRule="exact"/>
        <w:rPr>
          <w:sz w:val="20"/>
          <w:szCs w:val="20"/>
          <w:color w:val="auto"/>
        </w:rPr>
      </w:pPr>
    </w:p>
    <w:p>
      <w:pPr>
        <w:ind w:left="120" w:right="300"/>
        <w:spacing w:after="0" w:line="251" w:lineRule="auto"/>
        <w:rPr>
          <w:sz w:val="20"/>
          <w:szCs w:val="20"/>
          <w:color w:val="auto"/>
        </w:rPr>
      </w:pPr>
      <w:r>
        <w:rPr>
          <w:rFonts w:ascii="Arial" w:cs="Arial" w:eastAsia="Arial" w:hAnsi="Arial"/>
          <w:sz w:val="18"/>
          <w:szCs w:val="18"/>
          <w:b w:val="1"/>
          <w:bCs w:val="1"/>
          <w:i w:val="1"/>
          <w:iCs w:val="1"/>
          <w:color w:val="auto"/>
        </w:rPr>
        <w:t>A portion of our chemistry-based product development and sourcing of certain manufacturing raw materials for our product candidates takes place in China through third-party manufacturers. A significant disruption in the operation of those manufacturers, a trade war or political unrest in China could materially adversely affect our business, financial condition and results of operations.</w:t>
      </w:r>
    </w:p>
    <w:p>
      <w:pPr>
        <w:spacing w:after="0" w:line="5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currently contract certain product development and manufacturing operations to third parties outside the United States, including in China, and we expect to continue to use such third-party manufacturers for such product candidates. Any disruption in production or inability of our manufacturers in China to produce adequate quantities to meet our needs, whether as a result of a natural disaster or other causes, could impair our ability to operate our business on a day-to-day basis and to continue our development of our product candidates. Furthermore, since these manufacturers are located in China, we are exposed to the possibility of product supply disruption and increased costs in the event of changes in the policies of the United States or Chinese governments, political unrest or unstable economic conditions in China. For example, a trade war could lead to tariffs on the chemical intermediates we use that are manufactured in China. Any of these matters could materially adversely affect our business, financial condition and results of operations. Any recall of the manufacturing lots or similar action regarding our product candidates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29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Risks Related to Reliance on Third Parties</w:t>
      </w:r>
    </w:p>
    <w:p>
      <w:pPr>
        <w:spacing w:after="0" w:line="214" w:lineRule="exact"/>
        <w:rPr>
          <w:sz w:val="20"/>
          <w:szCs w:val="20"/>
          <w:color w:val="auto"/>
        </w:rPr>
      </w:pPr>
    </w:p>
    <w:p>
      <w:pPr>
        <w:jc w:val="both"/>
        <w:ind w:left="120" w:right="20"/>
        <w:spacing w:after="0" w:line="260" w:lineRule="auto"/>
        <w:rPr>
          <w:sz w:val="20"/>
          <w:szCs w:val="20"/>
          <w:color w:val="auto"/>
        </w:rPr>
      </w:pPr>
      <w:r>
        <w:rPr>
          <w:rFonts w:ascii="Arial" w:cs="Arial" w:eastAsia="Arial" w:hAnsi="Arial"/>
          <w:sz w:val="18"/>
          <w:szCs w:val="18"/>
          <w:b w:val="1"/>
          <w:bCs w:val="1"/>
          <w:i w:val="1"/>
          <w:iCs w:val="1"/>
          <w:color w:val="auto"/>
        </w:rPr>
        <w:t>We currently rely, and plan to rely in the future, on third parties to conduct and support our preclinical studies and clinical trials. If these third parties do not properly and successfully carry out their contractual duties or meet expected deadlines, we may not be able to obtain regulatory approval of or commercialize our product candidates.</w:t>
      </w:r>
    </w:p>
    <w:p>
      <w:pPr>
        <w:spacing w:after="0" w:line="43" w:lineRule="exact"/>
        <w:rPr>
          <w:sz w:val="20"/>
          <w:szCs w:val="20"/>
          <w:color w:val="auto"/>
        </w:rPr>
      </w:pPr>
    </w:p>
    <w:p>
      <w:pPr>
        <w:ind w:left="120" w:right="240" w:firstLine="551"/>
        <w:spacing w:after="0" w:line="245" w:lineRule="auto"/>
        <w:rPr>
          <w:sz w:val="20"/>
          <w:szCs w:val="20"/>
          <w:color w:val="auto"/>
        </w:rPr>
      </w:pPr>
      <w:r>
        <w:rPr>
          <w:rFonts w:ascii="Arial" w:cs="Arial" w:eastAsia="Arial" w:hAnsi="Arial"/>
          <w:sz w:val="18"/>
          <w:szCs w:val="18"/>
          <w:color w:val="auto"/>
        </w:rPr>
        <w:t>We have utilized and plan to continue to utilize and depend upon independent investigators and collaborators, such as medical institutions, CROs, CMOs and strategic partners to conduct and support our preclinical studies and clinical trials under agreements with us. We are continuing to build our internal chemistry, manufacturing and controls, biology and preclinical development capabilities to supplement activities conducted by third parties on our behalf. As part of this personnel build out, we may incur additional costs or experience delays in engaging directly with other third-party CROs and CMOs.</w:t>
      </w:r>
    </w:p>
    <w:p>
      <w:pPr>
        <w:spacing w:after="0" w:line="172"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color w:val="auto"/>
        </w:rPr>
        <w:t>We expect to have to negotiate budgets and contracts with CROs, trial sites and CMOs and we may not be able to do so on favorable terms, which may result in delays to our development timelines and increased costs. We will rely heavily on these third parties over the course of our preclinical studies and clinical trials, and we control only certain aspects of their activities. As a result, we will have less direct control over the conduct, timing and completion of these preclinical studies and clinical trials and the management of data developed through preclinical studies and clinical trials than would</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00"/>
          </w:cols>
          <w:pgMar w:left="320" w:top="455" w:right="47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be the case if we were relying entirely upon our own staff. Nevertheless, we are responsible for ensuring that each of our studies is conducted in accordance with applicable protocol, legal and regulatory requirements and scientific standards, and our reliance on third parties does not relieve us of our regulatory responsibilities. We and these third parties are required to comply with GCP requirements, which are regulations and guidelines enforced by the FDA and comparable foreign regulatory authorities for product candidates in clinical development. Regulatory authorities enforce these GCP requirements through periodic inspections of trial sponsors, principal investigators and trial sites. If we or any of these third parties fail to comply with applicable GCP regulations, the clinical data generated in our clinical trials may be deemed unreliable and the FDA or comparable foreign regulatory authorities may require us to perform additional clinical trials before approving our marketing applications. We cannot assure you that, upon inspection, such regulatory authorities will determine that any of our clinical trials comply with the GCP regulations. In addition, our clinical trials must be conducted with pharmaceutical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80"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Any third parties conducting our clinical trials will not be our employees and, except for remedies available to us under our agreements with such third parties, we cannot control whether or not they devote sufficient time and resources to our product candidates. These third parties may also have relationships with other commercial entities, including our competitors, for whom they may also be conducting clinical trials or other product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As a result, our financial results and the commercial prospects for our product candidates would be adversely affected, our costs could increase and our ability to generate revenue could be delayed.</w:t>
      </w:r>
    </w:p>
    <w:p>
      <w:pPr>
        <w:spacing w:after="0" w:line="180"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Switching or adding third parties to conduct our preclinical studies and clinical trials involves substantial cost and requires extensive management time and focus. In addition, there is a natural transition period when a new third party commences work. As a result, delays occur, which can materially impact our ability to meet our desired clinical development timelines.</w:t>
      </w:r>
    </w:p>
    <w:p>
      <w:pPr>
        <w:spacing w:after="0" w:line="272" w:lineRule="exact"/>
        <w:rPr>
          <w:sz w:val="20"/>
          <w:szCs w:val="20"/>
          <w:color w:val="auto"/>
        </w:rPr>
      </w:pPr>
    </w:p>
    <w:p>
      <w:pPr>
        <w:ind w:left="120" w:right="60"/>
        <w:spacing w:after="0" w:line="271" w:lineRule="auto"/>
        <w:rPr>
          <w:sz w:val="20"/>
          <w:szCs w:val="20"/>
          <w:color w:val="auto"/>
        </w:rPr>
      </w:pPr>
      <w:r>
        <w:rPr>
          <w:rFonts w:ascii="Arial" w:cs="Arial" w:eastAsia="Arial" w:hAnsi="Arial"/>
          <w:sz w:val="17"/>
          <w:szCs w:val="17"/>
          <w:b w:val="1"/>
          <w:bCs w:val="1"/>
          <w:i w:val="1"/>
          <w:iCs w:val="1"/>
          <w:color w:val="auto"/>
        </w:rPr>
        <w:t>We currently rely and expect to rely in the future on the use of manufacturing suites in third-party facilities or on third parties to manufacture our product candidates, and we may rely on third parties to produce and process our products, if approved. Our business could be adversely affected if we are unable to use third-party manufacturing suites or if the third-party manufacturers fail to provide us with sufficient quantities of our product candidates or fail to do so at acceptable quality levels or prices.</w:t>
      </w:r>
    </w:p>
    <w:p>
      <w:pPr>
        <w:spacing w:after="0" w:line="35"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We do not currently own any facility that may be used as our clinical-scale manufacturing and processing facility and must currently rely on outside vendors to manufacture our product candidates. We have not yet caused our product candidates to be manufactured on a commercial scale and may not be able to do so for any of our product candidates. We will need to negotiate and maintain contractual arrangements with these outside vendors for the supply of our product candidates and we may not be able to do so on favorable terms. We have not yet caused any product candidates to be manufactured on a commercial scale and may not be able to do so for any of our product candidates, if approved.</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5" w:right="45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facilities used by our contract manufacturers to manufacture our product candidates must be approved by the FDA or other comparable foreign regulatory authorities following inspections that will be conducted after we submit an application to the FDA or other comparable foreign regulatory authorities. We may not control the manufacturing process of, and may be completely dependent on, our contract manufacturing partners for compliance with cGMP requirements and any other regulatory requirements of the FDA or other regulatory authorities for the manufacture of our product candidates. Beyond periodic audits, we have no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approval in the future, we may need to find alternative manufacturing facilities, which would require the incurrence of significant additional costs and materially adversely affect our ability to develop, obtain regulatory approval for or market our product candidates, if approved. Similarly, if any third-party manufacturers on which we will rely fail to manufacture quantities of our product candidates at quality levels necessary to meet regulatory requirements and at a scale sufficient to meet anticipated demand at a cost that allows us to achieve profitability, our business, financial condition and prospects could be materially and adversely affected.</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anticipated reliance on a limited number of third-party manufacturers exposes us to a number of risks, including the following:</w:t>
      </w:r>
    </w:p>
    <w:p>
      <w:pPr>
        <w:spacing w:after="0" w:line="117" w:lineRule="exact"/>
        <w:rPr>
          <w:sz w:val="20"/>
          <w:szCs w:val="20"/>
          <w:color w:val="auto"/>
        </w:rPr>
      </w:pPr>
    </w:p>
    <w:p>
      <w:pPr>
        <w:ind w:left="880" w:right="460" w:hanging="224"/>
        <w:spacing w:after="0" w:line="27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be unable to identify manufacturers on acceptable terms or at all because the number of potential manufacturers is limited and the FDA must inspect any manufacturers for cGMP compliance as part of our marketing application;</w:t>
      </w:r>
    </w:p>
    <w:p>
      <w:pPr>
        <w:spacing w:after="0" w:line="50" w:lineRule="exact"/>
        <w:rPr>
          <w:rFonts w:ascii="Arial" w:cs="Arial" w:eastAsia="Arial" w:hAnsi="Arial"/>
          <w:sz w:val="18"/>
          <w:szCs w:val="18"/>
          <w:color w:val="auto"/>
        </w:rPr>
      </w:pPr>
    </w:p>
    <w:p>
      <w:pPr>
        <w:ind w:left="880" w:right="540" w:hanging="224"/>
        <w:spacing w:after="0" w:line="27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new manufacturer would have to be educated in, or develop substantially equivalent processes for, the production of our product candidates;</w:t>
      </w:r>
    </w:p>
    <w:p>
      <w:pPr>
        <w:spacing w:after="0" w:line="50"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third-party manufacturers might be unable to timely manufacture our product candidates or produce the quantity and quality required to meet our clinical and commercial needs, if any;</w:t>
      </w:r>
    </w:p>
    <w:p>
      <w:pPr>
        <w:spacing w:after="0" w:line="50" w:lineRule="exact"/>
        <w:rPr>
          <w:rFonts w:ascii="Arial" w:cs="Arial" w:eastAsia="Arial" w:hAnsi="Arial"/>
          <w:sz w:val="18"/>
          <w:szCs w:val="18"/>
          <w:color w:val="auto"/>
        </w:rPr>
      </w:pPr>
    </w:p>
    <w:p>
      <w:pPr>
        <w:ind w:left="880" w:right="440" w:hanging="224"/>
        <w:spacing w:after="0" w:line="27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contract manufacturers may not be able to execute our manufacturing procedures and other logistical support requirements appropriately;</w:t>
      </w:r>
    </w:p>
    <w:p>
      <w:pPr>
        <w:spacing w:after="0" w:line="50" w:lineRule="exact"/>
        <w:rPr>
          <w:rFonts w:ascii="Arial" w:cs="Arial" w:eastAsia="Arial" w:hAnsi="Arial"/>
          <w:sz w:val="18"/>
          <w:szCs w:val="18"/>
          <w:color w:val="auto"/>
        </w:rPr>
      </w:pPr>
    </w:p>
    <w:p>
      <w:pPr>
        <w:ind w:left="880" w:right="160" w:hanging="224"/>
        <w:spacing w:after="0" w:line="255"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future contract manufacturers may not perform as agreed, may not devote sufficient resources to our product candidates or may not remain in the contract manufacturing business for the time required to supply our clinical trials or to successfully produce, store and distribute our products, if any;</w:t>
      </w:r>
    </w:p>
    <w:p>
      <w:pPr>
        <w:spacing w:after="0" w:line="69" w:lineRule="exact"/>
        <w:rPr>
          <w:rFonts w:ascii="Arial" w:cs="Arial" w:eastAsia="Arial" w:hAnsi="Arial"/>
          <w:sz w:val="18"/>
          <w:szCs w:val="18"/>
          <w:color w:val="auto"/>
        </w:rPr>
      </w:pPr>
    </w:p>
    <w:p>
      <w:pPr>
        <w:ind w:left="880" w:right="100" w:hanging="224"/>
        <w:spacing w:after="0" w:line="255"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manufacturers are subject to ongoing periodic unannounced inspection by the FDA and corresponding state agencies to ensure strict compliance with cGMP and other government regulations and corresponding foreign standards and we have no control over third-party manufacturers’ compliance with these regulations and standards;</w:t>
      </w:r>
    </w:p>
    <w:p>
      <w:pPr>
        <w:spacing w:after="0" w:line="69" w:lineRule="exact"/>
        <w:rPr>
          <w:rFonts w:ascii="Arial" w:cs="Arial" w:eastAsia="Arial" w:hAnsi="Arial"/>
          <w:sz w:val="18"/>
          <w:szCs w:val="18"/>
          <w:color w:val="auto"/>
        </w:rPr>
      </w:pPr>
    </w:p>
    <w:p>
      <w:pPr>
        <w:ind w:left="880" w:right="1080" w:hanging="224"/>
        <w:spacing w:after="0" w:line="27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may not own, or may have to share, the intellectual property rights to any improvements made by our third-party manufacturers in the manufacturing process for our product candidates;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third-party manufacturers could breach or terminate their agreements with us;</w:t>
      </w:r>
    </w:p>
    <w:p>
      <w:pPr>
        <w:spacing w:after="0" w:line="117" w:lineRule="exact"/>
        <w:rPr>
          <w:rFonts w:ascii="Arial" w:cs="Arial" w:eastAsia="Arial" w:hAnsi="Arial"/>
          <w:sz w:val="18"/>
          <w:szCs w:val="18"/>
          <w:color w:val="auto"/>
        </w:rPr>
      </w:pPr>
    </w:p>
    <w:p>
      <w:pPr>
        <w:ind w:left="880" w:right="540" w:hanging="224"/>
        <w:spacing w:after="0" w:line="27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raw materials and components used in the manufacturing process, particularly those for which we have no other source or supplier, may not be available or may not be suitable or acceptable for use due to material or component defects;</w:t>
      </w:r>
    </w:p>
    <w:p>
      <w:pPr>
        <w:spacing w:after="0" w:line="50" w:lineRule="exact"/>
        <w:rPr>
          <w:rFonts w:ascii="Arial" w:cs="Arial" w:eastAsia="Arial" w:hAnsi="Arial"/>
          <w:sz w:val="18"/>
          <w:szCs w:val="18"/>
          <w:color w:val="auto"/>
        </w:rPr>
      </w:pPr>
    </w:p>
    <w:p>
      <w:pPr>
        <w:ind w:left="880" w:right="180" w:hanging="224"/>
        <w:spacing w:after="0" w:line="276"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contract manufacturers and critical reagent suppliers may be subject to inclement weather, as well as natural or man-made disasters; and</w:t>
      </w:r>
    </w:p>
    <w:p>
      <w:pPr>
        <w:spacing w:after="0" w:line="50" w:lineRule="exact"/>
        <w:rPr>
          <w:rFonts w:ascii="Arial" w:cs="Arial" w:eastAsia="Arial" w:hAnsi="Arial"/>
          <w:sz w:val="18"/>
          <w:szCs w:val="18"/>
          <w:color w:val="auto"/>
        </w:rPr>
      </w:pPr>
    </w:p>
    <w:p>
      <w:pPr>
        <w:ind w:left="880" w:right="340" w:hanging="224"/>
        <w:spacing w:after="0" w:line="255" w:lineRule="auto"/>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contract manufacturers may have unacceptable or inconsistent product quality success rates and yields, and we have no direct control over our contract manufacturers’ ability to maintain adequate quality control, quality assurance and qualified personnel.</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5" w:right="45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551"/>
        <w:spacing w:after="0" w:line="260" w:lineRule="auto"/>
        <w:rPr>
          <w:sz w:val="20"/>
          <w:szCs w:val="20"/>
          <w:color w:val="auto"/>
        </w:rPr>
      </w:pPr>
      <w:r>
        <w:rPr>
          <w:rFonts w:ascii="Arial" w:cs="Arial" w:eastAsia="Arial" w:hAnsi="Arial"/>
          <w:sz w:val="17"/>
          <w:szCs w:val="17"/>
          <w:color w:val="auto"/>
        </w:rPr>
        <w:t>Our business could be materially adversely affected by business disruptions to our third-party providers that could materially adversely affect our potential future revenue and financial condition and increase our costs and expenses. Each of these risks could delay or prevent the completion of our clinical trials or the approval of any of our product candidates by the FDA,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our company until deficiencies are remedied.</w:t>
      </w:r>
    </w:p>
    <w:p>
      <w:pPr>
        <w:spacing w:after="0" w:line="268" w:lineRule="exact"/>
        <w:rPr>
          <w:sz w:val="20"/>
          <w:szCs w:val="20"/>
          <w:color w:val="auto"/>
        </w:rPr>
      </w:pPr>
    </w:p>
    <w:p>
      <w:pPr>
        <w:ind w:left="120" w:right="180"/>
        <w:spacing w:after="0" w:line="285" w:lineRule="auto"/>
        <w:rPr>
          <w:sz w:val="20"/>
          <w:szCs w:val="20"/>
          <w:color w:val="auto"/>
        </w:rPr>
      </w:pPr>
      <w:r>
        <w:rPr>
          <w:rFonts w:ascii="Arial" w:cs="Arial" w:eastAsia="Arial" w:hAnsi="Arial"/>
          <w:sz w:val="18"/>
          <w:szCs w:val="18"/>
          <w:b w:val="1"/>
          <w:bCs w:val="1"/>
          <w:i w:val="1"/>
          <w:iCs w:val="1"/>
          <w:color w:val="auto"/>
        </w:rPr>
        <w:t>We currently, and may in the future, depend on single-source suppliers for some of the ingredients, components and materials used in, and the manufacturing processes required to develop, our product candidates.</w:t>
      </w:r>
    </w:p>
    <w:p>
      <w:pPr>
        <w:spacing w:after="0" w:line="21"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currently, and may in the future, depend on single-source suppliers for some of the ingredients, components and materials used in, and manufacturing processes required to develop, our product candidates. There are, for certain of these components, relatively few alternative sources of supply and there is limited need for multiple suppliers at this stage of our business. We cannot ensure that these suppliers or service providers will remain in business, have sufficient capacity or supply to meet our needs or that they will not be purchased by one of our competitors or another company that is not interested in continuing to work with us. Our use of single-source suppliers of raw materials, ingredients, components, key processes and finished goods exposes us to several risks, including disruptions in supply, price increases or late deliveries. These suppliers may be unable or unwilling to meet our future demands for our clinical trials or commercial sale. Establishing additional or replacement suppliers for these components, materials and processes could take a substantial amount of time and it may be difficult to establish replacement suppliers who meet regulatory requirements. Any disruption in supply from any single-source supplier or service provider could lead to supply delays or interruptions which would materially adversely affect our business, financial condition and results of operations.</w:t>
      </w:r>
    </w:p>
    <w:p>
      <w:pPr>
        <w:spacing w:after="0" w:line="176"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If we have to switch to a replacement supplier, the manufacture and delivery of our product candidates may be interrupted for an extended period, which could materially adversely affect our business. Establishing additional or replacement suppliers for any of the components or processes used in or for our product candidates, if required, may not be accomplished quickly and would create increased cost. If we are able to find a replacement supplier, the replacement supplier would need to be qualified, would need to process our technology transfer and may require additional regulatory authority approval, which could result in further delay. While we seek to maintain adequate inventory of the single-source ingredients, components and materials used in our products, any interruption or delay in the supply of ingredients, components or materials or our inability to obtain ingredients, components or materials from alternate sources at acceptable prices in a timely manner, could impair our ability to meet the demand for our product candidates.</w:t>
      </w:r>
    </w:p>
    <w:p>
      <w:pPr>
        <w:spacing w:after="0" w:line="288"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If our third-party manufacturers use hazardous and biological materials in a manner that causes injury or violates applicable law, we may be liable for damages.</w:t>
      </w:r>
    </w:p>
    <w:p>
      <w:pPr>
        <w:spacing w:after="0" w:line="21"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Our research and development activities involve the controlled use of potentially hazardous substances, including chemical and biological materials, by our third-party manufacturers. Our manufacturers are subject to federal, state and local laws and regulations in the United States governing the use, manufacture, storage, handling and disposal of medical and hazardous materials. Although we believe that our manufacturers’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5" w:right="4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5" w:lineRule="auto"/>
        <w:rPr>
          <w:sz w:val="20"/>
          <w:szCs w:val="20"/>
          <w:color w:val="auto"/>
        </w:rPr>
      </w:pPr>
      <w:r>
        <w:rPr>
          <w:rFonts w:ascii="Arial" w:cs="Arial" w:eastAsia="Arial" w:hAnsi="Arial"/>
          <w:sz w:val="18"/>
          <w:szCs w:val="18"/>
          <w:color w:val="auto"/>
        </w:rPr>
        <w:t>use of these materials and interrupt our business operations. In the event of an accident, we could be held liable for damages or penalized with fines, and the liability could exceed our resources. We do not have any insurance for liabilities arising from medical or hazardous materials. Compliance with applicable environmental laws and regulations is expensive, and current or future environmental regulations may impair our research, development and production efforts, which could harm our business, prospects, financial condition or results of operations.</w:t>
      </w:r>
    </w:p>
    <w:p>
      <w:pPr>
        <w:spacing w:after="0" w:line="280" w:lineRule="exact"/>
        <w:rPr>
          <w:sz w:val="20"/>
          <w:szCs w:val="20"/>
          <w:color w:val="auto"/>
        </w:rPr>
      </w:pPr>
    </w:p>
    <w:p>
      <w:pPr>
        <w:jc w:val="both"/>
        <w:ind w:left="120" w:right="140"/>
        <w:spacing w:after="0" w:line="260" w:lineRule="auto"/>
        <w:rPr>
          <w:sz w:val="20"/>
          <w:szCs w:val="20"/>
          <w:color w:val="auto"/>
        </w:rPr>
      </w:pPr>
      <w:r>
        <w:rPr>
          <w:rFonts w:ascii="Arial" w:cs="Arial" w:eastAsia="Arial" w:hAnsi="Arial"/>
          <w:sz w:val="18"/>
          <w:szCs w:val="18"/>
          <w:b w:val="1"/>
          <w:bCs w:val="1"/>
          <w:i w:val="1"/>
          <w:iCs w:val="1"/>
          <w:color w:val="auto"/>
        </w:rPr>
        <w:t>Our manufacturing process needs to comply with FDA regulations relating to the quality and reliability of such processes. Any failure by us or our third-party manufacturers to comply with relevant regulations could result in delays in or termination of our clinical programs and suspension or withdrawal of any regulatory approvals.</w:t>
      </w:r>
    </w:p>
    <w:p>
      <w:pPr>
        <w:spacing w:after="0" w:line="43"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In order to commercially produce our products either at our own facility or at a third party’s facility, we will need to comply with the FDA’s cGMP regulations and guidelines. We may encounter difficulties in achieving quality control and quality assurance and may experience shortages in qualified personnel. We are subject to inspections by the FDA and comparable foreign regulatory authorities to confirm compliance with applicable regulatory requirements. Any failure to follow cGMP or other regulatory requirements or delay, interruption or other issues that arise in the manufacture, fill-finish, packaging or storage of our precision medicines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our precision medicines for our clinical trials or the termination of or suspension of a clinical trial, or the delay or prevention of a filing or approval of marketing applications for our product candidates. Significant non-compliance could also result in the imposition of sanctions, including warning or untitled letters,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and our business.</w:t>
      </w:r>
    </w:p>
    <w:p>
      <w:pPr>
        <w:spacing w:after="0" w:line="291" w:lineRule="exact"/>
        <w:rPr>
          <w:sz w:val="20"/>
          <w:szCs w:val="20"/>
          <w:color w:val="auto"/>
        </w:rPr>
      </w:pPr>
    </w:p>
    <w:p>
      <w:pPr>
        <w:ind w:left="120" w:right="280"/>
        <w:spacing w:after="0" w:line="285" w:lineRule="auto"/>
        <w:rPr>
          <w:sz w:val="20"/>
          <w:szCs w:val="20"/>
          <w:color w:val="auto"/>
        </w:rPr>
      </w:pPr>
      <w:r>
        <w:rPr>
          <w:rFonts w:ascii="Arial" w:cs="Arial" w:eastAsia="Arial" w:hAnsi="Arial"/>
          <w:sz w:val="18"/>
          <w:szCs w:val="18"/>
          <w:b w:val="1"/>
          <w:bCs w:val="1"/>
          <w:i w:val="1"/>
          <w:iCs w:val="1"/>
          <w:color w:val="auto"/>
        </w:rPr>
        <w:t>We may, in the future, form or seek collaborations or strategic alliances or enter into licensing arrangements, and we may not realize the benefits of such collaborations, alliances or licensing arrangements.</w:t>
      </w:r>
    </w:p>
    <w:p>
      <w:pPr>
        <w:spacing w:after="0" w:line="21"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color w:val="auto"/>
        </w:rPr>
        <w:t>We may, in the future, form or seek strategic alliances, create joint ventures or collaborations, or enter into licensing arrangements with third parties that we believe will complement or augment our development and commercialization efforts with respect to our product candidates and any future product candidates that we may develop. Any of these relationships may require us to incur non-recurring and other charges, increase our near and long-term expenditures, issue securities that dilute our existing stockholders or disrupt our management and business.</w:t>
      </w:r>
    </w:p>
    <w:p>
      <w:pPr>
        <w:spacing w:after="0" w:line="172" w:lineRule="exact"/>
        <w:rPr>
          <w:sz w:val="20"/>
          <w:szCs w:val="20"/>
          <w:color w:val="auto"/>
        </w:rPr>
      </w:pPr>
    </w:p>
    <w:p>
      <w:pPr>
        <w:ind w:left="120" w:right="60" w:firstLine="551"/>
        <w:spacing w:after="0" w:line="268" w:lineRule="auto"/>
        <w:rPr>
          <w:sz w:val="20"/>
          <w:szCs w:val="20"/>
          <w:color w:val="auto"/>
        </w:rPr>
      </w:pPr>
      <w:r>
        <w:rPr>
          <w:rFonts w:ascii="Arial" w:cs="Arial" w:eastAsia="Arial" w:hAnsi="Arial"/>
          <w:sz w:val="17"/>
          <w:szCs w:val="17"/>
          <w:color w:val="auto"/>
        </w:rPr>
        <w:t>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of a stage of development for collaborative effort and third parties may not view our product candidates as having the requisite potential to demonstrate safety and efficacy and obtain marketing approval.</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Further, collaborations involving our product candidates are subject to numerous risks, which may include the following:</w:t>
      </w:r>
    </w:p>
    <w:p>
      <w:pPr>
        <w:spacing w:after="0" w:line="117" w:lineRule="exact"/>
        <w:rPr>
          <w:sz w:val="20"/>
          <w:szCs w:val="20"/>
          <w:color w:val="auto"/>
        </w:rPr>
      </w:pPr>
    </w:p>
    <w:p>
      <w:pPr>
        <w:ind w:left="880" w:hanging="224"/>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a collaboration;</w:t>
      </w:r>
    </w:p>
    <w:p>
      <w:pPr>
        <w:spacing w:after="0" w:line="144"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63</w:t>
      </w:r>
    </w:p>
    <w:p>
      <w:pPr>
        <w:sectPr>
          <w:pgSz w:w="11900" w:h="16838" w:orient="portrait"/>
          <w:cols w:equalWidth="0" w:num="1">
            <w:col w:w="11120"/>
          </w:cols>
          <w:pgMar w:left="320" w:top="455" w:right="45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20" w:hanging="224"/>
        <w:spacing w:after="0" w:line="248"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our product candidates or may elect not to continue or renew development or commercialization of our product candidates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75" w:lineRule="exact"/>
        <w:rPr>
          <w:rFonts w:ascii="Arial" w:cs="Arial" w:eastAsia="Arial" w:hAnsi="Arial"/>
          <w:sz w:val="18"/>
          <w:szCs w:val="18"/>
          <w:color w:val="auto"/>
        </w:rPr>
      </w:pPr>
    </w:p>
    <w:p>
      <w:pPr>
        <w:ind w:left="880" w:right="640" w:hanging="224"/>
        <w:spacing w:after="0" w:line="306" w:lineRule="auto"/>
        <w:tabs>
          <w:tab w:leader="none" w:pos="8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28" w:lineRule="exact"/>
        <w:rPr>
          <w:rFonts w:ascii="Arial" w:cs="Arial" w:eastAsia="Arial" w:hAnsi="Arial"/>
          <w:sz w:val="17"/>
          <w:szCs w:val="17"/>
          <w:color w:val="auto"/>
        </w:rPr>
      </w:pPr>
    </w:p>
    <w:p>
      <w:pPr>
        <w:ind w:left="880" w:right="440" w:hanging="224"/>
        <w:spacing w:after="0" w:line="276"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w:t>
      </w:r>
    </w:p>
    <w:p>
      <w:pPr>
        <w:spacing w:after="0" w:line="50" w:lineRule="exact"/>
        <w:rPr>
          <w:rFonts w:ascii="Arial" w:cs="Arial" w:eastAsia="Arial" w:hAnsi="Arial"/>
          <w:sz w:val="18"/>
          <w:szCs w:val="18"/>
          <w:color w:val="auto"/>
        </w:rPr>
      </w:pPr>
    </w:p>
    <w:p>
      <w:pPr>
        <w:ind w:left="880" w:right="720" w:hanging="224"/>
        <w:spacing w:after="0" w:line="276"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products may not commit sufficient resources to their marketing and distribution;</w:t>
      </w:r>
    </w:p>
    <w:p>
      <w:pPr>
        <w:spacing w:after="0" w:line="50" w:lineRule="exact"/>
        <w:rPr>
          <w:rFonts w:ascii="Arial" w:cs="Arial" w:eastAsia="Arial" w:hAnsi="Arial"/>
          <w:sz w:val="18"/>
          <w:szCs w:val="18"/>
          <w:color w:val="auto"/>
        </w:rPr>
      </w:pPr>
    </w:p>
    <w:p>
      <w:pPr>
        <w:ind w:left="880" w:right="80" w:hanging="224"/>
        <w:spacing w:after="0" w:line="255"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69" w:lineRule="exact"/>
        <w:rPr>
          <w:rFonts w:ascii="Arial" w:cs="Arial" w:eastAsia="Arial" w:hAnsi="Arial"/>
          <w:sz w:val="18"/>
          <w:szCs w:val="18"/>
          <w:color w:val="auto"/>
        </w:rPr>
      </w:pPr>
    </w:p>
    <w:p>
      <w:pPr>
        <w:ind w:left="880" w:right="40" w:hanging="224"/>
        <w:spacing w:after="0" w:line="255"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disputes may arise between us and a collaborator that cause the delay or termination of the research, development or commercialization of our product candidates, or that result in costly litigation or arbitration that diverts management attention and resources;</w:t>
      </w:r>
    </w:p>
    <w:p>
      <w:pPr>
        <w:spacing w:after="0" w:line="69" w:lineRule="exact"/>
        <w:rPr>
          <w:rFonts w:ascii="Arial" w:cs="Arial" w:eastAsia="Arial" w:hAnsi="Arial"/>
          <w:sz w:val="18"/>
          <w:szCs w:val="18"/>
          <w:color w:val="auto"/>
        </w:rPr>
      </w:pPr>
    </w:p>
    <w:p>
      <w:pPr>
        <w:ind w:left="880" w:right="120" w:hanging="224"/>
        <w:spacing w:after="0" w:line="276"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 and</w:t>
      </w:r>
    </w:p>
    <w:p>
      <w:pPr>
        <w:spacing w:after="0" w:line="50" w:lineRule="exact"/>
        <w:rPr>
          <w:rFonts w:ascii="Arial" w:cs="Arial" w:eastAsia="Arial" w:hAnsi="Arial"/>
          <w:sz w:val="18"/>
          <w:szCs w:val="18"/>
          <w:color w:val="auto"/>
        </w:rPr>
      </w:pPr>
    </w:p>
    <w:p>
      <w:pPr>
        <w:ind w:left="880" w:right="80" w:hanging="224"/>
        <w:spacing w:after="0" w:line="276"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45" w:lineRule="exact"/>
        <w:rPr>
          <w:sz w:val="20"/>
          <w:szCs w:val="20"/>
          <w:color w:val="auto"/>
        </w:rPr>
      </w:pPr>
    </w:p>
    <w:p>
      <w:pPr>
        <w:ind w:left="120" w:right="200" w:firstLine="551"/>
        <w:spacing w:after="0" w:line="241" w:lineRule="auto"/>
        <w:rPr>
          <w:sz w:val="20"/>
          <w:szCs w:val="20"/>
          <w:color w:val="auto"/>
        </w:rPr>
      </w:pPr>
      <w:r>
        <w:rPr>
          <w:rFonts w:ascii="Arial" w:cs="Arial" w:eastAsia="Arial" w:hAnsi="Arial"/>
          <w:sz w:val="18"/>
          <w:szCs w:val="18"/>
          <w:color w:val="auto"/>
        </w:rPr>
        <w:t>As a result, if we enter into future collaboration agreements and strategic partnerships or license our product candidates,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future collaborations or strategic partnership agreements related to our product candidates could delay the development and commercialization of our product candidates in certain geographies for certain indications, which would harm our business prospects, financial condition and results of operations.</w:t>
      </w:r>
    </w:p>
    <w:p>
      <w:pPr>
        <w:spacing w:after="0" w:line="287"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If we decide to establish collaborations, but are not able to establish those collaborations on commercially reasonable terms, we may have to alter our development and commercialization plans.</w:t>
      </w:r>
    </w:p>
    <w:p>
      <w:pPr>
        <w:spacing w:after="0" w:line="21"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Our product development programs and the potential commercialization of our product candidates will require substantial additional cash to fund expenses. We may seek, in the future,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spacing w:after="0" w:line="172" w:lineRule="exact"/>
        <w:rPr>
          <w:sz w:val="20"/>
          <w:szCs w:val="20"/>
          <w:color w:val="auto"/>
        </w:rPr>
      </w:pPr>
    </w:p>
    <w:p>
      <w:pPr>
        <w:ind w:left="120" w:right="440" w:firstLine="551"/>
        <w:spacing w:after="0" w:line="276" w:lineRule="auto"/>
        <w:rPr>
          <w:sz w:val="20"/>
          <w:szCs w:val="20"/>
          <w:color w:val="auto"/>
        </w:rPr>
      </w:pPr>
      <w:r>
        <w:rPr>
          <w:rFonts w:ascii="Arial" w:cs="Arial" w:eastAsia="Arial" w:hAnsi="Arial"/>
          <w:sz w:val="18"/>
          <w:szCs w:val="18"/>
          <w:color w:val="auto"/>
        </w:rPr>
        <w:t>We would face significant competition in seeking appropriate collaborators and the negotiation process is time-consuming and complex. Whether we reach a definitive agreement for a collaboration</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5" w:right="45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our product candidate. Further, we may not be successful in our efforts to establish a collaboration or other alternative arrangements for product candidates because they may be deemed to be at too early of a stage of development for collaborative effort and third parties may not view them as having the requisite potential to demonstrate safety and efficacy.</w:t>
      </w:r>
    </w:p>
    <w:p>
      <w:pPr>
        <w:spacing w:after="0" w:line="180" w:lineRule="exact"/>
        <w:rPr>
          <w:sz w:val="20"/>
          <w:szCs w:val="20"/>
          <w:color w:val="auto"/>
        </w:rPr>
      </w:pPr>
    </w:p>
    <w:p>
      <w:pPr>
        <w:jc w:val="both"/>
        <w:ind w:left="120" w:right="280" w:firstLine="551"/>
        <w:spacing w:after="0" w:line="277" w:lineRule="auto"/>
        <w:rPr>
          <w:sz w:val="20"/>
          <w:szCs w:val="20"/>
          <w:color w:val="auto"/>
        </w:rPr>
      </w:pPr>
      <w:r>
        <w:rPr>
          <w:rFonts w:ascii="Arial" w:cs="Arial" w:eastAsia="Arial" w:hAnsi="Arial"/>
          <w:sz w:val="17"/>
          <w:szCs w:val="17"/>
          <w:color w:val="auto"/>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spacing w:after="0" w:line="147"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If and when we seek to enter into collaborations in the future,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w:t>
      </w:r>
    </w:p>
    <w:p>
      <w:pPr>
        <w:spacing w:after="0" w:line="287" w:lineRule="exact"/>
        <w:rPr>
          <w:sz w:val="20"/>
          <w:szCs w:val="20"/>
          <w:color w:val="auto"/>
        </w:rPr>
      </w:pPr>
    </w:p>
    <w:p>
      <w:pPr>
        <w:ind w:left="120" w:right="140"/>
        <w:spacing w:after="0" w:line="285" w:lineRule="auto"/>
        <w:rPr>
          <w:sz w:val="20"/>
          <w:szCs w:val="20"/>
          <w:color w:val="auto"/>
        </w:rPr>
      </w:pPr>
      <w:r>
        <w:rPr>
          <w:rFonts w:ascii="Arial" w:cs="Arial" w:eastAsia="Arial" w:hAnsi="Arial"/>
          <w:sz w:val="18"/>
          <w:szCs w:val="18"/>
          <w:b w:val="1"/>
          <w:bCs w:val="1"/>
          <w:i w:val="1"/>
          <w:iCs w:val="1"/>
          <w:color w:val="auto"/>
        </w:rPr>
        <w:t>If conflicts arise between us and our future collaborators or strategic partners, these parties may act in a manner adverse to us and could limit our ability to implement our strategies.</w:t>
      </w:r>
    </w:p>
    <w:p>
      <w:pPr>
        <w:spacing w:after="0" w:line="21"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our current or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adversely affect our product development efforts.</w:t>
      </w:r>
    </w:p>
    <w:p>
      <w:pPr>
        <w:spacing w:after="0" w:line="288" w:lineRule="exact"/>
        <w:rPr>
          <w:sz w:val="20"/>
          <w:szCs w:val="20"/>
          <w:color w:val="auto"/>
        </w:rPr>
      </w:pPr>
    </w:p>
    <w:p>
      <w:pPr>
        <w:ind w:left="120" w:right="1200"/>
        <w:spacing w:after="0" w:line="285"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cause us to incur debt or assume contingent liabilities, and subject us to other risks.</w:t>
      </w:r>
    </w:p>
    <w:p>
      <w:pPr>
        <w:spacing w:after="0" w:line="21" w:lineRule="exact"/>
        <w:rPr>
          <w:sz w:val="20"/>
          <w:szCs w:val="20"/>
          <w:color w:val="auto"/>
        </w:rPr>
      </w:pPr>
    </w:p>
    <w:p>
      <w:pPr>
        <w:ind w:left="120" w:right="300" w:firstLine="551"/>
        <w:spacing w:after="0" w:line="255" w:lineRule="auto"/>
        <w:rPr>
          <w:sz w:val="20"/>
          <w:szCs w:val="20"/>
          <w:color w:val="auto"/>
        </w:rPr>
      </w:pPr>
      <w:r>
        <w:rPr>
          <w:rFonts w:ascii="Arial" w:cs="Arial" w:eastAsia="Arial" w:hAnsi="Arial"/>
          <w:sz w:val="18"/>
          <w:szCs w:val="18"/>
          <w:color w:val="auto"/>
        </w:rPr>
        <w:t>From time to time, we evaluate various acquisition opportunities and strategic partnerships, including licensing or acquiring complementary products, intellectual property rights, technologies or businesses. Any potential acquisition or strategic partnership may entail numerous risks, including:</w:t>
      </w:r>
    </w:p>
    <w:p>
      <w:pPr>
        <w:spacing w:after="0" w:line="69" w:lineRule="exact"/>
        <w:rPr>
          <w:sz w:val="20"/>
          <w:szCs w:val="20"/>
          <w:color w:val="auto"/>
        </w:rPr>
      </w:pPr>
    </w:p>
    <w:p>
      <w:pPr>
        <w:ind w:left="660"/>
        <w:spacing w:after="0"/>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increased operating expenses and cash requirements;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55" w:right="4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117" w:lineRule="exact"/>
        <w:rPr>
          <w:rFonts w:ascii="Arial" w:cs="Arial" w:eastAsia="Arial" w:hAnsi="Arial"/>
          <w:sz w:val="18"/>
          <w:szCs w:val="18"/>
          <w:color w:val="auto"/>
        </w:rPr>
      </w:pPr>
    </w:p>
    <w:p>
      <w:pPr>
        <w:ind w:left="880" w:right="560" w:hanging="224"/>
        <w:spacing w:after="0" w:line="276"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assimilation of operations, intellectual property and products of an acquired company, including difficulties associated with integrating new personnel;</w:t>
      </w:r>
    </w:p>
    <w:p>
      <w:pPr>
        <w:spacing w:after="0" w:line="50" w:lineRule="exact"/>
        <w:rPr>
          <w:rFonts w:ascii="Arial" w:cs="Arial" w:eastAsia="Arial" w:hAnsi="Arial"/>
          <w:sz w:val="18"/>
          <w:szCs w:val="18"/>
          <w:color w:val="auto"/>
        </w:rPr>
      </w:pPr>
    </w:p>
    <w:p>
      <w:pPr>
        <w:ind w:left="880" w:right="340" w:hanging="224"/>
        <w:spacing w:after="0" w:line="276"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diversion of our management’s attention from our existing programs and initiatives in pursuing such a strategic merger or acquisition;</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117" w:lineRule="exact"/>
        <w:rPr>
          <w:rFonts w:ascii="Arial" w:cs="Arial" w:eastAsia="Arial" w:hAnsi="Arial"/>
          <w:sz w:val="18"/>
          <w:szCs w:val="18"/>
          <w:color w:val="auto"/>
        </w:rPr>
      </w:pPr>
    </w:p>
    <w:p>
      <w:pPr>
        <w:ind w:left="880" w:right="540" w:hanging="224"/>
        <w:spacing w:after="0" w:line="276"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marketing approvals; and</w:t>
      </w:r>
    </w:p>
    <w:p>
      <w:pPr>
        <w:spacing w:after="0" w:line="50" w:lineRule="exact"/>
        <w:rPr>
          <w:rFonts w:ascii="Arial" w:cs="Arial" w:eastAsia="Arial" w:hAnsi="Arial"/>
          <w:sz w:val="18"/>
          <w:szCs w:val="18"/>
          <w:color w:val="auto"/>
        </w:rPr>
      </w:pPr>
    </w:p>
    <w:p>
      <w:pPr>
        <w:ind w:left="880" w:right="240" w:hanging="224"/>
        <w:spacing w:after="0" w:line="276"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45" w:lineRule="exact"/>
        <w:rPr>
          <w:sz w:val="20"/>
          <w:szCs w:val="20"/>
          <w:color w:val="auto"/>
        </w:rPr>
      </w:pPr>
    </w:p>
    <w:p>
      <w:pPr>
        <w:ind w:left="120" w:right="60" w:firstLine="551"/>
        <w:spacing w:after="0" w:line="306" w:lineRule="auto"/>
        <w:rPr>
          <w:sz w:val="20"/>
          <w:szCs w:val="20"/>
          <w:color w:val="auto"/>
        </w:rPr>
      </w:pPr>
      <w:r>
        <w:rPr>
          <w:rFonts w:ascii="Arial" w:cs="Arial" w:eastAsia="Arial" w:hAnsi="Arial"/>
          <w:sz w:val="17"/>
          <w:szCs w:val="17"/>
          <w:color w:val="auto"/>
        </w:rPr>
        <w:t>In addition, if we undertake acquisitions or pursue partnerships in the future, we may issue dilutive securities, assume or incur debt obligations, incur large one-time expenses and/or acquire intangible assets that could result in significant future amortization expense.</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14" w:lineRule="exact"/>
        <w:rPr>
          <w:sz w:val="20"/>
          <w:szCs w:val="20"/>
          <w:color w:val="auto"/>
        </w:rPr>
      </w:pPr>
    </w:p>
    <w:p>
      <w:pPr>
        <w:ind w:left="120" w:right="60"/>
        <w:spacing w:after="0" w:line="282" w:lineRule="auto"/>
        <w:rPr>
          <w:sz w:val="20"/>
          <w:szCs w:val="20"/>
          <w:color w:val="auto"/>
        </w:rPr>
      </w:pPr>
      <w:r>
        <w:rPr>
          <w:rFonts w:ascii="Arial" w:cs="Arial" w:eastAsia="Arial" w:hAnsi="Arial"/>
          <w:sz w:val="17"/>
          <w:szCs w:val="17"/>
          <w:b w:val="1"/>
          <w:bCs w:val="1"/>
          <w:i w:val="1"/>
          <w:iCs w:val="1"/>
          <w:color w:val="auto"/>
        </w:rPr>
        <w:t>If we are unable to obtain and maintain sufficient patent and other intellectual property protection for our product candidates and technology, our competitors could develop and commercialize products and technology similar or identical to ours, and we may not be able to compete effectively in our market or successfully commercialize any product candidates we may develop.</w:t>
      </w:r>
    </w:p>
    <w:p>
      <w:pPr>
        <w:spacing w:after="0" w:line="26"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We rely upon a combination of patents, trade secret protection and confidentiality agreements to protect the intellectual property related to our technologies. We will only be able to protect our product candidates, proprietary technologies and their uses from unauthorized use by third parties to the extent that valid and enforceable patents or trade secret protections cover them. Any disclosure to or misappropriation by third parties of our confidential proprietary information could enable competitors to quickly duplicate or surpass our technological achievements, thus eroding our competitive position in our market.</w:t>
      </w:r>
    </w:p>
    <w:p>
      <w:pPr>
        <w:spacing w:after="0" w:line="172"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Composition-of-matter patents on the active pharmaceutical ingredient are generally considered to be the strongest form of intellectual property protection for pharmaceutical products, as such patents provide protection without regard to any method of use. Method-of-use patents protect the use of a product for the specified method. This type of patent does not prevent a competitor from making and marketing a product that is identical to our products for an indication that is outside the scope of the patented method. Moreover, even if competitors do not actively promote their product for our targeted indications, physicians may prescribe these products “off-label.” Although off-label prescriptions may infringe or contribute to the infringement of method-of use patents, the practice is common and such infringement is difficult to prevent or prosecute.</w:t>
      </w:r>
    </w:p>
    <w:p>
      <w:pPr>
        <w:spacing w:after="0" w:line="179"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The strength of patents in the biotechnology and pharmaceutical field involves complex legal and scientific questions and can be uncertain. The patent applications that we own may fail to result in issued patents in the United States or in other foreign countries. Even if the patents do successfully issue, third parties may challenge the validity, enforceability, inventorship or scope thereof. Such a</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00"/>
          </w:cols>
          <w:pgMar w:left="320" w:top="455" w:right="47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challenge may result in such patents being narrowed, invalidated or held unenforceable. Furthermore, even if they are unchallenged, our patents and patent applications may not adequately protect our intellectual property or prevent others from designing around our claims. If the breadth or strength of protection provided by the patents and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 Since patent applications in the United States and most other countries are confidential for a period of time after filing, we cannot be certain that we were the first to file any patent application related to our product candidates. This will require us to be cognizant of the time from invention to filing of a patent application.</w:t>
      </w:r>
    </w:p>
    <w:p>
      <w:pPr>
        <w:spacing w:after="0" w:line="180"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In addition to the protection afforded by patents, we seek to rely on trade secret protection and confidentiality agreements to protect proprietary know-how that is not patentable, processes for which patents are difficult to enforce and any other elements of our drug discovery and development processes that involve proprietary know-how, information or technology that is not covered by patents. We may also rely on trade secret protection as temporary protection for concepts that may be included in a future patent filing. However, trade secret protection will not protect us from innovations that a competitor develops independently of our proprietary know how. If a competitor independently develops a technology that we protect as a trade secret and files a patent application on that technology, then we may not be able to patent that technology in the future, may require a license from the competitor to use our own know-how, and if the license is not available on commercially-viable terms, then we may not be able to launch our product. Although we require all of our employees to assign their inventions to us, and require all of our employees, consultants, advisors and any third parties who have access to our proprietary know-how, information or technology to enter into confidentiality agreements, we cannot be certain that our trade secrets and other confidential proprietary information will not be disclosed or that competitors will not otherwise gain access to our trade secrets or independently develop substantially equivalent information and techniques. Furthermore, the laws of some foreign countries do not protect proprietary rights to the same extent or in the same manner as the laws of the United States. As a result, we may encounter significant problems in protecting and defending our intellectual property both in the United States and abroad. If we are unable to prevent unauthorized material disclosure of our intellectual property to third parties, we will not be able to establish or maintain a competitive advantage in our market, and this scenario could materially adversely affect our business, financial condition and results of operations.</w:t>
      </w:r>
    </w:p>
    <w:p>
      <w:pPr>
        <w:spacing w:after="0" w:line="294" w:lineRule="exact"/>
        <w:rPr>
          <w:sz w:val="20"/>
          <w:szCs w:val="20"/>
          <w:color w:val="auto"/>
        </w:rPr>
      </w:pPr>
    </w:p>
    <w:p>
      <w:pPr>
        <w:ind w:left="120" w:right="80"/>
        <w:spacing w:after="0" w:line="285" w:lineRule="auto"/>
        <w:rPr>
          <w:sz w:val="20"/>
          <w:szCs w:val="20"/>
          <w:color w:val="auto"/>
        </w:rPr>
      </w:pPr>
      <w:r>
        <w:rPr>
          <w:rFonts w:ascii="Arial" w:cs="Arial" w:eastAsia="Arial" w:hAnsi="Arial"/>
          <w:sz w:val="18"/>
          <w:szCs w:val="18"/>
          <w:b w:val="1"/>
          <w:bCs w:val="1"/>
          <w:i w:val="1"/>
          <w:iCs w:val="1"/>
          <w:color w:val="auto"/>
        </w:rPr>
        <w:t>Our success depends in part on our ability to protect our intellectual property. It is difficult and costly to protect our proprietary rights and technology, and we may not be able to protect our intellectual property rights throughout the world.</w:t>
      </w:r>
    </w:p>
    <w:p>
      <w:pPr>
        <w:spacing w:after="0" w:line="21"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Our commercial success will depend in large part on obtaining and maintaining patent, trademark and trade secret protection of our proprietary technologies and our product candidates. These candidates include PC14586 and others, their respective components, formulations, methods used to manufacture them and methods of treatment. Our commercial success will also depend on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or trade secrets that cover these activities.</w:t>
      </w:r>
    </w:p>
    <w:p>
      <w:pPr>
        <w:spacing w:after="0" w:line="174" w:lineRule="exact"/>
        <w:rPr>
          <w:sz w:val="20"/>
          <w:szCs w:val="20"/>
          <w:color w:val="auto"/>
        </w:rPr>
      </w:pPr>
    </w:p>
    <w:p>
      <w:pPr>
        <w:ind w:left="120" w:right="180" w:firstLine="551"/>
        <w:spacing w:after="0" w:line="277" w:lineRule="auto"/>
        <w:rPr>
          <w:sz w:val="20"/>
          <w:szCs w:val="20"/>
          <w:color w:val="auto"/>
        </w:rPr>
      </w:pPr>
      <w:r>
        <w:rPr>
          <w:rFonts w:ascii="Arial" w:cs="Arial" w:eastAsia="Arial" w:hAnsi="Arial"/>
          <w:sz w:val="17"/>
          <w:szCs w:val="17"/>
          <w:color w:val="auto"/>
        </w:rPr>
        <w:t>The patenting process is expensive and time-consuming, and we may not be able to file and prosecute all necessary or desirable patent applications at a reasonable cost or in a timely manner. In addition, we may not pursue or obtain patent protection in all relevant markets. It is also possible that we will fail to identify patentable aspects of our research and development output before it is too late to</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00"/>
          </w:cols>
          <w:pgMar w:left="320" w:top="455" w:right="47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00"/>
        <w:spacing w:after="0" w:line="255" w:lineRule="auto"/>
        <w:rPr>
          <w:sz w:val="20"/>
          <w:szCs w:val="20"/>
          <w:color w:val="auto"/>
        </w:rPr>
      </w:pPr>
      <w:r>
        <w:rPr>
          <w:rFonts w:ascii="Arial" w:cs="Arial" w:eastAsia="Arial" w:hAnsi="Arial"/>
          <w:sz w:val="18"/>
          <w:szCs w:val="18"/>
          <w:color w:val="auto"/>
        </w:rPr>
        <w:t>obtain patent protection. Our pending and future patent applications may not result in issued patents that protect our technology or products, in whole or in part. In addition, our existing patents and any future patents we obtain may not be sufficiently broad to prevent others from using our technology or from developing competing products and technologies.</w:t>
      </w:r>
    </w:p>
    <w:p>
      <w:pPr>
        <w:spacing w:after="0" w:line="16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If we delay in filing a patent application, and a competitor files a patent application on the same or a similar technology before we do, we may face a limited ability to secure patent rights. We may not be able to patent the technology at all. Even if we can patent the technology, we may be able to patent only a limited scope of the technology, and the limited scope may be inadequate to protect our products, or to block competitor products that are similar or adjacent to ours. Our earliest patent filings have been published. A competitor may review our published patents and arrive at the same or similar technology advances for our products as we developed. If the competitor files a patent application on such an advance before we do, then we may no longer be able to protect the technology, we may require a license from the competitor, and if the license is not available on commercially-viable terms, then we may not be able to launch our product.</w:t>
      </w:r>
    </w:p>
    <w:p>
      <w:pPr>
        <w:spacing w:after="0" w:line="180"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In the future we may in-license intellectual property from licensors. We may rely on these licensors to file and prosecute patent applications and maintain patents and otherwise protect the intellectual property we license from them. We may have limited control over these activities or any other intellectual property that may be in-licensed. For example, we cannot be certain that such activities by licensors have been or will be conducted in compliance with applicable laws and regulations or will result in valid and enforceable patents and other intellectual property rights. We may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180"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growth of our business may depend in part on our ability to acquire or in-license additional proprietary rights. For example, our programs may involve additional product candidates that may require the use of additional proprietary rights held by third parties. Our product candidates may also require specific formulations to work effectively and efficiently. These formulations may be covered by intellectual property rights held by others. We may develop products containing our compounds and pre-existing pharmaceutical compounds. These pharmaceutical compounds may be covered by intellectual property rights held by others. We may be required by the FDA or comparable foreign regulatory authorities to provide a companion diagnostic test or tests with our product candidates. These diagnostic test or tests may be covered by intellectual property rights held by others. We may be unable to acquire or in-license any relevant third-party intellectual property rights that we identify as necessary or important to our business operations. We may fail to obtain any of these licenses at a reasonable cost or on reasonable terms, if at all, which would adversely affect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and may allow our competitors access to the same technologies licensed to us.</w:t>
      </w:r>
    </w:p>
    <w:p>
      <w:pPr>
        <w:spacing w:after="0" w:line="177"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Additionally, we may sometimes collaborate with academic institutions to accelerate our preclinical research or development under written agreements with these institutions.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60"/>
          </w:cols>
          <w:pgMar w:left="320" w:top="455" w:right="51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306" w:lineRule="auto"/>
        <w:rPr>
          <w:sz w:val="20"/>
          <w:szCs w:val="20"/>
          <w:color w:val="auto"/>
        </w:rPr>
      </w:pPr>
      <w:r>
        <w:rPr>
          <w:rFonts w:ascii="Arial" w:cs="Arial" w:eastAsia="Arial" w:hAnsi="Arial"/>
          <w:sz w:val="17"/>
          <w:szCs w:val="17"/>
          <w:color w:val="auto"/>
        </w:rPr>
        <w:t>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23"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for commercializing our product candidates.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74"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During the course of business we have decided not to pursue certain products or processes and have terminated certain corresponding intellectual property license agreements, and we may do so again in the future. If it is later determined that our activities or product candidates infringe this intellectual property we may be liable for damages, enhanced damages or subjected to an injunction, any of which could have a material adverse effect on our business.</w:t>
      </w:r>
    </w:p>
    <w:p>
      <w:pPr>
        <w:spacing w:after="0" w:line="17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The patent position of pharmaceutical and biotechnology companies generally is highly uncertain and involves complex legal and factual questions for which many legal principles remain unresolved. In recent years, patent rights have been the subject of significant litigation. As a result, the issuance, scope, validity, enforceability and commercial value of our patent rights are highly uncertain. Our pending and future patent applications may not result in patents being issued in the United States or in other jurisdictions which protect our technology or products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 Patent and Trademark Office, or USPTO, might require that the term of a patent issuing from a pending patent application be disclaimed and limited to the term of another patent that is commonly owned or names a common inventor. As a result, the issuance, scope, validity, enforceability and commercial value of our patent rights are highly uncertain.</w:t>
      </w:r>
    </w:p>
    <w:p>
      <w:pPr>
        <w:spacing w:after="0" w:line="177" w:lineRule="exact"/>
        <w:rPr>
          <w:sz w:val="20"/>
          <w:szCs w:val="20"/>
          <w:color w:val="auto"/>
        </w:rPr>
      </w:pPr>
    </w:p>
    <w:p>
      <w:pPr>
        <w:ind w:left="120" w:right="120" w:firstLine="551"/>
        <w:spacing w:after="0" w:line="239" w:lineRule="auto"/>
        <w:rPr>
          <w:sz w:val="20"/>
          <w:szCs w:val="20"/>
          <w:color w:val="auto"/>
        </w:rPr>
      </w:pPr>
      <w:r>
        <w:rPr>
          <w:rFonts w:ascii="Arial" w:cs="Arial" w:eastAsia="Arial" w:hAnsi="Arial"/>
          <w:sz w:val="18"/>
          <w:szCs w:val="18"/>
          <w:color w:val="auto"/>
        </w:rPr>
        <w:t xml:space="preserve">Even if our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The issuance of a patent is not conclusive as to its scope, validity or enforceability, and our owned and in-licensed patents may be challenged in the courts or patent offices in the United States and abroad. For example, we may become involved in opposition, interference, derivation,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other proceedings challenging our patent rights, and the outcome of any proceedings are highly uncertain. Such challenges may result in the patent claims of our owned or in-licensed patents being narrowed, invalidated or 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candidates might expire before or shortly after such candidates are commercialized. As a result, our</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5" w:right="4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20"/>
        <w:spacing w:after="0" w:line="276" w:lineRule="auto"/>
        <w:rPr>
          <w:sz w:val="20"/>
          <w:szCs w:val="20"/>
          <w:color w:val="auto"/>
        </w:rPr>
      </w:pPr>
      <w:r>
        <w:rPr>
          <w:rFonts w:ascii="Arial" w:cs="Arial" w:eastAsia="Arial" w:hAnsi="Arial"/>
          <w:sz w:val="18"/>
          <w:szCs w:val="18"/>
          <w:color w:val="auto"/>
        </w:rPr>
        <w:t>patent portfolio may not provide us with sufficient rights to exclude others from commercializing products similar or identical to ours or otherwise provide us with a competitive advantage.</w:t>
      </w:r>
    </w:p>
    <w:p>
      <w:pPr>
        <w:spacing w:after="0" w:line="145" w:lineRule="exact"/>
        <w:rPr>
          <w:sz w:val="20"/>
          <w:szCs w:val="20"/>
          <w:color w:val="auto"/>
        </w:rPr>
      </w:pPr>
    </w:p>
    <w:p>
      <w:pPr>
        <w:ind w:left="120" w:right="100" w:firstLine="551"/>
        <w:spacing w:after="0" w:line="241" w:lineRule="auto"/>
        <w:rPr>
          <w:sz w:val="20"/>
          <w:szCs w:val="20"/>
          <w:color w:val="auto"/>
        </w:rPr>
      </w:pPr>
      <w:r>
        <w:rPr>
          <w:rFonts w:ascii="Arial" w:cs="Arial" w:eastAsia="Arial" w:hAnsi="Arial"/>
          <w:sz w:val="18"/>
          <w:szCs w:val="18"/>
          <w:color w:val="auto"/>
        </w:rPr>
        <w:t>We also may rely on trade secrets to protect our technology, especially where we do not believe patent protection is appropriate or obtainable. However, trade secrets are difficult to protect, and we have limited control over the protection of trade secrets used by our collaborators and suppliers. Although we use reasonable efforts to protect our trade secrets, our employees, consultants, contractors, outside scientific collaborators and other advisors may unintentionally or willfully disclose our information to competitors or use such information to compete with us. Moreover, our competitors may independently develop equivalent knowledge, methods and know-how. If our confidential or proprietary information is divulged to or acquired by third parties, including our competitors, our competitive position in the marketplace will be adversely affected and this would have a material adverse effect on our business.</w:t>
      </w:r>
    </w:p>
    <w:p>
      <w:pPr>
        <w:spacing w:after="0" w:line="179"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If any of our patents are found to be invalid or unenforceable, or if we are otherwise unable to adequately protect our rights, it could have a material adverse impact on our business and our ability to commercialize or license our technology and product candidates. Likewise, our current patents covering our proprietary technologies and our product candidates are expected to expire through 2037, without taking into account any possible patent term adjustments or extensions. Upon the expiration of our current patents, we may lose the right to exclude others from practicing these inventions. The expiration of these patents could also have a similar material adverse effect on our business, results of operations, financial condition and prospects.</w:t>
      </w:r>
    </w:p>
    <w:p>
      <w:pPr>
        <w:spacing w:after="0" w:line="174" w:lineRule="exact"/>
        <w:rPr>
          <w:sz w:val="20"/>
          <w:szCs w:val="20"/>
          <w:color w:val="auto"/>
        </w:rPr>
      </w:pPr>
    </w:p>
    <w:p>
      <w:pPr>
        <w:ind w:left="120" w:firstLine="551"/>
        <w:spacing w:after="0" w:line="256"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countries do not protect intellectual property rights to the same extent as laws in the United States. Consequently, we may not be able to prevent third parties from practicing our inventions in all countries outside the United States, or from selling or importing products made using our inventions in and into the United States or other countries. Competitors may use our technologies in countries where we have not obtained patent protection to develop their own products and further, may infringe our patents in territories where we have patent protection, but enforcement is not as strong as in the United States. These products may compete with our products and our patents or other intellectual property rights may not be effective or sufficient to prevent them from competing.</w:t>
      </w:r>
    </w:p>
    <w:p>
      <w:pPr>
        <w:spacing w:after="0" w:line="168"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certain countries. The legal systems of certain countries, particularly certain developing countries, do not favor the enforcement or protection of patents, trade secrets and other intellectual property, particularly those relating to pharmaceutical and biotechnology products, which could make it difficult for us to stop the infringement of our patents or marketing of competing products in violation of our proprietary rights generally. Proceedings to enforce our patent rights in foreign countries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We have contract research and manufacturing relationships with contract organizations that operate in certain countries that are at heightened risk of theft of technology, data and intellectual property through direct intrusion by private parties or foreign actors, including those affiliated with or controlled by state actors. Accordingly, our efforts to protect or enforce our intellectual property rights around the world may be inadequate to obtain a significant commercial advantage from the intellectual property that we develop or license.</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55" w:right="4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00"/>
        <w:spacing w:after="0" w:line="260"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if we fail to comply with these requirements.</w:t>
      </w:r>
    </w:p>
    <w:p>
      <w:pPr>
        <w:spacing w:after="0" w:line="43"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Periodic maintenance fees on any issued patent are due to be paid to the USPTO and foreign patent agencies in several stages over the lifetime of the patent. The USPTO and various foreign governmental patent agencies also require compliance with a number of procedural, documentary, fee payment (such as annuities)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such an event, our competitors might be able to enter the market, which would have a material adverse effect on our business.</w:t>
      </w:r>
    </w:p>
    <w:p>
      <w:pPr>
        <w:spacing w:after="0" w:line="284" w:lineRule="exact"/>
        <w:rPr>
          <w:sz w:val="20"/>
          <w:szCs w:val="20"/>
          <w:color w:val="auto"/>
        </w:rPr>
      </w:pPr>
    </w:p>
    <w:p>
      <w:pPr>
        <w:ind w:left="120" w:right="660"/>
        <w:spacing w:after="0" w:line="285" w:lineRule="auto"/>
        <w:rPr>
          <w:sz w:val="20"/>
          <w:szCs w:val="20"/>
          <w:color w:val="auto"/>
        </w:rPr>
      </w:pPr>
      <w:r>
        <w:rPr>
          <w:rFonts w:ascii="Arial" w:cs="Arial" w:eastAsia="Arial" w:hAnsi="Arial"/>
          <w:sz w:val="18"/>
          <w:szCs w:val="18"/>
          <w:b w:val="1"/>
          <w:bCs w:val="1"/>
          <w:i w:val="1"/>
          <w:iCs w:val="1"/>
          <w:color w:val="auto"/>
        </w:rPr>
        <w:t>Any issued patents we may own covering our product candidates could be narrowed or found invalid or unenforceable if challenged in court or before administrative bodies in the United States or abroad, including the USPTO.</w:t>
      </w:r>
    </w:p>
    <w:p>
      <w:pPr>
        <w:spacing w:after="0" w:line="21"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spacing w:after="0" w:line="180"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With respect to challenges to the validity of our patents, there might be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00"/>
          </w:cols>
          <w:pgMar w:left="320" w:top="455" w:right="47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40"/>
        <w:spacing w:after="0" w:line="285" w:lineRule="auto"/>
        <w:rPr>
          <w:sz w:val="20"/>
          <w:szCs w:val="20"/>
          <w:color w:val="auto"/>
        </w:rPr>
      </w:pPr>
      <w:r>
        <w:rPr>
          <w:rFonts w:ascii="Arial" w:cs="Arial" w:eastAsia="Arial" w:hAnsi="Arial"/>
          <w:sz w:val="18"/>
          <w:szCs w:val="18"/>
          <w:b w:val="1"/>
          <w:bCs w:val="1"/>
          <w:i w:val="1"/>
          <w:iCs w:val="1"/>
          <w:color w:val="auto"/>
        </w:rPr>
        <w:t>We may become involved in lawsuits or litigation at the USPTO to protect or enforce our patents or other intellectual property, which could be expensive, time consuming and unsuccessful.</w:t>
      </w:r>
    </w:p>
    <w:p>
      <w:pPr>
        <w:spacing w:after="0" w:line="21"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Competitors may infringe or otherwise violate our patents, trademarks, copyrights or other intellectual property. To counter infringement or other violations, we may be required to file claims, which can be expensive and time consuming. Any such claims could provoke these parties to assert counterclaims against us, including claims alleging that we infringe their patents or other intellectual property rights. In addition, in a patent infringement proceeding, a court may decide that one or more of the patents we assert is invalid or unenforceable, in whole or in part, construe the patent’s claims narrowly or refuse to prevent the other party from using the technology at issue on the grounds that our patents do not cover the technology. Similarly, if we assert trademark infringement claims, a court may determine that the marks we have asserted are invalid or unenforceable or that the party against whom we have asserted trademark infringement has superior rights to the marks in question. In such a case, we could ultimately be forced to cease use of such marks. In any intellectual property litigation, even if we are successful, any award of monetary damages or other remedy we receive may not be commercially valuable.</w:t>
      </w:r>
    </w:p>
    <w:p>
      <w:pPr>
        <w:spacing w:after="0" w:line="180"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If a defendant were to prevail on a legal assertion of invalidity and/or unenforceability, we would lose at least part, and perhaps all, of the patent protection on such product candidate. In addition, if the breadth or strength of protection provided by our patents and patent applications or those of our future licensors is threatened, it could dissuade other companies from collaborating with us to license, develop or commercialize current or future product candidates. Such a loss of patent protection would have a material adverse impact on our business.</w:t>
      </w:r>
    </w:p>
    <w:p>
      <w:pPr>
        <w:spacing w:after="0" w:line="172" w:lineRule="exact"/>
        <w:rPr>
          <w:sz w:val="20"/>
          <w:szCs w:val="20"/>
          <w:color w:val="auto"/>
        </w:rPr>
      </w:pPr>
    </w:p>
    <w:p>
      <w:pPr>
        <w:ind w:left="120" w:right="80" w:firstLine="551"/>
        <w:spacing w:after="0" w:line="241" w:lineRule="auto"/>
        <w:rPr>
          <w:sz w:val="20"/>
          <w:szCs w:val="20"/>
          <w:color w:val="auto"/>
        </w:rPr>
      </w:pPr>
      <w:r>
        <w:rPr>
          <w:rFonts w:ascii="Arial" w:cs="Arial" w:eastAsia="Arial" w:hAnsi="Arial"/>
          <w:sz w:val="18"/>
          <w:szCs w:val="18"/>
          <w:color w:val="auto"/>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79"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spacing w:after="0" w:line="16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may be required to protect our patents through procedures created to attack the validity of a patent at the USPTO. The USPTO hears post-grant proceedings, including PGR, IPR and derivation proceedings. An adverse determination in any such submission or proceeding could reduce the scope or enforceability of, or invalidate, our patent rights, which could adversely affect our competitive position.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and the enforcement</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20"/>
          </w:cols>
          <w:pgMar w:left="320" w:top="455" w:right="45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20"/>
        <w:spacing w:after="0" w:line="276" w:lineRule="auto"/>
        <w:rPr>
          <w:sz w:val="20"/>
          <w:szCs w:val="20"/>
          <w:color w:val="auto"/>
        </w:rPr>
      </w:pPr>
      <w:r>
        <w:rPr>
          <w:rFonts w:ascii="Arial" w:cs="Arial" w:eastAsia="Arial" w:hAnsi="Arial"/>
          <w:sz w:val="18"/>
          <w:szCs w:val="18"/>
          <w:color w:val="auto"/>
        </w:rPr>
        <w:t>or defense of our issued patents, all of which could have a material adverse effect on our business, financial condition, results of operations and prospects.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04"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for a product candidate, we may be open to competition from competitive medications, including generic medications. Given the amount of time required for the development, testing and regulatory review of new product candidates, patents protecting such product candidates might expire before or shortly after such product candidates are commercialized. As a result, our patent portfolio may not provide us with sufficient rights to exclude others from commercializing product candidates similar or identical to ours for a meaningful amount of time, or at all.</w:t>
      </w:r>
    </w:p>
    <w:p>
      <w:pPr>
        <w:spacing w:after="0" w:line="180"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Depending upon the timing, duration and conditions of any FDA marketing approval of our product candidates, one or more of our U.S. patents may be eligible for limited patent term extension under the Drug Price Competition and Patent Term Restoration Act of 1984, referred to as the Hatch-Waxman Amendments, and similar legislation in the European Union and certain other countries.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exercise due diligence during the testing phase or regulatory review process, fail to apply within applicable deadlines, fail to apply prior to expiration of relevant patents or otherwise fail to satisfy applicable requirements. Moreover, the length of the extension could be less than we request. Only one patent per approved product can be extended, the extension cannot extend the total patent term beyond 14 years from approval and only those claims covering the approved drug, a method for using it or a method for manufacturing it may be extended. If we are unable to obtain patent term extension or the term of any such extension is less than we request, the period during which we can enforce our patent rights for the applicable product candidate will be shortened and our competitors may obtain approval to market competing products sooner. As a result, our revenue from applicable products could be reduced. Further, if this occurs, our competitors may take advantage of our investment in development and trials by referencing our clinical and preclinical data and launch their product earlier than might otherwise be expected, and our competitive position, business, financial condition, results of operations and prospects could be materially adversely affected.</w:t>
      </w:r>
    </w:p>
    <w:p>
      <w:pPr>
        <w:spacing w:after="0" w:line="188"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Also, there are detailed rules and requirements regarding the patents that may be submitted to the FDA for listing in the Approved Drug Products with Therapeutic Equivalence Evaluations, or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 manufacturer of generic drugs would not have to provide advance notice to us of any abbreviated new drug application filed with the FDA to obtain permission to sell a generic version of such product candidate. Any of the foregoing could adversely affect our competitive position, business, financial condition, results of operations and prospects.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5" w:right="4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0"/>
        <w:spacing w:after="0" w:line="285" w:lineRule="auto"/>
        <w:rPr>
          <w:sz w:val="20"/>
          <w:szCs w:val="20"/>
          <w:color w:val="auto"/>
        </w:rPr>
      </w:pPr>
      <w:r>
        <w:rPr>
          <w:rFonts w:ascii="Arial" w:cs="Arial" w:eastAsia="Arial" w:hAnsi="Arial"/>
          <w:sz w:val="18"/>
          <w:szCs w:val="18"/>
          <w:b w:val="1"/>
          <w:bCs w:val="1"/>
          <w:i w:val="1"/>
          <w:iCs w:val="1"/>
          <w:color w:val="auto"/>
        </w:rPr>
        <w:t>Changes in U.S. patent law, or laws in other countries, could diminish the value of patents in general, thereby impairing our ability to protect our product candidates.</w:t>
      </w:r>
    </w:p>
    <w:p>
      <w:pPr>
        <w:spacing w:after="0" w:line="21"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the value of our intellectual property and may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 United States Congress has in recent years considered legislation to reduce the term of certain drug patents in order to ease generic entry and increase competition. Evolving judicial interpretation of patent law could also adversely affect our business. For example,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patents and patents we might obtain in the future.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may be subject to claims challenging the inventorship of our patents and other intellectual property.</w:t>
      </w:r>
    </w:p>
    <w:p>
      <w:pPr>
        <w:spacing w:after="0" w:line="10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We may be subject to claims that former employees, collaborators or other third parties have an interest in our patents, trade secrets, or other intellectual property as an inventor or co-inventor. For example, we may have inventorship disputes arise from conflicting obligations of employees, consultants or others who are involved in developing our product candidates. Also, former employees may become employed by competitors who develop similar technology, and could assist the competitor in designing around our patents.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litigation may be necessary to defend against these and other claims challenging inventorship or our ownership of our patents, trade secrets or other intellectual property. If we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w:t>
      </w:r>
    </w:p>
    <w:p>
      <w:pPr>
        <w:spacing w:after="0" w:line="288" w:lineRule="exact"/>
        <w:rPr>
          <w:sz w:val="20"/>
          <w:szCs w:val="20"/>
          <w:color w:val="auto"/>
        </w:rPr>
      </w:pPr>
    </w:p>
    <w:p>
      <w:pPr>
        <w:ind w:left="120" w:right="500"/>
        <w:spacing w:after="0" w:line="285"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21" w:lineRule="exact"/>
        <w:rPr>
          <w:sz w:val="20"/>
          <w:szCs w:val="20"/>
          <w:color w:val="auto"/>
        </w:rPr>
      </w:pPr>
    </w:p>
    <w:p>
      <w:pPr>
        <w:jc w:val="both"/>
        <w:ind w:left="120" w:right="60" w:firstLine="551"/>
        <w:spacing w:after="0" w:line="255" w:lineRule="auto"/>
        <w:rPr>
          <w:sz w:val="20"/>
          <w:szCs w:val="20"/>
          <w:color w:val="auto"/>
        </w:rPr>
      </w:pPr>
      <w:r>
        <w:rPr>
          <w:rFonts w:ascii="Arial" w:cs="Arial" w:eastAsia="Arial" w:hAnsi="Arial"/>
          <w:sz w:val="18"/>
          <w:szCs w:val="18"/>
          <w:color w:val="auto"/>
        </w:rPr>
        <w:t>We use and will continue to use registered and/or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w:t>
      </w:r>
    </w:p>
    <w:p>
      <w:pPr>
        <w:spacing w:after="0" w:line="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60"/>
          </w:cols>
          <w:pgMar w:left="320" w:top="455" w:right="51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We may license our trademarks and trade names to third parties, such as distributors. Though these license agreements may provide guidelines for how our trademarks and trade names may be used, a breach of these agreements or misuse of our trademarks and tradenames by our licensees may jeopardize our rights in or diminish the goodwill associated with our trademarks and trade names. Our efforts to enforce or protect our proprietary rights related to trademarks, trade names, trade secrets, domain names, copyrights or other intellectual property may be ineffective and could result in substantial costs and diversion of resources and could adversely affect our financial condition or results of operations.</w:t>
      </w:r>
    </w:p>
    <w:p>
      <w:pPr>
        <w:spacing w:after="0" w:line="284" w:lineRule="exact"/>
        <w:rPr>
          <w:sz w:val="20"/>
          <w:szCs w:val="20"/>
          <w:color w:val="auto"/>
        </w:rPr>
      </w:pPr>
    </w:p>
    <w:p>
      <w:pPr>
        <w:ind w:left="120" w:right="200"/>
        <w:spacing w:after="0" w:line="260"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Defending against such law suits will be costly and time consuming, and an unfavorable outcome in that litigation would have a material adverse effect on our business.</w:t>
      </w:r>
    </w:p>
    <w:p>
      <w:pPr>
        <w:spacing w:after="0" w:line="43"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Our commercial success depends upon our ability to develop, manufacture, market and sell our product candidates and use our proprietary technologies without infringing the proprietary rights of third parties. U.S. and foreign issued patents and pending patent applications, which are owned by third parties, exist in the fields relating to our product candidates. As the biotechnology and pharmaceutical industries expand and more patents are issued, the risk increases that others may assert our product candidates infringe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180" w:lineRule="exact"/>
        <w:rPr>
          <w:sz w:val="20"/>
          <w:szCs w:val="20"/>
          <w:color w:val="auto"/>
        </w:rPr>
      </w:pPr>
    </w:p>
    <w:p>
      <w:pPr>
        <w:ind w:left="120" w:right="100" w:firstLine="551"/>
        <w:spacing w:after="0" w:line="241" w:lineRule="auto"/>
        <w:rPr>
          <w:sz w:val="20"/>
          <w:szCs w:val="20"/>
          <w:color w:val="auto"/>
        </w:rPr>
      </w:pPr>
      <w:r>
        <w:rPr>
          <w:rFonts w:ascii="Arial" w:cs="Arial" w:eastAsia="Arial" w:hAnsi="Arial"/>
          <w:sz w:val="18"/>
          <w:szCs w:val="18"/>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issued patents or our pending applications, or that we were the first to invent the technology. Our competitors may have filed, and may in the future file, patent applications covering our products or technology similar to ours. Any such patent application may have priority over our patent applications or patents, which could require us to obtain rights to issued patents covering such technologies.</w:t>
      </w:r>
    </w:p>
    <w:p>
      <w:pPr>
        <w:spacing w:after="0" w:line="179" w:lineRule="exact"/>
        <w:rPr>
          <w:sz w:val="20"/>
          <w:szCs w:val="20"/>
          <w:color w:val="auto"/>
        </w:rPr>
      </w:pPr>
    </w:p>
    <w:p>
      <w:pPr>
        <w:ind w:left="120" w:right="340" w:firstLine="551"/>
        <w:spacing w:after="0" w:line="277" w:lineRule="auto"/>
        <w:rPr>
          <w:sz w:val="20"/>
          <w:szCs w:val="20"/>
          <w:color w:val="auto"/>
        </w:rPr>
      </w:pPr>
      <w:r>
        <w:rPr>
          <w:rFonts w:ascii="Arial" w:cs="Arial" w:eastAsia="Arial" w:hAnsi="Arial"/>
          <w:sz w:val="17"/>
          <w:szCs w:val="17"/>
          <w:color w:val="auto"/>
        </w:rPr>
        <w:t>There is a substantial amount of litigation involving patent and other intellectual property rights in the biotechnology and pharmaceutical industries generally. We may be exposed to, or threatened with, future litigation by third parties having patent or other intellectual property rights alleging that our product candidates and/or proprietary technologies infringe their intellectual property rights.</w:t>
      </w:r>
    </w:p>
    <w:p>
      <w:pPr>
        <w:spacing w:after="0" w:line="147" w:lineRule="exact"/>
        <w:rPr>
          <w:sz w:val="20"/>
          <w:szCs w:val="20"/>
          <w:color w:val="auto"/>
        </w:rPr>
      </w:pPr>
    </w:p>
    <w:p>
      <w:pPr>
        <w:ind w:left="120" w:right="200" w:firstLine="551"/>
        <w:spacing w:after="0" w:line="245" w:lineRule="auto"/>
        <w:rPr>
          <w:sz w:val="20"/>
          <w:szCs w:val="20"/>
          <w:color w:val="auto"/>
        </w:rPr>
      </w:pPr>
      <w:r>
        <w:rPr>
          <w:rFonts w:ascii="Arial" w:cs="Arial" w:eastAsia="Arial" w:hAnsi="Arial"/>
          <w:sz w:val="18"/>
          <w:szCs w:val="18"/>
          <w:color w:val="auto"/>
        </w:rPr>
        <w:t>If a third party claims that we infringe its intellectual property rights, we may face a number of issues, including, but not limited to: infringement and other intellectual property claims which, regardless of merit, may be expensive and time-consuming to litigate and may divert our management’s attention from our core business; substantial damages for infringement, which we may have to pay if a court decides that the product candidate or technology at issue infringes on or violates the third party’s rights, and, if the court finds that the infringement was willful, we could be ordered to</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5" w:right="45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63" w:lineRule="auto"/>
        <w:rPr>
          <w:sz w:val="20"/>
          <w:szCs w:val="20"/>
          <w:color w:val="auto"/>
        </w:rPr>
      </w:pPr>
      <w:r>
        <w:rPr>
          <w:rFonts w:ascii="Arial" w:cs="Arial" w:eastAsia="Arial" w:hAnsi="Arial"/>
          <w:sz w:val="17"/>
          <w:szCs w:val="17"/>
          <w:color w:val="auto"/>
        </w:rPr>
        <w:t>pay treble damages and the patent owner’s attorneys’ fees; a court prohibiting us from developing, manufacturing, marketing or selling our product candidates, or from using our proprietary technologies, unless the third party licenses its product rights to us; however, the third party is not required to grant the license; if a license is available from a third party, we may have to pay substantial royalties, upfront fees and other amounts, and/or grant cross-licenses to intellectual property rights for our products; and redesigning our product candidates or processes so they do not infringe; redesign may not be possible or may require substantial monetary expenditures and time.</w:t>
      </w:r>
    </w:p>
    <w:p>
      <w:pPr>
        <w:spacing w:after="0" w:line="157"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70"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 xml:space="preserve">We may choose to challenge the patentability of claims in a third party’s U.S. patent by requesting that the USPTO review the patent claims in an </w:t>
      </w:r>
      <w:r>
        <w:rPr>
          <w:rFonts w:ascii="Arial" w:cs="Arial" w:eastAsia="Arial" w:hAnsi="Arial"/>
          <w:sz w:val="18"/>
          <w:szCs w:val="18"/>
          <w:i w:val="1"/>
          <w:iCs w:val="1"/>
          <w:color w:val="auto"/>
        </w:rPr>
        <w:t>ex-parte</w:t>
      </w:r>
      <w:r>
        <w:rPr>
          <w:rFonts w:ascii="Arial" w:cs="Arial" w:eastAsia="Arial" w:hAnsi="Arial"/>
          <w:sz w:val="18"/>
          <w:szCs w:val="18"/>
          <w:color w:val="auto"/>
        </w:rPr>
        <w:t xml:space="preserve"> re-exam,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post-grant review proceedings. These proceedings are expensive and may consume our time or other resources. We may 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proprietary technologies.</w:t>
      </w:r>
    </w:p>
    <w:p>
      <w:pPr>
        <w:spacing w:after="0" w:line="282" w:lineRule="exact"/>
        <w:rPr>
          <w:sz w:val="20"/>
          <w:szCs w:val="20"/>
          <w:color w:val="auto"/>
        </w:rPr>
      </w:pPr>
    </w:p>
    <w:p>
      <w:pPr>
        <w:ind w:left="120" w:right="300"/>
        <w:spacing w:after="0" w:line="285" w:lineRule="auto"/>
        <w:rPr>
          <w:sz w:val="20"/>
          <w:szCs w:val="20"/>
          <w:color w:val="auto"/>
        </w:rPr>
      </w:pPr>
      <w:r>
        <w:rPr>
          <w:rFonts w:ascii="Arial" w:cs="Arial" w:eastAsia="Arial" w:hAnsi="Arial"/>
          <w:sz w:val="18"/>
          <w:szCs w:val="18"/>
          <w:b w:val="1"/>
          <w:bCs w:val="1"/>
          <w:i w:val="1"/>
          <w:iCs w:val="1"/>
          <w:color w:val="auto"/>
        </w:rPr>
        <w:t>Intellectual property litigation may lead to unfavorable publicity that harms our reputation and causes the market price of our common stock to decline.</w:t>
      </w:r>
    </w:p>
    <w:p>
      <w:pPr>
        <w:spacing w:after="0" w:line="21"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have a material adverse effect on our business.</w:t>
      </w:r>
    </w:p>
    <w:p>
      <w:pPr>
        <w:spacing w:after="0" w:line="280" w:lineRule="exact"/>
        <w:rPr>
          <w:sz w:val="20"/>
          <w:szCs w:val="20"/>
          <w:color w:val="auto"/>
        </w:rPr>
      </w:pPr>
    </w:p>
    <w:p>
      <w:pPr>
        <w:ind w:left="120" w:right="340"/>
        <w:spacing w:after="0" w:line="260" w:lineRule="auto"/>
        <w:rPr>
          <w:sz w:val="20"/>
          <w:szCs w:val="20"/>
          <w:color w:val="auto"/>
        </w:rPr>
      </w:pPr>
      <w:r>
        <w:rPr>
          <w:rFonts w:ascii="Arial" w:cs="Arial" w:eastAsia="Arial" w:hAnsi="Arial"/>
          <w:sz w:val="18"/>
          <w:szCs w:val="18"/>
          <w:b w:val="1"/>
          <w:bCs w:val="1"/>
          <w:i w:val="1"/>
          <w:iCs w:val="1"/>
          <w:color w:val="auto"/>
        </w:rPr>
        <w:t>We may be subject to claims that our employees, consultants or independent contractors have wrongfully used or disclosed confidential information or alleged trade secrets of third parties or competitors or are in breach of non-competition or non-solicitation agreements with our competitors or their former employers.</w:t>
      </w:r>
    </w:p>
    <w:p>
      <w:pPr>
        <w:spacing w:after="0" w:line="43"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As is common in the biotechnology and pharmaceutical industries, we employ individuals and engage the services of consultants who previously worked for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or that our consultants have used or disclosed trade secrets or other proprietary information of their former or current clients.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00"/>
          </w:cols>
          <w:pgMar w:left="320" w:top="455" w:right="47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1" w:lineRule="auto"/>
        <w:rPr>
          <w:sz w:val="20"/>
          <w:szCs w:val="20"/>
          <w:color w:val="auto"/>
        </w:rPr>
      </w:pPr>
      <w:r>
        <w:rPr>
          <w:rFonts w:ascii="Arial" w:cs="Arial" w:eastAsia="Arial" w:hAnsi="Arial"/>
          <w:sz w:val="18"/>
          <w:szCs w:val="18"/>
          <w:color w:val="auto"/>
        </w:rPr>
        <w:t>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287"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b w:val="1"/>
          <w:bCs w:val="1"/>
          <w:i w:val="1"/>
          <w:iCs w:val="1"/>
          <w:color w:val="auto"/>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43" w:lineRule="exact"/>
        <w:rPr>
          <w:sz w:val="20"/>
          <w:szCs w:val="20"/>
          <w:color w:val="auto"/>
        </w:rPr>
      </w:pPr>
    </w:p>
    <w:p>
      <w:pPr>
        <w:ind w:left="120" w:right="120" w:firstLine="551"/>
        <w:spacing w:after="0" w:line="245" w:lineRule="auto"/>
        <w:rPr>
          <w:sz w:val="20"/>
          <w:szCs w:val="20"/>
          <w:color w:val="auto"/>
        </w:rPr>
      </w:pPr>
      <w:r>
        <w:rPr>
          <w:rFonts w:ascii="Arial" w:cs="Arial" w:eastAsia="Arial" w:hAnsi="Arial"/>
          <w:sz w:val="18"/>
          <w:szCs w:val="18"/>
          <w:color w:val="auto"/>
        </w:rPr>
        <w:t>We may in the future enter into license agreements with third parties under which we receive rights to intellectual property that are important to our business. These intellectual property license agreements may impose on us various development, regulatory and/or commercial diligence obligations, payment of milestones and/or royalties and other obligations. If we fail to comply with our obligations under these agreements, or we are subject to bankruptcy-related proceedings, the licensor may have the right to terminate the license, in which event we would not be able to market products covered by the license.</w:t>
      </w:r>
    </w:p>
    <w:p>
      <w:pPr>
        <w:spacing w:after="0" w:line="172"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We may also in the future enter into license agreements with third parties under which we are a sublicensee. If our sublicensor fails to comply with its obligations under its upstream license agreement with its licensor, the licensor may have the right to terminate the upstream license, which may terminate our sublicense. If this were to occur, we would no longer have rights to the applicable intellectual property unless we are able to secure our own direct license with the owner of the relevant rights, which we may not be able to do on reasonable terms, or at all, which may impact our ability to continue to develop and commercialize our product candidates incorporating the relevant intellectual property.</w:t>
      </w:r>
    </w:p>
    <w:p>
      <w:pPr>
        <w:spacing w:after="0" w:line="174"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We may need to obtain licenses in the future from third parties to advance our research or allow commercialization of our product candidates, and we cannot provide any assurances that there are no third-party patents which might be enforced against our product candidates in the absence of such a license. We may fail to obtain any of these licenses on commercially reasonable terms, if at all.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 candidates, which could materially harm our business and the third parties owning such intellectual property rights could seek either an injunction prohibiting our sales, or, with respect to our sales, an obligation on our part to pay royalties and/or other forms of compensation. Licensing of intellectual property is of critical importance to our business and involves complex legal, business and scientific issues. Disputes may arise between us and our licensors regarding intellectual property subject to a license agreement, including:</w:t>
      </w:r>
    </w:p>
    <w:p>
      <w:pPr>
        <w:spacing w:after="0" w:line="85" w:lineRule="exact"/>
        <w:rPr>
          <w:sz w:val="20"/>
          <w:szCs w:val="20"/>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17"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whether and the extent to which our technology and processes infringe on intellectual property of the licensor that is not subject to the licensing agreement;</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right to sublicense patents and other rights to third parties;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5" w:right="4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80" w:hanging="224"/>
        <w:spacing w:after="0" w:line="276"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our product candidates, and what activities satisfy those diligence obligations;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right to transfer or assign the license; and</w:t>
      </w:r>
    </w:p>
    <w:p>
      <w:pPr>
        <w:spacing w:after="0" w:line="117" w:lineRule="exact"/>
        <w:rPr>
          <w:rFonts w:ascii="Arial" w:cs="Arial" w:eastAsia="Arial" w:hAnsi="Arial"/>
          <w:sz w:val="18"/>
          <w:szCs w:val="18"/>
          <w:color w:val="auto"/>
        </w:rPr>
      </w:pPr>
    </w:p>
    <w:p>
      <w:pPr>
        <w:ind w:left="880" w:right="80" w:hanging="224"/>
        <w:spacing w:after="0" w:line="276"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w:t>
      </w:r>
    </w:p>
    <w:p>
      <w:pPr>
        <w:spacing w:after="0" w:line="145" w:lineRule="exact"/>
        <w:rPr>
          <w:sz w:val="20"/>
          <w:szCs w:val="20"/>
          <w:color w:val="auto"/>
        </w:rPr>
      </w:pPr>
    </w:p>
    <w:p>
      <w:pPr>
        <w:jc w:val="both"/>
        <w:ind w:left="120" w:right="20" w:firstLine="551"/>
        <w:spacing w:after="0" w:line="255" w:lineRule="auto"/>
        <w:rPr>
          <w:sz w:val="20"/>
          <w:szCs w:val="20"/>
          <w:color w:val="auto"/>
        </w:rPr>
      </w:pPr>
      <w:r>
        <w:rPr>
          <w:rFonts w:ascii="Arial" w:cs="Arial" w:eastAsia="Arial" w:hAnsi="Arial"/>
          <w:sz w:val="18"/>
          <w:szCs w:val="18"/>
          <w:color w:val="auto"/>
        </w:rPr>
        <w:t>If disputes over intellectual property that we license in the future prevent or impair our ability to maintain our licensing arrangements on acceptable terms, we may not be able to successfully develop and commercialize the affected product candidates, which would have a material adverse effect on our business.</w:t>
      </w:r>
    </w:p>
    <w:p>
      <w:pPr>
        <w:spacing w:after="0" w:line="164"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In addition, certain of our future agreements with third parties may limit or delay our ability to consummate certain transactions, may impact the value of those transactions, or may limit our ability to pursue certain activities. For example, we may in the future enter into license agreements that are not assignable or transferable, or that require the licensor’s express consent in order for an assignment or transfer to take place.</w:t>
      </w:r>
    </w:p>
    <w:p>
      <w:pPr>
        <w:spacing w:after="0" w:line="276"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price of our stock may be volatile, and you could lose all or part of your investment.</w:t>
      </w:r>
    </w:p>
    <w:p>
      <w:pPr>
        <w:spacing w:after="0" w:line="104" w:lineRule="exact"/>
        <w:rPr>
          <w:sz w:val="20"/>
          <w:szCs w:val="20"/>
          <w:color w:val="auto"/>
        </w:rPr>
      </w:pPr>
    </w:p>
    <w:p>
      <w:pPr>
        <w:jc w:val="both"/>
        <w:ind w:left="120" w:right="80" w:firstLine="551"/>
        <w:spacing w:after="0" w:line="255" w:lineRule="auto"/>
        <w:rPr>
          <w:sz w:val="20"/>
          <w:szCs w:val="20"/>
          <w:color w:val="auto"/>
        </w:rPr>
      </w:pPr>
      <w:r>
        <w:rPr>
          <w:rFonts w:ascii="Arial" w:cs="Arial" w:eastAsia="Arial" w:hAnsi="Arial"/>
          <w:sz w:val="18"/>
          <w:szCs w:val="18"/>
          <w:color w:val="auto"/>
        </w:rPr>
        <w:t>The trading price of our common stock following this offering is likely to be highly volatile and could be subject to wide fluctuations in response to various factors, some of which are beyond our control, including limited trading volume. In addition to the factors discussed in this “Risk Factors” section and elsewhere in this prospectus, these factors include:</w:t>
      </w:r>
    </w:p>
    <w:p>
      <w:pPr>
        <w:spacing w:after="0" w:line="69" w:lineRule="exact"/>
        <w:rPr>
          <w:sz w:val="20"/>
          <w:szCs w:val="20"/>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results of our ongoing, planned or any future preclinical studies, clinical trials or clinical development programs;</w:t>
      </w:r>
    </w:p>
    <w:p>
      <w:pPr>
        <w:spacing w:after="0" w:line="117" w:lineRule="exact"/>
        <w:rPr>
          <w:rFonts w:ascii="Arial" w:cs="Arial" w:eastAsia="Arial" w:hAnsi="Arial"/>
          <w:sz w:val="18"/>
          <w:szCs w:val="18"/>
          <w:color w:val="auto"/>
        </w:rPr>
      </w:pPr>
    </w:p>
    <w:p>
      <w:pPr>
        <w:ind w:left="880" w:right="100" w:hanging="224"/>
        <w:spacing w:after="0" w:line="276"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commencement, enrollment, or results of clinical trials of our product candidates or any future clinical trials we may conduct, or changes in the development status of our product candidates;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adverse results or delays in preclinical studies and clinical trials;</w:t>
      </w:r>
    </w:p>
    <w:p>
      <w:pPr>
        <w:spacing w:after="0" w:line="117" w:lineRule="exact"/>
        <w:rPr>
          <w:rFonts w:ascii="Arial" w:cs="Arial" w:eastAsia="Arial" w:hAnsi="Arial"/>
          <w:sz w:val="18"/>
          <w:szCs w:val="18"/>
          <w:color w:val="auto"/>
        </w:rPr>
      </w:pPr>
    </w:p>
    <w:p>
      <w:pPr>
        <w:ind w:left="880" w:right="460" w:hanging="224"/>
        <w:spacing w:after="0" w:line="276"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decision to initiate a clinical trial, not to initiate a clinical trial, or to terminate an existing clinical trial, including due to the suspension of a clinical trial by the FDA or other regulatory authorities;</w:t>
      </w:r>
    </w:p>
    <w:p>
      <w:pPr>
        <w:spacing w:after="0" w:line="50" w:lineRule="exact"/>
        <w:rPr>
          <w:rFonts w:ascii="Arial" w:cs="Arial" w:eastAsia="Arial" w:hAnsi="Arial"/>
          <w:sz w:val="18"/>
          <w:szCs w:val="18"/>
          <w:color w:val="auto"/>
        </w:rPr>
      </w:pPr>
    </w:p>
    <w:p>
      <w:pPr>
        <w:ind w:left="880" w:right="440" w:hanging="224"/>
        <w:spacing w:after="0" w:line="276" w:lineRule="auto"/>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delay in our regulatory filings or any adverse regulatory decisions, including failure to receive regulatory approval of our product candidates;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 including but not limited to clinical trial requirements for approvals;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adverse developments concerning our manufacturers or our manufacturing plans;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inability to obtain adequate product supply for any licensed product or inability to do so at acceptable prices;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inability to establish collaborations if needed;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failure to commercialize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5" w:right="45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introduction of new products or services offered by us or our competitors;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announcements of significant acquisitions, strategic partnerships, joint ventures or capital commitments by us or our competitors;</w:t>
      </w:r>
    </w:p>
    <w:p>
      <w:pPr>
        <w:spacing w:after="0" w:line="128" w:lineRule="exact"/>
        <w:rPr>
          <w:rFonts w:ascii="Arial" w:cs="Arial" w:eastAsia="Arial" w:hAnsi="Arial"/>
          <w:sz w:val="17"/>
          <w:szCs w:val="17"/>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size and growth of our initial cancer target markets;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ability to successfully treat additional types of cancers or at different stages;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actual or anticipated variations in quarterly operating results;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our failure to meet the estimates and projections of the investment community or that we may otherwise provide to the public;</w:t>
      </w:r>
    </w:p>
    <w:p>
      <w:pPr>
        <w:spacing w:after="0" w:line="117"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immunotherapy in particular, or positive or negative recommendations or withdrawal of research coverage by securities analysts;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expiration of lock-up agreements;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changes in accounting practices;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ineffectiveness of our internal controls;</w:t>
      </w:r>
    </w:p>
    <w:p>
      <w:pPr>
        <w:spacing w:after="0" w:line="117" w:lineRule="exact"/>
        <w:rPr>
          <w:rFonts w:ascii="Arial" w:cs="Arial" w:eastAsia="Arial" w:hAnsi="Arial"/>
          <w:sz w:val="18"/>
          <w:szCs w:val="18"/>
          <w:color w:val="auto"/>
        </w:rPr>
      </w:pPr>
    </w:p>
    <w:p>
      <w:pPr>
        <w:ind w:left="880" w:right="160" w:hanging="224"/>
        <w:spacing w:after="0" w:line="276"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disputes or other developments relating to intellectual property or proprietary rights, including patents, litigation matters and our ability to obtain patent protection for our technologies;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significant lawsuits, including intellectual property or stockholder litigation;</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 such as the COVID-19 pandemic;</w:t>
      </w:r>
    </w:p>
    <w:p>
      <w:pPr>
        <w:spacing w:after="0" w:line="117"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general economic, political, industry and market conditions, including the impending presidential election in the United States in 2020; and</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212" w:lineRule="exact"/>
        <w:rPr>
          <w:sz w:val="20"/>
          <w:szCs w:val="20"/>
          <w:color w:val="auto"/>
        </w:rPr>
      </w:pPr>
    </w:p>
    <w:p>
      <w:pPr>
        <w:ind w:left="120" w:right="460" w:firstLine="551"/>
        <w:spacing w:after="0" w:line="276" w:lineRule="auto"/>
        <w:rPr>
          <w:sz w:val="20"/>
          <w:szCs w:val="20"/>
          <w:color w:val="auto"/>
        </w:rPr>
      </w:pPr>
      <w:r>
        <w:rPr>
          <w:rFonts w:ascii="Arial" w:cs="Arial" w:eastAsia="Arial" w:hAnsi="Arial"/>
          <w:sz w:val="18"/>
          <w:szCs w:val="18"/>
          <w:color w:val="auto"/>
        </w:rPr>
        <w:t>The realization of any of the above risks or any of a broad range of other risks, including those described in this “Risk Factors” section, could have a dramatic and adverse impact on the market price of our common stock.</w:t>
      </w:r>
    </w:p>
    <w:p>
      <w:pPr>
        <w:spacing w:after="0" w:line="145" w:lineRule="exact"/>
        <w:rPr>
          <w:sz w:val="20"/>
          <w:szCs w:val="20"/>
          <w:color w:val="auto"/>
        </w:rPr>
      </w:pPr>
    </w:p>
    <w:p>
      <w:pPr>
        <w:ind w:left="120" w:right="180" w:firstLine="551"/>
        <w:spacing w:after="0" w:line="243" w:lineRule="auto"/>
        <w:rPr>
          <w:sz w:val="20"/>
          <w:szCs w:val="20"/>
          <w:color w:val="auto"/>
        </w:rPr>
      </w:pPr>
      <w:r>
        <w:rPr>
          <w:rFonts w:ascii="Arial" w:cs="Arial" w:eastAsia="Arial" w:hAnsi="Arial"/>
          <w:sz w:val="18"/>
          <w:szCs w:val="18"/>
          <w:color w:val="auto"/>
        </w:rPr>
        <w:t>In addition, the stock market in general, and the market for biopharmaceutical companies in particular, have experienced extreme price and volume fluctuations that have often been unrelated or disproportionate to the operating performance of these companies. In particular, the trading prices for pharmaceutical, biopharmaceutical and biotechnology companies have been highly volatile as a result of the COVID-19 pandemic. In addition, broad market and industry factors may negatively affect the market price of our common stock, regardless of our actual operating performance. If the market price of our common stock after this offering does not exceed the initial public offering price, you may not</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5" w:right="45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8" w:lineRule="auto"/>
        <w:rPr>
          <w:sz w:val="20"/>
          <w:szCs w:val="20"/>
          <w:color w:val="auto"/>
        </w:rPr>
      </w:pPr>
      <w:r>
        <w:rPr>
          <w:rFonts w:ascii="Arial" w:cs="Arial" w:eastAsia="Arial" w:hAnsi="Arial"/>
          <w:sz w:val="18"/>
          <w:szCs w:val="18"/>
          <w:color w:val="auto"/>
        </w:rPr>
        <w:t>realize any return on your investment in us and may lose some or all of your investment.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which would materially adversely affect our business, financial condition and results of operation.</w:t>
      </w:r>
    </w:p>
    <w:p>
      <w:pPr>
        <w:spacing w:after="0" w:line="278"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We do not know whether an active, liquid and orderly trading market will develop for our common stock or what the market price of our common stock will be and, as a result, it may be difficult for you to sell your shares of our common stock.</w:t>
      </w:r>
    </w:p>
    <w:p>
      <w:pPr>
        <w:spacing w:after="0" w:line="21"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Prior to this offering, no public market for shares of our common stock existed and an active trading market for our common stock may never develop or be sustained following this offering. We will determine the initial public offering price for our common stock through negotiations with the underwriters, and the negotiated price may not be indicative of the market price of our common stock after this offering. The market value of our common stock may decrease from the initial public offering price. As a result of these and other factors, you may be unable to resell your shares of our common stock at or above the initial public offering price. The lack of an active market may impair your ability to sell your shares at the time you wish to sell them or at a price that you consider reasonable. The lack of an active market may also reduce the fair market value of your shares. Furthermore, an inactive market may also impair our ability to raise capital by selling shares of our common stock and may impair our ability to enter into strategic collaborations or acquire companies, technologies or other assets by using our shares of common stock as consideration.</w:t>
      </w:r>
    </w:p>
    <w:p>
      <w:pPr>
        <w:spacing w:after="0" w:line="284" w:lineRule="exact"/>
        <w:rPr>
          <w:sz w:val="20"/>
          <w:szCs w:val="20"/>
          <w:color w:val="auto"/>
        </w:rPr>
      </w:pPr>
    </w:p>
    <w:p>
      <w:pPr>
        <w:ind w:left="120"/>
        <w:spacing w:after="0" w:line="285"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or if they publish adverse or misleading research or reports, regarding us, our business or our market, our stock price and trading volume could decline.</w:t>
      </w:r>
    </w:p>
    <w:p>
      <w:pPr>
        <w:spacing w:after="0" w:line="21"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The trading market for our common stock will be influenced by the research and reports that securities or industry analysts publish about us, our business or our market. We do not currently have and may never obtain research coverage by securities or industry analysts. If no or few securities or industry analysts commence coverage of us, the stock price would be negatively impacted. In the event we obtain securities or industry analyst coverage,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88" w:lineRule="exact"/>
        <w:rPr>
          <w:sz w:val="20"/>
          <w:szCs w:val="20"/>
          <w:color w:val="auto"/>
        </w:rPr>
      </w:pPr>
    </w:p>
    <w:p>
      <w:pPr>
        <w:ind w:left="120" w:right="400"/>
        <w:spacing w:after="0" w:line="285"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rights to our technologies or product candidates.</w:t>
      </w:r>
    </w:p>
    <w:p>
      <w:pPr>
        <w:spacing w:after="0" w:line="21"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We may seek additional capital through a combination of public and private equity offerings, debt financings, strategic partnerships and alliances and licensing arrangements. To the extent that we raise additional capital through the sale of equity or convertible debt securities, your ownership interest will be diluted, and the terms may include liquidation or other preferences that adversely affect your rights as a stockholder. The incurrence of indebtedness would result in increased fixed payment obligations and could involve certain restrictive covenants, such as limitations on our ability to incur additional debt, limitations on our ability to acquire or license intellectual property rights and other operating restrictions that could adversely impact our ability to conduct our business. If we raise additional funds through strategic partnerships, alliances and licensing arrangements with third parties, we may have to relinquish valuable rights to our technologies or product candidates, or grant licenses on terms unfavorable to us.</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5" w:right="4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85"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by our existing stockholders in the public market could cause our stock price to fall.</w:t>
      </w:r>
    </w:p>
    <w:p>
      <w:pPr>
        <w:spacing w:after="0" w:line="21" w:lineRule="exact"/>
        <w:rPr>
          <w:sz w:val="20"/>
          <w:szCs w:val="20"/>
          <w:color w:val="auto"/>
        </w:rPr>
      </w:pPr>
    </w:p>
    <w:p>
      <w:pPr>
        <w:ind w:left="120" w:right="160" w:firstLine="551"/>
        <w:spacing w:after="0" w:line="262" w:lineRule="auto"/>
        <w:rPr>
          <w:sz w:val="20"/>
          <w:szCs w:val="20"/>
          <w:color w:val="auto"/>
        </w:rPr>
      </w:pPr>
      <w:r>
        <w:rPr>
          <w:rFonts w:ascii="Arial" w:cs="Arial" w:eastAsia="Arial" w:hAnsi="Arial"/>
          <w:sz w:val="17"/>
          <w:szCs w:val="17"/>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w:t>
      </w:r>
    </w:p>
    <w:p>
      <w:pPr>
        <w:ind w:left="120" w:right="100"/>
        <w:spacing w:after="0" w:line="234" w:lineRule="auto"/>
        <w:rPr>
          <w:sz w:val="20"/>
          <w:szCs w:val="20"/>
          <w:color w:val="auto"/>
        </w:rPr>
      </w:pPr>
      <w:r>
        <w:rPr>
          <w:rFonts w:ascii="Arial" w:cs="Arial" w:eastAsia="Arial" w:hAnsi="Arial"/>
          <w:sz w:val="18"/>
          <w:szCs w:val="18"/>
          <w:color w:val="auto"/>
        </w:rPr>
        <w:t>stock. After this offering, we will have outstanding shares of common stock, based on the number of shares outstanding as of June 30, 2020, assuming: (1) no exercise of the underwriters’ option to purchase additional shares, (2) the conversion of all outstanding shares of our convertible preferred stock as of June 30, 2020 into 120,393,150 shares of common stock immediately prior to the completion of this offering and (3) the conversion of our Series D convertible preferred stock issued and sold in July 2020 into 28,020,172 shares of common stock immediately prior to the completion of this offering. This includes the shares that we sell in this offering, which may be resold in the public market immediately without restriction, unless purchased by our affiliates. Of the remaining</w:t>
      </w:r>
    </w:p>
    <w:p>
      <w:pPr>
        <w:spacing w:after="0" w:line="4" w:lineRule="exact"/>
        <w:rPr>
          <w:sz w:val="20"/>
          <w:szCs w:val="20"/>
          <w:color w:val="auto"/>
        </w:rPr>
      </w:pPr>
    </w:p>
    <w:p>
      <w:pPr>
        <w:ind w:left="120" w:right="140"/>
        <w:spacing w:after="0" w:line="234" w:lineRule="auto"/>
        <w:rPr>
          <w:sz w:val="20"/>
          <w:szCs w:val="20"/>
          <w:color w:val="auto"/>
        </w:rPr>
      </w:pPr>
      <w:r>
        <w:rPr>
          <w:rFonts w:ascii="Arial" w:cs="Arial" w:eastAsia="Arial" w:hAnsi="Arial"/>
          <w:sz w:val="18"/>
          <w:szCs w:val="18"/>
          <w:color w:val="auto"/>
        </w:rPr>
        <w:t>shares, shares of our common stock are currently restricted as a result of securities laws or lock-up agreements but will be able to be sold after this offering as described in the “Shares Eligible for Future Sale” section of this prospectus. Moreover, after this offering,</w:t>
      </w:r>
    </w:p>
    <w:p>
      <w:pPr>
        <w:spacing w:after="0" w:line="1"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holders of an aggregate of shares of our common stock will have rights, subject to certain conditions, to require us to file registration statements covering their shares or to include their shares in registration statements that we may file for ourselves or other stockholders. We also intend to register all shares of common stock that we may issue under our equity incentive plans. Once we register these shares, they can be freely sold in the public market upon issuance, subject to volume limitations applicable to affiliates and the lock-up agreements described in the “Underwriting” section of this prospectus.</w:t>
      </w:r>
    </w:p>
    <w:p>
      <w:pPr>
        <w:spacing w:after="0" w:line="176"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Our executive officers, directors and the holders of substantially all of our capital stock and securities convertible into or exchangeable for our capital stock have entered into lock-up agreements with the underwriters under which they have agreed, subject to specific exceptions described in the section titled “Underwriting,” not to sell, directly or indirectly, any shares of common stock without the permission of the underwriters for a period of 180 days following the date of this prospectus. We refer to such period as the lock-up period. When the lock-up period expires, we and our securityholders subject to a lock-up agreement will be able to sell our shares in the public market. In addition, the underwriters may, in their sole discretion, release all or some portion of the shares subject to lock-up agreements at any time and for any reason. See the description of the lock-up agreement with the underwriters in the section of this prospectus titled “Shares Eligible for Future Sale” for more information. Sales of a substantial number of such shares upon expiration of the lock-up agreements, the perception that such sales may occur, or early release of these agreements, could cause our market price to fall or make it more difficult for you to sell your common stock at a time and price that you deem appropriate.</w:t>
      </w:r>
    </w:p>
    <w:p>
      <w:pPr>
        <w:spacing w:after="0" w:line="288" w:lineRule="exact"/>
        <w:rPr>
          <w:sz w:val="20"/>
          <w:szCs w:val="20"/>
          <w:color w:val="auto"/>
        </w:rPr>
      </w:pPr>
    </w:p>
    <w:p>
      <w:pPr>
        <w:ind w:left="120" w:right="560"/>
        <w:spacing w:after="0" w:line="285"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influence over matters subject to stockholder approval.</w:t>
      </w:r>
    </w:p>
    <w:p>
      <w:pPr>
        <w:spacing w:after="0" w:line="21" w:lineRule="exact"/>
        <w:rPr>
          <w:sz w:val="20"/>
          <w:szCs w:val="20"/>
          <w:color w:val="auto"/>
        </w:rPr>
      </w:pPr>
    </w:p>
    <w:p>
      <w:pPr>
        <w:ind w:left="120" w:right="160" w:firstLine="551"/>
        <w:spacing w:after="0"/>
        <w:rPr>
          <w:sz w:val="20"/>
          <w:szCs w:val="20"/>
          <w:color w:val="auto"/>
        </w:rPr>
      </w:pPr>
      <w:r>
        <w:rPr>
          <w:rFonts w:ascii="Arial" w:cs="Arial" w:eastAsia="Arial" w:hAnsi="Arial"/>
          <w:sz w:val="18"/>
          <w:szCs w:val="18"/>
          <w:color w:val="auto"/>
        </w:rPr>
        <w:t>Prior to this offering, our executive officers, directors, holders of 5% or more of our capital stock and their respective affiliates beneficially owned approximately 72.9% of our voting stock and, upon the closing of this offering, that same group will beneficially own approximately % of our outstanding voting stock (based on the number of shares of common stock outstanding as of August 31, 2020 assuming no exercise of the underwriters’ option to purchase additional shares, no exercise of outstanding options or the warrant and no purchases of shares in this offering by any of this group), in each case assuming the conversion of all outstanding shares of our convertible preferred stock into shares of our common stock immediately prior to the closing of this offering. Certain of our directors are affiliated with the holders of 5% or more of our capital stock. In particular, Arnold Oronsky, Ph.D. is an affiliate of InterWest Partners X, L.P., Peter Thompson, M.D. is an affiliate of OrbiMed Private Investments V LP and Thilo Schroeder is an affiliate Nextech V Oncology S.C.S., SIACAV-SIF, as</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5" w:right="45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41" w:lineRule="auto"/>
        <w:rPr>
          <w:sz w:val="20"/>
          <w:szCs w:val="20"/>
          <w:color w:val="auto"/>
        </w:rPr>
      </w:pPr>
      <w:r>
        <w:rPr>
          <w:rFonts w:ascii="Arial" w:cs="Arial" w:eastAsia="Arial" w:hAnsi="Arial"/>
          <w:sz w:val="18"/>
          <w:szCs w:val="18"/>
          <w:color w:val="auto"/>
        </w:rPr>
        <w:t>indicated in the “Principal Stockholders” section. These stockholders, acting together, may be able to impact matters requiring stockholder approval. For example, they may be able to impact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spacing w:after="0" w:line="287" w:lineRule="exact"/>
        <w:rPr>
          <w:sz w:val="20"/>
          <w:szCs w:val="20"/>
          <w:color w:val="auto"/>
        </w:rPr>
      </w:pPr>
    </w:p>
    <w:p>
      <w:pPr>
        <w:ind w:left="120" w:right="140"/>
        <w:spacing w:after="0" w:line="285"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21"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We are an “emerging growth company,” as defined in the Jumpstart Our Business Startups Act of 2020, as amended, or JOBS Act. For as long as we continue to be an emerging growth company, we intend to take advantage of exemptions from various reporting requirements that are applicable to other public companies that are not emerging growth companies, including:</w:t>
      </w:r>
    </w:p>
    <w:p>
      <w:pPr>
        <w:spacing w:after="0" w:line="69" w:lineRule="exact"/>
        <w:rPr>
          <w:sz w:val="20"/>
          <w:szCs w:val="20"/>
          <w:color w:val="auto"/>
        </w:rPr>
      </w:pPr>
    </w:p>
    <w:p>
      <w:pPr>
        <w:ind w:left="880" w:right="200" w:hanging="224"/>
        <w:spacing w:after="0" w:line="255"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69" w:lineRule="exact"/>
        <w:rPr>
          <w:rFonts w:ascii="Arial" w:cs="Arial" w:eastAsia="Arial" w:hAnsi="Arial"/>
          <w:sz w:val="18"/>
          <w:szCs w:val="18"/>
          <w:color w:val="auto"/>
        </w:rPr>
      </w:pPr>
    </w:p>
    <w:p>
      <w:pPr>
        <w:ind w:left="880" w:right="460" w:hanging="224"/>
        <w:spacing w:after="0" w:line="276"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 being required to comply with the auditor attestation requirements of Section 404 of the Sarbanes-Oxley Act of 2002, as amended, or Sarbanes-Oxley Act;</w:t>
      </w:r>
    </w:p>
    <w:p>
      <w:pPr>
        <w:spacing w:after="0" w:line="50" w:lineRule="exact"/>
        <w:rPr>
          <w:rFonts w:ascii="Arial" w:cs="Arial" w:eastAsia="Arial" w:hAnsi="Arial"/>
          <w:sz w:val="18"/>
          <w:szCs w:val="18"/>
          <w:color w:val="auto"/>
        </w:rPr>
      </w:pPr>
    </w:p>
    <w:p>
      <w:pPr>
        <w:ind w:left="880" w:right="300" w:hanging="224"/>
        <w:spacing w:after="0" w:line="255"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69" w:lineRule="exact"/>
        <w:rPr>
          <w:rFonts w:ascii="Arial" w:cs="Arial" w:eastAsia="Arial" w:hAnsi="Arial"/>
          <w:sz w:val="18"/>
          <w:szCs w:val="18"/>
          <w:color w:val="auto"/>
        </w:rPr>
      </w:pPr>
    </w:p>
    <w:p>
      <w:pPr>
        <w:ind w:left="880" w:right="820" w:hanging="224"/>
        <w:spacing w:after="0" w:line="276"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reduced disclosure obligations regarding executive compensation in this prospectus and our periodic reports and proxy statements; and</w:t>
      </w:r>
    </w:p>
    <w:p>
      <w:pPr>
        <w:spacing w:after="0" w:line="50"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exemptions from the requirements of holding nonbinding advisory stockholder votes on executive compensation and stockholder approval of any golden parachute payments not previously approved.</w:t>
      </w:r>
    </w:p>
    <w:p>
      <w:pPr>
        <w:spacing w:after="0" w:line="145" w:lineRule="exact"/>
        <w:rPr>
          <w:sz w:val="20"/>
          <w:szCs w:val="20"/>
          <w:color w:val="auto"/>
        </w:rPr>
      </w:pPr>
    </w:p>
    <w:p>
      <w:pPr>
        <w:ind w:left="120" w:right="140" w:firstLine="551"/>
        <w:spacing w:after="0" w:line="245"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avail ourselves of this exemption from new or revised accounting standards and, therefore, will not be subject to the same new or revised accounting standards as other public companies that are not emerging growth companies. As a result, our financial statements may not be comparable to companies that comply with the new or revised accounting pronouncements as of public company effective dates.</w:t>
      </w:r>
    </w:p>
    <w:p>
      <w:pPr>
        <w:spacing w:after="0" w:line="172"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8"/>
          <w:szCs w:val="18"/>
          <w:color w:val="auto"/>
        </w:rPr>
        <w:t>We will remain an emerging growth company until the earliest to occur of: (1) the last day of the fiscal year in which we have more than $1.07 billion in annual revenue; (2) the date we qualify as a “large accelerated filer,” with at least $700.0 million of equity securities held by non-affiliates; (3) the date on which we have issued more than $1.0 billion in non-convertible debt securities during the prior three-year period; and (4) the last day of the fiscal year ending after the fifth anniversary of our initial public offering.</w:t>
      </w:r>
    </w:p>
    <w:p>
      <w:pPr>
        <w:spacing w:after="0" w:line="170"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which would allow us to continue to take advantage of many of the same</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455" w:right="43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exemptions from disclosure requirements, including not being required to comply with the auditor attestation requirements of Section 404 of the Sarbanes-Oxley Act and reduced disclosure obligations regarding executive compensation in this prospectus and our periodic reports and proxy statements.</w:t>
      </w:r>
    </w:p>
    <w:p>
      <w:pPr>
        <w:spacing w:after="0" w:line="164"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72" w:lineRule="exact"/>
        <w:rPr>
          <w:sz w:val="20"/>
          <w:szCs w:val="20"/>
          <w:color w:val="auto"/>
        </w:rPr>
      </w:pPr>
    </w:p>
    <w:p>
      <w:pPr>
        <w:ind w:left="120" w:right="200"/>
        <w:spacing w:after="0" w:line="285" w:lineRule="auto"/>
        <w:rPr>
          <w:sz w:val="20"/>
          <w:szCs w:val="20"/>
          <w:color w:val="auto"/>
        </w:rPr>
      </w:pPr>
      <w:r>
        <w:rPr>
          <w:rFonts w:ascii="Arial" w:cs="Arial" w:eastAsia="Arial" w:hAnsi="Arial"/>
          <w:sz w:val="18"/>
          <w:szCs w:val="18"/>
          <w:b w:val="1"/>
          <w:bCs w:val="1"/>
          <w:i w:val="1"/>
          <w:iCs w:val="1"/>
          <w:color w:val="auto"/>
        </w:rPr>
        <w:t>We will incur significant increased costs as a result of operating as a public company, and our management will be required to devote substantial time to new compliance initiatives.</w:t>
      </w:r>
    </w:p>
    <w:p>
      <w:pPr>
        <w:spacing w:after="0" w:line="21"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As a public company, we will incur significant legal, accounting and other expenses that we did not incur as a private company. We will be subject to the reporting requirements of the Securities Exchange Act of 1934, as amended, or Exchange Act, which will require, among other things, that we file with the SEC annual, quarterly and current reports with respect to our business and financial condition. In addition, the Sarbanes-Oxley Act, as well as rules subsequently adopted by the SEC and the Nasdaq Global Market to implement provisions of the Sarbanes-Oxley Act, impose significant requirements on public companies, including requiring establishment and maintenance of effective disclosure and financial controls and changes in corporate governance practices. Further, in July 2010, the Dodd-Frank Wall Street Reform and Consumer Protection Act, or the Dodd-Frank Act, was enacted. There are significant corporate governance and executive compensation related provisions in the Dodd-Frank Act that require the SEC to adopt additional rules and regulations in these areas, such as “say on pay” and proxy access. Recent legislation permits emerging growth companies to implement many of these requirements over a longer period and up to five years from the pricing of this offering. We intend to take advantage of this new legislation but cannot guarantee that we will not be required to implement these requirements sooner than budgeted or planned and thereby incur unexpected expenses.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77"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expect the rules and regulations applicable to public companies to substantially increase our legal and financial compliance costs and to make some activities more time-consuming and costly. If these requirements divert the attention of our 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04" w:lineRule="exact"/>
        <w:rPr>
          <w:sz w:val="20"/>
          <w:szCs w:val="20"/>
          <w:color w:val="auto"/>
        </w:rPr>
      </w:pPr>
    </w:p>
    <w:p>
      <w:pPr>
        <w:ind w:left="120" w:right="180" w:firstLine="551"/>
        <w:spacing w:after="0" w:line="248" w:lineRule="auto"/>
        <w:rPr>
          <w:sz w:val="20"/>
          <w:szCs w:val="20"/>
          <w:color w:val="auto"/>
        </w:rPr>
      </w:pPr>
      <w:r>
        <w:rPr>
          <w:rFonts w:ascii="Arial" w:cs="Arial" w:eastAsia="Arial" w:hAnsi="Arial"/>
          <w:sz w:val="18"/>
          <w:szCs w:val="18"/>
          <w:color w:val="auto"/>
        </w:rPr>
        <w:t>Our management will have broad discretion in the application of the net proceeds from this offering, including for any of the purposes described in the section entitled “Use of Proceeds,” and you will be relying on the judgment of our management regarding the application of these proceeds. You will not have the opportunity, as part of your investment decision, to assess whether the net proceeds are being used appropriately. Our management might not apply the net proceeds in ways that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5" w:right="4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60"/>
        <w:spacing w:after="0" w:line="276" w:lineRule="auto"/>
        <w:rPr>
          <w:sz w:val="20"/>
          <w:szCs w:val="20"/>
          <w:color w:val="auto"/>
        </w:rPr>
      </w:pPr>
      <w:r>
        <w:rPr>
          <w:rFonts w:ascii="Arial" w:cs="Arial" w:eastAsia="Arial" w:hAnsi="Arial"/>
          <w:sz w:val="18"/>
          <w:szCs w:val="18"/>
          <w:color w:val="auto"/>
        </w:rPr>
        <w:t>ultimately increase or maintain the value of your investment. If we do not invest or apply the net proceeds from this offering in ways that enhance stockholder value, we may fail to achieve expected financial results, which could cause our stock price to decline.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do not intend to pay dividends on our capital stock, so any returns will be limited to the value of our stock.</w:t>
      </w:r>
    </w:p>
    <w:p>
      <w:pPr>
        <w:spacing w:after="0" w:line="104"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We have never declared or paid any cash dividends on our capital stock. We currently anticipate that we will retain future earnings for the development, operation and expansion of our business and do not anticipate declaring or paying any cash dividends for the foreseeable future. In addition, we may enter into agreements that prohibit us from paying cash dividends without prior written consent from our contracting parties, or which other terms prohibiting or limiting the amount of dividends that may be declared or paid on our capital stock. Any return to stockholders will therefore be limited to any appreciation in the value of their stock.</w:t>
      </w:r>
    </w:p>
    <w:p>
      <w:pPr>
        <w:spacing w:after="0" w:line="280" w:lineRule="exact"/>
        <w:rPr>
          <w:sz w:val="20"/>
          <w:szCs w:val="20"/>
          <w:color w:val="auto"/>
        </w:rPr>
      </w:pPr>
    </w:p>
    <w:p>
      <w:pPr>
        <w:ind w:left="120" w:right="80"/>
        <w:spacing w:after="0" w:line="260" w:lineRule="auto"/>
        <w:rPr>
          <w:sz w:val="20"/>
          <w:szCs w:val="20"/>
          <w:color w:val="auto"/>
        </w:rPr>
      </w:pPr>
      <w:r>
        <w:rPr>
          <w:rFonts w:ascii="Arial" w:cs="Arial" w:eastAsia="Arial" w:hAnsi="Arial"/>
          <w:sz w:val="18"/>
          <w:szCs w:val="18"/>
          <w:b w:val="1"/>
          <w:bCs w:val="1"/>
          <w:i w:val="1"/>
          <w:iCs w:val="1"/>
          <w:color w:val="auto"/>
        </w:rPr>
        <w:t>Provisions in our amended and restated certificate of incorporation and amended and restated bylaws and Delaware law might discourage, delay or prevent a change in control of our company or changes in our management and, therefore, depress the market price of our common stock.</w:t>
      </w:r>
    </w:p>
    <w:p>
      <w:pPr>
        <w:spacing w:after="0" w:line="43" w:lineRule="exact"/>
        <w:rPr>
          <w:sz w:val="20"/>
          <w:szCs w:val="20"/>
          <w:color w:val="auto"/>
        </w:rPr>
      </w:pPr>
    </w:p>
    <w:p>
      <w:pPr>
        <w:jc w:val="both"/>
        <w:ind w:left="120" w:right="120" w:firstLine="551"/>
        <w:spacing w:after="0" w:line="255" w:lineRule="auto"/>
        <w:rPr>
          <w:sz w:val="20"/>
          <w:szCs w:val="20"/>
          <w:color w:val="auto"/>
        </w:rPr>
      </w:pPr>
      <w:r>
        <w:rPr>
          <w:rFonts w:ascii="Arial" w:cs="Arial" w:eastAsia="Arial" w:hAnsi="Arial"/>
          <w:sz w:val="18"/>
          <w:szCs w:val="18"/>
          <w:color w:val="auto"/>
        </w:rPr>
        <w:t>Our amended and restated certificate of incorporation and amended and restated bylaws, as they will be in effect upon closing of this offering, will contain provisions that could delay or prevent a change of control of our company or changes in our board of directors that our stockholders might consider favorable. These provisions will, among other things:</w:t>
      </w:r>
    </w:p>
    <w:p>
      <w:pPr>
        <w:spacing w:after="0" w:line="69" w:lineRule="exact"/>
        <w:rPr>
          <w:sz w:val="20"/>
          <w:szCs w:val="20"/>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establish a classified board of directors so that not all members of our board are elected at one time;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permit only the board of directors to establish the number of directors and fill vacancies on the board;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that directors may only be removed “for cause” and only with the approval of two-thirds of our stockholders;</w:t>
      </w:r>
    </w:p>
    <w:p>
      <w:pPr>
        <w:spacing w:after="0" w:line="117" w:lineRule="exact"/>
        <w:rPr>
          <w:rFonts w:ascii="Arial" w:cs="Arial" w:eastAsia="Arial" w:hAnsi="Arial"/>
          <w:sz w:val="18"/>
          <w:szCs w:val="18"/>
          <w:color w:val="auto"/>
        </w:rPr>
      </w:pPr>
    </w:p>
    <w:p>
      <w:pPr>
        <w:ind w:left="880" w:right="260" w:hanging="224"/>
        <w:spacing w:after="0" w:line="276"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authorize the issuance of “blank check” preferred stock that our board could use to implement a stockholder rights plan (also known as a “poison pill”);</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eliminate the ability of our stockholders to call special meetings of stockholders;</w:t>
      </w:r>
    </w:p>
    <w:p>
      <w:pPr>
        <w:spacing w:after="0" w:line="117" w:lineRule="exact"/>
        <w:rPr>
          <w:rFonts w:ascii="Arial" w:cs="Arial" w:eastAsia="Arial" w:hAnsi="Arial"/>
          <w:sz w:val="18"/>
          <w:szCs w:val="18"/>
          <w:color w:val="auto"/>
        </w:rPr>
      </w:pPr>
    </w:p>
    <w:p>
      <w:pPr>
        <w:ind w:left="880" w:right="980" w:hanging="224"/>
        <w:spacing w:after="0" w:line="276"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prohibit stockholder action by written consent, which requires all stockholder actions to be taken at a meeting of our stockholders;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prohibit cumulative voting;</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authorize our board of directors to amend the bylaws;</w:t>
      </w:r>
    </w:p>
    <w:p>
      <w:pPr>
        <w:spacing w:after="0" w:line="117"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establish advance notice requirements for nominations for election to our board or for proposing matters that can be acted upon by stockholders at annual stockholder meetings; and</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require a super-majority vote of stockholders to amend some provisions described above.</w:t>
      </w:r>
    </w:p>
    <w:p>
      <w:pPr>
        <w:spacing w:after="0" w:line="212" w:lineRule="exact"/>
        <w:rPr>
          <w:sz w:val="20"/>
          <w:szCs w:val="20"/>
          <w:color w:val="auto"/>
        </w:rPr>
      </w:pPr>
    </w:p>
    <w:p>
      <w:pPr>
        <w:ind w:left="120" w:right="160" w:firstLine="551"/>
        <w:spacing w:after="0" w:line="268" w:lineRule="auto"/>
        <w:rPr>
          <w:sz w:val="20"/>
          <w:szCs w:val="20"/>
          <w:color w:val="auto"/>
        </w:rPr>
      </w:pPr>
      <w:r>
        <w:rPr>
          <w:rFonts w:ascii="Arial" w:cs="Arial" w:eastAsia="Arial" w:hAnsi="Arial"/>
          <w:sz w:val="17"/>
          <w:szCs w:val="17"/>
          <w:color w:val="auto"/>
        </w:rPr>
        <w:t>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w:t>
      </w:r>
    </w:p>
    <w:p>
      <w:pPr>
        <w:spacing w:after="0" w:line="8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20"/>
          </w:cols>
          <w:pgMar w:left="320" w:top="455" w:right="55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80" w:firstLine="551"/>
        <w:spacing w:after="0" w:line="255" w:lineRule="auto"/>
        <w:rPr>
          <w:sz w:val="20"/>
          <w:szCs w:val="20"/>
          <w:color w:val="auto"/>
        </w:rPr>
      </w:pPr>
      <w:r>
        <w:rPr>
          <w:rFonts w:ascii="Arial" w:cs="Arial" w:eastAsia="Arial" w:hAnsi="Arial"/>
          <w:sz w:val="18"/>
          <w:szCs w:val="18"/>
          <w:color w:val="auto"/>
        </w:rPr>
        <w:t>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w:t>
      </w:r>
    </w:p>
    <w:p>
      <w:pPr>
        <w:spacing w:after="0" w:line="272" w:lineRule="exact"/>
        <w:rPr>
          <w:sz w:val="20"/>
          <w:szCs w:val="20"/>
          <w:color w:val="auto"/>
        </w:rPr>
      </w:pPr>
    </w:p>
    <w:p>
      <w:pPr>
        <w:ind w:left="120" w:right="40"/>
        <w:spacing w:after="0" w:line="251" w:lineRule="auto"/>
        <w:rPr>
          <w:sz w:val="20"/>
          <w:szCs w:val="20"/>
          <w:color w:val="auto"/>
        </w:rPr>
      </w:pPr>
      <w:r>
        <w:rPr>
          <w:rFonts w:ascii="Arial" w:cs="Arial" w:eastAsia="Arial" w:hAnsi="Arial"/>
          <w:sz w:val="18"/>
          <w:szCs w:val="18"/>
          <w:b w:val="1"/>
          <w:bCs w:val="1"/>
          <w:i w:val="1"/>
          <w:iCs w:val="1"/>
          <w:color w:val="auto"/>
        </w:rPr>
        <w:t>Our amended and restated bylaws that will become effective upon the closing of this offering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52"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Our amended and restated bylaws that will become effective upon the closing of this offering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79" w:lineRule="exact"/>
        <w:rPr>
          <w:sz w:val="20"/>
          <w:szCs w:val="20"/>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action asserting a claim of breach of fiduciary duty;</w:t>
      </w:r>
    </w:p>
    <w:p>
      <w:pPr>
        <w:spacing w:after="0" w:line="117" w:lineRule="exact"/>
        <w:rPr>
          <w:rFonts w:ascii="Arial" w:cs="Arial" w:eastAsia="Arial" w:hAnsi="Arial"/>
          <w:sz w:val="18"/>
          <w:szCs w:val="18"/>
          <w:color w:val="auto"/>
        </w:rPr>
      </w:pPr>
    </w:p>
    <w:p>
      <w:pPr>
        <w:ind w:left="880" w:right="380" w:hanging="224"/>
        <w:spacing w:after="0" w:line="276"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DGCL, our amended and restated certificate of incorporation or our amended and restated bylaws; and</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 affairs doctrine.</w:t>
      </w:r>
    </w:p>
    <w:p>
      <w:pPr>
        <w:spacing w:after="0" w:line="212" w:lineRule="exact"/>
        <w:rPr>
          <w:sz w:val="20"/>
          <w:szCs w:val="20"/>
          <w:color w:val="auto"/>
        </w:rPr>
      </w:pPr>
    </w:p>
    <w:p>
      <w:pPr>
        <w:ind w:left="120" w:right="240" w:firstLine="551"/>
        <w:spacing w:after="0" w:line="276" w:lineRule="auto"/>
        <w:rPr>
          <w:sz w:val="20"/>
          <w:szCs w:val="20"/>
          <w:color w:val="auto"/>
        </w:rPr>
      </w:pPr>
      <w:r>
        <w:rPr>
          <w:rFonts w:ascii="Arial" w:cs="Arial" w:eastAsia="Arial" w:hAnsi="Arial"/>
          <w:sz w:val="18"/>
          <w:szCs w:val="18"/>
          <w:color w:val="auto"/>
        </w:rPr>
        <w:t>This provision would not apply to suits brought to enforce a duty or liability created by the Securities Act of 1933, as amended, or Securities Act, the Exchange Act or any other claim for which the U.S. federal courts have exclusive jurisdiction.</w:t>
      </w:r>
    </w:p>
    <w:p>
      <w:pPr>
        <w:spacing w:after="0" w:line="145" w:lineRule="exact"/>
        <w:rPr>
          <w:sz w:val="20"/>
          <w:szCs w:val="20"/>
          <w:color w:val="auto"/>
        </w:rPr>
      </w:pPr>
    </w:p>
    <w:p>
      <w:pPr>
        <w:ind w:left="120" w:right="360" w:firstLine="551"/>
        <w:spacing w:after="0" w:line="255" w:lineRule="auto"/>
        <w:rPr>
          <w:sz w:val="20"/>
          <w:szCs w:val="20"/>
          <w:color w:val="auto"/>
        </w:rPr>
      </w:pPr>
      <w:r>
        <w:rPr>
          <w:rFonts w:ascii="Arial" w:cs="Arial" w:eastAsia="Arial" w:hAnsi="Arial"/>
          <w:sz w:val="18"/>
          <w:szCs w:val="18"/>
          <w:color w:val="auto"/>
        </w:rPr>
        <w:t>Our amended and restated bylaws further provide that the federal district courts of the United States of America will be the exclusive forum for resolving any complaint asserting a cause of action arising under the Securities Act. We note that investors cannot waive compliance with the federal securities laws and the rules and regulations thereunder.</w:t>
      </w:r>
    </w:p>
    <w:p>
      <w:pPr>
        <w:spacing w:after="0" w:line="16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While the Delaware courts have determined that such choice of forum provisions are facially valid, a stockholder may nevertheless seek to bring a claim in a venue other than those designated in the exclusive forum provisions, and there can be no assurance that such provisions will be enforced by a court in those other jurisdictions. If a court were to find these types of provisions to be inapplicable or unenforceable, and if a court were to find the exclusive forum provision in our amended and restated bylaws to be inapplicable or unenforceable in an action, we may incur additional costs associated with resolving the dispute in other jurisdictions, which could materially adversely affect our business.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5" w:right="45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285" w:lineRule="auto"/>
        <w:rPr>
          <w:sz w:val="20"/>
          <w:szCs w:val="20"/>
          <w:color w:val="auto"/>
        </w:rPr>
      </w:pPr>
      <w:r>
        <w:rPr>
          <w:rFonts w:ascii="Arial" w:cs="Arial" w:eastAsia="Arial" w:hAnsi="Arial"/>
          <w:sz w:val="18"/>
          <w:szCs w:val="18"/>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21" w:lineRule="exact"/>
        <w:rPr>
          <w:sz w:val="20"/>
          <w:szCs w:val="20"/>
          <w:color w:val="auto"/>
        </w:rPr>
      </w:pPr>
    </w:p>
    <w:p>
      <w:pPr>
        <w:ind w:left="120" w:right="400" w:firstLine="551"/>
        <w:spacing w:after="0" w:line="276"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we will indemnify our directors and officers, in each case to the fullest extent permitted by Delaware law.</w:t>
      </w:r>
    </w:p>
    <w:p>
      <w:pPr>
        <w:spacing w:after="0" w:line="145" w:lineRule="exact"/>
        <w:rPr>
          <w:sz w:val="20"/>
          <w:szCs w:val="20"/>
          <w:color w:val="auto"/>
        </w:rPr>
      </w:pPr>
    </w:p>
    <w:p>
      <w:pPr>
        <w:ind w:left="120" w:right="240" w:firstLine="551"/>
        <w:spacing w:after="0" w:line="306" w:lineRule="auto"/>
        <w:rPr>
          <w:sz w:val="20"/>
          <w:szCs w:val="20"/>
          <w:color w:val="auto"/>
        </w:rPr>
      </w:pPr>
      <w:r>
        <w:rPr>
          <w:rFonts w:ascii="Arial" w:cs="Arial" w:eastAsia="Arial" w:hAnsi="Arial"/>
          <w:sz w:val="17"/>
          <w:szCs w:val="17"/>
          <w:color w:val="auto"/>
        </w:rPr>
        <w:t>In addition, as permitted by Section 145 of the DGCL, our amended and restated bylaws to be effective immediately prior to the completion of this offering and our indemnification agreements that we have entered into with our directors and officers will provide that:</w:t>
      </w:r>
    </w:p>
    <w:p>
      <w:pPr>
        <w:spacing w:after="0" w:line="28" w:lineRule="exact"/>
        <w:rPr>
          <w:sz w:val="20"/>
          <w:szCs w:val="20"/>
          <w:color w:val="auto"/>
        </w:rPr>
      </w:pPr>
    </w:p>
    <w:p>
      <w:pPr>
        <w:ind w:left="880" w:hanging="224"/>
        <w:spacing w:after="0" w:line="245"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registrant and, with respect to any criminal proceeding, had no reasonable cause to believe such person’s conduct was unlawful;</w:t>
      </w:r>
    </w:p>
    <w:p>
      <w:pPr>
        <w:spacing w:after="0" w:line="77" w:lineRule="exact"/>
        <w:rPr>
          <w:rFonts w:ascii="Arial" w:cs="Arial" w:eastAsia="Arial" w:hAnsi="Arial"/>
          <w:sz w:val="18"/>
          <w:szCs w:val="18"/>
          <w:color w:val="auto"/>
        </w:rPr>
      </w:pPr>
    </w:p>
    <w:p>
      <w:pPr>
        <w:ind w:left="880" w:right="660" w:hanging="224"/>
        <w:spacing w:after="0" w:line="276"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may, in our discretion, indemnify employees and agents in those circumstances where indemnification is permitted by applicable law;</w:t>
      </w:r>
    </w:p>
    <w:p>
      <w:pPr>
        <w:spacing w:after="0" w:line="50" w:lineRule="exact"/>
        <w:rPr>
          <w:rFonts w:ascii="Arial" w:cs="Arial" w:eastAsia="Arial" w:hAnsi="Arial"/>
          <w:sz w:val="18"/>
          <w:szCs w:val="18"/>
          <w:color w:val="auto"/>
        </w:rPr>
      </w:pPr>
    </w:p>
    <w:p>
      <w:pPr>
        <w:ind w:left="880" w:right="60" w:hanging="224"/>
        <w:spacing w:after="0" w:line="255"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69" w:lineRule="exact"/>
        <w:rPr>
          <w:rFonts w:ascii="Arial" w:cs="Arial" w:eastAsia="Arial" w:hAnsi="Arial"/>
          <w:sz w:val="18"/>
          <w:szCs w:val="18"/>
          <w:color w:val="auto"/>
        </w:rPr>
      </w:pPr>
    </w:p>
    <w:p>
      <w:pPr>
        <w:ind w:left="880" w:hanging="224"/>
        <w:spacing w:after="0" w:line="255"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will not be obligated pursuant to our amended and restated bylaws to indemnify a person with respect to proceedings initiated by that person against us or our other indemnitees, except with respect to proceedings authorized by our board of directors or brought to enforce a right to indemnification;</w:t>
      </w:r>
    </w:p>
    <w:p>
      <w:pPr>
        <w:spacing w:after="0" w:line="69" w:lineRule="exact"/>
        <w:rPr>
          <w:rFonts w:ascii="Arial" w:cs="Arial" w:eastAsia="Arial" w:hAnsi="Arial"/>
          <w:sz w:val="18"/>
          <w:szCs w:val="18"/>
          <w:color w:val="auto"/>
        </w:rPr>
      </w:pPr>
    </w:p>
    <w:p>
      <w:pPr>
        <w:ind w:left="880" w:right="220" w:hanging="224"/>
        <w:spacing w:after="0" w:line="306" w:lineRule="auto"/>
        <w:tabs>
          <w:tab w:leader="none" w:pos="8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28" w:lineRule="exact"/>
        <w:rPr>
          <w:rFonts w:ascii="Arial" w:cs="Arial" w:eastAsia="Arial" w:hAnsi="Arial"/>
          <w:sz w:val="17"/>
          <w:szCs w:val="17"/>
          <w:color w:val="auto"/>
        </w:rPr>
      </w:pPr>
    </w:p>
    <w:p>
      <w:pPr>
        <w:ind w:left="880" w:right="700" w:hanging="224"/>
        <w:spacing w:after="0" w:line="276" w:lineRule="auto"/>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may not retroactively amend our amended and restated bylaw provisions to reduce our indemnification obligations to directors, officers, employees and agents.</w:t>
      </w:r>
    </w:p>
    <w:p>
      <w:pPr>
        <w:spacing w:after="0" w:line="145"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While we maintain a directors’ and officers’ insurance policy, such insurance may not be adequate to cover all liabilities that we may incur, which may reduce our available funds to satisfy third-party claims and may materially adversely affect our cash position.</w:t>
      </w:r>
    </w:p>
    <w:p>
      <w:pPr>
        <w:spacing w:after="0" w:line="253" w:lineRule="exact"/>
        <w:rPr>
          <w:sz w:val="20"/>
          <w:szCs w:val="20"/>
          <w:color w:val="auto"/>
        </w:rPr>
      </w:pPr>
    </w:p>
    <w:p>
      <w:pPr>
        <w:ind w:left="120" w:right="120"/>
        <w:spacing w:after="0" w:line="260"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materially adversely affect our business and the trading price of our common stock.</w:t>
      </w:r>
    </w:p>
    <w:p>
      <w:pPr>
        <w:spacing w:after="0" w:line="43" w:lineRule="exact"/>
        <w:rPr>
          <w:sz w:val="20"/>
          <w:szCs w:val="20"/>
          <w:color w:val="auto"/>
        </w:rPr>
      </w:pPr>
    </w:p>
    <w:p>
      <w:pPr>
        <w:ind w:left="120" w:right="100" w:firstLine="551"/>
        <w:spacing w:after="0" w:line="243" w:lineRule="auto"/>
        <w:rPr>
          <w:sz w:val="20"/>
          <w:szCs w:val="20"/>
          <w:color w:val="auto"/>
        </w:rPr>
      </w:pPr>
      <w:r>
        <w:rPr>
          <w:rFonts w:ascii="Arial" w:cs="Arial" w:eastAsia="Arial" w:hAnsi="Arial"/>
          <w:sz w:val="18"/>
          <w:szCs w:val="18"/>
          <w:color w:val="auto"/>
        </w:rPr>
        <w:t>After this offering, we will be subject to Section 404 of the Sarbanes-Oxley Act and the related rules of the SEC, which generally require our management and independent registered public accounting firm to report on the effectiveness of our internal control over financial reporting. Beginning with the second annual report that we will be required to file with the SEC, Section 404 requires an annual management assessment of the effectiveness of our internal control over financial reporting. We will also be required to disclose changes made in our internal controls and procedures on a quarterly basis. However, for so long as we remain an emerging growth company as defined in the JOBS Act, we intend to take advantage of certain exemptions from various reporting requirements that</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20"/>
          </w:cols>
          <w:pgMar w:left="320" w:top="455" w:right="45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5" w:lineRule="auto"/>
        <w:rPr>
          <w:sz w:val="20"/>
          <w:szCs w:val="20"/>
          <w:color w:val="auto"/>
        </w:rPr>
      </w:pPr>
      <w:r>
        <w:rPr>
          <w:rFonts w:ascii="Arial" w:cs="Arial" w:eastAsia="Arial" w:hAnsi="Arial"/>
          <w:sz w:val="18"/>
          <w:szCs w:val="18"/>
          <w:color w:val="auto"/>
        </w:rPr>
        <w:t>are applicable to public companies that are not emerging growth companies, including, but not limited to, not being required to comply with the auditor attestation requirements of Section 404. Once we are no longer an emerging growth company or, if prior to such date, we opt to no longer take advantage of the applicable exemption, we will be required to include an opinion from our independent registered public accounting firm on the effectiveness of our internal control over financial reporting. An independent assessment of the effectiveness of our internal controls over financial reporting could detect problems that our management’s assessment might not.</w:t>
      </w:r>
    </w:p>
    <w:p>
      <w:pPr>
        <w:spacing w:after="0" w:line="172"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 addition, undetected material weaknesses in our internal controls over financial reporting could lead to restatements of our financial statements and require us to incur the expense of remediation. Inferior internal controls could also cause investors to lose confidence in our reported financial information, which could have a material adverse effect on the trading price of our stock.</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04" w:lineRule="exact"/>
        <w:rPr>
          <w:sz w:val="20"/>
          <w:szCs w:val="20"/>
          <w:color w:val="auto"/>
        </w:rPr>
      </w:pPr>
    </w:p>
    <w:p>
      <w:pPr>
        <w:ind w:left="120" w:right="140" w:firstLine="551"/>
        <w:spacing w:after="0" w:line="243" w:lineRule="auto"/>
        <w:rPr>
          <w:sz w:val="20"/>
          <w:szCs w:val="20"/>
          <w:color w:val="auto"/>
        </w:rPr>
      </w:pPr>
      <w:r>
        <w:rPr>
          <w:rFonts w:ascii="Arial" w:cs="Arial" w:eastAsia="Arial" w:hAnsi="Arial"/>
          <w:sz w:val="18"/>
          <w:szCs w:val="18"/>
          <w:color w:val="auto"/>
        </w:rPr>
        <w:t>Upon the closing of this offering, we will become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74" w:lineRule="exact"/>
        <w:rPr>
          <w:sz w:val="20"/>
          <w:szCs w:val="20"/>
          <w:color w:val="auto"/>
        </w:rPr>
      </w:pPr>
    </w:p>
    <w:p>
      <w:pPr>
        <w:ind w:left="120" w:right="120" w:firstLine="551"/>
        <w:spacing w:after="0" w:line="248" w:lineRule="auto"/>
        <w:rPr>
          <w:sz w:val="20"/>
          <w:szCs w:val="20"/>
          <w:color w:val="auto"/>
        </w:rPr>
      </w:pPr>
      <w:r>
        <w:rPr>
          <w:rFonts w:ascii="Arial" w:cs="Arial" w:eastAsia="Arial" w:hAnsi="Arial"/>
          <w:sz w:val="18"/>
          <w:szCs w:val="18"/>
          <w:color w:val="auto"/>
        </w:rPr>
        <w:t>These inherent limitations include the facts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78" w:lineRule="exact"/>
        <w:rPr>
          <w:sz w:val="20"/>
          <w:szCs w:val="20"/>
          <w:color w:val="auto"/>
        </w:rPr>
      </w:pPr>
    </w:p>
    <w:p>
      <w:pPr>
        <w:ind w:left="120" w:right="120"/>
        <w:spacing w:after="0" w:line="285" w:lineRule="auto"/>
        <w:rPr>
          <w:sz w:val="20"/>
          <w:szCs w:val="20"/>
          <w:color w:val="auto"/>
        </w:rPr>
      </w:pPr>
      <w:r>
        <w:rPr>
          <w:rFonts w:ascii="Arial" w:cs="Arial" w:eastAsia="Arial" w:hAnsi="Arial"/>
          <w:sz w:val="18"/>
          <w:szCs w:val="18"/>
          <w:b w:val="1"/>
          <w:bCs w:val="1"/>
          <w:i w:val="1"/>
          <w:iCs w:val="1"/>
          <w:color w:val="auto"/>
        </w:rPr>
        <w:t>After the completion of this offering, we may be at an increased risk of securities class action litigation, which is expensive and could divert management attention.</w:t>
      </w:r>
    </w:p>
    <w:p>
      <w:pPr>
        <w:spacing w:after="0" w:line="21" w:lineRule="exact"/>
        <w:rPr>
          <w:sz w:val="20"/>
          <w:szCs w:val="20"/>
          <w:color w:val="auto"/>
        </w:rPr>
      </w:pPr>
    </w:p>
    <w:p>
      <w:pPr>
        <w:jc w:val="both"/>
        <w:ind w:left="120" w:right="60" w:firstLine="551"/>
        <w:spacing w:after="0" w:line="245" w:lineRule="auto"/>
        <w:rPr>
          <w:sz w:val="20"/>
          <w:szCs w:val="20"/>
          <w:color w:val="auto"/>
        </w:rPr>
      </w:pPr>
      <w:r>
        <w:rPr>
          <w:rFonts w:ascii="Arial" w:cs="Arial" w:eastAsia="Arial" w:hAnsi="Arial"/>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This risk is especially relevant for us because biotechnology and pharmaceutical companies have experienced significant stock price volatility in recent years. Securities litigation against us could result in substantial costs and divert our management’s attention from other business concerns, which could materially adversely affect our business.</w:t>
      </w:r>
    </w:p>
    <w:p>
      <w:pPr>
        <w:spacing w:after="0" w:line="280" w:lineRule="exact"/>
        <w:rPr>
          <w:sz w:val="20"/>
          <w:szCs w:val="20"/>
          <w:color w:val="auto"/>
        </w:rPr>
      </w:pPr>
    </w:p>
    <w:p>
      <w:pPr>
        <w:ind w:left="120" w:right="220"/>
        <w:spacing w:after="0" w:line="285" w:lineRule="auto"/>
        <w:rPr>
          <w:sz w:val="20"/>
          <w:szCs w:val="20"/>
          <w:color w:val="auto"/>
        </w:rPr>
      </w:pPr>
      <w:r>
        <w:rPr>
          <w:rFonts w:ascii="Arial" w:cs="Arial" w:eastAsia="Arial" w:hAnsi="Arial"/>
          <w:sz w:val="18"/>
          <w:szCs w:val="18"/>
          <w:b w:val="1"/>
          <w:bCs w:val="1"/>
          <w:i w:val="1"/>
          <w:iCs w:val="1"/>
          <w:color w:val="auto"/>
        </w:rPr>
        <w:t>Our operating results may fluctuate significantly, which makes our future operating results difficult to predict and could cause our operating results to fall below expectations or our guidance.</w:t>
      </w:r>
    </w:p>
    <w:p>
      <w:pPr>
        <w:spacing w:after="0" w:line="21" w:lineRule="exact"/>
        <w:rPr>
          <w:sz w:val="20"/>
          <w:szCs w:val="20"/>
          <w:color w:val="auto"/>
        </w:rPr>
      </w:pPr>
    </w:p>
    <w:p>
      <w:pPr>
        <w:ind w:left="120" w:right="500" w:firstLine="551"/>
        <w:spacing w:after="0" w:line="276" w:lineRule="auto"/>
        <w:rPr>
          <w:sz w:val="20"/>
          <w:szCs w:val="20"/>
          <w:color w:val="auto"/>
        </w:rPr>
      </w:pPr>
      <w:r>
        <w:rPr>
          <w:rFonts w:ascii="Arial" w:cs="Arial" w:eastAsia="Arial" w:hAnsi="Arial"/>
          <w:sz w:val="18"/>
          <w:szCs w:val="18"/>
          <w:color w:val="auto"/>
        </w:rPr>
        <w:t>Our quarterly and annual operating results may fluctuate significantly in the future, which makes it difficult for us to predict our future operating results. From time to time, we may enter into license or</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5" w:right="45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8" w:lineRule="auto"/>
        <w:rPr>
          <w:sz w:val="20"/>
          <w:szCs w:val="20"/>
          <w:color w:val="auto"/>
        </w:rPr>
      </w:pPr>
      <w:r>
        <w:rPr>
          <w:rFonts w:ascii="Arial" w:cs="Arial" w:eastAsia="Arial" w:hAnsi="Arial"/>
          <w:sz w:val="18"/>
          <w:szCs w:val="18"/>
          <w:color w:val="auto"/>
        </w:rPr>
        <w:t>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w:t>
      </w:r>
    </w:p>
    <w:p>
      <w:pPr>
        <w:spacing w:after="0" w:line="170" w:lineRule="exact"/>
        <w:rPr>
          <w:sz w:val="20"/>
          <w:szCs w:val="20"/>
          <w:color w:val="auto"/>
        </w:rPr>
      </w:pPr>
    </w:p>
    <w:p>
      <w:pPr>
        <w:ind w:left="120" w:right="120" w:firstLine="551"/>
        <w:spacing w:after="0" w:line="268" w:lineRule="auto"/>
        <w:rPr>
          <w:sz w:val="20"/>
          <w:szCs w:val="20"/>
          <w:color w:val="auto"/>
        </w:rPr>
      </w:pPr>
      <w:r>
        <w:rPr>
          <w:rFonts w:ascii="Arial" w:cs="Arial" w:eastAsia="Arial" w:hAnsi="Arial"/>
          <w:sz w:val="17"/>
          <w:szCs w:val="17"/>
          <w:color w:val="auto"/>
        </w:rPr>
        <w:t>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after the closing of this offering, our underlying stock price and stock price volatility, the magnitude of the expense that we must recognize may vary significantly.</w:t>
      </w:r>
    </w:p>
    <w:p>
      <w:pPr>
        <w:spacing w:after="0" w:line="153"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Furthermore, our operating results may fluctuate due to a variety of other factors, many of which are outside of our control and may be difficult to predict, including the following:</w:t>
      </w:r>
    </w:p>
    <w:p>
      <w:pPr>
        <w:spacing w:after="0" w:line="50" w:lineRule="exact"/>
        <w:rPr>
          <w:sz w:val="20"/>
          <w:szCs w:val="20"/>
          <w:color w:val="auto"/>
        </w:rPr>
      </w:pPr>
    </w:p>
    <w:p>
      <w:pPr>
        <w:ind w:left="880" w:right="60" w:hanging="224"/>
        <w:spacing w:after="0" w:line="276"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timing and cost of, and level of investment in, research and development activities relating to our current product candidates and any future product candidates and research-stage programs, which will change from time to time;</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enroll patients in clinical trials and the timing of enrollment;</w:t>
      </w:r>
    </w:p>
    <w:p>
      <w:pPr>
        <w:spacing w:after="0" w:line="117" w:lineRule="exact"/>
        <w:rPr>
          <w:rFonts w:ascii="Arial" w:cs="Arial" w:eastAsia="Arial" w:hAnsi="Arial"/>
          <w:sz w:val="18"/>
          <w:szCs w:val="18"/>
          <w:color w:val="auto"/>
        </w:rPr>
      </w:pPr>
    </w:p>
    <w:p>
      <w:pPr>
        <w:ind w:left="880" w:right="40" w:hanging="224"/>
        <w:spacing w:after="0" w:line="255"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cost of manufacturing our current product candidates and any future product candidates, which may vary depending on FDA or other comparable foreign regulatory authority guidelines and requirements, the quantity of production and the terms of our agreements with manufacturers;</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expenditures that we will or may incur to acquire or develop additional product candidates and technologies or other assets;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timing and outcomes of clinical trials for our future product candidates, or competing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need to conduct unanticipated clinical trials or trials that are larger or more complex than anticipated;</w:t>
      </w:r>
    </w:p>
    <w:p>
      <w:pPr>
        <w:spacing w:after="0" w:line="117" w:lineRule="exact"/>
        <w:rPr>
          <w:rFonts w:ascii="Arial" w:cs="Arial" w:eastAsia="Arial" w:hAnsi="Arial"/>
          <w:sz w:val="18"/>
          <w:szCs w:val="18"/>
          <w:color w:val="auto"/>
        </w:rPr>
      </w:pPr>
    </w:p>
    <w:p>
      <w:pPr>
        <w:ind w:left="880" w:right="180" w:hanging="224"/>
        <w:spacing w:after="0" w:line="255"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competition from existing and potential future products that compete with our product candidates and any of our future product candidates, and changes in the competitive landscape of our industry, including consolidation among our competitors or partners;</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any delays in regulatory review or approval of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level of demand for our future product candidates, if approved, which may fluctuate significantly and be difficult to predict;</w:t>
      </w:r>
    </w:p>
    <w:p>
      <w:pPr>
        <w:spacing w:after="0" w:line="117" w:lineRule="exact"/>
        <w:rPr>
          <w:rFonts w:ascii="Arial" w:cs="Arial" w:eastAsia="Arial" w:hAnsi="Arial"/>
          <w:sz w:val="18"/>
          <w:szCs w:val="18"/>
          <w:color w:val="auto"/>
        </w:rPr>
      </w:pPr>
    </w:p>
    <w:p>
      <w:pPr>
        <w:ind w:left="880" w:right="320" w:hanging="224"/>
        <w:spacing w:after="0" w:line="276"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risk/benefit profile, cost and reimbursement policies with respect to our product candidates, if approved, and existing and potential future products that compete with our product candidates;</w:t>
      </w:r>
    </w:p>
    <w:p>
      <w:pPr>
        <w:spacing w:after="0" w:line="50"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approved, inside and outside of the United States, either independently or working with third parties;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establish and maintain future collaborations, licensing or other arrangements;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our ability to adequately support future growth;</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potential unforeseen business disruptions that increase our costs or expenses;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changing and volatile global economic and political environment.</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80"/>
          </w:cols>
          <w:pgMar w:left="320" w:top="455" w:right="49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20" w:firstLine="551"/>
        <w:spacing w:after="0" w:line="241" w:lineRule="auto"/>
        <w:rPr>
          <w:sz w:val="20"/>
          <w:szCs w:val="20"/>
          <w:color w:val="auto"/>
        </w:rPr>
      </w:pPr>
      <w:r>
        <w:rPr>
          <w:rFonts w:ascii="Arial" w:cs="Arial" w:eastAsia="Arial" w:hAnsi="Arial"/>
          <w:sz w:val="18"/>
          <w:szCs w:val="18"/>
          <w:color w:val="auto"/>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spacing w:after="0" w:line="287" w:lineRule="exact"/>
        <w:rPr>
          <w:sz w:val="20"/>
          <w:szCs w:val="20"/>
          <w:color w:val="auto"/>
        </w:rPr>
      </w:pPr>
    </w:p>
    <w:p>
      <w:pPr>
        <w:ind w:left="120" w:right="300"/>
        <w:spacing w:after="0" w:line="285" w:lineRule="auto"/>
        <w:rPr>
          <w:sz w:val="20"/>
          <w:szCs w:val="20"/>
          <w:color w:val="auto"/>
        </w:rPr>
      </w:pPr>
      <w:r>
        <w:rPr>
          <w:rFonts w:ascii="Arial" w:cs="Arial" w:eastAsia="Arial" w:hAnsi="Arial"/>
          <w:sz w:val="18"/>
          <w:szCs w:val="18"/>
          <w:b w:val="1"/>
          <w:bCs w:val="1"/>
          <w:i w:val="1"/>
          <w:iCs w:val="1"/>
          <w:color w:val="auto"/>
        </w:rPr>
        <w:t>If you purchase our common stock in this offering, you will incur immediate and substantial dilution in the book value of your shares.</w:t>
      </w:r>
    </w:p>
    <w:p>
      <w:pPr>
        <w:spacing w:after="0" w:line="21" w:lineRule="exact"/>
        <w:rPr>
          <w:sz w:val="20"/>
          <w:szCs w:val="20"/>
          <w:color w:val="auto"/>
        </w:rPr>
      </w:pPr>
    </w:p>
    <w:p>
      <w:pPr>
        <w:ind w:left="120" w:right="420" w:firstLine="551"/>
        <w:spacing w:after="0" w:line="257" w:lineRule="auto"/>
        <w:rPr>
          <w:sz w:val="20"/>
          <w:szCs w:val="20"/>
          <w:color w:val="auto"/>
        </w:rPr>
      </w:pPr>
      <w:r>
        <w:rPr>
          <w:rFonts w:ascii="Arial" w:cs="Arial" w:eastAsia="Arial" w:hAnsi="Arial"/>
          <w:sz w:val="17"/>
          <w:szCs w:val="17"/>
          <w:color w:val="auto"/>
        </w:rPr>
        <w:t>The initial public offering price will be substantially higher than the net tangible book value per share of our common stock. Investors purchasing common stock in this offering will pay a price per share that substantially exceeds the book value of our tangible assets after subtracting our liabilities. As a result, investors purchasing common stock in this offering will incur immediate dilution of</w:t>
      </w:r>
    </w:p>
    <w:p>
      <w:pPr>
        <w:spacing w:after="0" w:line="2"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approximately $ per share, representing the difference between the assumed initial public offering price of $ per share, which is the midpoint of the estimated offering price range set forth on the cover page of this prospectus, after deducting the estimated underwriting discounts and commissions and estimated offering expenses payable by us, and our pro forma as adjusted net tangible book value per share as of June 30, 2020, after giving effect to this offering and the automatic conversion of all outstanding shares of our convertible preferred stock immediately prior to the closing of this offering. As of June 30, 2020, there were 20,653,000 shares subject to outstanding options with a weighted-average exercise price of $0.50 per share. To the extent these outstanding securities are ultimately exercised, investors purchasing common stock in this offering will incur further dilution. See “Dilution” for a more detailed description of the dilution to new investors in the offering. For a further description of the dilution that you will experience immediately after this offering, see the section titled “Dilution.”</w:t>
      </w:r>
    </w:p>
    <w:p>
      <w:pPr>
        <w:spacing w:after="0" w:line="285" w:lineRule="exact"/>
        <w:rPr>
          <w:sz w:val="20"/>
          <w:szCs w:val="20"/>
          <w:color w:val="auto"/>
        </w:rPr>
      </w:pPr>
    </w:p>
    <w:p>
      <w:pPr>
        <w:ind w:left="120" w:right="620"/>
        <w:spacing w:after="0" w:line="285" w:lineRule="auto"/>
        <w:rPr>
          <w:sz w:val="20"/>
          <w:szCs w:val="20"/>
          <w:color w:val="auto"/>
        </w:rPr>
      </w:pPr>
      <w:r>
        <w:rPr>
          <w:rFonts w:ascii="Arial" w:cs="Arial" w:eastAsia="Arial" w:hAnsi="Arial"/>
          <w:sz w:val="18"/>
          <w:szCs w:val="18"/>
          <w:b w:val="1"/>
          <w:bCs w:val="1"/>
          <w:i w:val="1"/>
          <w:iCs w:val="1"/>
          <w:color w:val="auto"/>
        </w:rPr>
        <w:t>Participation in this offering by our existing stockholders and/or their affiliated entities may reduce the public float for our common stock.</w:t>
      </w:r>
    </w:p>
    <w:p>
      <w:pPr>
        <w:spacing w:after="0" w:line="21"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To the extent certain of our existing stockholders and their affiliated entities participate in this offering, such purchases would reduce the non-affiliate public float of our shares, meaning the number of shares of our common stock that are not held by officers, directors and controlling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455" w:right="43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14"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This prospectus contains forward-looking statements. All statements other than statements of historical facts contained in this prospectus, including statements regarding our future results of operations and financial position, business strategy, plans for our product candidates, planned preclinical studies and clinical trials, results of clinical trials, future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spacing w:after="0" w:line="179" w:lineRule="exact"/>
        <w:rPr>
          <w:sz w:val="20"/>
          <w:szCs w:val="20"/>
          <w:color w:val="auto"/>
        </w:rPr>
      </w:pPr>
    </w:p>
    <w:p>
      <w:pPr>
        <w:jc w:val="both"/>
        <w:ind w:left="120" w:firstLine="551"/>
        <w:spacing w:after="0" w:line="277" w:lineRule="auto"/>
        <w:rPr>
          <w:sz w:val="20"/>
          <w:szCs w:val="20"/>
          <w:color w:val="auto"/>
        </w:rPr>
      </w:pPr>
      <w:r>
        <w:rPr>
          <w:rFonts w:ascii="Arial" w:cs="Arial" w:eastAsia="Arial" w:hAnsi="Arial"/>
          <w:sz w:val="17"/>
          <w:szCs w:val="17"/>
          <w:color w:val="auto"/>
        </w:rPr>
        <w:t>In some cases, you can identify forward-looking statements by terms such as “may,” “should,” “would,” “expect,” “plan,” “anticipate,” “could,” “intend,” “target,” “project,” “contemplate,” “believe,” “estimate,” “predict,” “potential” or “continue” or the negative of these terms or other similar expressions. Forward-looking statements contained in this prospectus include, but are not limited to, statements about:</w:t>
      </w:r>
    </w:p>
    <w:p>
      <w:pPr>
        <w:spacing w:after="0" w:line="52" w:lineRule="exact"/>
        <w:rPr>
          <w:sz w:val="20"/>
          <w:szCs w:val="20"/>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financial performance;</w:t>
      </w:r>
    </w:p>
    <w:p>
      <w:pPr>
        <w:spacing w:after="0" w:line="117" w:lineRule="exact"/>
        <w:rPr>
          <w:rFonts w:ascii="Arial" w:cs="Arial" w:eastAsia="Arial" w:hAnsi="Arial"/>
          <w:sz w:val="18"/>
          <w:szCs w:val="18"/>
          <w:color w:val="auto"/>
        </w:rPr>
      </w:pPr>
    </w:p>
    <w:p>
      <w:pPr>
        <w:ind w:left="880" w:right="20" w:hanging="224"/>
        <w:spacing w:after="0" w:line="276"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sufficiency of our existing cash, cash equivalents and short-term marketable securities to fund our future operating expenses and capital expenditure requirements;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need to raise additional funding before we can expect to generate any revenues from product sales;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estimates regarding expenses, future revenue, capital requirements and needs for additional financing;</w:t>
      </w:r>
    </w:p>
    <w:p>
      <w:pPr>
        <w:spacing w:after="0" w:line="117" w:lineRule="exact"/>
        <w:rPr>
          <w:rFonts w:ascii="Arial" w:cs="Arial" w:eastAsia="Arial" w:hAnsi="Arial"/>
          <w:sz w:val="18"/>
          <w:szCs w:val="18"/>
          <w:color w:val="auto"/>
        </w:rPr>
      </w:pPr>
    </w:p>
    <w:p>
      <w:pPr>
        <w:ind w:left="880" w:right="500" w:hanging="224"/>
        <w:spacing w:after="0" w:line="276"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anticipated use of our existing cash, cash equivalents and short-term marketable securities and the proceeds from this offering;</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and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size of the market opportunity for our product candidates and our ability to maximize those opportunities;</w:t>
      </w:r>
    </w:p>
    <w:p>
      <w:pPr>
        <w:spacing w:after="0" w:line="117" w:lineRule="exact"/>
        <w:rPr>
          <w:rFonts w:ascii="Arial" w:cs="Arial" w:eastAsia="Arial" w:hAnsi="Arial"/>
          <w:sz w:val="18"/>
          <w:szCs w:val="18"/>
          <w:color w:val="auto"/>
        </w:rPr>
      </w:pPr>
    </w:p>
    <w:p>
      <w:pPr>
        <w:ind w:left="880" w:right="100" w:hanging="224"/>
        <w:spacing w:after="0" w:line="276"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research and development programs, preclinical studies, any clinical trials and, investigational new drug application, or IND, and other regulatory submissions;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beneficial characteristics, safety, efficacy and therapeutic effects of our product candidates;</w:t>
      </w:r>
    </w:p>
    <w:p>
      <w:pPr>
        <w:spacing w:after="0" w:line="117" w:lineRule="exact"/>
        <w:rPr>
          <w:rFonts w:ascii="Arial" w:cs="Arial" w:eastAsia="Arial" w:hAnsi="Arial"/>
          <w:sz w:val="18"/>
          <w:szCs w:val="18"/>
          <w:color w:val="auto"/>
        </w:rPr>
      </w:pPr>
    </w:p>
    <w:p>
      <w:pPr>
        <w:ind w:left="880" w:right="220" w:hanging="224"/>
        <w:spacing w:after="0" w:line="276"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estimates of the number of patients expected to have certain p53 mutants and the number of participants that will enroll in our clinical trials;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ability of our clinical trials to demonstrate safety and efficacy of our product candidates, and other favorable results;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plans relating to the clinical development of our product candidates, including the disease areas to be evaluated;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timing, progress and focus of our clinical trials, and the reporting of data from those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plans relating to commercializing our product candidates, if approved;</w:t>
      </w:r>
    </w:p>
    <w:p>
      <w:pPr>
        <w:spacing w:after="0" w:line="117" w:lineRule="exact"/>
        <w:rPr>
          <w:rFonts w:ascii="Arial" w:cs="Arial" w:eastAsia="Arial" w:hAnsi="Arial"/>
          <w:sz w:val="18"/>
          <w:szCs w:val="18"/>
          <w:color w:val="auto"/>
        </w:rPr>
      </w:pPr>
    </w:p>
    <w:p>
      <w:pPr>
        <w:ind w:left="880" w:right="440" w:hanging="224"/>
        <w:spacing w:after="0" w:line="276"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expected benefits of potential future strategic collaborations with third parties and our ability to attract collaborators with development, regulatory and commercialization expertise;</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80"/>
          </w:cols>
          <w:pgMar w:left="320" w:top="455" w:right="49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17"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timing or likelihood of regulatory filings and approvals, including our expectation to seek special designations, such as orphan drug designation, for our product candidates;</w:t>
      </w:r>
    </w:p>
    <w:p>
      <w:pPr>
        <w:spacing w:after="0" w:line="50" w:lineRule="exact"/>
        <w:rPr>
          <w:rFonts w:ascii="Arial" w:cs="Arial" w:eastAsia="Arial" w:hAnsi="Arial"/>
          <w:sz w:val="18"/>
          <w:szCs w:val="18"/>
          <w:color w:val="auto"/>
        </w:rPr>
      </w:pPr>
    </w:p>
    <w:p>
      <w:pPr>
        <w:ind w:left="880" w:right="300" w:hanging="224"/>
        <w:spacing w:after="0" w:line="276"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plans relating to the further development and manufacturing of our product candidates, including for additional indications that we may pursue;</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existing regulations and regulatory developments in the United States and other jurisdictions;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plans and ability to obtain or protect intellectual property rights, including extensions of existing patent terms where available;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plan to rely on third parties to conduct and support preclinical and clinical development;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personnel and to identify, hire and then retain additional qualified personnel;</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impact of the ongoing COVID-19 pandemic or other related disruptions on our business; and</w:t>
      </w:r>
    </w:p>
    <w:p>
      <w:pPr>
        <w:spacing w:after="0" w:line="117" w:lineRule="exact"/>
        <w:rPr>
          <w:rFonts w:ascii="Arial" w:cs="Arial" w:eastAsia="Arial" w:hAnsi="Arial"/>
          <w:sz w:val="18"/>
          <w:szCs w:val="18"/>
          <w:color w:val="auto"/>
        </w:rPr>
      </w:pPr>
    </w:p>
    <w:p>
      <w:pPr>
        <w:ind w:left="880" w:right="400" w:hanging="224"/>
        <w:spacing w:after="0" w:line="276"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expectations regarding the period during which we will qualify as an emerging growth company under the Jumpstart Our Business Startups Act of 2012, as amended.</w:t>
      </w:r>
    </w:p>
    <w:p>
      <w:pPr>
        <w:spacing w:after="0" w:line="145" w:lineRule="exact"/>
        <w:rPr>
          <w:sz w:val="20"/>
          <w:szCs w:val="20"/>
          <w:color w:val="auto"/>
        </w:rPr>
      </w:pPr>
    </w:p>
    <w:p>
      <w:pPr>
        <w:ind w:left="120" w:right="100" w:firstLine="551"/>
        <w:spacing w:after="0" w:line="239" w:lineRule="auto"/>
        <w:rPr>
          <w:sz w:val="20"/>
          <w:szCs w:val="20"/>
          <w:color w:val="auto"/>
        </w:rPr>
      </w:pPr>
      <w:r>
        <w:rPr>
          <w:rFonts w:ascii="Arial" w:cs="Arial" w:eastAsia="Arial" w:hAnsi="Arial"/>
          <w:sz w:val="18"/>
          <w:szCs w:val="18"/>
          <w:color w:val="auto"/>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prospectus and are subject to a number of risks, uncertainties and assumptions described in the section titled “Risk Factors” and elsewhere in this prospectus.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spacing w:after="0" w:line="180" w:lineRule="exact"/>
        <w:rPr>
          <w:sz w:val="20"/>
          <w:szCs w:val="20"/>
          <w:color w:val="auto"/>
        </w:rPr>
      </w:pPr>
    </w:p>
    <w:p>
      <w:pPr>
        <w:ind w:left="120" w:right="220" w:firstLine="551"/>
        <w:spacing w:after="0" w:line="245"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72" w:lineRule="exact"/>
        <w:rPr>
          <w:sz w:val="20"/>
          <w:szCs w:val="20"/>
          <w:color w:val="auto"/>
        </w:rPr>
      </w:pPr>
    </w:p>
    <w:p>
      <w:pPr>
        <w:ind w:left="120" w:right="480" w:firstLine="551"/>
        <w:spacing w:after="0" w:line="248"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as exhibits to the registration statement, of which this prospectus is a part, completely and with the understanding that our actual future results may be materially different from what we expect. We qualify all of the forward-looking statements in this prospectus by these cautionary statements.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5" w:right="45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USE OF PROCEEDS</w:t>
      </w:r>
    </w:p>
    <w:p>
      <w:pPr>
        <w:spacing w:after="0" w:line="214"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We estimate that the net proceeds to us from the sale of the shares of our common stock in this offering will be approximately $ million, or approximately $ million if the underwriters exercise their option to purchase additional shares in full, based upon the assumed initial public offering price of $ per share, which is the midpoint of the estimated offering price range set forth on the cover page of this prospectus, and after deducting estimated underwriting discounts and commissions and estimated offering expenses payable by us.</w:t>
      </w:r>
    </w:p>
    <w:p>
      <w:pPr>
        <w:spacing w:after="0" w:line="383" w:lineRule="exact"/>
        <w:rPr>
          <w:sz w:val="20"/>
          <w:szCs w:val="20"/>
          <w:color w:val="auto"/>
        </w:rPr>
      </w:pPr>
    </w:p>
    <w:p>
      <w:pPr>
        <w:jc w:val="both"/>
        <w:ind w:left="120" w:right="140" w:firstLine="551"/>
        <w:spacing w:after="0" w:line="247" w:lineRule="auto"/>
        <w:rPr>
          <w:sz w:val="20"/>
          <w:szCs w:val="20"/>
          <w:color w:val="auto"/>
        </w:rPr>
      </w:pPr>
      <w:r>
        <w:rPr>
          <w:rFonts w:ascii="Arial" w:cs="Arial" w:eastAsia="Arial" w:hAnsi="Arial"/>
          <w:sz w:val="18"/>
          <w:szCs w:val="18"/>
          <w:color w:val="auto"/>
        </w:rPr>
        <w:t>Each $1.00 increase or decrease in the assumed initial public offering price of $ per share would increase or decrease the net proceeds to us from this offering by approximately $ million, assuming the number of shares offered by us, as set forth on the</w:t>
      </w:r>
    </w:p>
    <w:p>
      <w:pPr>
        <w:spacing w:after="0" w:line="1" w:lineRule="exact"/>
        <w:rPr>
          <w:sz w:val="20"/>
          <w:szCs w:val="20"/>
          <w:color w:val="auto"/>
        </w:rPr>
      </w:pPr>
    </w:p>
    <w:p>
      <w:pPr>
        <w:ind w:left="120" w:right="180"/>
        <w:spacing w:after="0" w:line="248" w:lineRule="auto"/>
        <w:rPr>
          <w:sz w:val="20"/>
          <w:szCs w:val="20"/>
          <w:color w:val="auto"/>
        </w:rPr>
      </w:pPr>
      <w:r>
        <w:rPr>
          <w:rFonts w:ascii="Arial" w:cs="Arial" w:eastAsia="Arial" w:hAnsi="Arial"/>
          <w:sz w:val="17"/>
          <w:szCs w:val="17"/>
          <w:color w:val="auto"/>
        </w:rPr>
        <w:t>cover page of this prospectus, remains the same, and after deducting estimated underwriting discounts and commissions and estimated offering expenses payable by us. Similarly, each increase or decrease of 1.0 million shares in the number of shares offered by us would</w:t>
      </w:r>
    </w:p>
    <w:p>
      <w:pPr>
        <w:spacing w:after="0" w:line="1" w:lineRule="exact"/>
        <w:rPr>
          <w:sz w:val="20"/>
          <w:szCs w:val="20"/>
          <w:color w:val="auto"/>
        </w:rPr>
      </w:pPr>
    </w:p>
    <w:p>
      <w:pPr>
        <w:jc w:val="both"/>
        <w:ind w:left="120" w:right="60"/>
        <w:spacing w:after="0" w:line="239" w:lineRule="auto"/>
        <w:rPr>
          <w:sz w:val="20"/>
          <w:szCs w:val="20"/>
          <w:color w:val="auto"/>
        </w:rPr>
      </w:pPr>
      <w:r>
        <w:rPr>
          <w:rFonts w:ascii="Arial" w:cs="Arial" w:eastAsia="Arial" w:hAnsi="Arial"/>
          <w:sz w:val="18"/>
          <w:szCs w:val="18"/>
          <w:color w:val="auto"/>
        </w:rPr>
        <w:t>increase or decrease the net proceeds to us from this offering by approximately $ million, assuming that the assumed initial public offering price remains the same, and after deducting estimated underwriting discounts and commissions and estimated offering expenses payable by us. We do not expect that a change in the initial public offering price or the number of shares by these amounts would have a material effect on our uses of the proceeds from this offering, although it may accelerate the time at which we will need to seek additional capital.</w:t>
      </w:r>
    </w:p>
    <w:p>
      <w:pPr>
        <w:spacing w:after="0" w:line="176"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The principal purposes of this offering are to obtain additional capital to support our operations, establish a public market for our common stock and facilitate our future access to the public capital markets. We currently anticipate that we will use the net proceeds from this offering, together with our existing cash, cash equivalents and short-term marketable securities, as follows:</w:t>
      </w:r>
    </w:p>
    <w:p>
      <w:pPr>
        <w:spacing w:after="0" w:line="69" w:lineRule="exact"/>
        <w:rPr>
          <w:sz w:val="20"/>
          <w:szCs w:val="20"/>
          <w:color w:val="auto"/>
        </w:rPr>
      </w:pPr>
    </w:p>
    <w:p>
      <w:pPr>
        <w:ind w:left="880" w:hanging="224"/>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approximately $</w:t>
      </w:r>
      <w:r>
        <w:rPr>
          <w:rFonts w:ascii="Arial" w:cs="Arial" w:eastAsia="Arial" w:hAnsi="Arial"/>
          <w:sz w:val="17"/>
          <w:szCs w:val="17"/>
          <w:color w:val="auto"/>
        </w:rPr>
        <w:t>million to fund the Phase 1/2 development of PC14586;</w:t>
      </w:r>
    </w:p>
    <w:p>
      <w:pPr>
        <w:spacing w:after="0" w:line="117" w:lineRule="exact"/>
        <w:rPr>
          <w:rFonts w:ascii="Arial" w:cs="Arial" w:eastAsia="Arial" w:hAnsi="Arial"/>
          <w:sz w:val="18"/>
          <w:szCs w:val="18"/>
          <w:color w:val="auto"/>
        </w:rPr>
      </w:pPr>
    </w:p>
    <w:p>
      <w:pPr>
        <w:ind w:left="880" w:right="120" w:hanging="224"/>
        <w:spacing w:after="0" w:line="276"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approximately $ million to support the development of our R273H program, including lead optimization and IND-enabling studies;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approximately $million for the development of our pipeline discovery programs; and</w:t>
      </w:r>
    </w:p>
    <w:p>
      <w:pPr>
        <w:spacing w:after="0" w:line="117" w:lineRule="exact"/>
        <w:rPr>
          <w:rFonts w:ascii="Arial" w:cs="Arial" w:eastAsia="Arial" w:hAnsi="Arial"/>
          <w:sz w:val="18"/>
          <w:szCs w:val="18"/>
          <w:color w:val="auto"/>
        </w:rPr>
      </w:pPr>
    </w:p>
    <w:p>
      <w:pPr>
        <w:ind w:left="880" w:right="700" w:hanging="224"/>
        <w:spacing w:after="0" w:line="276"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remaining proceeds, if any, for other research and development opportunities, working capital and general corporate purposes.</w:t>
      </w:r>
    </w:p>
    <w:p>
      <w:pPr>
        <w:spacing w:after="0" w:line="145" w:lineRule="exact"/>
        <w:rPr>
          <w:sz w:val="20"/>
          <w:szCs w:val="20"/>
          <w:color w:val="auto"/>
        </w:rPr>
      </w:pPr>
    </w:p>
    <w:p>
      <w:pPr>
        <w:ind w:left="120" w:right="260" w:firstLine="551"/>
        <w:spacing w:after="0" w:line="262" w:lineRule="auto"/>
        <w:rPr>
          <w:sz w:val="20"/>
          <w:szCs w:val="20"/>
          <w:color w:val="auto"/>
        </w:rPr>
      </w:pPr>
      <w:r>
        <w:rPr>
          <w:rFonts w:ascii="Arial" w:cs="Arial" w:eastAsia="Arial" w:hAnsi="Arial"/>
          <w:sz w:val="17"/>
          <w:szCs w:val="17"/>
          <w:color w:val="auto"/>
        </w:rPr>
        <w:t>Based upon our current operating plan, we believe that the anticipated net proceeds from this offering, together with our existing cash, cash equivalents and short-term marketable securities, will enable us to fund our operating expenses and capital expenditure</w:t>
      </w:r>
    </w:p>
    <w:p>
      <w:pPr>
        <w:jc w:val="both"/>
        <w:ind w:left="120"/>
        <w:spacing w:after="0"/>
        <w:rPr>
          <w:sz w:val="20"/>
          <w:szCs w:val="20"/>
          <w:color w:val="auto"/>
        </w:rPr>
      </w:pPr>
      <w:r>
        <w:rPr>
          <w:rFonts w:ascii="Arial" w:cs="Arial" w:eastAsia="Arial" w:hAnsi="Arial"/>
          <w:sz w:val="18"/>
          <w:szCs w:val="18"/>
          <w:color w:val="auto"/>
        </w:rPr>
        <w:t>requirements through . We expect that the net proceeds from this offering, together with our existing cash, cash equivalents and short-term marketable securities, will allow us to complete our planned Phase 1/2 trial of PC14586; however, the expected net proceeds of this offering will not be sufficient for us to complete the development and commercialization of our product candidates, and we will need to raise substantial additional capital.</w:t>
      </w:r>
    </w:p>
    <w:p>
      <w:pPr>
        <w:spacing w:after="0" w:line="176"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The expected use of the net proceeds from the offering represents our intentions based upon our current plans and business conditions. Changing circumstances, some of which may be beyond our control, could cause us to consume capital significantly faster than we currently anticipate, and we may need to seek additional funds sooner than planned. In addition, we believe opportunities may exist from time to time to expand our current business through license or acquisitions of, or investments in, complementary businesses, products or technologies. While we have no current agreements, commitments or understandings for any specific licenses, acquisitions or investments at this time, we may use a portion of the net proceeds for these purposes.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00"/>
          </w:cols>
          <w:pgMar w:left="320" w:top="455" w:right="47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Our management will have broad discretion over the use of the net proceeds from this offering, and our investors will be relying on the judgment of our management regarding the application of the net proceeds of this offering. The amounts and timing of our expenditures will depend upon numerous factors including the results of our research and development efforts, the timing and success of preclinical studies and any ongoing clinical trials or clinical trials we may commence in the future, the timing of regulatory submissions, the amount of cash obtained through our future collaborations, if any, and any unforeseen cash needs.</w:t>
      </w:r>
    </w:p>
    <w:p>
      <w:pPr>
        <w:spacing w:after="0" w:line="172"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Pending their uses, we plan to invest the net proceeds of this offering in short-term, interest-bearing, investment-grade instruments, certificates of deposit or direct or guaranteed obligations of the U.S. government.</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00"/>
          </w:cols>
          <w:pgMar w:left="320" w:top="455" w:right="47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DIVIDEND POLICY</w:t>
      </w:r>
    </w:p>
    <w:p>
      <w:pPr>
        <w:spacing w:after="0" w:line="21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We have not declared or paid any cash dividends on our capital stock since our inception. We intend to retain future earnings, if any, to finance the operation and expansion of our business and do not anticipate paying any cash dividends in the foreseeable future. Payment of future cash dividends, if any, will be at the discretion of our board of directors after taking into account various factors, including our financial condition, operating results, current and anticipated cash needs, the requirements and contractual restrictions of then-existing debt instruments and other factors that our board of directors deems relevant.</w:t>
      </w:r>
    </w:p>
    <w:p>
      <w:pPr>
        <w:spacing w:after="0" w:line="105"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800"/>
          </w:cols>
          <w:pgMar w:left="320" w:top="455" w:right="77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CAPITALIZATION</w:t>
      </w:r>
    </w:p>
    <w:p>
      <w:pPr>
        <w:spacing w:after="0" w:line="214" w:lineRule="exact"/>
        <w:rPr>
          <w:sz w:val="20"/>
          <w:szCs w:val="20"/>
          <w:color w:val="auto"/>
        </w:rPr>
      </w:pPr>
    </w:p>
    <w:p>
      <w:pPr>
        <w:ind w:left="120" w:right="420" w:firstLine="551"/>
        <w:spacing w:after="0" w:line="276" w:lineRule="auto"/>
        <w:rPr>
          <w:sz w:val="20"/>
          <w:szCs w:val="20"/>
          <w:color w:val="auto"/>
        </w:rPr>
      </w:pPr>
      <w:r>
        <w:rPr>
          <w:rFonts w:ascii="Arial" w:cs="Arial" w:eastAsia="Arial" w:hAnsi="Arial"/>
          <w:sz w:val="18"/>
          <w:szCs w:val="18"/>
          <w:color w:val="auto"/>
        </w:rPr>
        <w:t>The following table sets forth our cash, cash equivalents and short-term marketable securities and capitalization as of June 30, 2020, as follows:</w:t>
      </w:r>
    </w:p>
    <w:p>
      <w:pPr>
        <w:spacing w:after="0" w:line="50" w:lineRule="exact"/>
        <w:rPr>
          <w:sz w:val="20"/>
          <w:szCs w:val="20"/>
          <w:color w:val="auto"/>
        </w:rPr>
      </w:pPr>
    </w:p>
    <w:p>
      <w:pPr>
        <w:ind w:left="880" w:hanging="224"/>
        <w:spacing w:after="0"/>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ind w:left="880" w:hanging="224"/>
        <w:spacing w:after="0" w:line="243" w:lineRule="auto"/>
        <w:tabs>
          <w:tab w:leader="none" w:pos="8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on a pro forma basis to reflect (i) our issuance and sale in July 2020 of an aggregate of 28,020,172 shares of our Series D convertible preferred stock for gross proceeds of $70.0 million, (ii) the conversion of all outstanding shares of our convertible preferred stock, including our Series D convertible preferred stock issued in July 2020, into an aggregate of 148,413,322 shares of common stock, which will occur immediately prior to the completion of this offering, and the resulting reclassification of the convertible preferred stock and (iii) the filing and effectiveness of our amended and restated certificate of incorporation, which will occur immediately prior to the completion of this offering; and</w:t>
      </w:r>
    </w:p>
    <w:p>
      <w:pPr>
        <w:spacing w:after="0" w:line="79" w:lineRule="exact"/>
        <w:rPr>
          <w:sz w:val="20"/>
          <w:szCs w:val="20"/>
          <w:color w:val="auto"/>
        </w:rPr>
      </w:pPr>
    </w:p>
    <w:p>
      <w:pPr>
        <w:jc w:val="both"/>
        <w:ind w:left="880" w:right="240" w:hanging="219"/>
        <w:spacing w:after="0" w:line="247" w:lineRule="auto"/>
        <w:tabs>
          <w:tab w:leader="none" w:pos="860" w:val="left"/>
        </w:tabs>
        <w:rPr>
          <w:sz w:val="20"/>
          <w:szCs w:val="20"/>
          <w:color w:val="auto"/>
        </w:rPr>
      </w:pPr>
      <w:r>
        <w:rPr>
          <w:rFonts w:ascii="Arial" w:cs="Arial" w:eastAsia="Arial" w:hAnsi="Arial"/>
          <w:sz w:val="18"/>
          <w:szCs w:val="18"/>
          <w:color w:val="auto"/>
        </w:rPr>
        <w:t>•</w:t>
        <w:tab/>
        <w:t>on a pro forma as adjusted basis to further reflect our issuance and sale of        shares of common stock in this offering at the assumed initial public offering price of $        per share, which is the midpoint of the estimated offering price range set</w:t>
      </w:r>
    </w:p>
    <w:p>
      <w:pPr>
        <w:spacing w:after="0" w:line="1" w:lineRule="exact"/>
        <w:rPr>
          <w:sz w:val="20"/>
          <w:szCs w:val="20"/>
          <w:color w:val="auto"/>
        </w:rPr>
      </w:pPr>
    </w:p>
    <w:p>
      <w:pPr>
        <w:ind w:left="880" w:right="380"/>
        <w:spacing w:after="0" w:line="250" w:lineRule="auto"/>
        <w:rPr>
          <w:sz w:val="20"/>
          <w:szCs w:val="20"/>
          <w:color w:val="auto"/>
        </w:rPr>
      </w:pPr>
      <w:r>
        <w:rPr>
          <w:rFonts w:ascii="Arial" w:cs="Arial" w:eastAsia="Arial" w:hAnsi="Arial"/>
          <w:sz w:val="18"/>
          <w:szCs w:val="18"/>
          <w:color w:val="auto"/>
        </w:rPr>
        <w:t>forth on the cover page of this prospectus, after deducting estimated underwriting discounts and commissions and estimated offering expenses payable by us.</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40"/>
          </w:cols>
          <w:pgMar w:left="320" w:top="455" w:right="4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You should read this information in conjunction with our financial statements and the related notes (including Note 7 to our unaudited condensed financial statements as it relates to the calculation of our outstanding shares of common stock) appearing elsewhere in this prospectus, as well as the sections of this prospectus titled “Selected Financial Data” and “Management’s Discussion and Analysis of Financial Condition and Results of Operations.”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gridSpan w:val="6"/>
          </w:tcPr>
          <w:p>
            <w:pPr>
              <w:jc w:val="center"/>
              <w:ind w:right="1020"/>
              <w:spacing w:after="0"/>
              <w:rPr>
                <w:sz w:val="20"/>
                <w:szCs w:val="20"/>
                <w:color w:val="auto"/>
              </w:rPr>
            </w:pPr>
            <w:r>
              <w:rPr>
                <w:rFonts w:ascii="Arial" w:cs="Arial" w:eastAsia="Arial" w:hAnsi="Arial"/>
                <w:sz w:val="14"/>
                <w:szCs w:val="14"/>
                <w:b w:val="1"/>
                <w:bCs w:val="1"/>
                <w:color w:val="auto"/>
              </w:rPr>
              <w:t>As of June 30, 2020</w:t>
            </w:r>
          </w:p>
        </w:tc>
        <w:tc>
          <w:tcPr>
            <w:tcW w:w="0" w:type="dxa"/>
            <w:vAlign w:val="bottom"/>
          </w:tcPr>
          <w:p>
            <w:pPr>
              <w:spacing w:after="0"/>
              <w:rPr>
                <w:sz w:val="1"/>
                <w:szCs w:val="1"/>
                <w:color w:val="auto"/>
              </w:rPr>
            </w:pPr>
          </w:p>
        </w:tc>
      </w:tr>
      <w:tr>
        <w:trPr>
          <w:trHeight w:val="177"/>
        </w:trPr>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(unaudited)</w:t>
            </w:r>
          </w:p>
        </w:tc>
        <w:tc>
          <w:tcPr>
            <w:tcW w:w="3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7"/>
        </w:trPr>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ind w:left="20"/>
              <w:spacing w:after="0" w:line="137" w:lineRule="exact"/>
              <w:rPr>
                <w:sz w:val="20"/>
                <w:szCs w:val="20"/>
                <w:color w:val="auto"/>
              </w:rPr>
            </w:pPr>
            <w:r>
              <w:rPr>
                <w:rFonts w:ascii="Arial" w:cs="Arial" w:eastAsia="Arial" w:hAnsi="Arial"/>
                <w:sz w:val="14"/>
                <w:szCs w:val="14"/>
                <w:b w:val="1"/>
                <w:bCs w:val="1"/>
                <w:color w:val="auto"/>
              </w:rPr>
              <w:t>Pro Forma as</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Actual</w:t>
            </w:r>
          </w:p>
        </w:tc>
        <w:tc>
          <w:tcPr>
            <w:tcW w:w="340" w:type="dxa"/>
            <w:vAlign w:val="bottom"/>
          </w:tcPr>
          <w:p>
            <w:pPr>
              <w:spacing w:after="0"/>
              <w:rPr>
                <w:sz w:val="15"/>
                <w:szCs w:val="15"/>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Pro Forma</w:t>
            </w:r>
          </w:p>
        </w:tc>
        <w:tc>
          <w:tcPr>
            <w:tcW w:w="380" w:type="dxa"/>
            <w:vAlign w:val="bottom"/>
          </w:tcPr>
          <w:p>
            <w:pPr>
              <w:spacing w:after="0"/>
              <w:rPr>
                <w:sz w:val="15"/>
                <w:szCs w:val="15"/>
                <w:color w:val="auto"/>
              </w:rPr>
            </w:pPr>
          </w:p>
        </w:tc>
        <w:tc>
          <w:tcPr>
            <w:tcW w:w="1000" w:type="dxa"/>
            <w:vAlign w:val="bottom"/>
            <w:gridSpan w:val="2"/>
          </w:tcPr>
          <w:p>
            <w:pPr>
              <w:ind w:left="100"/>
              <w:spacing w:after="0" w:line="181" w:lineRule="exact"/>
              <w:rPr>
                <w:sz w:val="20"/>
                <w:szCs w:val="20"/>
                <w:color w:val="auto"/>
              </w:rPr>
            </w:pPr>
            <w:r>
              <w:rPr>
                <w:rFonts w:ascii="Arial" w:cs="Arial" w:eastAsia="Arial" w:hAnsi="Arial"/>
                <w:sz w:val="12"/>
                <w:szCs w:val="12"/>
                <w:b w:val="1"/>
                <w:bCs w:val="1"/>
                <w:color w:val="auto"/>
              </w:rPr>
              <w:t>Adjusted</w:t>
            </w:r>
            <w:r>
              <w:rPr>
                <w:rFonts w:ascii="Arial" w:cs="Arial" w:eastAsia="Arial" w:hAnsi="Arial"/>
                <w:sz w:val="20"/>
                <w:szCs w:val="20"/>
                <w:b w:val="1"/>
                <w:bCs w:val="1"/>
                <w:color w:val="auto"/>
                <w:vertAlign w:val="superscript"/>
              </w:rPr>
              <w:t>(1)</w:t>
            </w:r>
          </w:p>
        </w:tc>
        <w:tc>
          <w:tcPr>
            <w:tcW w:w="0" w:type="dxa"/>
            <w:vAlign w:val="bottom"/>
          </w:tcPr>
          <w:p>
            <w:pPr>
              <w:spacing w:after="0"/>
              <w:rPr>
                <w:sz w:val="1"/>
                <w:szCs w:val="1"/>
                <w:color w:val="auto"/>
              </w:rPr>
            </w:pPr>
          </w:p>
        </w:tc>
      </w:tr>
      <w:tr>
        <w:trPr>
          <w:trHeight w:val="140"/>
        </w:trPr>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440" w:type="dxa"/>
            <w:vAlign w:val="bottom"/>
            <w:tcBorders>
              <w:top w:val="single" w:sz="8" w:color="auto"/>
            </w:tcBorders>
            <w:gridSpan w:val="8"/>
          </w:tcPr>
          <w:p>
            <w:pPr>
              <w:jc w:val="center"/>
              <w:ind w:right="25"/>
              <w:spacing w:after="0" w:line="141" w:lineRule="exact"/>
              <w:rPr>
                <w:sz w:val="20"/>
                <w:szCs w:val="20"/>
                <w:color w:val="auto"/>
              </w:rPr>
            </w:pPr>
            <w:r>
              <w:rPr>
                <w:rFonts w:ascii="Arial" w:cs="Arial" w:eastAsia="Arial" w:hAnsi="Arial"/>
                <w:sz w:val="14"/>
                <w:szCs w:val="14"/>
                <w:b w:val="1"/>
                <w:bCs w:val="1"/>
                <w:color w:val="auto"/>
              </w:rPr>
              <w:t>(in thousands, except share and per</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40" w:type="dxa"/>
            <w:vAlign w:val="bottom"/>
            <w:gridSpan w:val="6"/>
          </w:tcPr>
          <w:p>
            <w:pPr>
              <w:jc w:val="center"/>
              <w:ind w:right="1040"/>
              <w:spacing w:after="0"/>
              <w:rPr>
                <w:sz w:val="20"/>
                <w:szCs w:val="20"/>
                <w:color w:val="auto"/>
              </w:rPr>
            </w:pPr>
            <w:r>
              <w:rPr>
                <w:rFonts w:ascii="Arial" w:cs="Arial" w:eastAsia="Arial" w:hAnsi="Arial"/>
                <w:sz w:val="14"/>
                <w:szCs w:val="14"/>
                <w:b w:val="1"/>
                <w:bCs w:val="1"/>
                <w:color w:val="auto"/>
              </w:rPr>
              <w:t>share amounts)</w:t>
            </w:r>
          </w:p>
        </w:tc>
        <w:tc>
          <w:tcPr>
            <w:tcW w:w="0" w:type="dxa"/>
            <w:vAlign w:val="bottom"/>
          </w:tcPr>
          <w:p>
            <w:pPr>
              <w:spacing w:after="0"/>
              <w:rPr>
                <w:sz w:val="1"/>
                <w:szCs w:val="1"/>
                <w:color w:val="auto"/>
              </w:rPr>
            </w:pPr>
          </w:p>
        </w:tc>
      </w:tr>
      <w:tr>
        <w:trPr>
          <w:trHeight w:val="216"/>
        </w:trPr>
        <w:tc>
          <w:tcPr>
            <w:tcW w:w="4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cash equivalents and short-term marketable securities</w:t>
            </w:r>
          </w:p>
        </w:tc>
        <w:tc>
          <w:tcPr>
            <w:tcW w:w="1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86,136</w:t>
            </w:r>
          </w:p>
        </w:tc>
        <w:tc>
          <w:tcPr>
            <w:tcW w:w="18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156,106</w:t>
            </w:r>
          </w:p>
        </w:tc>
        <w:tc>
          <w:tcPr>
            <w:tcW w:w="13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00" w:type="dxa"/>
            <w:vAlign w:val="bottom"/>
            <w:gridSpan w:val="5"/>
            <w:vMerge w:val="restart"/>
          </w:tcPr>
          <w:p>
            <w:pPr>
              <w:spacing w:after="0"/>
              <w:rPr>
                <w:sz w:val="20"/>
                <w:szCs w:val="20"/>
                <w:color w:val="auto"/>
              </w:rPr>
            </w:pPr>
            <w:r>
              <w:rPr>
                <w:rFonts w:ascii="Arial" w:cs="Arial" w:eastAsia="Arial" w:hAnsi="Arial"/>
                <w:sz w:val="18"/>
                <w:szCs w:val="18"/>
                <w:color w:val="auto"/>
              </w:rPr>
              <w:t>Convertible preferred stock, $0.00001 par value per share; 120,483,538 shares</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400" w:type="dxa"/>
            <w:vAlign w:val="bottom"/>
            <w:gridSpan w:val="5"/>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6060" w:type="dxa"/>
            <w:vAlign w:val="bottom"/>
            <w:gridSpan w:val="3"/>
          </w:tcPr>
          <w:p>
            <w:pPr>
              <w:ind w:left="20"/>
              <w:spacing w:after="0" w:line="202" w:lineRule="exact"/>
              <w:rPr>
                <w:sz w:val="20"/>
                <w:szCs w:val="20"/>
                <w:color w:val="auto"/>
              </w:rPr>
            </w:pPr>
            <w:r>
              <w:rPr>
                <w:rFonts w:ascii="Arial" w:cs="Arial" w:eastAsia="Arial" w:hAnsi="Arial"/>
                <w:sz w:val="18"/>
                <w:szCs w:val="18"/>
                <w:color w:val="auto"/>
              </w:rPr>
              <w:t>authorized, 120,393,150 shares issued and outstanding, actual; no shares</w:t>
            </w: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60" w:type="dxa"/>
            <w:vAlign w:val="bottom"/>
          </w:tcPr>
          <w:p>
            <w:pPr>
              <w:spacing w:after="0"/>
              <w:rPr>
                <w:sz w:val="19"/>
                <w:szCs w:val="19"/>
                <w:color w:val="auto"/>
              </w:rPr>
            </w:pPr>
          </w:p>
        </w:tc>
        <w:tc>
          <w:tcPr>
            <w:tcW w:w="6060" w:type="dxa"/>
            <w:vAlign w:val="bottom"/>
            <w:gridSpan w:val="3"/>
          </w:tcPr>
          <w:p>
            <w:pPr>
              <w:ind w:left="20"/>
              <w:spacing w:after="0"/>
              <w:rPr>
                <w:sz w:val="20"/>
                <w:szCs w:val="20"/>
                <w:color w:val="auto"/>
              </w:rPr>
            </w:pPr>
            <w:r>
              <w:rPr>
                <w:rFonts w:ascii="Arial" w:cs="Arial" w:eastAsia="Arial" w:hAnsi="Arial"/>
                <w:sz w:val="18"/>
                <w:szCs w:val="18"/>
                <w:color w:val="auto"/>
              </w:rPr>
              <w:t>authorized, issued or outstanding pro forma and pro forma as adjusted</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168,933</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9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Stockholders’ equity (deficit):</w:t>
            </w:r>
          </w:p>
        </w:tc>
        <w:tc>
          <w:tcPr>
            <w:tcW w:w="1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7240" w:type="dxa"/>
            <w:vAlign w:val="bottom"/>
            <w:gridSpan w:val="4"/>
          </w:tcPr>
          <w:p>
            <w:pPr>
              <w:ind w:left="200"/>
              <w:spacing w:after="0" w:line="180" w:lineRule="exact"/>
              <w:rPr>
                <w:sz w:val="20"/>
                <w:szCs w:val="20"/>
                <w:color w:val="auto"/>
              </w:rPr>
            </w:pPr>
            <w:r>
              <w:rPr>
                <w:rFonts w:ascii="Arial" w:cs="Arial" w:eastAsia="Arial" w:hAnsi="Arial"/>
                <w:sz w:val="18"/>
                <w:szCs w:val="18"/>
                <w:color w:val="auto"/>
              </w:rPr>
              <w:t>Preferred stock, $0.00001 par value; no shares authorized, issued or outstanding,</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0" w:type="dxa"/>
            <w:vAlign w:val="bottom"/>
          </w:tcPr>
          <w:p>
            <w:pPr>
              <w:spacing w:after="0"/>
              <w:rPr>
                <w:sz w:val="17"/>
                <w:szCs w:val="17"/>
                <w:color w:val="auto"/>
              </w:rPr>
            </w:pPr>
          </w:p>
        </w:tc>
        <w:tc>
          <w:tcPr>
            <w:tcW w:w="1060" w:type="dxa"/>
            <w:vAlign w:val="bottom"/>
          </w:tcPr>
          <w:p>
            <w:pPr>
              <w:ind w:left="380"/>
              <w:spacing w:after="0" w:line="202" w:lineRule="exact"/>
              <w:rPr>
                <w:sz w:val="20"/>
                <w:szCs w:val="20"/>
                <w:color w:val="auto"/>
              </w:rPr>
            </w:pPr>
            <w:r>
              <w:rPr>
                <w:rFonts w:ascii="Arial" w:cs="Arial" w:eastAsia="Arial" w:hAnsi="Arial"/>
                <w:sz w:val="18"/>
                <w:szCs w:val="18"/>
                <w:color w:val="auto"/>
              </w:rPr>
              <w:t>actual;</w:t>
            </w:r>
          </w:p>
        </w:tc>
        <w:tc>
          <w:tcPr>
            <w:tcW w:w="6180" w:type="dxa"/>
            <w:vAlign w:val="bottom"/>
            <w:gridSpan w:val="3"/>
          </w:tcPr>
          <w:p>
            <w:pPr>
              <w:ind w:left="500"/>
              <w:spacing w:after="0" w:line="202" w:lineRule="exact"/>
              <w:rPr>
                <w:sz w:val="20"/>
                <w:szCs w:val="20"/>
                <w:color w:val="auto"/>
              </w:rPr>
            </w:pPr>
            <w:r>
              <w:rPr>
                <w:rFonts w:ascii="Arial" w:cs="Arial" w:eastAsia="Arial" w:hAnsi="Arial"/>
                <w:sz w:val="18"/>
                <w:szCs w:val="18"/>
                <w:color w:val="auto"/>
              </w:rPr>
              <w:t>shares authorized and no shares issued or outstanding, pro forma</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60" w:type="dxa"/>
            <w:vAlign w:val="bottom"/>
          </w:tcPr>
          <w:p>
            <w:pPr>
              <w:spacing w:after="0"/>
              <w:rPr>
                <w:sz w:val="19"/>
                <w:szCs w:val="19"/>
                <w:color w:val="auto"/>
              </w:rPr>
            </w:pPr>
          </w:p>
        </w:tc>
        <w:tc>
          <w:tcPr>
            <w:tcW w:w="4820" w:type="dxa"/>
            <w:vAlign w:val="bottom"/>
            <w:gridSpan w:val="2"/>
          </w:tcPr>
          <w:p>
            <w:pPr>
              <w:ind w:left="380"/>
              <w:spacing w:after="0"/>
              <w:rPr>
                <w:sz w:val="20"/>
                <w:szCs w:val="20"/>
                <w:color w:val="auto"/>
              </w:rPr>
            </w:pPr>
            <w:r>
              <w:rPr>
                <w:rFonts w:ascii="Arial" w:cs="Arial" w:eastAsia="Arial" w:hAnsi="Arial"/>
                <w:sz w:val="18"/>
                <w:szCs w:val="18"/>
                <w:color w:val="auto"/>
              </w:rPr>
              <w:t>and pro forma as adjusted</w:t>
            </w:r>
          </w:p>
        </w:tc>
        <w:tc>
          <w:tcPr>
            <w:tcW w:w="1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60" w:type="dxa"/>
            <w:vAlign w:val="bottom"/>
            <w:shd w:val="clear" w:color="auto" w:fill="CCEEFF"/>
          </w:tcPr>
          <w:p>
            <w:pPr>
              <w:spacing w:after="0"/>
              <w:rPr>
                <w:sz w:val="15"/>
                <w:szCs w:val="15"/>
                <w:color w:val="auto"/>
              </w:rPr>
            </w:pPr>
          </w:p>
        </w:tc>
        <w:tc>
          <w:tcPr>
            <w:tcW w:w="7240" w:type="dxa"/>
            <w:vAlign w:val="bottom"/>
            <w:gridSpan w:val="4"/>
            <w:shd w:val="clear" w:color="auto" w:fill="CCEEFF"/>
          </w:tcPr>
          <w:p>
            <w:pPr>
              <w:ind w:left="200"/>
              <w:spacing w:after="0" w:line="180" w:lineRule="exact"/>
              <w:rPr>
                <w:sz w:val="20"/>
                <w:szCs w:val="20"/>
                <w:color w:val="auto"/>
              </w:rPr>
            </w:pPr>
            <w:r>
              <w:rPr>
                <w:rFonts w:ascii="Arial" w:cs="Arial" w:eastAsia="Arial" w:hAnsi="Arial"/>
                <w:sz w:val="18"/>
                <w:szCs w:val="18"/>
                <w:color w:val="auto"/>
              </w:rPr>
              <w:t>Common stock, $0.00001 par value per share; 175,068,944 shares authorized,</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6060" w:type="dxa"/>
            <w:vAlign w:val="bottom"/>
            <w:gridSpan w:val="3"/>
            <w:shd w:val="clear" w:color="auto" w:fill="CCEEFF"/>
          </w:tcPr>
          <w:p>
            <w:pPr>
              <w:ind w:left="380"/>
              <w:spacing w:after="0" w:line="202" w:lineRule="exact"/>
              <w:rPr>
                <w:sz w:val="20"/>
                <w:szCs w:val="20"/>
                <w:color w:val="auto"/>
              </w:rPr>
            </w:pPr>
            <w:r>
              <w:rPr>
                <w:rFonts w:ascii="Arial" w:cs="Arial" w:eastAsia="Arial" w:hAnsi="Arial"/>
                <w:sz w:val="18"/>
                <w:szCs w:val="18"/>
                <w:color w:val="auto"/>
                <w:w w:val="99"/>
              </w:rPr>
              <w:t>16,038,590 shares issued and outstanding, actual; 201,747,258 shares</w:t>
            </w: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7240" w:type="dxa"/>
            <w:vAlign w:val="bottom"/>
            <w:gridSpan w:val="4"/>
            <w:shd w:val="clear" w:color="auto" w:fill="CCEEFF"/>
          </w:tcPr>
          <w:p>
            <w:pPr>
              <w:ind w:left="380"/>
              <w:spacing w:after="0" w:line="202" w:lineRule="exact"/>
              <w:rPr>
                <w:sz w:val="20"/>
                <w:szCs w:val="20"/>
                <w:color w:val="auto"/>
              </w:rPr>
            </w:pPr>
            <w:r>
              <w:rPr>
                <w:rFonts w:ascii="Arial" w:cs="Arial" w:eastAsia="Arial" w:hAnsi="Arial"/>
                <w:sz w:val="18"/>
                <w:szCs w:val="18"/>
                <w:color w:val="auto"/>
              </w:rPr>
              <w:t>authorized, 164,451,912 shares issued and outstanding, pro forma (unaudited);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6180" w:type="dxa"/>
            <w:vAlign w:val="bottom"/>
            <w:gridSpan w:val="3"/>
            <w:shd w:val="clear" w:color="auto" w:fill="CCEEFF"/>
          </w:tcPr>
          <w:p>
            <w:pPr>
              <w:ind w:left="160"/>
              <w:spacing w:after="0" w:line="202" w:lineRule="exact"/>
              <w:rPr>
                <w:sz w:val="20"/>
                <w:szCs w:val="20"/>
                <w:color w:val="auto"/>
              </w:rPr>
            </w:pPr>
            <w:r>
              <w:rPr>
                <w:rFonts w:ascii="Arial" w:cs="Arial" w:eastAsia="Arial" w:hAnsi="Arial"/>
                <w:sz w:val="18"/>
                <w:szCs w:val="18"/>
                <w:color w:val="auto"/>
              </w:rPr>
              <w:t>shares authorized, shares issued and outstanding, pro forma as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60" w:type="dxa"/>
            <w:vAlign w:val="bottom"/>
            <w:shd w:val="clear" w:color="auto" w:fill="CCEEFF"/>
          </w:tcPr>
          <w:p>
            <w:pPr>
              <w:spacing w:after="0"/>
              <w:rPr>
                <w:sz w:val="19"/>
                <w:szCs w:val="19"/>
                <w:color w:val="auto"/>
              </w:rPr>
            </w:pPr>
          </w:p>
        </w:tc>
        <w:tc>
          <w:tcPr>
            <w:tcW w:w="48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adjusted (unaudited)</w:t>
            </w:r>
          </w:p>
        </w:tc>
        <w:tc>
          <w:tcPr>
            <w:tcW w:w="1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980" w:type="dxa"/>
            <w:vAlign w:val="bottom"/>
            <w:gridSpan w:val="3"/>
          </w:tcPr>
          <w:p>
            <w:pPr>
              <w:spacing w:after="0" w:line="202" w:lineRule="exact"/>
              <w:rPr>
                <w:sz w:val="20"/>
                <w:szCs w:val="20"/>
                <w:color w:val="auto"/>
              </w:rPr>
            </w:pPr>
            <w:r>
              <w:rPr>
                <w:rFonts w:ascii="Arial" w:cs="Arial" w:eastAsia="Arial" w:hAnsi="Arial"/>
                <w:sz w:val="18"/>
                <w:szCs w:val="18"/>
                <w:color w:val="auto"/>
              </w:rPr>
              <w:t>Additional paid-in capital</w:t>
            </w: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5,648</w:t>
            </w:r>
          </w:p>
        </w:tc>
        <w:tc>
          <w:tcPr>
            <w:tcW w:w="180" w:type="dxa"/>
            <w:vAlign w:val="bottom"/>
          </w:tcPr>
          <w:p>
            <w:pPr>
              <w:spacing w:after="0"/>
              <w:rPr>
                <w:sz w:val="17"/>
                <w:szCs w:val="17"/>
                <w:color w:val="auto"/>
              </w:rPr>
            </w:pPr>
          </w:p>
        </w:tc>
        <w:tc>
          <w:tcPr>
            <w:tcW w:w="126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244,549</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(90,661)</w:t>
            </w:r>
          </w:p>
        </w:tc>
        <w:tc>
          <w:tcPr>
            <w:tcW w:w="1260" w:type="dxa"/>
            <w:vAlign w:val="bottom"/>
            <w:gridSpan w:val="3"/>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(90,661)</w:t>
            </w: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gridSpan w:val="3"/>
          </w:tcPr>
          <w:p>
            <w:pPr>
              <w:spacing w:after="0" w:line="202" w:lineRule="exact"/>
              <w:rPr>
                <w:sz w:val="20"/>
                <w:szCs w:val="20"/>
                <w:color w:val="auto"/>
              </w:rPr>
            </w:pPr>
            <w:r>
              <w:rPr>
                <w:rFonts w:ascii="Arial" w:cs="Arial" w:eastAsia="Arial" w:hAnsi="Arial"/>
                <w:sz w:val="18"/>
                <w:szCs w:val="18"/>
                <w:color w:val="auto"/>
              </w:rPr>
              <w:t>Accumulated other comprehensive loss</w:t>
            </w:r>
          </w:p>
        </w:tc>
        <w:tc>
          <w:tcPr>
            <w:tcW w:w="1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5</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160" w:type="dxa"/>
            <w:vAlign w:val="bottom"/>
            <w:shd w:val="clear" w:color="auto" w:fill="CCEEFF"/>
          </w:tcPr>
          <w:p>
            <w:pPr>
              <w:spacing w:after="0"/>
              <w:rPr>
                <w:sz w:val="17"/>
                <w:szCs w:val="17"/>
                <w:color w:val="auto"/>
              </w:rPr>
            </w:pPr>
          </w:p>
        </w:tc>
        <w:tc>
          <w:tcPr>
            <w:tcW w:w="4820" w:type="dxa"/>
            <w:vAlign w:val="bottom"/>
            <w:gridSpan w:val="2"/>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stockholders’ (deficit) equity</w:t>
            </w:r>
          </w:p>
        </w:tc>
        <w:tc>
          <w:tcPr>
            <w:tcW w:w="1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(85,008)</w:t>
            </w:r>
          </w:p>
        </w:tc>
        <w:tc>
          <w:tcPr>
            <w:tcW w:w="126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153,895</w:t>
            </w: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60" w:type="dxa"/>
            <w:vAlign w:val="bottom"/>
          </w:tcPr>
          <w:p>
            <w:pPr>
              <w:spacing w:after="0"/>
              <w:rPr>
                <w:sz w:val="18"/>
                <w:szCs w:val="18"/>
                <w:color w:val="auto"/>
              </w:rPr>
            </w:pPr>
          </w:p>
        </w:tc>
        <w:tc>
          <w:tcPr>
            <w:tcW w:w="4820" w:type="dxa"/>
            <w:vAlign w:val="bottom"/>
            <w:gridSpan w:val="2"/>
          </w:tcPr>
          <w:p>
            <w:pPr>
              <w:ind w:left="200"/>
              <w:spacing w:after="0"/>
              <w:rPr>
                <w:sz w:val="20"/>
                <w:szCs w:val="20"/>
                <w:color w:val="auto"/>
              </w:rPr>
            </w:pPr>
            <w:r>
              <w:rPr>
                <w:rFonts w:ascii="Arial" w:cs="Arial" w:eastAsia="Arial" w:hAnsi="Arial"/>
                <w:sz w:val="18"/>
                <w:szCs w:val="18"/>
                <w:color w:val="auto"/>
              </w:rPr>
              <w:t>Total capitalization</w:t>
            </w: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83,925</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153,895</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060" w:type="dxa"/>
            <w:vAlign w:val="bottom"/>
            <w:gridSpan w:val="3"/>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6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5000" w:type="dxa"/>
            <w:vAlign w:val="bottom"/>
            <w:gridSpan w:val="2"/>
          </w:tcPr>
          <w:p>
            <w:pPr>
              <w:spacing w:after="0"/>
              <w:rPr>
                <w:sz w:val="11"/>
                <w:szCs w:val="11"/>
                <w:color w:val="auto"/>
              </w:rPr>
            </w:pPr>
          </w:p>
        </w:tc>
        <w:tc>
          <w:tcPr>
            <w:tcW w:w="4800" w:type="dxa"/>
            <w:vAlign w:val="bottom"/>
            <w:gridSpan w:val="12"/>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60" w:type="dxa"/>
            <w:vAlign w:val="bottom"/>
          </w:tcPr>
          <w:p>
            <w:pPr>
              <w:spacing w:after="0"/>
              <w:rPr>
                <w:sz w:val="20"/>
                <w:szCs w:val="20"/>
                <w:color w:val="auto"/>
              </w:rPr>
            </w:pPr>
            <w:r>
              <w:rPr>
                <w:rFonts w:ascii="Arial" w:cs="Arial" w:eastAsia="Arial" w:hAnsi="Arial"/>
                <w:sz w:val="12"/>
                <w:szCs w:val="12"/>
                <w:color w:val="auto"/>
                <w:w w:val="95"/>
              </w:rPr>
              <w:t>(1)</w:t>
            </w:r>
          </w:p>
        </w:tc>
        <w:tc>
          <w:tcPr>
            <w:tcW w:w="6060" w:type="dxa"/>
            <w:vAlign w:val="bottom"/>
            <w:gridSpan w:val="3"/>
          </w:tcPr>
          <w:p>
            <w:pPr>
              <w:ind w:left="380"/>
              <w:spacing w:after="0"/>
              <w:rPr>
                <w:sz w:val="20"/>
                <w:szCs w:val="20"/>
                <w:color w:val="auto"/>
              </w:rPr>
            </w:pPr>
            <w:r>
              <w:rPr>
                <w:rFonts w:ascii="Arial" w:cs="Arial" w:eastAsia="Arial" w:hAnsi="Arial"/>
                <w:sz w:val="14"/>
                <w:szCs w:val="14"/>
                <w:color w:val="auto"/>
              </w:rPr>
              <w:t>Each $1.00 increase or decrease in the assumed initial public offering price of $</w:t>
            </w:r>
          </w:p>
        </w:tc>
        <w:tc>
          <w:tcPr>
            <w:tcW w:w="4800" w:type="dxa"/>
            <w:vAlign w:val="bottom"/>
            <w:gridSpan w:val="12"/>
          </w:tcPr>
          <w:p>
            <w:pPr>
              <w:ind w:left="20"/>
              <w:spacing w:after="0"/>
              <w:rPr>
                <w:sz w:val="20"/>
                <w:szCs w:val="20"/>
                <w:color w:val="auto"/>
              </w:rPr>
            </w:pPr>
            <w:r>
              <w:rPr>
                <w:rFonts w:ascii="Arial" w:cs="Arial" w:eastAsia="Arial" w:hAnsi="Arial"/>
                <w:sz w:val="14"/>
                <w:szCs w:val="14"/>
                <w:color w:val="auto"/>
              </w:rPr>
              <w:t>per share, which is the midpoint of the estimated offering price range set</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10860" w:type="dxa"/>
            <w:vAlign w:val="bottom"/>
            <w:gridSpan w:val="15"/>
          </w:tcPr>
          <w:p>
            <w:pPr>
              <w:ind w:left="380"/>
              <w:spacing w:after="0"/>
              <w:rPr>
                <w:sz w:val="20"/>
                <w:szCs w:val="20"/>
                <w:color w:val="auto"/>
              </w:rPr>
            </w:pPr>
            <w:r>
              <w:rPr>
                <w:rFonts w:ascii="Arial" w:cs="Arial" w:eastAsia="Arial" w:hAnsi="Arial"/>
                <w:sz w:val="14"/>
                <w:szCs w:val="14"/>
                <w:color w:val="auto"/>
              </w:rPr>
              <w:t>forth on the cover page of this prospectus, would increase or decrease, as applicable, our pro forma as adjusted cash, cash equivalents and short-term marketable</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7240" w:type="dxa"/>
            <w:vAlign w:val="bottom"/>
            <w:gridSpan w:val="4"/>
          </w:tcPr>
          <w:p>
            <w:pPr>
              <w:ind w:left="380"/>
              <w:spacing w:after="0"/>
              <w:rPr>
                <w:sz w:val="20"/>
                <w:szCs w:val="20"/>
                <w:color w:val="auto"/>
              </w:rPr>
            </w:pPr>
            <w:r>
              <w:rPr>
                <w:rFonts w:ascii="Arial" w:cs="Arial" w:eastAsia="Arial" w:hAnsi="Arial"/>
                <w:sz w:val="14"/>
                <w:szCs w:val="14"/>
                <w:color w:val="auto"/>
              </w:rPr>
              <w:t>securities, additional paid-in capital, total stockholders’ equity and total capitalization by approximately $</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00" w:type="dxa"/>
            <w:vAlign w:val="bottom"/>
            <w:gridSpan w:val="9"/>
          </w:tcPr>
          <w:p>
            <w:pPr>
              <w:ind w:left="260"/>
              <w:spacing w:after="0"/>
              <w:rPr>
                <w:sz w:val="20"/>
                <w:szCs w:val="20"/>
                <w:color w:val="auto"/>
              </w:rPr>
            </w:pPr>
            <w:r>
              <w:rPr>
                <w:rFonts w:ascii="Arial" w:cs="Arial" w:eastAsia="Arial" w:hAnsi="Arial"/>
                <w:sz w:val="14"/>
                <w:szCs w:val="14"/>
                <w:color w:val="auto"/>
              </w:rPr>
              <w:t>million, assuming that the number of shares of</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10860" w:type="dxa"/>
            <w:vAlign w:val="bottom"/>
            <w:gridSpan w:val="15"/>
          </w:tcPr>
          <w:p>
            <w:pPr>
              <w:ind w:left="380"/>
              <w:spacing w:after="0"/>
              <w:rPr>
                <w:sz w:val="20"/>
                <w:szCs w:val="20"/>
                <w:color w:val="auto"/>
              </w:rPr>
            </w:pPr>
            <w:r>
              <w:rPr>
                <w:rFonts w:ascii="Arial" w:cs="Arial" w:eastAsia="Arial" w:hAnsi="Arial"/>
                <w:sz w:val="14"/>
                <w:szCs w:val="14"/>
                <w:color w:val="auto"/>
              </w:rPr>
              <w:t>common stock offered by us, as set forth on the cover page of this prospectus, remains the same, and after deducting estimated underwriting discounts and</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10860" w:type="dxa"/>
            <w:vAlign w:val="bottom"/>
            <w:gridSpan w:val="15"/>
          </w:tcPr>
          <w:p>
            <w:pPr>
              <w:ind w:left="380"/>
              <w:spacing w:after="0"/>
              <w:rPr>
                <w:sz w:val="20"/>
                <w:szCs w:val="20"/>
                <w:color w:val="auto"/>
              </w:rPr>
            </w:pPr>
            <w:r>
              <w:rPr>
                <w:rFonts w:ascii="Arial" w:cs="Arial" w:eastAsia="Arial" w:hAnsi="Arial"/>
                <w:sz w:val="14"/>
                <w:szCs w:val="14"/>
                <w:color w:val="auto"/>
              </w:rPr>
              <w:t>commissions and estimated offering expenses payable by us. Each increase or decrease of 1.0 million shares in the number of shares of common stock offered by</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10860" w:type="dxa"/>
            <w:vAlign w:val="bottom"/>
            <w:gridSpan w:val="15"/>
          </w:tcPr>
          <w:p>
            <w:pPr>
              <w:ind w:left="380"/>
              <w:spacing w:after="0"/>
              <w:rPr>
                <w:sz w:val="20"/>
                <w:szCs w:val="20"/>
                <w:color w:val="auto"/>
              </w:rPr>
            </w:pPr>
            <w:r>
              <w:rPr>
                <w:rFonts w:ascii="Arial" w:cs="Arial" w:eastAsia="Arial" w:hAnsi="Arial"/>
                <w:sz w:val="14"/>
                <w:szCs w:val="14"/>
                <w:color w:val="auto"/>
              </w:rPr>
              <w:t>us would increase or decrease, as applicable, our pro forma as adjusted cash, cash equivalents and short-term marketable securities, additional paid-in capital, total</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4820" w:type="dxa"/>
            <w:vAlign w:val="bottom"/>
            <w:gridSpan w:val="2"/>
          </w:tcPr>
          <w:p>
            <w:pPr>
              <w:ind w:left="380"/>
              <w:spacing w:after="0"/>
              <w:rPr>
                <w:sz w:val="20"/>
                <w:szCs w:val="20"/>
                <w:color w:val="auto"/>
              </w:rPr>
            </w:pPr>
            <w:r>
              <w:rPr>
                <w:rFonts w:ascii="Arial" w:cs="Arial" w:eastAsia="Arial" w:hAnsi="Arial"/>
                <w:sz w:val="14"/>
                <w:szCs w:val="14"/>
                <w:color w:val="auto"/>
              </w:rPr>
              <w:t>stockholders’ equity and total capitalization by approximately $</w:t>
            </w:r>
          </w:p>
        </w:tc>
        <w:tc>
          <w:tcPr>
            <w:tcW w:w="4660" w:type="dxa"/>
            <w:vAlign w:val="bottom"/>
            <w:gridSpan w:val="10"/>
          </w:tcPr>
          <w:p>
            <w:pPr>
              <w:jc w:val="right"/>
              <w:ind w:right="600"/>
              <w:spacing w:after="0"/>
              <w:rPr>
                <w:sz w:val="20"/>
                <w:szCs w:val="20"/>
                <w:color w:val="auto"/>
              </w:rPr>
            </w:pPr>
            <w:r>
              <w:rPr>
                <w:rFonts w:ascii="Arial" w:cs="Arial" w:eastAsia="Arial" w:hAnsi="Arial"/>
                <w:sz w:val="14"/>
                <w:szCs w:val="14"/>
                <w:color w:val="auto"/>
              </w:rPr>
              <w:t>million, assuming the assumed initial public offering price of $</w:t>
            </w:r>
          </w:p>
        </w:tc>
        <w:tc>
          <w:tcPr>
            <w:tcW w:w="1380" w:type="dxa"/>
            <w:vAlign w:val="bottom"/>
            <w:gridSpan w:val="3"/>
          </w:tcPr>
          <w:p>
            <w:pPr>
              <w:ind w:left="40"/>
              <w:spacing w:after="0"/>
              <w:rPr>
                <w:sz w:val="20"/>
                <w:szCs w:val="20"/>
                <w:color w:val="auto"/>
              </w:rPr>
            </w:pPr>
            <w:r>
              <w:rPr>
                <w:rFonts w:ascii="Arial" w:cs="Arial" w:eastAsia="Arial" w:hAnsi="Arial"/>
                <w:sz w:val="14"/>
                <w:szCs w:val="14"/>
                <w:color w:val="auto"/>
              </w:rPr>
              <w:t>per share, which is</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10860" w:type="dxa"/>
            <w:vAlign w:val="bottom"/>
            <w:gridSpan w:val="15"/>
          </w:tcPr>
          <w:p>
            <w:pPr>
              <w:ind w:left="380"/>
              <w:spacing w:after="0"/>
              <w:rPr>
                <w:sz w:val="20"/>
                <w:szCs w:val="20"/>
                <w:color w:val="auto"/>
              </w:rPr>
            </w:pPr>
            <w:r>
              <w:rPr>
                <w:rFonts w:ascii="Arial" w:cs="Arial" w:eastAsia="Arial" w:hAnsi="Arial"/>
                <w:sz w:val="14"/>
                <w:szCs w:val="14"/>
                <w:color w:val="auto"/>
              </w:rPr>
              <w:t>the midpoint of the estimated offering price range set forth on the cover page of this prospectus, remains the same, and after deducting estimated underwriting</w:t>
            </w:r>
          </w:p>
        </w:tc>
        <w:tc>
          <w:tcPr>
            <w:tcW w:w="0" w:type="dxa"/>
            <w:vAlign w:val="bottom"/>
          </w:tcPr>
          <w:p>
            <w:pPr>
              <w:spacing w:after="0"/>
              <w:rPr>
                <w:sz w:val="1"/>
                <w:szCs w:val="1"/>
                <w:color w:val="auto"/>
              </w:rPr>
            </w:pPr>
          </w:p>
        </w:tc>
      </w:tr>
      <w:tr>
        <w:trPr>
          <w:trHeight w:val="162"/>
        </w:trPr>
        <w:tc>
          <w:tcPr>
            <w:tcW w:w="160" w:type="dxa"/>
            <w:vAlign w:val="bottom"/>
          </w:tcPr>
          <w:p>
            <w:pPr>
              <w:spacing w:after="0"/>
              <w:rPr>
                <w:sz w:val="14"/>
                <w:szCs w:val="14"/>
                <w:color w:val="auto"/>
              </w:rPr>
            </w:pPr>
          </w:p>
        </w:tc>
        <w:tc>
          <w:tcPr>
            <w:tcW w:w="10860" w:type="dxa"/>
            <w:vAlign w:val="bottom"/>
            <w:gridSpan w:val="15"/>
          </w:tcPr>
          <w:p>
            <w:pPr>
              <w:ind w:left="380"/>
              <w:spacing w:after="0"/>
              <w:rPr>
                <w:sz w:val="20"/>
                <w:szCs w:val="20"/>
                <w:color w:val="auto"/>
              </w:rPr>
            </w:pPr>
            <w:r>
              <w:rPr>
                <w:rFonts w:ascii="Arial" w:cs="Arial" w:eastAsia="Arial" w:hAnsi="Arial"/>
                <w:sz w:val="14"/>
                <w:szCs w:val="14"/>
                <w:color w:val="auto"/>
              </w:rPr>
              <w:t>discounts and commissions and estimated offering expenses payable by us. The pro forma as adjusted information discussed above is illustrative only and will be</w:t>
            </w:r>
          </w:p>
        </w:tc>
        <w:tc>
          <w:tcPr>
            <w:tcW w:w="0" w:type="dxa"/>
            <w:vAlign w:val="bottom"/>
          </w:tcPr>
          <w:p>
            <w:pPr>
              <w:spacing w:after="0"/>
              <w:rPr>
                <w:sz w:val="1"/>
                <w:szCs w:val="1"/>
                <w:color w:val="auto"/>
              </w:rPr>
            </w:pPr>
          </w:p>
        </w:tc>
      </w:tr>
      <w:tr>
        <w:trPr>
          <w:trHeight w:val="194"/>
        </w:trPr>
        <w:tc>
          <w:tcPr>
            <w:tcW w:w="160" w:type="dxa"/>
            <w:vAlign w:val="bottom"/>
          </w:tcPr>
          <w:p>
            <w:pPr>
              <w:spacing w:after="0"/>
              <w:rPr>
                <w:sz w:val="16"/>
                <w:szCs w:val="16"/>
                <w:color w:val="auto"/>
              </w:rPr>
            </w:pPr>
          </w:p>
        </w:tc>
        <w:tc>
          <w:tcPr>
            <w:tcW w:w="7240" w:type="dxa"/>
            <w:vAlign w:val="bottom"/>
            <w:gridSpan w:val="4"/>
          </w:tcPr>
          <w:p>
            <w:pPr>
              <w:ind w:left="380"/>
              <w:spacing w:after="0"/>
              <w:rPr>
                <w:sz w:val="20"/>
                <w:szCs w:val="20"/>
                <w:color w:val="auto"/>
              </w:rPr>
            </w:pPr>
            <w:r>
              <w:rPr>
                <w:rFonts w:ascii="Arial" w:cs="Arial" w:eastAsia="Arial" w:hAnsi="Arial"/>
                <w:sz w:val="14"/>
                <w:szCs w:val="14"/>
                <w:color w:val="auto"/>
              </w:rPr>
              <w:t>adjusted based on the actual public offering price and other terms of this offering determined at pricing.</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0"/>
        </w:trPr>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240" w:type="dxa"/>
            <w:vAlign w:val="bottom"/>
          </w:tcPr>
          <w:p>
            <w:pPr>
              <w:jc w:val="right"/>
              <w:ind w:right="539"/>
              <w:spacing w:after="0"/>
              <w:rPr>
                <w:sz w:val="20"/>
                <w:szCs w:val="20"/>
                <w:color w:val="auto"/>
              </w:rPr>
            </w:pPr>
            <w:r>
              <w:rPr>
                <w:rFonts w:ascii="Arial" w:cs="Arial" w:eastAsia="Arial" w:hAnsi="Arial"/>
                <w:sz w:val="18"/>
                <w:szCs w:val="18"/>
                <w:color w:val="auto"/>
              </w:rPr>
              <w:t>96</w:t>
            </w: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firstLine="551"/>
        <w:spacing w:after="0" w:line="248" w:lineRule="auto"/>
        <w:rPr>
          <w:sz w:val="20"/>
          <w:szCs w:val="20"/>
          <w:color w:val="auto"/>
        </w:rPr>
      </w:pPr>
      <w:r>
        <w:rPr>
          <w:rFonts w:ascii="Arial" w:cs="Arial" w:eastAsia="Arial" w:hAnsi="Arial"/>
          <w:sz w:val="18"/>
          <w:szCs w:val="18"/>
          <w:color w:val="auto"/>
        </w:rPr>
        <w:t>The number of shares of our common stock to be outstanding after this offering is based on 136,431,740 shares of our common stock outstanding as of June 30, 2020 (including an aggregate of 120,393,150 shares of common stock issuable upon conversion of our outstanding convertible preferred stock as of June 30, 2020), plus 28,020,172 shares of our common stock issuable pursuant to the conversion of our Series D convertible preferred stock issued and sold in July 2020, and excludes the following:</w:t>
      </w:r>
    </w:p>
    <w:p>
      <w:pPr>
        <w:spacing w:after="0" w:line="76" w:lineRule="exact"/>
        <w:rPr>
          <w:sz w:val="20"/>
          <w:szCs w:val="20"/>
          <w:color w:val="auto"/>
        </w:rPr>
      </w:pPr>
    </w:p>
    <w:p>
      <w:pPr>
        <w:ind w:left="880" w:right="60" w:hanging="224"/>
        <w:spacing w:after="0" w:line="276" w:lineRule="auto"/>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20,653,300 shares of common stock issuable upon exercise of options to purchase shares of our common stock outstanding as of June 30, 2020, with a weighted-average exercise price of $0.50 per share;</w:t>
      </w:r>
    </w:p>
    <w:p>
      <w:pPr>
        <w:spacing w:after="0" w:line="50" w:lineRule="exact"/>
        <w:rPr>
          <w:rFonts w:ascii="Arial" w:cs="Arial" w:eastAsia="Arial" w:hAnsi="Arial"/>
          <w:sz w:val="18"/>
          <w:szCs w:val="18"/>
          <w:color w:val="auto"/>
        </w:rPr>
      </w:pPr>
    </w:p>
    <w:p>
      <w:pPr>
        <w:ind w:left="1480" w:hanging="824"/>
        <w:spacing w:after="0"/>
        <w:tabs>
          <w:tab w:leader="none" w:pos="1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shares of common stock issuable upon exercise of options to purchase shares of our common stock that we granted</w:t>
      </w:r>
    </w:p>
    <w:p>
      <w:pPr>
        <w:spacing w:after="0" w:line="18" w:lineRule="exact"/>
        <w:rPr>
          <w:sz w:val="20"/>
          <w:szCs w:val="20"/>
          <w:color w:val="auto"/>
        </w:rPr>
      </w:pPr>
    </w:p>
    <w:p>
      <w:pPr>
        <w:ind w:left="880"/>
        <w:spacing w:after="0"/>
        <w:tabs>
          <w:tab w:leader="none" w:pos="6760" w:val="left"/>
        </w:tabs>
        <w:rPr>
          <w:sz w:val="20"/>
          <w:szCs w:val="20"/>
          <w:color w:val="auto"/>
        </w:rPr>
      </w:pPr>
      <w:r>
        <w:rPr>
          <w:rFonts w:ascii="Arial" w:cs="Arial" w:eastAsia="Arial" w:hAnsi="Arial"/>
          <w:sz w:val="18"/>
          <w:szCs w:val="18"/>
          <w:color w:val="auto"/>
        </w:rPr>
        <w:t>after June 30, 2020, with a weighted-average exercise price of $</w:t>
      </w:r>
      <w:r>
        <w:rPr>
          <w:sz w:val="20"/>
          <w:szCs w:val="20"/>
          <w:color w:val="auto"/>
        </w:rPr>
        <w:tab/>
      </w:r>
      <w:r>
        <w:rPr>
          <w:rFonts w:ascii="Arial" w:cs="Arial" w:eastAsia="Arial" w:hAnsi="Arial"/>
          <w:sz w:val="18"/>
          <w:szCs w:val="18"/>
          <w:color w:val="auto"/>
        </w:rPr>
        <w:t>per share;</w:t>
      </w:r>
    </w:p>
    <w:p>
      <w:pPr>
        <w:spacing w:after="0" w:line="95" w:lineRule="exact"/>
        <w:rPr>
          <w:sz w:val="20"/>
          <w:szCs w:val="20"/>
          <w:color w:val="auto"/>
        </w:rPr>
      </w:pPr>
    </w:p>
    <w:p>
      <w:pPr>
        <w:ind w:left="880" w:right="80" w:hanging="224"/>
        <w:spacing w:after="0" w:line="255" w:lineRule="auto"/>
        <w:tabs>
          <w:tab w:leader="none" w:pos="8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warrant to purchase an aggregate of 56,866 shares of our Series Seed convertible preferred stock outstanding as of June 30, 2020 that will be converted into a warrant to purchase an aggregate of 56,866 shares of our common stock, with an exercise price of $0.3517 per share, upon the completion of this offering;</w:t>
      </w:r>
    </w:p>
    <w:p>
      <w:pPr>
        <w:spacing w:after="0" w:line="69" w:lineRule="exact"/>
        <w:rPr>
          <w:rFonts w:ascii="Arial" w:cs="Arial" w:eastAsia="Arial" w:hAnsi="Arial"/>
          <w:sz w:val="18"/>
          <w:szCs w:val="18"/>
          <w:color w:val="auto"/>
        </w:rPr>
      </w:pPr>
    </w:p>
    <w:p>
      <w:pPr>
        <w:ind w:left="880" w:right="240" w:hanging="224"/>
        <w:spacing w:after="0" w:line="248" w:lineRule="auto"/>
        <w:tabs>
          <w:tab w:leader="none" w:pos="153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2020 Equity Incentive Plan, or 2020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 and</w:t>
      </w:r>
    </w:p>
    <w:p>
      <w:pPr>
        <w:spacing w:after="0" w:line="75" w:lineRule="exact"/>
        <w:rPr>
          <w:rFonts w:ascii="Arial" w:cs="Arial" w:eastAsia="Arial" w:hAnsi="Arial"/>
          <w:sz w:val="18"/>
          <w:szCs w:val="18"/>
          <w:color w:val="auto"/>
        </w:rPr>
      </w:pPr>
    </w:p>
    <w:p>
      <w:pPr>
        <w:ind w:left="880" w:hanging="224"/>
        <w:spacing w:after="0" w:line="248" w:lineRule="auto"/>
        <w:tabs>
          <w:tab w:leader="none" w:pos="153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shares of common stock reserved for issuance under our 2020 Employee Stock Purchase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60"/>
          </w:cols>
          <w:pgMar w:left="320" w:top="455" w:right="51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DILUTION</w:t>
      </w:r>
    </w:p>
    <w:p>
      <w:pPr>
        <w:spacing w:after="0" w:line="214" w:lineRule="exact"/>
        <w:rPr>
          <w:sz w:val="20"/>
          <w:szCs w:val="20"/>
          <w:color w:val="auto"/>
        </w:rPr>
      </w:pPr>
    </w:p>
    <w:p>
      <w:pPr>
        <w:jc w:val="both"/>
        <w:ind w:left="120" w:right="100" w:firstLine="551"/>
        <w:spacing w:after="0" w:line="255" w:lineRule="auto"/>
        <w:rPr>
          <w:sz w:val="20"/>
          <w:szCs w:val="20"/>
          <w:color w:val="auto"/>
        </w:rPr>
      </w:pPr>
      <w:r>
        <w:rPr>
          <w:rFonts w:ascii="Arial" w:cs="Arial" w:eastAsia="Arial" w:hAnsi="Arial"/>
          <w:sz w:val="18"/>
          <w:szCs w:val="18"/>
          <w:color w:val="auto"/>
        </w:rPr>
        <w:t>If you invest in our common stock in this offering, your ownership interest will be diluted immediately to the extent of the difference between the initial public offering price per share of our common stock and the pro forma as adjusted net tangible book value per share of our common stock immediately after this offering.</w:t>
      </w:r>
    </w:p>
    <w:p>
      <w:pPr>
        <w:spacing w:after="0" w:line="164" w:lineRule="exact"/>
        <w:rPr>
          <w:sz w:val="20"/>
          <w:szCs w:val="20"/>
          <w:color w:val="auto"/>
        </w:rPr>
      </w:pPr>
    </w:p>
    <w:p>
      <w:pPr>
        <w:ind w:left="120" w:right="380" w:firstLine="551"/>
        <w:spacing w:after="0" w:line="248" w:lineRule="auto"/>
        <w:rPr>
          <w:sz w:val="20"/>
          <w:szCs w:val="20"/>
          <w:color w:val="auto"/>
        </w:rPr>
      </w:pPr>
      <w:r>
        <w:rPr>
          <w:rFonts w:ascii="Arial" w:cs="Arial" w:eastAsia="Arial" w:hAnsi="Arial"/>
          <w:sz w:val="18"/>
          <w:szCs w:val="18"/>
          <w:color w:val="auto"/>
        </w:rPr>
        <w:t>Our historical net tangible book value (deficit) as of June 30, 2020 was approximately $(85.0) million or $ (5.30) per share of our common stock. Our historical net tangible book value (deficit) is the amount of our total tangible assets less our total liabilities and convertible preferred stock. Historical net tangible book value (deficit) per share represents historical net tangible book value (deficit) divided by the number of shares of our common stock outstanding as of June 30, 2020.</w:t>
      </w:r>
    </w:p>
    <w:p>
      <w:pPr>
        <w:spacing w:after="0" w:line="170"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Our pro forma net tangible book value (deficit) as of June 30, 2020 was approximately $153.9 million, or $0.94 per share of our common stock. Pro forma net tangible book value (deficit) represents the amount of our total tangible assets less our total liabilities. Pro forma net tangible book value (deficit) per share represents pro forma net tangible book value divided by the total number of shares of our common stock outstanding as of June 30, 2020, after giving effect to (i) the conversion of all shares of our convertible preferred stock outstanding as of June 30, 2020 into an aggregate of 120,393,150 shares of our common stock, which will occur immediately prior to the completion of this offering and (ii) the issuance and sale of 28,020,172 shares of our Series D convertible preferred stock in July 2020 for gross proceeds of $ 70.0 million, and the conversion of such shares into 28,020,172 shares of our common stock, which will occur immediately prior to the completion of this offering.</w:t>
      </w:r>
    </w:p>
    <w:p>
      <w:pPr>
        <w:spacing w:after="0" w:line="180" w:lineRule="exact"/>
        <w:rPr>
          <w:sz w:val="20"/>
          <w:szCs w:val="20"/>
          <w:color w:val="auto"/>
        </w:rPr>
      </w:pPr>
    </w:p>
    <w:p>
      <w:pPr>
        <w:ind w:left="120" w:right="120" w:firstLine="551"/>
        <w:spacing w:after="0" w:line="247" w:lineRule="auto"/>
        <w:rPr>
          <w:sz w:val="20"/>
          <w:szCs w:val="20"/>
          <w:color w:val="auto"/>
        </w:rPr>
      </w:pPr>
      <w:r>
        <w:rPr>
          <w:rFonts w:ascii="Arial" w:cs="Arial" w:eastAsia="Arial" w:hAnsi="Arial"/>
          <w:sz w:val="18"/>
          <w:szCs w:val="18"/>
          <w:color w:val="auto"/>
        </w:rPr>
        <w:t>After giving further effect to our sale of shares of common stock in this offering at the assumed initial public offering price of $ per share, which is the midpoint of the estimated offering price range set forth on the cover page of this prospectus, and</w:t>
      </w:r>
    </w:p>
    <w:p>
      <w:pPr>
        <w:ind w:left="120"/>
        <w:spacing w:after="0" w:line="235" w:lineRule="auto"/>
        <w:rPr>
          <w:sz w:val="20"/>
          <w:szCs w:val="20"/>
          <w:color w:val="auto"/>
        </w:rPr>
      </w:pPr>
      <w:r>
        <w:rPr>
          <w:rFonts w:ascii="Arial" w:cs="Arial" w:eastAsia="Arial" w:hAnsi="Arial"/>
          <w:sz w:val="18"/>
          <w:szCs w:val="18"/>
          <w:color w:val="auto"/>
        </w:rPr>
        <w:t>after deducting estimated underwriting discounts and commissions and estimated offering expenses payable by us, our pro forma as</w:t>
      </w:r>
    </w:p>
    <w:tbl>
      <w:tblPr>
        <w:tblLayout w:type="fixed"/>
        <w:tblInd w:w="120" w:type="dxa"/>
        <w:tblCellMar>
          <w:top w:w="0" w:type="dxa"/>
          <w:left w:w="0" w:type="dxa"/>
          <w:bottom w:w="0" w:type="dxa"/>
          <w:right w:w="0" w:type="dxa"/>
        </w:tblCellMar>
      </w:tblPr>
      <w:tr>
        <w:trPr>
          <w:trHeight w:val="181"/>
        </w:trPr>
        <w:tc>
          <w:tcPr>
            <w:tcW w:w="7440" w:type="dxa"/>
            <w:vAlign w:val="bottom"/>
          </w:tcPr>
          <w:p>
            <w:pPr>
              <w:spacing w:after="0" w:line="182" w:lineRule="exact"/>
              <w:rPr>
                <w:sz w:val="20"/>
                <w:szCs w:val="20"/>
                <w:color w:val="auto"/>
              </w:rPr>
            </w:pPr>
            <w:r>
              <w:rPr>
                <w:rFonts w:ascii="Arial" w:cs="Arial" w:eastAsia="Arial" w:hAnsi="Arial"/>
                <w:sz w:val="18"/>
                <w:szCs w:val="18"/>
                <w:color w:val="auto"/>
              </w:rPr>
              <w:t>adjusted net tangible book value as of June 30, 2020 would have been approximately $</w:t>
            </w:r>
          </w:p>
        </w:tc>
        <w:tc>
          <w:tcPr>
            <w:tcW w:w="1660" w:type="dxa"/>
            <w:vAlign w:val="bottom"/>
            <w:gridSpan w:val="2"/>
          </w:tcPr>
          <w:p>
            <w:pPr>
              <w:ind w:left="300"/>
              <w:spacing w:after="0" w:line="182" w:lineRule="exact"/>
              <w:rPr>
                <w:sz w:val="20"/>
                <w:szCs w:val="20"/>
                <w:color w:val="auto"/>
              </w:rPr>
            </w:pPr>
            <w:r>
              <w:rPr>
                <w:rFonts w:ascii="Arial" w:cs="Arial" w:eastAsia="Arial" w:hAnsi="Arial"/>
                <w:sz w:val="18"/>
                <w:szCs w:val="18"/>
                <w:color w:val="auto"/>
              </w:rPr>
              <w:t>million, or $</w:t>
            </w:r>
          </w:p>
        </w:tc>
        <w:tc>
          <w:tcPr>
            <w:tcW w:w="220" w:type="dxa"/>
            <w:vAlign w:val="bottom"/>
          </w:tcPr>
          <w:p>
            <w:pPr>
              <w:spacing w:after="0"/>
              <w:rPr>
                <w:sz w:val="15"/>
                <w:szCs w:val="15"/>
                <w:color w:val="auto"/>
              </w:rPr>
            </w:pPr>
          </w:p>
        </w:tc>
        <w:tc>
          <w:tcPr>
            <w:tcW w:w="1700" w:type="dxa"/>
            <w:vAlign w:val="bottom"/>
            <w:gridSpan w:val="5"/>
          </w:tcPr>
          <w:p>
            <w:pPr>
              <w:jc w:val="right"/>
              <w:ind w:right="320"/>
              <w:spacing w:after="0" w:line="182" w:lineRule="exact"/>
              <w:rPr>
                <w:sz w:val="20"/>
                <w:szCs w:val="20"/>
                <w:color w:val="auto"/>
              </w:rPr>
            </w:pPr>
            <w:r>
              <w:rPr>
                <w:rFonts w:ascii="Arial" w:cs="Arial" w:eastAsia="Arial" w:hAnsi="Arial"/>
                <w:sz w:val="18"/>
                <w:szCs w:val="18"/>
                <w:color w:val="auto"/>
              </w:rPr>
              <w:t>per share. This</w:t>
            </w:r>
          </w:p>
        </w:tc>
      </w:tr>
      <w:tr>
        <w:trPr>
          <w:trHeight w:val="203"/>
        </w:trPr>
        <w:tc>
          <w:tcPr>
            <w:tcW w:w="7820" w:type="dxa"/>
            <w:vAlign w:val="bottom"/>
            <w:gridSpan w:val="2"/>
          </w:tcPr>
          <w:p>
            <w:pPr>
              <w:spacing w:after="0" w:line="202" w:lineRule="exact"/>
              <w:rPr>
                <w:sz w:val="20"/>
                <w:szCs w:val="20"/>
                <w:color w:val="auto"/>
              </w:rPr>
            </w:pPr>
            <w:r>
              <w:rPr>
                <w:rFonts w:ascii="Arial" w:cs="Arial" w:eastAsia="Arial" w:hAnsi="Arial"/>
                <w:sz w:val="18"/>
                <w:szCs w:val="18"/>
                <w:color w:val="auto"/>
              </w:rPr>
              <w:t>represents an immediate increase in pro forma as adjusted net tangible book value per share of $</w:t>
            </w:r>
          </w:p>
        </w:tc>
        <w:tc>
          <w:tcPr>
            <w:tcW w:w="3200" w:type="dxa"/>
            <w:vAlign w:val="bottom"/>
            <w:gridSpan w:val="7"/>
          </w:tcPr>
          <w:p>
            <w:pPr>
              <w:ind w:left="780"/>
              <w:spacing w:after="0" w:line="202" w:lineRule="exact"/>
              <w:rPr>
                <w:sz w:val="20"/>
                <w:szCs w:val="20"/>
                <w:color w:val="auto"/>
              </w:rPr>
            </w:pPr>
            <w:r>
              <w:rPr>
                <w:rFonts w:ascii="Arial" w:cs="Arial" w:eastAsia="Arial" w:hAnsi="Arial"/>
                <w:sz w:val="18"/>
                <w:szCs w:val="18"/>
                <w:color w:val="auto"/>
              </w:rPr>
              <w:t>to our existing stockholders</w:t>
            </w:r>
          </w:p>
        </w:tc>
      </w:tr>
      <w:tr>
        <w:trPr>
          <w:trHeight w:val="203"/>
        </w:trPr>
        <w:tc>
          <w:tcPr>
            <w:tcW w:w="7440" w:type="dxa"/>
            <w:vAlign w:val="bottom"/>
          </w:tcPr>
          <w:p>
            <w:pPr>
              <w:spacing w:after="0" w:line="202" w:lineRule="exact"/>
              <w:rPr>
                <w:sz w:val="20"/>
                <w:szCs w:val="20"/>
                <w:color w:val="auto"/>
              </w:rPr>
            </w:pPr>
            <w:r>
              <w:rPr>
                <w:rFonts w:ascii="Arial" w:cs="Arial" w:eastAsia="Arial" w:hAnsi="Arial"/>
                <w:sz w:val="18"/>
                <w:szCs w:val="18"/>
                <w:color w:val="auto"/>
              </w:rPr>
              <w:t>and an immediate dilution in pro forma as adjusted net tangible book value per share of $</w:t>
            </w:r>
          </w:p>
        </w:tc>
        <w:tc>
          <w:tcPr>
            <w:tcW w:w="380" w:type="dxa"/>
            <w:vAlign w:val="bottom"/>
          </w:tcPr>
          <w:p>
            <w:pPr>
              <w:spacing w:after="0"/>
              <w:rPr>
                <w:sz w:val="17"/>
                <w:szCs w:val="17"/>
                <w:color w:val="auto"/>
              </w:rPr>
            </w:pPr>
          </w:p>
        </w:tc>
        <w:tc>
          <w:tcPr>
            <w:tcW w:w="3200" w:type="dxa"/>
            <w:vAlign w:val="bottom"/>
            <w:gridSpan w:val="7"/>
          </w:tcPr>
          <w:p>
            <w:pPr>
              <w:ind w:left="60"/>
              <w:spacing w:after="0" w:line="202" w:lineRule="exact"/>
              <w:rPr>
                <w:sz w:val="20"/>
                <w:szCs w:val="20"/>
                <w:color w:val="auto"/>
              </w:rPr>
            </w:pPr>
            <w:r>
              <w:rPr>
                <w:rFonts w:ascii="Arial" w:cs="Arial" w:eastAsia="Arial" w:hAnsi="Arial"/>
                <w:sz w:val="18"/>
                <w:szCs w:val="18"/>
                <w:color w:val="auto"/>
              </w:rPr>
              <w:t>to new investors purchasing common</w:t>
            </w:r>
          </w:p>
        </w:tc>
      </w:tr>
      <w:tr>
        <w:trPr>
          <w:trHeight w:val="243"/>
        </w:trPr>
        <w:tc>
          <w:tcPr>
            <w:tcW w:w="7440" w:type="dxa"/>
            <w:vAlign w:val="bottom"/>
          </w:tcPr>
          <w:p>
            <w:pPr>
              <w:spacing w:after="0"/>
              <w:rPr>
                <w:sz w:val="20"/>
                <w:szCs w:val="20"/>
                <w:color w:val="auto"/>
              </w:rPr>
            </w:pPr>
            <w:r>
              <w:rPr>
                <w:rFonts w:ascii="Arial" w:cs="Arial" w:eastAsia="Arial" w:hAnsi="Arial"/>
                <w:sz w:val="18"/>
                <w:szCs w:val="18"/>
                <w:color w:val="auto"/>
              </w:rPr>
              <w:t>stock in this offering.</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418"/>
        </w:trPr>
        <w:tc>
          <w:tcPr>
            <w:tcW w:w="7440" w:type="dxa"/>
            <w:vAlign w:val="bottom"/>
          </w:tcPr>
          <w:p>
            <w:pPr>
              <w:ind w:left="540"/>
              <w:spacing w:after="0"/>
              <w:rPr>
                <w:sz w:val="20"/>
                <w:szCs w:val="20"/>
                <w:color w:val="auto"/>
              </w:rPr>
            </w:pPr>
            <w:r>
              <w:rPr>
                <w:rFonts w:ascii="Arial" w:cs="Arial" w:eastAsia="Arial" w:hAnsi="Arial"/>
                <w:sz w:val="18"/>
                <w:szCs w:val="18"/>
                <w:color w:val="auto"/>
              </w:rPr>
              <w:t>The following table illustrates this dilution on a per share basis:</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6"/>
        </w:trPr>
        <w:tc>
          <w:tcPr>
            <w:tcW w:w="74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3"/>
        </w:trPr>
        <w:tc>
          <w:tcPr>
            <w:tcW w:w="7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Assumed initial public offering price per share</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860" w:type="dxa"/>
            <w:vAlign w:val="bottom"/>
            <w:gridSpan w:val="5"/>
            <w:shd w:val="clear" w:color="auto" w:fill="CCEEFF"/>
          </w:tcPr>
          <w:p>
            <w:pPr>
              <w:jc w:val="right"/>
              <w:ind w:right="607"/>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r>
      <w:tr>
        <w:trPr>
          <w:trHeight w:val="203"/>
        </w:trPr>
        <w:tc>
          <w:tcPr>
            <w:tcW w:w="7440" w:type="dxa"/>
            <w:vAlign w:val="bottom"/>
          </w:tcPr>
          <w:p>
            <w:pPr>
              <w:ind w:left="360"/>
              <w:spacing w:after="0" w:line="202" w:lineRule="exact"/>
              <w:rPr>
                <w:sz w:val="20"/>
                <w:szCs w:val="20"/>
                <w:color w:val="auto"/>
              </w:rPr>
            </w:pPr>
            <w:r>
              <w:rPr>
                <w:rFonts w:ascii="Arial" w:cs="Arial" w:eastAsia="Arial" w:hAnsi="Arial"/>
                <w:sz w:val="18"/>
                <w:szCs w:val="18"/>
                <w:color w:val="auto"/>
              </w:rPr>
              <w:t>Historical net tangible book value (deficit) per share as of June 30, 2020</w:t>
            </w: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8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$(5.30)</w:t>
            </w: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74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 forma increase in net tangible book value (deficit) per share as of June 30, 2020</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6.24</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187"/>
        </w:trPr>
        <w:tc>
          <w:tcPr>
            <w:tcW w:w="9100" w:type="dxa"/>
            <w:vAlign w:val="bottom"/>
            <w:gridSpan w:val="3"/>
          </w:tcPr>
          <w:p>
            <w:pPr>
              <w:ind w:left="360"/>
              <w:spacing w:after="0" w:line="187" w:lineRule="exact"/>
              <w:rPr>
                <w:sz w:val="20"/>
                <w:szCs w:val="20"/>
                <w:color w:val="auto"/>
              </w:rPr>
            </w:pPr>
            <w:r>
              <w:rPr>
                <w:rFonts w:ascii="Arial" w:cs="Arial" w:eastAsia="Arial" w:hAnsi="Arial"/>
                <w:sz w:val="18"/>
                <w:szCs w:val="18"/>
                <w:color w:val="auto"/>
              </w:rPr>
              <w:t>Pro forma net tangible book value (deficit) per share as of June 30, 2020 Increase in pro forma net tangible</w:t>
            </w:r>
          </w:p>
        </w:tc>
        <w:tc>
          <w:tcPr>
            <w:tcW w:w="220" w:type="dxa"/>
            <w:vAlign w:val="bottom"/>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2"/>
        </w:trPr>
        <w:tc>
          <w:tcPr>
            <w:tcW w:w="7440" w:type="dxa"/>
            <w:vAlign w:val="bottom"/>
          </w:tcPr>
          <w:p>
            <w:pPr>
              <w:ind w:left="540"/>
              <w:spacing w:after="0"/>
              <w:rPr>
                <w:sz w:val="20"/>
                <w:szCs w:val="20"/>
                <w:color w:val="auto"/>
              </w:rPr>
            </w:pPr>
            <w:r>
              <w:rPr>
                <w:rFonts w:ascii="Arial" w:cs="Arial" w:eastAsia="Arial" w:hAnsi="Arial"/>
                <w:sz w:val="18"/>
                <w:szCs w:val="18"/>
                <w:color w:val="auto"/>
              </w:rPr>
              <w:t>book value per share attributable to new investors purchasing shares in this offering</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0.94</w:t>
            </w: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3"/>
        </w:trPr>
        <w:tc>
          <w:tcPr>
            <w:tcW w:w="7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as adjusted net tangible book value per share after this offering</w:t>
            </w:r>
          </w:p>
        </w:tc>
        <w:tc>
          <w:tcPr>
            <w:tcW w:w="3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0"/>
        </w:trPr>
        <w:tc>
          <w:tcPr>
            <w:tcW w:w="7440" w:type="dxa"/>
            <w:vAlign w:val="bottom"/>
          </w:tcPr>
          <w:p>
            <w:pPr>
              <w:spacing w:after="0"/>
              <w:rPr>
                <w:sz w:val="20"/>
                <w:szCs w:val="20"/>
                <w:color w:val="auto"/>
              </w:rPr>
            </w:pPr>
            <w:r>
              <w:rPr>
                <w:rFonts w:ascii="Arial" w:cs="Arial" w:eastAsia="Arial" w:hAnsi="Arial"/>
                <w:sz w:val="18"/>
                <w:szCs w:val="18"/>
                <w:color w:val="auto"/>
              </w:rPr>
              <w:t>Dilution per share to new investors purchasing shares in this offering</w:t>
            </w:r>
          </w:p>
        </w:tc>
        <w:tc>
          <w:tcPr>
            <w:tcW w:w="3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80" w:type="dxa"/>
            <w:vAlign w:val="bottom"/>
            <w:gridSpan w:val="3"/>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07"/>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2760" w:type="dxa"/>
            <w:vAlign w:val="bottom"/>
            <w:gridSpan w:val="6"/>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0"/>
        </w:trPr>
        <w:tc>
          <w:tcPr>
            <w:tcW w:w="7440" w:type="dxa"/>
            <w:vAlign w:val="bottom"/>
          </w:tcPr>
          <w:p>
            <w:pPr>
              <w:ind w:left="540"/>
              <w:spacing w:after="0"/>
              <w:rPr>
                <w:sz w:val="20"/>
                <w:szCs w:val="20"/>
                <w:color w:val="auto"/>
              </w:rPr>
            </w:pPr>
            <w:r>
              <w:rPr>
                <w:rFonts w:ascii="Arial" w:cs="Arial" w:eastAsia="Arial" w:hAnsi="Arial"/>
                <w:sz w:val="18"/>
                <w:szCs w:val="18"/>
                <w:color w:val="auto"/>
              </w:rPr>
              <w:t>Each $1.00 increase or decrease in the assumed initial public offering price of $</w:t>
            </w:r>
          </w:p>
        </w:tc>
        <w:tc>
          <w:tcPr>
            <w:tcW w:w="3580" w:type="dxa"/>
            <w:vAlign w:val="bottom"/>
            <w:gridSpan w:val="8"/>
          </w:tcPr>
          <w:p>
            <w:pPr>
              <w:jc w:val="right"/>
              <w:ind w:right="320"/>
              <w:spacing w:after="0"/>
              <w:rPr>
                <w:sz w:val="20"/>
                <w:szCs w:val="20"/>
                <w:color w:val="auto"/>
              </w:rPr>
            </w:pPr>
            <w:r>
              <w:rPr>
                <w:rFonts w:ascii="Arial" w:cs="Arial" w:eastAsia="Arial" w:hAnsi="Arial"/>
                <w:sz w:val="18"/>
                <w:szCs w:val="18"/>
                <w:color w:val="auto"/>
              </w:rPr>
              <w:t>per share, which is the midpoint of the</w:t>
            </w:r>
          </w:p>
        </w:tc>
      </w:tr>
      <w:tr>
        <w:trPr>
          <w:trHeight w:val="243"/>
        </w:trPr>
        <w:tc>
          <w:tcPr>
            <w:tcW w:w="7440" w:type="dxa"/>
            <w:vAlign w:val="bottom"/>
          </w:tcPr>
          <w:p>
            <w:pPr>
              <w:spacing w:after="0"/>
              <w:rPr>
                <w:sz w:val="20"/>
                <w:szCs w:val="20"/>
                <w:color w:val="auto"/>
              </w:rPr>
            </w:pPr>
            <w:r>
              <w:rPr>
                <w:rFonts w:ascii="Arial" w:cs="Arial" w:eastAsia="Arial" w:hAnsi="Arial"/>
                <w:sz w:val="18"/>
                <w:szCs w:val="18"/>
                <w:color w:val="auto"/>
              </w:rPr>
              <w:t>estimated offering price range set forth on the cover page of this</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351"/>
        </w:trPr>
        <w:tc>
          <w:tcPr>
            <w:tcW w:w="7440" w:type="dxa"/>
            <w:vAlign w:val="bottom"/>
          </w:tcPr>
          <w:p>
            <w:pPr>
              <w:ind w:left="5400"/>
              <w:spacing w:after="0"/>
              <w:rPr>
                <w:sz w:val="20"/>
                <w:szCs w:val="20"/>
                <w:color w:val="auto"/>
              </w:rPr>
            </w:pPr>
            <w:r>
              <w:rPr>
                <w:rFonts w:ascii="Arial" w:cs="Arial" w:eastAsia="Arial" w:hAnsi="Arial"/>
                <w:sz w:val="18"/>
                <w:szCs w:val="18"/>
                <w:color w:val="auto"/>
              </w:rPr>
              <w:t>98</w:t>
            </w: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prospectus, would increase or decrease, as applicable, the pro forma as adjusted net tangible book value per share after this offering by</w:t>
      </w:r>
    </w:p>
    <w:p>
      <w:pPr>
        <w:spacing w:after="0" w:line="18" w:lineRule="exact"/>
        <w:rPr>
          <w:sz w:val="20"/>
          <w:szCs w:val="20"/>
          <w:color w:val="auto"/>
        </w:rPr>
      </w:pPr>
    </w:p>
    <w:p>
      <w:pPr>
        <w:ind w:left="120" w:right="140"/>
        <w:spacing w:after="0" w:line="234" w:lineRule="auto"/>
        <w:rPr>
          <w:sz w:val="20"/>
          <w:szCs w:val="20"/>
          <w:color w:val="auto"/>
        </w:rPr>
      </w:pPr>
      <w:r>
        <w:rPr>
          <w:rFonts w:ascii="Arial" w:cs="Arial" w:eastAsia="Arial" w:hAnsi="Arial"/>
          <w:sz w:val="18"/>
          <w:szCs w:val="18"/>
          <w:color w:val="auto"/>
        </w:rPr>
        <w:t>$ per share and the dilution to new investors purchasing common stock in this offering by $ per share, assuming the number of shares offered by us, as set forth on the cover page of this prospectus, remains the same, and after deducting estimated underwriting discounts and commissions and estimated offering expenses payable by us. An increase of 1.0 million shares in the number</w:t>
      </w:r>
    </w:p>
    <w:tbl>
      <w:tblPr>
        <w:tblLayout w:type="fixed"/>
        <w:tblInd w:w="120" w:type="dxa"/>
        <w:tblCellMar>
          <w:top w:w="0" w:type="dxa"/>
          <w:left w:w="0" w:type="dxa"/>
          <w:bottom w:w="0" w:type="dxa"/>
          <w:right w:w="0" w:type="dxa"/>
        </w:tblCellMar>
      </w:tblPr>
      <w:tr>
        <w:trPr>
          <w:trHeight w:val="183"/>
        </w:trPr>
        <w:tc>
          <w:tcPr>
            <w:tcW w:w="10080" w:type="dxa"/>
            <w:vAlign w:val="bottom"/>
            <w:gridSpan w:val="3"/>
          </w:tcPr>
          <w:p>
            <w:pPr>
              <w:spacing w:after="0" w:line="182" w:lineRule="exact"/>
              <w:rPr>
                <w:sz w:val="20"/>
                <w:szCs w:val="20"/>
                <w:color w:val="auto"/>
              </w:rPr>
            </w:pPr>
            <w:r>
              <w:rPr>
                <w:rFonts w:ascii="Arial" w:cs="Arial" w:eastAsia="Arial" w:hAnsi="Arial"/>
                <w:sz w:val="18"/>
                <w:szCs w:val="18"/>
                <w:color w:val="auto"/>
              </w:rPr>
              <w:t>of shares offered by us would increase the pro forma as adjusted net tangible book value per share after this offering by $</w:t>
            </w:r>
          </w:p>
        </w:tc>
        <w:tc>
          <w:tcPr>
            <w:tcW w:w="920" w:type="dxa"/>
            <w:vAlign w:val="bottom"/>
          </w:tcPr>
          <w:p>
            <w:pPr>
              <w:ind w:left="380"/>
              <w:spacing w:after="0" w:line="182" w:lineRule="exact"/>
              <w:rPr>
                <w:sz w:val="20"/>
                <w:szCs w:val="20"/>
                <w:color w:val="auto"/>
              </w:rPr>
            </w:pPr>
            <w:r>
              <w:rPr>
                <w:rFonts w:ascii="Arial" w:cs="Arial" w:eastAsia="Arial" w:hAnsi="Arial"/>
                <w:sz w:val="18"/>
                <w:szCs w:val="18"/>
                <w:color w:val="auto"/>
              </w:rPr>
              <w:t>and</w:t>
            </w:r>
          </w:p>
        </w:tc>
      </w:tr>
      <w:tr>
        <w:trPr>
          <w:trHeight w:val="203"/>
        </w:trPr>
        <w:tc>
          <w:tcPr>
            <w:tcW w:w="6760" w:type="dxa"/>
            <w:vAlign w:val="bottom"/>
            <w:gridSpan w:val="2"/>
          </w:tcPr>
          <w:p>
            <w:pPr>
              <w:spacing w:after="0" w:line="202" w:lineRule="exact"/>
              <w:rPr>
                <w:sz w:val="20"/>
                <w:szCs w:val="20"/>
                <w:color w:val="auto"/>
              </w:rPr>
            </w:pPr>
            <w:r>
              <w:rPr>
                <w:rFonts w:ascii="Arial" w:cs="Arial" w:eastAsia="Arial" w:hAnsi="Arial"/>
                <w:sz w:val="18"/>
                <w:szCs w:val="18"/>
                <w:color w:val="auto"/>
              </w:rPr>
              <w:t>decrease the dilution per share to new investors participating in this offering by $</w:t>
            </w:r>
          </w:p>
        </w:tc>
        <w:tc>
          <w:tcPr>
            <w:tcW w:w="4240" w:type="dxa"/>
            <w:vAlign w:val="bottom"/>
            <w:gridSpan w:val="2"/>
          </w:tcPr>
          <w:p>
            <w:pPr>
              <w:ind w:left="440"/>
              <w:spacing w:after="0" w:line="202" w:lineRule="exact"/>
              <w:rPr>
                <w:sz w:val="20"/>
                <w:szCs w:val="20"/>
                <w:color w:val="auto"/>
              </w:rPr>
            </w:pPr>
            <w:r>
              <w:rPr>
                <w:rFonts w:ascii="Arial" w:cs="Arial" w:eastAsia="Arial" w:hAnsi="Arial"/>
                <w:sz w:val="18"/>
                <w:szCs w:val="18"/>
                <w:color w:val="auto"/>
                <w:w w:val="99"/>
              </w:rPr>
              <w:t>. A decrease of 1.0 million shares in the number</w:t>
            </w:r>
          </w:p>
        </w:tc>
      </w:tr>
      <w:tr>
        <w:trPr>
          <w:trHeight w:val="203"/>
        </w:trPr>
        <w:tc>
          <w:tcPr>
            <w:tcW w:w="10080" w:type="dxa"/>
            <w:vAlign w:val="bottom"/>
            <w:gridSpan w:val="3"/>
          </w:tcPr>
          <w:p>
            <w:pPr>
              <w:spacing w:after="0" w:line="202" w:lineRule="exact"/>
              <w:rPr>
                <w:sz w:val="20"/>
                <w:szCs w:val="20"/>
                <w:color w:val="auto"/>
              </w:rPr>
            </w:pPr>
            <w:r>
              <w:rPr>
                <w:rFonts w:ascii="Arial" w:cs="Arial" w:eastAsia="Arial" w:hAnsi="Arial"/>
                <w:sz w:val="18"/>
                <w:szCs w:val="18"/>
                <w:color w:val="auto"/>
              </w:rPr>
              <w:t>of shares offered by us would decrease the pro forma as adjusted net tangible book value per share after this offering by $</w:t>
            </w:r>
          </w:p>
        </w:tc>
        <w:tc>
          <w:tcPr>
            <w:tcW w:w="920" w:type="dxa"/>
            <w:vAlign w:val="bottom"/>
          </w:tcPr>
          <w:p>
            <w:pPr>
              <w:ind w:left="440"/>
              <w:spacing w:after="0" w:line="202" w:lineRule="exact"/>
              <w:rPr>
                <w:sz w:val="20"/>
                <w:szCs w:val="20"/>
                <w:color w:val="auto"/>
              </w:rPr>
            </w:pPr>
            <w:r>
              <w:rPr>
                <w:rFonts w:ascii="Arial" w:cs="Arial" w:eastAsia="Arial" w:hAnsi="Arial"/>
                <w:sz w:val="18"/>
                <w:szCs w:val="18"/>
                <w:color w:val="auto"/>
              </w:rPr>
              <w:t>and</w:t>
            </w:r>
          </w:p>
        </w:tc>
      </w:tr>
      <w:tr>
        <w:trPr>
          <w:trHeight w:val="203"/>
        </w:trPr>
        <w:tc>
          <w:tcPr>
            <w:tcW w:w="6760" w:type="dxa"/>
            <w:vAlign w:val="bottom"/>
            <w:gridSpan w:val="2"/>
          </w:tcPr>
          <w:p>
            <w:pPr>
              <w:spacing w:after="0" w:line="202" w:lineRule="exact"/>
              <w:rPr>
                <w:sz w:val="20"/>
                <w:szCs w:val="20"/>
                <w:color w:val="auto"/>
              </w:rPr>
            </w:pPr>
            <w:r>
              <w:rPr>
                <w:rFonts w:ascii="Arial" w:cs="Arial" w:eastAsia="Arial" w:hAnsi="Arial"/>
                <w:sz w:val="18"/>
                <w:szCs w:val="18"/>
                <w:color w:val="auto"/>
              </w:rPr>
              <w:t>increase the dilution per share to new investors participating in this offering by $</w:t>
            </w:r>
          </w:p>
        </w:tc>
        <w:tc>
          <w:tcPr>
            <w:tcW w:w="4240" w:type="dxa"/>
            <w:vAlign w:val="bottom"/>
            <w:gridSpan w:val="2"/>
          </w:tcPr>
          <w:p>
            <w:pPr>
              <w:ind w:left="380"/>
              <w:spacing w:after="0" w:line="202" w:lineRule="exact"/>
              <w:rPr>
                <w:sz w:val="20"/>
                <w:szCs w:val="20"/>
                <w:color w:val="auto"/>
              </w:rPr>
            </w:pPr>
            <w:r>
              <w:rPr>
                <w:rFonts w:ascii="Arial" w:cs="Arial" w:eastAsia="Arial" w:hAnsi="Arial"/>
                <w:sz w:val="18"/>
                <w:szCs w:val="18"/>
                <w:color w:val="auto"/>
              </w:rPr>
              <w:t>, assuming the assumed initial public offering</w:t>
            </w:r>
          </w:p>
        </w:tc>
      </w:tr>
      <w:tr>
        <w:trPr>
          <w:trHeight w:val="224"/>
        </w:trPr>
        <w:tc>
          <w:tcPr>
            <w:tcW w:w="1140" w:type="dxa"/>
            <w:vAlign w:val="bottom"/>
          </w:tcPr>
          <w:p>
            <w:pPr>
              <w:spacing w:after="0"/>
              <w:rPr>
                <w:sz w:val="20"/>
                <w:szCs w:val="20"/>
                <w:color w:val="auto"/>
              </w:rPr>
            </w:pPr>
            <w:r>
              <w:rPr>
                <w:rFonts w:ascii="Arial" w:cs="Arial" w:eastAsia="Arial" w:hAnsi="Arial"/>
                <w:sz w:val="18"/>
                <w:szCs w:val="18"/>
                <w:color w:val="auto"/>
              </w:rPr>
              <w:t>price of $</w:t>
            </w:r>
          </w:p>
        </w:tc>
        <w:tc>
          <w:tcPr>
            <w:tcW w:w="9860" w:type="dxa"/>
            <w:vAlign w:val="bottom"/>
            <w:gridSpan w:val="3"/>
          </w:tcPr>
          <w:p>
            <w:pPr>
              <w:ind w:left="400"/>
              <w:spacing w:after="0"/>
              <w:rPr>
                <w:sz w:val="20"/>
                <w:szCs w:val="20"/>
                <w:color w:val="auto"/>
              </w:rPr>
            </w:pPr>
            <w:r>
              <w:rPr>
                <w:rFonts w:ascii="Arial" w:cs="Arial" w:eastAsia="Arial" w:hAnsi="Arial"/>
                <w:sz w:val="18"/>
                <w:szCs w:val="18"/>
                <w:color w:val="auto"/>
              </w:rPr>
              <w:t>per share, which is the midpoint of the estimated offering price range set forth on the cover page of this prospectus,</w:t>
            </w:r>
          </w:p>
        </w:tc>
      </w:tr>
    </w:tbl>
    <w:p>
      <w:pPr>
        <w:ind w:left="120" w:right="280"/>
        <w:spacing w:after="0" w:line="250" w:lineRule="auto"/>
        <w:rPr>
          <w:sz w:val="20"/>
          <w:szCs w:val="20"/>
          <w:color w:val="auto"/>
        </w:rPr>
      </w:pPr>
      <w:r>
        <w:rPr>
          <w:rFonts w:ascii="Arial" w:cs="Arial" w:eastAsia="Arial" w:hAnsi="Arial"/>
          <w:sz w:val="18"/>
          <w:szCs w:val="18"/>
          <w:color w:val="auto"/>
        </w:rPr>
        <w:t>remains the same, and after deducting estimated underwriting discounts and commissions and estimated offering expenses payable by us.</w:t>
      </w:r>
    </w:p>
    <w:p>
      <w:pPr>
        <w:spacing w:after="0" w:line="168" w:lineRule="exact"/>
        <w:rPr>
          <w:sz w:val="20"/>
          <w:szCs w:val="20"/>
          <w:color w:val="auto"/>
        </w:rPr>
      </w:pPr>
    </w:p>
    <w:p>
      <w:pPr>
        <w:ind w:left="120" w:right="360" w:firstLine="551"/>
        <w:spacing w:after="0" w:line="247" w:lineRule="auto"/>
        <w:rPr>
          <w:sz w:val="20"/>
          <w:szCs w:val="20"/>
          <w:color w:val="auto"/>
        </w:rPr>
      </w:pPr>
      <w:r>
        <w:rPr>
          <w:rFonts w:ascii="Arial" w:cs="Arial" w:eastAsia="Arial" w:hAnsi="Arial"/>
          <w:sz w:val="18"/>
          <w:szCs w:val="18"/>
          <w:color w:val="auto"/>
        </w:rPr>
        <w:t>If the underwriters exercise their option to purchase additional shares of common stock in this offering in full at the assumed initial public offering price of $ per share, which is the midpoint of the estimated offering price range set forth on the</w:t>
      </w:r>
    </w:p>
    <w:p>
      <w:pPr>
        <w:spacing w:after="0" w:line="1" w:lineRule="exact"/>
        <w:rPr>
          <w:sz w:val="20"/>
          <w:szCs w:val="20"/>
          <w:color w:val="auto"/>
        </w:rPr>
      </w:pPr>
    </w:p>
    <w:p>
      <w:pPr>
        <w:ind w:left="120" w:right="80"/>
        <w:spacing w:after="0" w:line="248" w:lineRule="auto"/>
        <w:rPr>
          <w:sz w:val="20"/>
          <w:szCs w:val="20"/>
          <w:color w:val="auto"/>
        </w:rPr>
      </w:pPr>
      <w:r>
        <w:rPr>
          <w:rFonts w:ascii="Arial" w:cs="Arial" w:eastAsia="Arial" w:hAnsi="Arial"/>
          <w:sz w:val="17"/>
          <w:szCs w:val="17"/>
          <w:color w:val="auto"/>
        </w:rPr>
        <w:t>cover of this prospectus, and assuming the number of shares offered by us, as set forth on the cover page of this prospectus, remains the same, and after deducting estimated underwriting discounts and commissions and estimated offering expenses payable by us, the pro</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ind w:left="120" w:right="440"/>
        <w:spacing w:after="0" w:line="276" w:lineRule="auto"/>
        <w:rPr>
          <w:sz w:val="20"/>
          <w:szCs w:val="20"/>
          <w:color w:val="auto"/>
        </w:rPr>
      </w:pPr>
      <w:r>
        <w:rPr>
          <w:rFonts w:ascii="Arial" w:cs="Arial" w:eastAsia="Arial" w:hAnsi="Arial"/>
          <w:sz w:val="18"/>
          <w:szCs w:val="18"/>
          <w:color w:val="auto"/>
        </w:rPr>
        <w:t>forma as adjusted net tangible book value per share after this offering would be $ per share, and the dilution in pro forma as adjusted net tangible book value per share to new investors purchasing common stock in this offering would be $ per share.</w:t>
      </w:r>
    </w:p>
    <w:p>
      <w:pPr>
        <w:spacing w:after="0" w:line="145" w:lineRule="exact"/>
        <w:rPr>
          <w:sz w:val="20"/>
          <w:szCs w:val="20"/>
          <w:color w:val="auto"/>
        </w:rPr>
      </w:pPr>
    </w:p>
    <w:p>
      <w:pPr>
        <w:ind w:left="120" w:right="60" w:firstLine="551"/>
        <w:spacing w:after="0" w:line="262" w:lineRule="auto"/>
        <w:rPr>
          <w:sz w:val="20"/>
          <w:szCs w:val="20"/>
          <w:color w:val="auto"/>
        </w:rPr>
      </w:pPr>
      <w:r>
        <w:rPr>
          <w:rFonts w:ascii="Arial" w:cs="Arial" w:eastAsia="Arial" w:hAnsi="Arial"/>
          <w:sz w:val="17"/>
          <w:szCs w:val="17"/>
          <w:color w:val="auto"/>
        </w:rPr>
        <w:t>The following table summarizes, on a pro forma as adjusted basis, as of June 30, 2020, the number of shares of common stock purchased from us on an as converted to common stock basis, the total consideration paid and the weighted-average price per share paid</w:t>
      </w:r>
    </w:p>
    <w:p>
      <w:pPr>
        <w:jc w:val="both"/>
        <w:ind w:left="120" w:right="160"/>
        <w:spacing w:after="0" w:line="242" w:lineRule="auto"/>
        <w:rPr>
          <w:sz w:val="20"/>
          <w:szCs w:val="20"/>
          <w:color w:val="auto"/>
        </w:rPr>
      </w:pPr>
      <w:r>
        <w:rPr>
          <w:rFonts w:ascii="Arial" w:cs="Arial" w:eastAsia="Arial" w:hAnsi="Arial"/>
          <w:sz w:val="18"/>
          <w:szCs w:val="18"/>
          <w:color w:val="auto"/>
        </w:rPr>
        <w:t>by existing stockholders and by new investors in this offering at the assumed initial public offering price of $ per share, which is the midpoint of the estimated offering price range set forth on the cover page of this prospectus, before deducting estimated underwriting discounts and commissions and estimated offering expenses payable by us.</w:t>
      </w:r>
    </w:p>
    <w:p>
      <w:pPr>
        <w:spacing w:after="0" w:line="21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5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20" w:type="dxa"/>
            <w:vAlign w:val="bottom"/>
            <w:gridSpan w:val="3"/>
            <w:vMerge w:val="restart"/>
          </w:tcPr>
          <w:p>
            <w:pPr>
              <w:jc w:val="center"/>
              <w:ind w:left="468"/>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4"/>
            <w:vMerge w:val="restart"/>
          </w:tcPr>
          <w:p>
            <w:pPr>
              <w:jc w:val="right"/>
              <w:ind w:right="93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95"/>
        </w:trPr>
        <w:tc>
          <w:tcPr>
            <w:tcW w:w="1520" w:type="dxa"/>
            <w:vAlign w:val="bottom"/>
          </w:tcPr>
          <w:p>
            <w:pPr>
              <w:spacing w:after="0"/>
              <w:rPr>
                <w:sz w:val="8"/>
                <w:szCs w:val="8"/>
                <w:color w:val="auto"/>
              </w:rPr>
            </w:pPr>
          </w:p>
        </w:tc>
        <w:tc>
          <w:tcPr>
            <w:tcW w:w="300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0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360" w:type="dxa"/>
            <w:vAlign w:val="bottom"/>
            <w:gridSpan w:val="4"/>
            <w:vMerge w:val="continue"/>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68"/>
        </w:trPr>
        <w:tc>
          <w:tcPr>
            <w:tcW w:w="1520" w:type="dxa"/>
            <w:vAlign w:val="bottom"/>
          </w:tcPr>
          <w:p>
            <w:pPr>
              <w:spacing w:after="0"/>
              <w:rPr>
                <w:sz w:val="5"/>
                <w:szCs w:val="5"/>
                <w:color w:val="auto"/>
              </w:rPr>
            </w:pPr>
          </w:p>
        </w:tc>
        <w:tc>
          <w:tcPr>
            <w:tcW w:w="30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1200" w:type="dxa"/>
            <w:vAlign w:val="bottom"/>
            <w:gridSpan w:val="4"/>
            <w:vMerge w:val="restart"/>
          </w:tcPr>
          <w:p>
            <w:pPr>
              <w:jc w:val="center"/>
              <w:ind w:left="268"/>
              <w:spacing w:after="0"/>
              <w:rPr>
                <w:sz w:val="20"/>
                <w:szCs w:val="20"/>
                <w:color w:val="auto"/>
              </w:rPr>
            </w:pPr>
            <w:r>
              <w:rPr>
                <w:rFonts w:ascii="Arial" w:cs="Arial" w:eastAsia="Arial" w:hAnsi="Arial"/>
                <w:sz w:val="14"/>
                <w:szCs w:val="14"/>
                <w:b w:val="1"/>
                <w:bCs w:val="1"/>
                <w:color w:val="auto"/>
              </w:rPr>
              <w:t>Purchased</w:t>
            </w:r>
          </w:p>
        </w:tc>
        <w:tc>
          <w:tcPr>
            <w:tcW w:w="3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900" w:type="dxa"/>
            <w:vAlign w:val="bottom"/>
            <w:gridSpan w:val="5"/>
            <w:vMerge w:val="restart"/>
          </w:tcPr>
          <w:p>
            <w:pPr>
              <w:jc w:val="right"/>
              <w:ind w:right="610"/>
              <w:spacing w:after="0"/>
              <w:rPr>
                <w:sz w:val="20"/>
                <w:szCs w:val="20"/>
                <w:color w:val="auto"/>
              </w:rPr>
            </w:pPr>
            <w:r>
              <w:rPr>
                <w:rFonts w:ascii="Arial" w:cs="Arial" w:eastAsia="Arial" w:hAnsi="Arial"/>
                <w:sz w:val="14"/>
                <w:szCs w:val="14"/>
                <w:b w:val="1"/>
                <w:bCs w:val="1"/>
                <w:color w:val="auto"/>
              </w:rPr>
              <w:t>Consideration</w:t>
            </w:r>
          </w:p>
        </w:tc>
        <w:tc>
          <w:tcPr>
            <w:tcW w:w="14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1520" w:type="dxa"/>
            <w:vAlign w:val="bottom"/>
          </w:tcPr>
          <w:p>
            <w:pPr>
              <w:spacing w:after="0"/>
              <w:rPr>
                <w:sz w:val="9"/>
                <w:szCs w:val="9"/>
                <w:color w:val="auto"/>
              </w:rPr>
            </w:pPr>
          </w:p>
        </w:tc>
        <w:tc>
          <w:tcPr>
            <w:tcW w:w="30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0" w:type="dxa"/>
            <w:vAlign w:val="bottom"/>
            <w:gridSpan w:val="4"/>
            <w:vMerge w:val="continue"/>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0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rPr>
              <w:t>Price Per</w:t>
            </w:r>
          </w:p>
        </w:tc>
        <w:tc>
          <w:tcPr>
            <w:tcW w:w="0" w:type="dxa"/>
            <w:vAlign w:val="bottom"/>
          </w:tcPr>
          <w:p>
            <w:pPr>
              <w:spacing w:after="0"/>
              <w:rPr>
                <w:sz w:val="1"/>
                <w:szCs w:val="1"/>
                <w:color w:val="auto"/>
              </w:rPr>
            </w:pPr>
          </w:p>
        </w:tc>
      </w:tr>
      <w:tr>
        <w:trPr>
          <w:trHeight w:val="32"/>
        </w:trPr>
        <w:tc>
          <w:tcPr>
            <w:tcW w:w="15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1520" w:type="dxa"/>
            <w:vAlign w:val="bottom"/>
          </w:tcPr>
          <w:p>
            <w:pPr>
              <w:spacing w:after="0"/>
              <w:rPr>
                <w:sz w:val="15"/>
                <w:szCs w:val="15"/>
                <w:color w:val="auto"/>
              </w:rPr>
            </w:pPr>
          </w:p>
        </w:tc>
        <w:tc>
          <w:tcPr>
            <w:tcW w:w="30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Number</w:t>
            </w:r>
          </w:p>
        </w:tc>
        <w:tc>
          <w:tcPr>
            <w:tcW w:w="860" w:type="dxa"/>
            <w:vAlign w:val="bottom"/>
            <w:gridSpan w:val="3"/>
          </w:tcPr>
          <w:p>
            <w:pPr>
              <w:jc w:val="right"/>
              <w:ind w:right="250"/>
              <w:spacing w:after="0"/>
              <w:rPr>
                <w:sz w:val="20"/>
                <w:szCs w:val="20"/>
                <w:color w:val="auto"/>
              </w:rPr>
            </w:pPr>
            <w:r>
              <w:rPr>
                <w:rFonts w:ascii="Arial" w:cs="Arial" w:eastAsia="Arial" w:hAnsi="Arial"/>
                <w:sz w:val="14"/>
                <w:szCs w:val="14"/>
                <w:b w:val="1"/>
                <w:bCs w:val="1"/>
                <w:color w:val="auto"/>
                <w:w w:val="97"/>
              </w:rPr>
              <w:t>Percent</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Percent</w:t>
            </w:r>
          </w:p>
        </w:tc>
        <w:tc>
          <w:tcPr>
            <w:tcW w:w="140" w:type="dxa"/>
            <w:vAlign w:val="bottom"/>
          </w:tcPr>
          <w:p>
            <w:pPr>
              <w:spacing w:after="0"/>
              <w:rPr>
                <w:sz w:val="15"/>
                <w:szCs w:val="15"/>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rPr>
              <w:t>Share</w:t>
            </w:r>
          </w:p>
        </w:tc>
        <w:tc>
          <w:tcPr>
            <w:tcW w:w="0" w:type="dxa"/>
            <w:vAlign w:val="bottom"/>
          </w:tcPr>
          <w:p>
            <w:pPr>
              <w:spacing w:after="0"/>
              <w:rPr>
                <w:sz w:val="1"/>
                <w:szCs w:val="1"/>
                <w:color w:val="auto"/>
              </w:rPr>
            </w:pPr>
          </w:p>
        </w:tc>
      </w:tr>
      <w:tr>
        <w:trPr>
          <w:trHeight w:val="196"/>
        </w:trPr>
        <w:tc>
          <w:tcPr>
            <w:tcW w:w="45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Existing stockholders before this offering</w:t>
            </w:r>
          </w:p>
        </w:tc>
        <w:tc>
          <w:tcPr>
            <w:tcW w:w="14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87"/>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87"/>
              </w:rPr>
              <w:t>%</w:t>
            </w: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ind w:right="604"/>
              <w:spacing w:after="0" w:line="196" w:lineRule="exact"/>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Investors participating in this offering</w:t>
            </w:r>
          </w:p>
        </w:tc>
        <w:tc>
          <w:tcPr>
            <w:tcW w:w="14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920" w:type="dxa"/>
            <w:vAlign w:val="bottom"/>
            <w:gridSpan w:val="2"/>
          </w:tcPr>
          <w:p>
            <w:pPr>
              <w:jc w:val="right"/>
              <w:ind w:right="604"/>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5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30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90"/>
              <w:spacing w:after="0" w:line="202" w:lineRule="exact"/>
              <w:rPr>
                <w:sz w:val="20"/>
                <w:szCs w:val="20"/>
                <w:color w:val="auto"/>
              </w:rPr>
            </w:pPr>
            <w:r>
              <w:rPr>
                <w:rFonts w:ascii="Arial" w:cs="Arial" w:eastAsia="Arial" w:hAnsi="Arial"/>
                <w:sz w:val="18"/>
                <w:szCs w:val="18"/>
                <w:color w:val="auto"/>
              </w:rPr>
              <w:t>100%</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7"/>
                <w:szCs w:val="17"/>
                <w:color w:val="auto"/>
              </w:rPr>
            </w:pPr>
          </w:p>
        </w:tc>
        <w:tc>
          <w:tcPr>
            <w:tcW w:w="1360" w:type="dxa"/>
            <w:vAlign w:val="bottom"/>
            <w:gridSpan w:val="4"/>
            <w:shd w:val="clear" w:color="auto" w:fill="CCEEFF"/>
          </w:tcPr>
          <w:p>
            <w:pPr>
              <w:jc w:val="right"/>
              <w:ind w:right="110"/>
              <w:spacing w:after="0" w:line="202" w:lineRule="exact"/>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80" w:type="dxa"/>
            <w:vAlign w:val="bottom"/>
            <w:gridSpan w:val="3"/>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80" w:type="dxa"/>
            <w:vAlign w:val="bottom"/>
            <w:tcBorders>
              <w:top w:val="single" w:sz="8" w:color="auto"/>
              <w:bottom w:val="single" w:sz="8" w:color="auto"/>
            </w:tcBorders>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7000" w:type="dxa"/>
            <w:vAlign w:val="bottom"/>
            <w:gridSpan w:val="6"/>
          </w:tcPr>
          <w:p>
            <w:pPr>
              <w:ind w:left="540"/>
              <w:spacing w:after="0"/>
              <w:rPr>
                <w:sz w:val="20"/>
                <w:szCs w:val="20"/>
                <w:color w:val="auto"/>
              </w:rPr>
            </w:pPr>
            <w:r>
              <w:rPr>
                <w:rFonts w:ascii="Arial" w:cs="Arial" w:eastAsia="Arial" w:hAnsi="Arial"/>
                <w:sz w:val="18"/>
                <w:szCs w:val="18"/>
                <w:color w:val="auto"/>
              </w:rPr>
              <w:t>The table above assumes no exercise of the underwriters’ option to purchase</w:t>
            </w:r>
          </w:p>
        </w:tc>
        <w:tc>
          <w:tcPr>
            <w:tcW w:w="180" w:type="dxa"/>
            <w:vAlign w:val="bottom"/>
          </w:tcPr>
          <w:p>
            <w:pPr>
              <w:spacing w:after="0"/>
              <w:rPr>
                <w:sz w:val="24"/>
                <w:szCs w:val="24"/>
                <w:color w:val="auto"/>
              </w:rPr>
            </w:pPr>
          </w:p>
        </w:tc>
        <w:tc>
          <w:tcPr>
            <w:tcW w:w="3840" w:type="dxa"/>
            <w:vAlign w:val="bottom"/>
            <w:gridSpan w:val="12"/>
          </w:tcPr>
          <w:p>
            <w:pPr>
              <w:ind w:left="300"/>
              <w:spacing w:after="0"/>
              <w:rPr>
                <w:sz w:val="20"/>
                <w:szCs w:val="20"/>
                <w:color w:val="auto"/>
              </w:rPr>
            </w:pPr>
            <w:r>
              <w:rPr>
                <w:rFonts w:ascii="Arial" w:cs="Arial" w:eastAsia="Arial" w:hAnsi="Arial"/>
                <w:sz w:val="18"/>
                <w:szCs w:val="18"/>
                <w:color w:val="auto"/>
              </w:rPr>
              <w:t>additional shares in this offering. If the</w:t>
            </w:r>
          </w:p>
        </w:tc>
        <w:tc>
          <w:tcPr>
            <w:tcW w:w="0" w:type="dxa"/>
            <w:vAlign w:val="bottom"/>
          </w:tcPr>
          <w:p>
            <w:pPr>
              <w:spacing w:after="0"/>
              <w:rPr>
                <w:sz w:val="1"/>
                <w:szCs w:val="1"/>
                <w:color w:val="auto"/>
              </w:rPr>
            </w:pPr>
          </w:p>
        </w:tc>
      </w:tr>
      <w:tr>
        <w:trPr>
          <w:trHeight w:val="203"/>
        </w:trPr>
        <w:tc>
          <w:tcPr>
            <w:tcW w:w="11020" w:type="dxa"/>
            <w:vAlign w:val="bottom"/>
            <w:gridSpan w:val="19"/>
          </w:tcPr>
          <w:p>
            <w:pPr>
              <w:spacing w:after="0" w:line="202" w:lineRule="exact"/>
              <w:rPr>
                <w:sz w:val="20"/>
                <w:szCs w:val="20"/>
                <w:color w:val="auto"/>
              </w:rPr>
            </w:pPr>
            <w:r>
              <w:rPr>
                <w:rFonts w:ascii="Arial" w:cs="Arial" w:eastAsia="Arial" w:hAnsi="Arial"/>
                <w:sz w:val="18"/>
                <w:szCs w:val="18"/>
                <w:color w:val="auto"/>
              </w:rPr>
              <w:t>underwriters’ option to purchase additional shares is exercised in full, the number of shares of our common stock held by existing</w:t>
            </w: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stockholders would be reduced to approximately</w:t>
            </w:r>
          </w:p>
        </w:tc>
        <w:tc>
          <w:tcPr>
            <w:tcW w:w="6500" w:type="dxa"/>
            <w:vAlign w:val="bottom"/>
            <w:gridSpan w:val="17"/>
          </w:tcPr>
          <w:p>
            <w:pPr>
              <w:ind w:left="120"/>
              <w:spacing w:after="0" w:line="202" w:lineRule="exact"/>
              <w:rPr>
                <w:sz w:val="20"/>
                <w:szCs w:val="20"/>
                <w:color w:val="auto"/>
              </w:rPr>
            </w:pPr>
            <w:r>
              <w:rPr>
                <w:rFonts w:ascii="Arial" w:cs="Arial" w:eastAsia="Arial" w:hAnsi="Arial"/>
                <w:sz w:val="18"/>
                <w:szCs w:val="18"/>
                <w:color w:val="auto"/>
              </w:rPr>
              <w:t>% of the total number of shares of our common stock outstanding after this</w:t>
            </w:r>
          </w:p>
        </w:tc>
        <w:tc>
          <w:tcPr>
            <w:tcW w:w="0" w:type="dxa"/>
            <w:vAlign w:val="bottom"/>
          </w:tcPr>
          <w:p>
            <w:pPr>
              <w:spacing w:after="0"/>
              <w:rPr>
                <w:sz w:val="1"/>
                <w:szCs w:val="1"/>
                <w:color w:val="auto"/>
              </w:rPr>
            </w:pPr>
          </w:p>
        </w:tc>
      </w:tr>
      <w:tr>
        <w:trPr>
          <w:trHeight w:val="203"/>
        </w:trPr>
        <w:tc>
          <w:tcPr>
            <w:tcW w:w="10040" w:type="dxa"/>
            <w:vAlign w:val="bottom"/>
            <w:gridSpan w:val="16"/>
          </w:tcPr>
          <w:p>
            <w:pPr>
              <w:spacing w:after="0" w:line="202" w:lineRule="exact"/>
              <w:rPr>
                <w:sz w:val="20"/>
                <w:szCs w:val="20"/>
                <w:color w:val="auto"/>
              </w:rPr>
            </w:pPr>
            <w:r>
              <w:rPr>
                <w:rFonts w:ascii="Arial" w:cs="Arial" w:eastAsia="Arial" w:hAnsi="Arial"/>
                <w:sz w:val="18"/>
                <w:szCs w:val="18"/>
                <w:color w:val="auto"/>
              </w:rPr>
              <w:t>offering, and the number of shares of common stock held by new investors participating in the offering would be increased to</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rPr>
                <w:sz w:val="20"/>
                <w:szCs w:val="20"/>
                <w:color w:val="auto"/>
              </w:rPr>
            </w:pPr>
            <w:r>
              <w:rPr>
                <w:rFonts w:ascii="Arial" w:cs="Arial" w:eastAsia="Arial" w:hAnsi="Arial"/>
                <w:sz w:val="18"/>
                <w:szCs w:val="18"/>
                <w:color w:val="auto"/>
              </w:rPr>
              <w:t>approximately</w:t>
            </w:r>
          </w:p>
        </w:tc>
        <w:tc>
          <w:tcPr>
            <w:tcW w:w="5480" w:type="dxa"/>
            <w:vAlign w:val="bottom"/>
            <w:gridSpan w:val="5"/>
          </w:tcPr>
          <w:p>
            <w:pPr>
              <w:ind w:left="400"/>
              <w:spacing w:after="0"/>
              <w:rPr>
                <w:sz w:val="20"/>
                <w:szCs w:val="20"/>
                <w:color w:val="auto"/>
              </w:rPr>
            </w:pPr>
            <w:r>
              <w:rPr>
                <w:rFonts w:ascii="Arial" w:cs="Arial" w:eastAsia="Arial" w:hAnsi="Arial"/>
                <w:sz w:val="18"/>
                <w:szCs w:val="18"/>
                <w:color w:val="auto"/>
              </w:rPr>
              <w:t>% of the total number of shares outstanding after this offering.</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8"/>
        </w:trPr>
        <w:tc>
          <w:tcPr>
            <w:tcW w:w="7000" w:type="dxa"/>
            <w:vAlign w:val="bottom"/>
            <w:gridSpan w:val="6"/>
          </w:tcPr>
          <w:p>
            <w:pPr>
              <w:ind w:left="540"/>
              <w:spacing w:after="0"/>
              <w:rPr>
                <w:sz w:val="20"/>
                <w:szCs w:val="20"/>
                <w:color w:val="auto"/>
              </w:rPr>
            </w:pPr>
            <w:r>
              <w:rPr>
                <w:rFonts w:ascii="Arial" w:cs="Arial" w:eastAsia="Arial" w:hAnsi="Arial"/>
                <w:sz w:val="18"/>
                <w:szCs w:val="18"/>
                <w:color w:val="auto"/>
              </w:rPr>
              <w:t>Each $1.00 increase or decrease in the assumed initial public offering price of $</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500" w:type="dxa"/>
            <w:vAlign w:val="bottom"/>
            <w:gridSpan w:val="11"/>
          </w:tcPr>
          <w:p>
            <w:pPr>
              <w:ind w:left="160"/>
              <w:spacing w:after="0"/>
              <w:rPr>
                <w:sz w:val="20"/>
                <w:szCs w:val="20"/>
                <w:color w:val="auto"/>
              </w:rPr>
            </w:pPr>
            <w:r>
              <w:rPr>
                <w:rFonts w:ascii="Arial" w:cs="Arial" w:eastAsia="Arial" w:hAnsi="Arial"/>
                <w:sz w:val="18"/>
                <w:szCs w:val="18"/>
                <w:color w:val="auto"/>
              </w:rPr>
              <w:t>per share, which is the midpoint of the</w:t>
            </w:r>
          </w:p>
        </w:tc>
        <w:tc>
          <w:tcPr>
            <w:tcW w:w="0" w:type="dxa"/>
            <w:vAlign w:val="bottom"/>
          </w:tcPr>
          <w:p>
            <w:pPr>
              <w:spacing w:after="0"/>
              <w:rPr>
                <w:sz w:val="1"/>
                <w:szCs w:val="1"/>
                <w:color w:val="auto"/>
              </w:rPr>
            </w:pPr>
          </w:p>
        </w:tc>
      </w:tr>
      <w:tr>
        <w:trPr>
          <w:trHeight w:val="203"/>
        </w:trPr>
        <w:tc>
          <w:tcPr>
            <w:tcW w:w="11020" w:type="dxa"/>
            <w:vAlign w:val="bottom"/>
            <w:gridSpan w:val="19"/>
          </w:tcPr>
          <w:p>
            <w:pPr>
              <w:spacing w:after="0" w:line="202" w:lineRule="exact"/>
              <w:rPr>
                <w:sz w:val="20"/>
                <w:szCs w:val="20"/>
                <w:color w:val="auto"/>
              </w:rPr>
            </w:pPr>
            <w:r>
              <w:rPr>
                <w:rFonts w:ascii="Arial" w:cs="Arial" w:eastAsia="Arial" w:hAnsi="Arial"/>
                <w:sz w:val="18"/>
                <w:szCs w:val="18"/>
                <w:color w:val="auto"/>
              </w:rPr>
              <w:t>estimated offering price range set forth on the cover page of this prospectus, would increase or decrease, as applicable, the total</w:t>
            </w:r>
          </w:p>
        </w:tc>
        <w:tc>
          <w:tcPr>
            <w:tcW w:w="0" w:type="dxa"/>
            <w:vAlign w:val="bottom"/>
          </w:tcPr>
          <w:p>
            <w:pPr>
              <w:spacing w:after="0"/>
              <w:rPr>
                <w:sz w:val="1"/>
                <w:szCs w:val="1"/>
                <w:color w:val="auto"/>
              </w:rPr>
            </w:pPr>
          </w:p>
        </w:tc>
      </w:tr>
      <w:tr>
        <w:trPr>
          <w:trHeight w:val="203"/>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consideration paid by new investors by approximately $</w:t>
            </w:r>
          </w:p>
        </w:tc>
        <w:tc>
          <w:tcPr>
            <w:tcW w:w="6500" w:type="dxa"/>
            <w:vAlign w:val="bottom"/>
            <w:gridSpan w:val="17"/>
          </w:tcPr>
          <w:p>
            <w:pPr>
              <w:ind w:left="680"/>
              <w:spacing w:after="0" w:line="202" w:lineRule="exact"/>
              <w:rPr>
                <w:sz w:val="20"/>
                <w:szCs w:val="20"/>
                <w:color w:val="auto"/>
              </w:rPr>
            </w:pPr>
            <w:r>
              <w:rPr>
                <w:rFonts w:ascii="Arial" w:cs="Arial" w:eastAsia="Arial" w:hAnsi="Arial"/>
                <w:sz w:val="18"/>
                <w:szCs w:val="18"/>
                <w:color w:val="auto"/>
              </w:rPr>
              <w:t>million, assuming that the number of shares offered by us, as set forth</w:t>
            </w:r>
          </w:p>
        </w:tc>
        <w:tc>
          <w:tcPr>
            <w:tcW w:w="0" w:type="dxa"/>
            <w:vAlign w:val="bottom"/>
          </w:tcPr>
          <w:p>
            <w:pPr>
              <w:spacing w:after="0"/>
              <w:rPr>
                <w:sz w:val="1"/>
                <w:szCs w:val="1"/>
                <w:color w:val="auto"/>
              </w:rPr>
            </w:pPr>
          </w:p>
        </w:tc>
      </w:tr>
      <w:tr>
        <w:trPr>
          <w:trHeight w:val="243"/>
        </w:trPr>
        <w:tc>
          <w:tcPr>
            <w:tcW w:w="1520" w:type="dxa"/>
            <w:vAlign w:val="bottom"/>
          </w:tcPr>
          <w:p>
            <w:pPr>
              <w:spacing w:after="0"/>
              <w:rPr>
                <w:sz w:val="20"/>
                <w:szCs w:val="20"/>
                <w:color w:val="auto"/>
              </w:rPr>
            </w:pPr>
            <w:r>
              <w:rPr>
                <w:rFonts w:ascii="Arial" w:cs="Arial" w:eastAsia="Arial" w:hAnsi="Arial"/>
                <w:sz w:val="18"/>
                <w:szCs w:val="18"/>
                <w:color w:val="auto"/>
              </w:rPr>
              <w:t>on</w:t>
            </w:r>
          </w:p>
        </w:tc>
        <w:tc>
          <w:tcPr>
            <w:tcW w:w="300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15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99</w:t>
            </w: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cover page of this prospectus, remains the same. An increase or decrease of 1.0 million shares in the number of shares offered by us</w:t>
      </w:r>
    </w:p>
    <w:p>
      <w:pPr>
        <w:spacing w:after="0" w:line="18"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would increase or decrease, as applicable, the total consideration paid by new investors by approximately $ million, assuming the assumed initial public offering price of $ per share, which is the midpoint of the estimated offering price range set forth on the cover page of this prospectus, remains the same.</w:t>
      </w:r>
    </w:p>
    <w:p>
      <w:pPr>
        <w:spacing w:after="0" w:line="175" w:lineRule="exact"/>
        <w:rPr>
          <w:sz w:val="20"/>
          <w:szCs w:val="20"/>
          <w:color w:val="auto"/>
        </w:rPr>
      </w:pPr>
    </w:p>
    <w:p>
      <w:pPr>
        <w:ind w:left="120" w:right="160" w:firstLine="551"/>
        <w:spacing w:after="0" w:line="248" w:lineRule="auto"/>
        <w:rPr>
          <w:sz w:val="20"/>
          <w:szCs w:val="20"/>
          <w:color w:val="auto"/>
        </w:rPr>
      </w:pPr>
      <w:r>
        <w:rPr>
          <w:rFonts w:ascii="Arial" w:cs="Arial" w:eastAsia="Arial" w:hAnsi="Arial"/>
          <w:sz w:val="18"/>
          <w:szCs w:val="18"/>
          <w:color w:val="auto"/>
        </w:rPr>
        <w:t>The number of shares of our common stock to be outstanding after this offering is based on 136,431,740 shares of our common stock outstanding as of June 30, 2020 (including an aggregate of 120,393,150 shares of common stock issuable upon conversion of our outstanding convertible preferred stock as of June 30, 2020), plus 28,020,172 shares of our common stock issuable pursuant to the conversion of our Series D convertible preferred stock issued and sold in July 2020, and excludes the following:</w:t>
      </w:r>
    </w:p>
    <w:p>
      <w:pPr>
        <w:spacing w:after="0" w:line="76" w:lineRule="exact"/>
        <w:rPr>
          <w:sz w:val="20"/>
          <w:szCs w:val="20"/>
          <w:color w:val="auto"/>
        </w:rPr>
      </w:pPr>
    </w:p>
    <w:p>
      <w:pPr>
        <w:ind w:left="880" w:right="80" w:hanging="224"/>
        <w:spacing w:after="0" w:line="276" w:lineRule="auto"/>
        <w:tabs>
          <w:tab w:leader="none" w:pos="8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20,653,300 shares of common stock issuable upon exercise of options to purchase shares of our common stock outstanding as of June 30, 2020, with a weighted-average exercise price of $0.50 per share;</w:t>
      </w:r>
    </w:p>
    <w:p>
      <w:pPr>
        <w:spacing w:after="0" w:line="50" w:lineRule="exact"/>
        <w:rPr>
          <w:rFonts w:ascii="Arial" w:cs="Arial" w:eastAsia="Arial" w:hAnsi="Arial"/>
          <w:sz w:val="18"/>
          <w:szCs w:val="18"/>
          <w:color w:val="auto"/>
        </w:rPr>
      </w:pPr>
    </w:p>
    <w:p>
      <w:pPr>
        <w:ind w:left="1480" w:hanging="824"/>
        <w:spacing w:after="0"/>
        <w:tabs>
          <w:tab w:leader="none" w:pos="14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shares of common stock issuable upon exercise of options to purchase shares of our common stock that we granted</w:t>
      </w:r>
    </w:p>
    <w:p>
      <w:pPr>
        <w:spacing w:after="0" w:line="18" w:lineRule="exact"/>
        <w:rPr>
          <w:sz w:val="20"/>
          <w:szCs w:val="20"/>
          <w:color w:val="auto"/>
        </w:rPr>
      </w:pPr>
    </w:p>
    <w:p>
      <w:pPr>
        <w:ind w:left="880"/>
        <w:spacing w:after="0"/>
        <w:tabs>
          <w:tab w:leader="none" w:pos="6160" w:val="left"/>
        </w:tabs>
        <w:rPr>
          <w:sz w:val="20"/>
          <w:szCs w:val="20"/>
          <w:color w:val="auto"/>
        </w:rPr>
      </w:pPr>
      <w:r>
        <w:rPr>
          <w:rFonts w:ascii="Arial" w:cs="Arial" w:eastAsia="Arial" w:hAnsi="Arial"/>
          <w:sz w:val="18"/>
          <w:szCs w:val="18"/>
          <w:color w:val="auto"/>
        </w:rPr>
        <w:t>after June 30, 2020, with a weighted-average exercise price of $</w:t>
        <w:tab/>
        <w:t>per share;</w:t>
      </w:r>
    </w:p>
    <w:p>
      <w:pPr>
        <w:spacing w:after="0" w:line="95" w:lineRule="exact"/>
        <w:rPr>
          <w:sz w:val="20"/>
          <w:szCs w:val="20"/>
          <w:color w:val="auto"/>
        </w:rPr>
      </w:pPr>
    </w:p>
    <w:p>
      <w:pPr>
        <w:ind w:left="880" w:right="100" w:hanging="224"/>
        <w:spacing w:after="0" w:line="255"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warrant to purchase an aggregate of 56,866 shares of our Series Seed convertible preferred stock outstanding as of June 30, 2020 that will be converted into a warrant to purchase an aggregate of 56,866 shares of our common stock, with an exercise price of $0.3517 per share, upon the completion of this offering;</w:t>
      </w:r>
    </w:p>
    <w:p>
      <w:pPr>
        <w:spacing w:after="0" w:line="69" w:lineRule="exact"/>
        <w:rPr>
          <w:rFonts w:ascii="Arial" w:cs="Arial" w:eastAsia="Arial" w:hAnsi="Arial"/>
          <w:sz w:val="18"/>
          <w:szCs w:val="18"/>
          <w:color w:val="auto"/>
        </w:rPr>
      </w:pPr>
    </w:p>
    <w:p>
      <w:pPr>
        <w:ind w:left="880" w:right="260" w:hanging="224"/>
        <w:spacing w:after="0" w:line="248" w:lineRule="auto"/>
        <w:tabs>
          <w:tab w:leader="none" w:pos="153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shares of common stock reserved for future issuance under our 2020 Equity Incentive Plan, or 2020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 and</w:t>
      </w:r>
    </w:p>
    <w:p>
      <w:pPr>
        <w:spacing w:after="0" w:line="75" w:lineRule="exact"/>
        <w:rPr>
          <w:rFonts w:ascii="Arial" w:cs="Arial" w:eastAsia="Arial" w:hAnsi="Arial"/>
          <w:sz w:val="18"/>
          <w:szCs w:val="18"/>
          <w:color w:val="auto"/>
        </w:rPr>
      </w:pPr>
    </w:p>
    <w:p>
      <w:pPr>
        <w:ind w:left="880" w:right="20" w:hanging="224"/>
        <w:spacing w:after="0" w:line="248" w:lineRule="auto"/>
        <w:tabs>
          <w:tab w:leader="none" w:pos="1530" w:val="left"/>
        </w:tabs>
        <w:numPr>
          <w:ilvl w:val="0"/>
          <w:numId w:val="61"/>
        </w:numPr>
        <w:rPr>
          <w:rFonts w:ascii="Arial" w:cs="Arial" w:eastAsia="Arial" w:hAnsi="Arial"/>
          <w:sz w:val="18"/>
          <w:szCs w:val="18"/>
          <w:color w:val="auto"/>
        </w:rPr>
      </w:pPr>
      <w:r>
        <w:rPr>
          <w:rFonts w:ascii="Arial" w:cs="Arial" w:eastAsia="Arial" w:hAnsi="Arial"/>
          <w:sz w:val="18"/>
          <w:szCs w:val="18"/>
          <w:color w:val="auto"/>
        </w:rPr>
        <w:t>shares of common stock reserved for issuance under our 2020 Employee Stock Purchase Plan, which will become effective on the business day immediately prior to the date of effectiveness of the registration statement of which this prospectus forms a part, as well as any automatic increases in the number of shares of common stock reserved for future issuance under this plan.</w:t>
      </w:r>
    </w:p>
    <w:p>
      <w:pPr>
        <w:spacing w:after="0" w:line="170"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To the extent that any outstanding options or the warrant are exercised or new options are issued under the equity benefit plans, or we issue additional shares of common stock or other securities convertible into or exercisable or exchangeable for shares of our capital stock in the future, in each case at per share prices below the price to the public in this offering, there will be further dilution to investors participating in this offering.</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080"/>
          </w:cols>
          <w:pgMar w:left="320" w:top="455" w:right="49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FINANCIAL DATA</w:t>
      </w:r>
    </w:p>
    <w:p>
      <w:pPr>
        <w:spacing w:after="0" w:line="21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following tables summarize our selected financial data for the periods and as of the dates indicated. We have derived our selected statements of operations data for the years ended December 31, 2018 and 2019 and the selected balance sheet data as of December 31, 2018 and 2019 from our audited financial statements and related notes included elsewhere in this prospectus. For interim periods, we have derived our selected statements of operations data for the six months ended June 30, 2019 and 2020 and the selected balance sheet data as of June 30, 2020 from our unaudited condensed financial statements and related notes included elsewhere in this prospectus. The unaudited condensed financial statements were prepared on a basis consistent with our audited financial statements and include, in management’s opinion, all adjustments, consisting only of normal recurring adjustments that we consider necessary for a fair presentation of the financial information set forth in those statements. Our historical results are not necessarily indicative of the results that may be expected in the future and our interim results are not necessarily indicative of our expected results for the year ending December 31, 2020. You should read the selected financial data below in conjunction with the section titled “Management’s Discussion and Analysis of Financial Condition and Results of Operations” and our financial statements and related notes included elsewhere in this prospectus. The selected financial data in this section are not intended to replace the financial statements and are qualified in their entirety by the financial statements and related notes included elsewhere in this prospectus.</w:t>
      </w:r>
    </w:p>
    <w:p>
      <w:pPr>
        <w:spacing w:after="0" w:line="93"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Year Ended December 31,</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56"/>
        </w:trPr>
        <w:tc>
          <w:tcPr>
            <w:tcW w:w="45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3"/>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11"/>
              <w:spacing w:after="0" w:line="155" w:lineRule="exact"/>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2019</w:t>
            </w:r>
          </w:p>
        </w:tc>
        <w:tc>
          <w:tcPr>
            <w:tcW w:w="70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14"/>
              <w:spacing w:after="0" w:line="141" w:lineRule="exact"/>
              <w:rPr>
                <w:sz w:val="20"/>
                <w:szCs w:val="20"/>
                <w:color w:val="auto"/>
              </w:rPr>
            </w:pPr>
            <w:r>
              <w:rPr>
                <w:rFonts w:ascii="Arial" w:cs="Arial" w:eastAsia="Arial" w:hAnsi="Arial"/>
                <w:sz w:val="14"/>
                <w:szCs w:val="14"/>
                <w:b w:val="1"/>
                <w:bCs w:val="1"/>
                <w:color w:val="auto"/>
              </w:rPr>
              <w:t>(unaudited)</w:t>
            </w: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92"/>
              <w:spacing w:after="0" w:line="141"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45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0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54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Statement of operations data:</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540" w:type="dxa"/>
            <w:vAlign w:val="bottom"/>
          </w:tcPr>
          <w:p>
            <w:pPr>
              <w:spacing w:after="0" w:line="202" w:lineRule="exact"/>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13,853</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20,759</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10,165</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11,760</w:t>
            </w:r>
          </w:p>
        </w:tc>
        <w:tc>
          <w:tcPr>
            <w:tcW w:w="0" w:type="dxa"/>
            <w:vAlign w:val="bottom"/>
          </w:tcPr>
          <w:p>
            <w:pPr>
              <w:spacing w:after="0"/>
              <w:rPr>
                <w:sz w:val="1"/>
                <w:szCs w:val="1"/>
                <w:color w:val="auto"/>
              </w:rPr>
            </w:pPr>
          </w:p>
        </w:tc>
      </w:tr>
      <w:tr>
        <w:trPr>
          <w:trHeight w:val="203"/>
        </w:trPr>
        <w:tc>
          <w:tcPr>
            <w:tcW w:w="4540" w:type="dxa"/>
            <w:vAlign w:val="bottom"/>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5,039</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5,878</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2,676</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3,979</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54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18,892</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26,637</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12,841</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15,739</w:t>
            </w:r>
          </w:p>
        </w:tc>
        <w:tc>
          <w:tcPr>
            <w:tcW w:w="0" w:type="dxa"/>
            <w:vAlign w:val="bottom"/>
          </w:tcPr>
          <w:p>
            <w:pPr>
              <w:spacing w:after="0"/>
              <w:rPr>
                <w:sz w:val="1"/>
                <w:szCs w:val="1"/>
                <w:color w:val="auto"/>
              </w:rPr>
            </w:pPr>
          </w:p>
        </w:tc>
      </w:tr>
      <w:tr>
        <w:trPr>
          <w:trHeight w:val="209"/>
        </w:trPr>
        <w:tc>
          <w:tcPr>
            <w:tcW w:w="454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(18,892)</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(26,637)</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(12,841)</w:t>
            </w:r>
          </w:p>
        </w:tc>
        <w:tc>
          <w:tcPr>
            <w:tcW w:w="7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360"/>
              <w:spacing w:after="0" w:line="202" w:lineRule="exact"/>
              <w:rPr>
                <w:sz w:val="20"/>
                <w:szCs w:val="20"/>
                <w:color w:val="auto"/>
              </w:rPr>
            </w:pPr>
            <w:r>
              <w:rPr>
                <w:rFonts w:ascii="Arial" w:cs="Arial" w:eastAsia="Arial" w:hAnsi="Arial"/>
                <w:sz w:val="18"/>
                <w:szCs w:val="18"/>
                <w:color w:val="auto"/>
              </w:rPr>
              <w:t>Interest income, net</w:t>
            </w:r>
          </w:p>
        </w:tc>
        <w:tc>
          <w:tcPr>
            <w:tcW w:w="1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1,341</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1,301</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714</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16</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7"/>
        </w:trPr>
        <w:tc>
          <w:tcPr>
            <w:tcW w:w="4540" w:type="dxa"/>
            <w:vAlign w:val="bottom"/>
          </w:tcPr>
          <w:p>
            <w:pPr>
              <w:ind w:left="720"/>
              <w:spacing w:after="0"/>
              <w:rPr>
                <w:sz w:val="20"/>
                <w:szCs w:val="20"/>
                <w:color w:val="auto"/>
              </w:rPr>
            </w:pPr>
            <w:r>
              <w:rPr>
                <w:rFonts w:ascii="Arial" w:cs="Arial" w:eastAsia="Arial" w:hAnsi="Arial"/>
                <w:sz w:val="18"/>
                <w:szCs w:val="18"/>
                <w:color w:val="auto"/>
              </w:rPr>
              <w:t>Total other income (expense)</w:t>
            </w: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1,357</w:t>
            </w: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1,293</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7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before provision for income taxes</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(17,535)</w:t>
            </w: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(25,344)</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(12,127)</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(15,219)</w:t>
            </w:r>
          </w:p>
        </w:tc>
        <w:tc>
          <w:tcPr>
            <w:tcW w:w="0" w:type="dxa"/>
            <w:vAlign w:val="bottom"/>
          </w:tcPr>
          <w:p>
            <w:pPr>
              <w:spacing w:after="0"/>
              <w:rPr>
                <w:sz w:val="1"/>
                <w:szCs w:val="1"/>
                <w:color w:val="auto"/>
              </w:rPr>
            </w:pPr>
          </w:p>
        </w:tc>
      </w:tr>
      <w:tr>
        <w:trPr>
          <w:trHeight w:val="203"/>
        </w:trPr>
        <w:tc>
          <w:tcPr>
            <w:tcW w:w="4540" w:type="dxa"/>
            <w:vAlign w:val="bottom"/>
          </w:tcPr>
          <w:p>
            <w:pPr>
              <w:ind w:left="720"/>
              <w:spacing w:after="0" w:line="202" w:lineRule="exact"/>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7"/>
                <w:szCs w:val="17"/>
                <w:color w:val="auto"/>
              </w:rPr>
            </w:pPr>
          </w:p>
        </w:tc>
        <w:tc>
          <w:tcPr>
            <w:tcW w:w="112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3</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8</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2"/>
          </w:tcPr>
          <w:p>
            <w:pPr>
              <w:jc w:val="right"/>
              <w:ind w:right="700"/>
              <w:spacing w:after="0" w:line="202" w:lineRule="exact"/>
              <w:rPr>
                <w:sz w:val="20"/>
                <w:szCs w:val="20"/>
                <w:color w:val="auto"/>
              </w:rPr>
            </w:pPr>
            <w:r>
              <w:rPr>
                <w:rFonts w:ascii="Arial" w:cs="Arial" w:eastAsia="Arial" w:hAnsi="Arial"/>
                <w:sz w:val="18"/>
                <w:szCs w:val="18"/>
                <w:color w:val="auto"/>
              </w:rPr>
              <w:t>2</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(17,538)</w:t>
            </w:r>
          </w:p>
        </w:tc>
        <w:tc>
          <w:tcPr>
            <w:tcW w:w="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(25,352)</w:t>
            </w:r>
          </w:p>
        </w:tc>
        <w:tc>
          <w:tcPr>
            <w:tcW w:w="4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(12,129)</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(15,221)</w:t>
            </w: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Arial" w:cs="Arial" w:eastAsia="Arial" w:hAnsi="Arial"/>
                <w:sz w:val="18"/>
                <w:szCs w:val="18"/>
                <w:color w:val="auto"/>
              </w:rPr>
              <w:t>Net loss per share — basic and diluted</w:t>
            </w:r>
            <w:r>
              <w:rPr>
                <w:rFonts w:ascii="Arial" w:cs="Arial" w:eastAsia="Arial" w:hAnsi="Arial"/>
                <w:sz w:val="15"/>
                <w:szCs w:val="15"/>
                <w:color w:val="auto"/>
              </w:rPr>
              <w:t>(1)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40" w:type="dxa"/>
            <w:vAlign w:val="bottom"/>
            <w:vMerge w:val="continue"/>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(1.59)</w:t>
            </w: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(0.76)</w:t>
            </w:r>
          </w:p>
        </w:tc>
        <w:tc>
          <w:tcPr>
            <w:tcW w:w="7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(0.95)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540" w:type="dxa"/>
            <w:vAlign w:val="bottom"/>
            <w:shd w:val="clear" w:color="auto" w:fill="CCEEFF"/>
          </w:tcPr>
          <w:p>
            <w:pPr>
              <w:spacing w:after="0" w:line="179" w:lineRule="exact"/>
              <w:rPr>
                <w:sz w:val="20"/>
                <w:szCs w:val="20"/>
                <w:color w:val="auto"/>
              </w:rPr>
            </w:pPr>
            <w:r>
              <w:rPr>
                <w:rFonts w:ascii="Arial" w:cs="Arial" w:eastAsia="Arial" w:hAnsi="Arial"/>
                <w:sz w:val="18"/>
                <w:szCs w:val="18"/>
                <w:color w:val="auto"/>
              </w:rPr>
              <w:t>Weighted-average common shares outstanding</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 basic and diluted</w:t>
            </w:r>
            <w:r>
              <w:rPr>
                <w:rFonts w:ascii="Arial" w:cs="Arial" w:eastAsia="Arial" w:hAnsi="Arial"/>
                <w:sz w:val="15"/>
                <w:szCs w:val="15"/>
                <w:color w:val="auto"/>
              </w:rPr>
              <w:t>(1)</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15,860,018</w:t>
            </w: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15,980,859</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7"/>
              </w:rPr>
              <w:t>15,922,173</w:t>
            </w: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16,038,590</w:t>
            </w:r>
          </w:p>
        </w:tc>
        <w:tc>
          <w:tcPr>
            <w:tcW w:w="0" w:type="dxa"/>
            <w:vAlign w:val="bottom"/>
          </w:tcPr>
          <w:p>
            <w:pPr>
              <w:spacing w:after="0"/>
              <w:rPr>
                <w:sz w:val="1"/>
                <w:szCs w:val="1"/>
                <w:color w:val="auto"/>
              </w:rPr>
            </w:pPr>
          </w:p>
        </w:tc>
      </w:tr>
      <w:tr>
        <w:trPr>
          <w:trHeight w:val="180"/>
        </w:trPr>
        <w:tc>
          <w:tcPr>
            <w:tcW w:w="4540" w:type="dxa"/>
            <w:vAlign w:val="bottom"/>
          </w:tcPr>
          <w:p>
            <w:pPr>
              <w:spacing w:after="0" w:line="180" w:lineRule="exact"/>
              <w:rPr>
                <w:sz w:val="20"/>
                <w:szCs w:val="20"/>
                <w:color w:val="auto"/>
              </w:rPr>
            </w:pPr>
            <w:r>
              <w:rPr>
                <w:rFonts w:ascii="Arial" w:cs="Arial" w:eastAsia="Arial" w:hAnsi="Arial"/>
                <w:sz w:val="18"/>
                <w:szCs w:val="18"/>
                <w:color w:val="auto"/>
              </w:rPr>
              <w:t>Pro forma net loss per share attributable to</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540" w:type="dxa"/>
            <w:vAlign w:val="bottom"/>
          </w:tcPr>
          <w:p>
            <w:pPr>
              <w:ind w:left="180"/>
              <w:spacing w:after="0" w:line="202" w:lineRule="exact"/>
              <w:rPr>
                <w:sz w:val="20"/>
                <w:szCs w:val="20"/>
                <w:color w:val="auto"/>
              </w:rPr>
            </w:pPr>
            <w:r>
              <w:rPr>
                <w:rFonts w:ascii="Arial" w:cs="Arial" w:eastAsia="Arial" w:hAnsi="Arial"/>
                <w:sz w:val="18"/>
                <w:szCs w:val="18"/>
                <w:color w:val="auto"/>
              </w:rPr>
              <w:t>common stockholders — basic and diluted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4540" w:type="dxa"/>
            <w:vAlign w:val="bottom"/>
          </w:tcPr>
          <w:p>
            <w:pPr>
              <w:ind w:left="180"/>
              <w:spacing w:after="0"/>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(1)</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(0.15)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179"/>
        </w:trPr>
        <w:tc>
          <w:tcPr>
            <w:tcW w:w="4540" w:type="dxa"/>
            <w:vAlign w:val="bottom"/>
            <w:shd w:val="clear" w:color="auto" w:fill="CCEEFF"/>
          </w:tcPr>
          <w:p>
            <w:pPr>
              <w:spacing w:after="0" w:line="179" w:lineRule="exact"/>
              <w:rPr>
                <w:sz w:val="20"/>
                <w:szCs w:val="20"/>
                <w:color w:val="auto"/>
              </w:rPr>
            </w:pPr>
            <w:r>
              <w:rPr>
                <w:rFonts w:ascii="Arial" w:cs="Arial" w:eastAsia="Arial" w:hAnsi="Arial"/>
                <w:sz w:val="18"/>
                <w:szCs w:val="18"/>
                <w:color w:val="auto"/>
              </w:rPr>
              <w:t>Pro forma weighted-average number of common</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4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shares — basic and diluted (unaudited)</w:t>
            </w:r>
            <w:r>
              <w:rPr>
                <w:rFonts w:ascii="Arial" w:cs="Arial" w:eastAsia="Arial" w:hAnsi="Arial"/>
                <w:sz w:val="15"/>
                <w:szCs w:val="15"/>
                <w:color w:val="auto"/>
              </w:rPr>
              <w:t>(1)</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9"/>
              </w:rPr>
              <w:t>164,394,181</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164,451,912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6" w:lineRule="exact"/>
        <w:rPr>
          <w:sz w:val="20"/>
          <w:szCs w:val="20"/>
          <w:color w:val="auto"/>
        </w:rPr>
      </w:pPr>
    </w:p>
    <w:p>
      <w:pPr>
        <w:ind w:left="660" w:right="60" w:hanging="544"/>
        <w:spacing w:after="0" w:line="208" w:lineRule="auto"/>
        <w:tabs>
          <w:tab w:leader="none" w:pos="660" w:val="left"/>
        </w:tabs>
        <w:numPr>
          <w:ilvl w:val="0"/>
          <w:numId w:val="62"/>
        </w:numPr>
        <w:rPr>
          <w:rFonts w:ascii="Arial" w:cs="Arial" w:eastAsia="Arial" w:hAnsi="Arial"/>
          <w:sz w:val="24"/>
          <w:szCs w:val="24"/>
          <w:color w:val="auto"/>
          <w:vertAlign w:val="superscript"/>
        </w:rPr>
      </w:pPr>
      <w:r>
        <w:rPr>
          <w:rFonts w:ascii="Arial" w:cs="Arial" w:eastAsia="Arial" w:hAnsi="Arial"/>
          <w:sz w:val="14"/>
          <w:szCs w:val="14"/>
          <w:color w:val="auto"/>
        </w:rPr>
        <w:t>See Note 11 to our audited financial statements and Note 10 to our unaudited condensed financial statements included elsewhere in this prospectus for an explanation of the method used to calculate net loss per share, basic and diluted, pro forma net loss per share, basic and diluted, and the weighted-average number of shares used in the computation of the per share amounts.</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140"/>
          </w:cols>
          <w:pgMar w:left="320" w:top="455" w:right="43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7280" w:type="dxa"/>
            <w:vAlign w:val="bottom"/>
          </w:tcPr>
          <w:p>
            <w:pPr>
              <w:spacing w:after="0"/>
              <w:rPr>
                <w:sz w:val="15"/>
                <w:szCs w:val="15"/>
                <w:color w:val="auto"/>
              </w:rPr>
            </w:pPr>
          </w:p>
        </w:tc>
        <w:tc>
          <w:tcPr>
            <w:tcW w:w="262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As of December 31,</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56"/>
        </w:trPr>
        <w:tc>
          <w:tcPr>
            <w:tcW w:w="7280" w:type="dxa"/>
            <w:vAlign w:val="bottom"/>
          </w:tcPr>
          <w:p>
            <w:pPr>
              <w:spacing w:after="0"/>
              <w:rPr>
                <w:sz w:val="13"/>
                <w:szCs w:val="13"/>
                <w:color w:val="auto"/>
              </w:rPr>
            </w:pPr>
          </w:p>
        </w:tc>
        <w:tc>
          <w:tcPr>
            <w:tcW w:w="780" w:type="dxa"/>
            <w:vAlign w:val="bottom"/>
            <w:tcBorders>
              <w:top w:val="single" w:sz="8" w:color="auto"/>
              <w:bottom w:val="single" w:sz="8" w:color="auto"/>
            </w:tcBorders>
          </w:tcPr>
          <w:p>
            <w:pPr>
              <w:jc w:val="right"/>
              <w:ind w:right="134"/>
              <w:spacing w:after="0" w:line="155" w:lineRule="exact"/>
              <w:rPr>
                <w:sz w:val="20"/>
                <w:szCs w:val="20"/>
                <w:color w:val="auto"/>
              </w:rPr>
            </w:pPr>
            <w:r>
              <w:rPr>
                <w:rFonts w:ascii="Arial" w:cs="Arial" w:eastAsia="Arial" w:hAnsi="Arial"/>
                <w:sz w:val="14"/>
                <w:szCs w:val="14"/>
                <w:b w:val="1"/>
                <w:bCs w:val="1"/>
                <w:color w:val="auto"/>
              </w:rPr>
              <w:t>2018</w:t>
            </w:r>
          </w:p>
        </w:tc>
        <w:tc>
          <w:tcPr>
            <w:tcW w:w="3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b w:val="1"/>
                <w:bCs w:val="1"/>
                <w:color w:val="auto"/>
              </w:rPr>
              <w:t>2019</w:t>
            </w:r>
          </w:p>
        </w:tc>
        <w:tc>
          <w:tcPr>
            <w:tcW w:w="54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center"/>
              <w:ind w:right="1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4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c>
          <w:tcPr>
            <w:tcW w:w="900" w:type="dxa"/>
            <w:vAlign w:val="bottom"/>
          </w:tcPr>
          <w:p>
            <w:pPr>
              <w:jc w:val="center"/>
              <w:ind w:right="34"/>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72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4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w:t>
            </w: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Cash, cash equivalents and short-term marketable securities</w:t>
            </w: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$ 61,907</w:t>
            </w:r>
          </w:p>
        </w:tc>
        <w:tc>
          <w:tcPr>
            <w:tcW w:w="154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$101,486</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86,136</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w:t>
            </w:r>
            <w:r>
              <w:rPr>
                <w:rFonts w:ascii="Arial" w:cs="Arial" w:eastAsia="Arial" w:hAnsi="Arial"/>
                <w:sz w:val="15"/>
                <w:szCs w:val="15"/>
                <w:color w:val="auto"/>
              </w:rPr>
              <w:t>(1)</w:t>
            </w: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59,912</w:t>
            </w:r>
          </w:p>
        </w:tc>
        <w:tc>
          <w:tcPr>
            <w:tcW w:w="154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97,570</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81,704</w:t>
            </w: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63,458</w:t>
            </w:r>
          </w:p>
        </w:tc>
        <w:tc>
          <w:tcPr>
            <w:tcW w:w="154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103,033</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89,102</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08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2,370</w:t>
            </w:r>
          </w:p>
        </w:tc>
        <w:tc>
          <w:tcPr>
            <w:tcW w:w="1540" w:type="dxa"/>
            <w:vAlign w:val="bottom"/>
            <w:gridSpan w:val="3"/>
            <w:shd w:val="clear" w:color="auto" w:fill="CCEEFF"/>
          </w:tcPr>
          <w:p>
            <w:pPr>
              <w:jc w:val="right"/>
              <w:ind w:right="540"/>
              <w:spacing w:after="0" w:line="202" w:lineRule="exact"/>
              <w:rPr>
                <w:sz w:val="20"/>
                <w:szCs w:val="20"/>
                <w:color w:val="auto"/>
              </w:rPr>
            </w:pPr>
            <w:r>
              <w:rPr>
                <w:rFonts w:ascii="Arial" w:cs="Arial" w:eastAsia="Arial" w:hAnsi="Arial"/>
                <w:sz w:val="18"/>
                <w:szCs w:val="18"/>
                <w:color w:val="auto"/>
              </w:rPr>
              <w:t>4,574</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5,177</w:t>
            </w:r>
          </w:p>
        </w:tc>
        <w:tc>
          <w:tcPr>
            <w:tcW w:w="0" w:type="dxa"/>
            <w:vAlign w:val="bottom"/>
          </w:tcPr>
          <w:p>
            <w:pPr>
              <w:spacing w:after="0"/>
              <w:rPr>
                <w:sz w:val="1"/>
                <w:szCs w:val="1"/>
                <w:color w:val="auto"/>
              </w:rPr>
            </w:pPr>
          </w:p>
        </w:tc>
      </w:tr>
      <w:tr>
        <w:trPr>
          <w:trHeight w:val="203"/>
        </w:trPr>
        <w:tc>
          <w:tcPr>
            <w:tcW w:w="7280" w:type="dxa"/>
            <w:vAlign w:val="bottom"/>
          </w:tcPr>
          <w:p>
            <w:pPr>
              <w:spacing w:after="0" w:line="202" w:lineRule="exact"/>
              <w:rPr>
                <w:sz w:val="20"/>
                <w:szCs w:val="20"/>
                <w:color w:val="auto"/>
              </w:rPr>
            </w:pPr>
            <w:r>
              <w:rPr>
                <w:rFonts w:ascii="Arial" w:cs="Arial" w:eastAsia="Arial" w:hAnsi="Arial"/>
                <w:sz w:val="18"/>
                <w:szCs w:val="18"/>
                <w:color w:val="auto"/>
              </w:rPr>
              <w:t>Convertible preferred stock</w:t>
            </w:r>
          </w:p>
        </w:tc>
        <w:tc>
          <w:tcPr>
            <w:tcW w:w="108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107,228</w:t>
            </w:r>
          </w:p>
        </w:tc>
        <w:tc>
          <w:tcPr>
            <w:tcW w:w="1540" w:type="dxa"/>
            <w:vAlign w:val="bottom"/>
            <w:gridSpan w:val="3"/>
          </w:tcPr>
          <w:p>
            <w:pPr>
              <w:jc w:val="right"/>
              <w:ind w:right="540"/>
              <w:spacing w:after="0" w:line="202" w:lineRule="exact"/>
              <w:rPr>
                <w:sz w:val="20"/>
                <w:szCs w:val="20"/>
                <w:color w:val="auto"/>
              </w:rPr>
            </w:pPr>
            <w:r>
              <w:rPr>
                <w:rFonts w:ascii="Arial" w:cs="Arial" w:eastAsia="Arial" w:hAnsi="Arial"/>
                <w:sz w:val="18"/>
                <w:szCs w:val="18"/>
                <w:color w:val="auto"/>
              </w:rPr>
              <w:t>168,933</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168,933</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Accumulated deficit</w:t>
            </w:r>
          </w:p>
        </w:tc>
        <w:tc>
          <w:tcPr>
            <w:tcW w:w="10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(50,088)</w:t>
            </w:r>
          </w:p>
        </w:tc>
        <w:tc>
          <w:tcPr>
            <w:tcW w:w="1540" w:type="dxa"/>
            <w:vAlign w:val="bottom"/>
            <w:gridSpan w:val="3"/>
            <w:shd w:val="clear" w:color="auto" w:fill="CCEEFF"/>
          </w:tcPr>
          <w:p>
            <w:pPr>
              <w:jc w:val="right"/>
              <w:ind w:right="480"/>
              <w:spacing w:after="0" w:line="202" w:lineRule="exact"/>
              <w:rPr>
                <w:sz w:val="20"/>
                <w:szCs w:val="20"/>
                <w:color w:val="auto"/>
              </w:rPr>
            </w:pPr>
            <w:r>
              <w:rPr>
                <w:rFonts w:ascii="Arial" w:cs="Arial" w:eastAsia="Arial" w:hAnsi="Arial"/>
                <w:sz w:val="18"/>
                <w:szCs w:val="18"/>
                <w:color w:val="auto"/>
              </w:rPr>
              <w:t>(75,440)</w:t>
            </w:r>
          </w:p>
        </w:tc>
        <w:tc>
          <w:tcPr>
            <w:tcW w:w="1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(90,661)</w:t>
            </w:r>
          </w:p>
        </w:tc>
        <w:tc>
          <w:tcPr>
            <w:tcW w:w="0" w:type="dxa"/>
            <w:vAlign w:val="bottom"/>
          </w:tcPr>
          <w:p>
            <w:pPr>
              <w:spacing w:after="0"/>
              <w:rPr>
                <w:sz w:val="1"/>
                <w:szCs w:val="1"/>
                <w:color w:val="auto"/>
              </w:rPr>
            </w:pPr>
          </w:p>
        </w:tc>
      </w:tr>
      <w:tr>
        <w:trPr>
          <w:trHeight w:val="243"/>
        </w:trPr>
        <w:tc>
          <w:tcPr>
            <w:tcW w:w="7280" w:type="dxa"/>
            <w:vAlign w:val="bottom"/>
          </w:tcPr>
          <w:p>
            <w:pPr>
              <w:spacing w:after="0"/>
              <w:rPr>
                <w:sz w:val="20"/>
                <w:szCs w:val="20"/>
                <w:color w:val="auto"/>
              </w:rPr>
            </w:pPr>
            <w:r>
              <w:rPr>
                <w:rFonts w:ascii="Arial" w:cs="Arial" w:eastAsia="Arial" w:hAnsi="Arial"/>
                <w:sz w:val="18"/>
                <w:szCs w:val="18"/>
                <w:color w:val="auto"/>
              </w:rPr>
              <w:t>Total stockholder's deficit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(46,140)</w:t>
            </w:r>
          </w:p>
        </w:tc>
        <w:tc>
          <w:tcPr>
            <w:tcW w:w="1540" w:type="dxa"/>
            <w:vAlign w:val="bottom"/>
            <w:gridSpan w:val="3"/>
          </w:tcPr>
          <w:p>
            <w:pPr>
              <w:jc w:val="right"/>
              <w:ind w:right="480"/>
              <w:spacing w:after="0"/>
              <w:rPr>
                <w:sz w:val="20"/>
                <w:szCs w:val="20"/>
                <w:color w:val="auto"/>
              </w:rPr>
            </w:pPr>
            <w:r>
              <w:rPr>
                <w:rFonts w:ascii="Arial" w:cs="Arial" w:eastAsia="Arial" w:hAnsi="Arial"/>
                <w:sz w:val="18"/>
                <w:szCs w:val="18"/>
                <w:color w:val="auto"/>
              </w:rPr>
              <w:t>(70,474)</w:t>
            </w:r>
          </w:p>
        </w:tc>
        <w:tc>
          <w:tcPr>
            <w:tcW w:w="100" w:type="dxa"/>
            <w:vAlign w:val="bottom"/>
          </w:tcPr>
          <w:p>
            <w:pPr>
              <w:spacing w:after="0"/>
              <w:rPr>
                <w:sz w:val="21"/>
                <w:szCs w:val="21"/>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(85,008)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7715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5" w:lineRule="exact"/>
        <w:rPr>
          <w:sz w:val="20"/>
          <w:szCs w:val="20"/>
          <w:color w:val="auto"/>
        </w:rPr>
      </w:pPr>
    </w:p>
    <w:p>
      <w:pPr>
        <w:ind w:left="660" w:right="200" w:hanging="544"/>
        <w:spacing w:after="0" w:line="195" w:lineRule="auto"/>
        <w:tabs>
          <w:tab w:leader="none" w:pos="660" w:val="left"/>
        </w:tabs>
        <w:numPr>
          <w:ilvl w:val="0"/>
          <w:numId w:val="63"/>
        </w:numPr>
        <w:rPr>
          <w:rFonts w:ascii="Arial" w:cs="Arial" w:eastAsia="Arial" w:hAnsi="Arial"/>
          <w:sz w:val="24"/>
          <w:szCs w:val="24"/>
          <w:color w:val="auto"/>
          <w:vertAlign w:val="superscript"/>
        </w:rPr>
      </w:pPr>
      <w:r>
        <w:rPr>
          <w:rFonts w:ascii="Arial" w:cs="Arial" w:eastAsia="Arial" w:hAnsi="Arial"/>
          <w:sz w:val="14"/>
          <w:szCs w:val="14"/>
          <w:color w:val="auto"/>
        </w:rPr>
        <w:t>We define working capital as current assets less current liabilities. See our financial statements included elsewhere in this prospectus and related notes for further details regarding our current assets and current liabilities.</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320" w:top="455" w:right="43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192" w:lineRule="exact"/>
        <w:rPr>
          <w:sz w:val="20"/>
          <w:szCs w:val="20"/>
          <w:color w:val="auto"/>
        </w:rPr>
      </w:pPr>
    </w:p>
    <w:p>
      <w:pPr>
        <w:ind w:left="120" w:right="240" w:firstLine="551"/>
        <w:spacing w:after="0" w:line="24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“Selected Financial Data” and the financial statements and related notes included elsewhere in this prospectus. This discussion contains forward-looking statements based upon current expectations that involve risks and uncertainties. Our actual results may differ materially from those anticipated in these forward-looking statements as a result of various factors, including those discussed in “Risk Factors” and in other parts of this prospectus.</w:t>
      </w:r>
    </w:p>
    <w:p>
      <w:pPr>
        <w:spacing w:after="0" w:line="2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Overview</w:t>
      </w:r>
    </w:p>
    <w:p>
      <w:pPr>
        <w:spacing w:after="0" w:line="21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We are a precision oncology company pioneering the discovery and development of small molecule, tumor-agnostic therapies targeting p53 mutations.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the top ten most frequent, or hotspot, p53 mutations that are collectively associated with approximately 10-15% of all cancers.</w:t>
      </w:r>
    </w:p>
    <w:p>
      <w:pPr>
        <w:spacing w:after="0" w:line="176"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Since our formation in March 2013, we have devoted substantially all of our time and efforts to performing research and development activities and raising capital. We are not profitable and have incurred losses in each year since our inception. Our net losses were $ 17.5 million and $25.4 million for the years ended December 31, 2018 and 2019, respectively, and $12.1 million and $15.2 million for the six months ended June 30, 2019 and 2020, respectively. As of June 30, 2020, we had an accumulated deficit of $90.7 million. We do not currently have any product candidates in clinical trials or approved for sale, and we continue to incur significant research and development and general administrative expenses related to our operations. We expect that our operating expenses will increase significantly as we advance our product candidates through preclinical and clinical development, seek regulatory approval and prepare for and, if approved, proceed to commercialization; acquire, discover, validate and develop additional product candidates; obtain, maintain, protect and enforce our intellectual property portfolio; and hire additional personnel. In addition, upon the completion of this offering, we expect to incur additional costs associated with operating as a public company. We expect to continue to incur significant losses for the foreseeable future.</w:t>
      </w:r>
    </w:p>
    <w:p>
      <w:pPr>
        <w:spacing w:after="0" w:line="176" w:lineRule="exact"/>
        <w:rPr>
          <w:sz w:val="20"/>
          <w:szCs w:val="20"/>
          <w:color w:val="auto"/>
        </w:rPr>
      </w:pPr>
    </w:p>
    <w:p>
      <w:pPr>
        <w:ind w:left="120" w:right="160" w:firstLine="551"/>
        <w:spacing w:after="0" w:line="248" w:lineRule="auto"/>
        <w:rPr>
          <w:sz w:val="20"/>
          <w:szCs w:val="20"/>
          <w:color w:val="auto"/>
        </w:rPr>
      </w:pPr>
      <w:r>
        <w:rPr>
          <w:rFonts w:ascii="Arial" w:cs="Arial" w:eastAsia="Arial" w:hAnsi="Arial"/>
          <w:sz w:val="18"/>
          <w:szCs w:val="18"/>
          <w:color w:val="auto"/>
        </w:rPr>
        <w:t>We have funded our operations primarily from the issuance and sale of convertible preferred stock. As of June 30, 2020, we had $86.1 million in cash, cash equivalents and short-term marketable securities. We believe that our existing capital resources, including $70.0 million of gross proceeds received from the sale of 28,020,172 shares of our Series D convertible preferred stock in July 2020, will be sufficient to fund our planned operations for at least 12 months following the date of this offering.</w:t>
      </w:r>
    </w:p>
    <w:p>
      <w:pPr>
        <w:spacing w:after="0" w:line="170"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Our ability to generate product revenue will depend on the successful development, regulatory approval and eventual commercialization of one or more of our product candidates. Until such time as we can generate significant revenue from product sales, if ever, we expect to finance our operations through private or public equity or debt financings, collaborative or other arrangements with corporate sources, or through other sources of financing. Adequate funding may not be available to us on acceptable terms, or at all. If we fail to raise capital or enter into such agreements as and when needed, we may have to significantly delay, scale back or discontinue the development and commercialization of our product candidates.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320" w:top="455" w:right="47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We plan to continue to use third-party service providers, including clinical research organizations, or CROs, and contract manufacturing organization, or CMOs, to carry out our preclinical and clinical development and to manufacture and supply the materials to be used during the development and commercialization of our product candidates. We do not currently have a sales force.</w:t>
      </w:r>
    </w:p>
    <w:p>
      <w:pPr>
        <w:spacing w:after="0" w:line="27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Components of Results of Operations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04" w:lineRule="exact"/>
        <w:rPr>
          <w:sz w:val="20"/>
          <w:szCs w:val="20"/>
          <w:color w:val="auto"/>
        </w:rPr>
      </w:pPr>
    </w:p>
    <w:p>
      <w:pPr>
        <w:jc w:val="both"/>
        <w:ind w:left="120" w:firstLine="551"/>
        <w:spacing w:after="0" w:line="248" w:lineRule="auto"/>
        <w:rPr>
          <w:sz w:val="20"/>
          <w:szCs w:val="20"/>
          <w:color w:val="auto"/>
        </w:rPr>
      </w:pPr>
      <w:r>
        <w:rPr>
          <w:rFonts w:ascii="Arial" w:cs="Arial" w:eastAsia="Arial" w:hAnsi="Arial"/>
          <w:sz w:val="18"/>
          <w:szCs w:val="18"/>
          <w:color w:val="auto"/>
        </w:rPr>
        <w:t>To date, we have not generated any revenue from any sources, including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Our research and development expenses consist primarily of costs incurred to conduct research, such as the discovery and development of our product candidates as well as the development of future product candidates. Research and development expenses include personnel costs, including stock-based compensation expense, third-party contractor services, laboratory materials and supplies, depreciation and maintenance of research equipment and an allocation of related facilities costs. We expense research and development costs as they are incurred.</w:t>
      </w:r>
    </w:p>
    <w:p>
      <w:pPr>
        <w:spacing w:after="0" w:line="172"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As we are at a very early stage of development, we do not allocate our costs by product candidate or development program, as a significant amount of research and development expenses include compensation costs, materials, supplies, depreciation on and maintenance of research equipment, the cost of services provided by outside contractors and the allocable portions of facility costs and general support services, which are not tracked by product candidate or development program. In particular, with respect to internal costs, several of our departments support multiple product candidate research and development programs, and therefore the costs cannot be allocated to a particular product candidate or development program. Substantially all of our research and development costs are associated with our lead product candidate, PC14586.</w:t>
      </w:r>
    </w:p>
    <w:p>
      <w:pPr>
        <w:spacing w:after="0" w:line="179"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expect our research and development expenses to increase substantially in absolute dollars in the future as we advance our product candidates into and through clinical trials and pursue regulatory approval of our product candidates.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any future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w:t>
      </w:r>
    </w:p>
    <w:p>
      <w:pPr>
        <w:spacing w:after="0" w:line="2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8"/>
          <w:szCs w:val="18"/>
          <w:color w:val="auto"/>
        </w:rPr>
        <w:t>General and administrative expenses include personnel costs, expenses for outside professional services and other allocated expenses. Personnel costs consist of salaries, bonuses, benefits and stock-based compensation. Outside professional services consist of legal, accounting and audit</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00"/>
          </w:cols>
          <w:pgMar w:left="320" w:top="455" w:right="47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60" w:lineRule="auto"/>
        <w:rPr>
          <w:sz w:val="20"/>
          <w:szCs w:val="20"/>
          <w:color w:val="auto"/>
        </w:rPr>
      </w:pPr>
      <w:r>
        <w:rPr>
          <w:rFonts w:ascii="Arial" w:cs="Arial" w:eastAsia="Arial" w:hAnsi="Arial"/>
          <w:sz w:val="17"/>
          <w:szCs w:val="17"/>
          <w:color w:val="auto"/>
        </w:rPr>
        <w:t>services and other consulting fees. Allocated expenses consist of rent expense related to our office and research and development facility. We expect to incur additional expenses as a public company, including expenses related to compliance with the rules and regulations of the Securities and Exchange Commission, and those of any national securities exchange on which our securities are traded, additional insurance expenses, investor relations activities and other administrative and professional services. We expect to increase our headcount significantly to operate as a public company. We also expect to increase our general and administrative expenses as we advance our product candidates through preclinical research and development, manufacturing, clinical development and commercialization.</w:t>
      </w: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04" w:lineRule="exact"/>
        <w:rPr>
          <w:sz w:val="20"/>
          <w:szCs w:val="20"/>
          <w:color w:val="auto"/>
        </w:rPr>
      </w:pPr>
    </w:p>
    <w:p>
      <w:pPr>
        <w:jc w:val="both"/>
        <w:ind w:left="120" w:right="880" w:firstLine="551"/>
        <w:spacing w:after="0" w:line="306" w:lineRule="auto"/>
        <w:rPr>
          <w:sz w:val="20"/>
          <w:szCs w:val="20"/>
          <w:color w:val="auto"/>
        </w:rPr>
      </w:pPr>
      <w:r>
        <w:rPr>
          <w:rFonts w:ascii="Arial" w:cs="Arial" w:eastAsia="Arial" w:hAnsi="Arial"/>
          <w:sz w:val="17"/>
          <w:szCs w:val="17"/>
          <w:color w:val="auto"/>
        </w:rPr>
        <w:t>Interest income, net primarily consists of interest income from our interest-bearing cash, cash equivalents and short-term marketable securities and interest costs related to amortization of premiums and discounts on short-term marketable securities.</w:t>
      </w:r>
    </w:p>
    <w:p>
      <w:pPr>
        <w:spacing w:after="0" w:line="337"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Results of Operations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Six Months Ended June 30, 2019 and 2020</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5"/>
          </w:tcPr>
          <w:p>
            <w:pPr>
              <w:jc w:val="center"/>
              <w:ind w:right="321"/>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7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center"/>
              <w:ind w:left="434"/>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vMerge w:val="restart"/>
          </w:tcPr>
          <w:p>
            <w:pPr>
              <w:jc w:val="right"/>
              <w:ind w:right="10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9"/>
        </w:trPr>
        <w:tc>
          <w:tcPr>
            <w:tcW w:w="78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2019</w:t>
            </w:r>
          </w:p>
        </w:tc>
        <w:tc>
          <w:tcPr>
            <w:tcW w:w="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40" w:type="dxa"/>
            <w:vAlign w:val="bottom"/>
            <w:tcBorders>
              <w:top w:val="single" w:sz="8" w:color="auto"/>
            </w:tcBorders>
          </w:tcPr>
          <w:p>
            <w:pPr>
              <w:spacing w:after="0"/>
              <w:rPr>
                <w:sz w:val="14"/>
                <w:szCs w:val="14"/>
                <w:color w:val="auto"/>
              </w:rPr>
            </w:pPr>
          </w:p>
        </w:tc>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7"/>
              </w:rPr>
              <w:t>(unaudited)</w:t>
            </w:r>
          </w:p>
        </w:tc>
        <w:tc>
          <w:tcPr>
            <w:tcW w:w="440" w:type="dxa"/>
            <w:vAlign w:val="bottom"/>
          </w:tcPr>
          <w:p>
            <w:pPr>
              <w:spacing w:after="0"/>
              <w:rPr>
                <w:sz w:val="14"/>
                <w:szCs w:val="14"/>
                <w:color w:val="auto"/>
              </w:rPr>
            </w:pPr>
          </w:p>
        </w:tc>
        <w:tc>
          <w:tcPr>
            <w:tcW w:w="8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4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361"/>
              <w:spacing w:after="0" w:line="202" w:lineRule="exact"/>
              <w:rPr>
                <w:sz w:val="20"/>
                <w:szCs w:val="20"/>
                <w:color w:val="auto"/>
              </w:rPr>
            </w:pPr>
            <w:r>
              <w:rPr>
                <w:rFonts w:ascii="Arial" w:cs="Arial" w:eastAsia="Arial" w:hAnsi="Arial"/>
                <w:sz w:val="18"/>
                <w:szCs w:val="18"/>
                <w:color w:val="auto"/>
              </w:rPr>
              <w:t>10,165</w:t>
            </w:r>
          </w:p>
        </w:tc>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61"/>
              <w:spacing w:after="0" w:line="202" w:lineRule="exact"/>
              <w:rPr>
                <w:sz w:val="20"/>
                <w:szCs w:val="20"/>
                <w:color w:val="auto"/>
              </w:rPr>
            </w:pPr>
            <w:r>
              <w:rPr>
                <w:rFonts w:ascii="Arial" w:cs="Arial" w:eastAsia="Arial" w:hAnsi="Arial"/>
                <w:sz w:val="18"/>
                <w:szCs w:val="18"/>
                <w:color w:val="auto"/>
              </w:rPr>
              <w:t>11,760</w:t>
            </w:r>
          </w:p>
        </w:tc>
        <w:tc>
          <w:tcPr>
            <w:tcW w:w="940" w:type="dxa"/>
            <w:vAlign w:val="bottom"/>
            <w:gridSpan w:val="3"/>
          </w:tcPr>
          <w:p>
            <w:pPr>
              <w:jc w:val="right"/>
              <w:ind w:right="41"/>
              <w:spacing w:after="0" w:line="202" w:lineRule="exact"/>
              <w:rPr>
                <w:sz w:val="20"/>
                <w:szCs w:val="20"/>
                <w:color w:val="auto"/>
              </w:rPr>
            </w:pPr>
            <w:r>
              <w:rPr>
                <w:rFonts w:ascii="Arial" w:cs="Arial" w:eastAsia="Arial" w:hAnsi="Arial"/>
                <w:sz w:val="18"/>
                <w:szCs w:val="18"/>
                <w:color w:val="auto"/>
              </w:rPr>
              <w:t>$ 1,595</w:t>
            </w:r>
          </w:p>
        </w:tc>
        <w:tc>
          <w:tcPr>
            <w:tcW w:w="0" w:type="dxa"/>
            <w:vAlign w:val="bottom"/>
          </w:tcPr>
          <w:p>
            <w:pPr>
              <w:spacing w:after="0"/>
              <w:rPr>
                <w:sz w:val="1"/>
                <w:szCs w:val="1"/>
                <w:color w:val="auto"/>
              </w:rPr>
            </w:pPr>
          </w:p>
        </w:tc>
      </w:tr>
      <w:tr>
        <w:trPr>
          <w:trHeight w:val="203"/>
        </w:trPr>
        <w:tc>
          <w:tcPr>
            <w:tcW w:w="78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1"/>
              <w:spacing w:after="0" w:line="202" w:lineRule="exact"/>
              <w:rPr>
                <w:sz w:val="20"/>
                <w:szCs w:val="20"/>
                <w:color w:val="auto"/>
              </w:rPr>
            </w:pPr>
            <w:r>
              <w:rPr>
                <w:rFonts w:ascii="Arial" w:cs="Arial" w:eastAsia="Arial" w:hAnsi="Arial"/>
                <w:sz w:val="18"/>
                <w:szCs w:val="18"/>
                <w:color w:val="auto"/>
              </w:rPr>
              <w:t>2,676</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1"/>
              <w:spacing w:after="0" w:line="202" w:lineRule="exact"/>
              <w:rPr>
                <w:sz w:val="20"/>
                <w:szCs w:val="20"/>
                <w:color w:val="auto"/>
              </w:rPr>
            </w:pPr>
            <w:r>
              <w:rPr>
                <w:rFonts w:ascii="Arial" w:cs="Arial" w:eastAsia="Arial" w:hAnsi="Arial"/>
                <w:sz w:val="18"/>
                <w:szCs w:val="18"/>
                <w:color w:val="auto"/>
              </w:rPr>
              <w:t>3,979</w:t>
            </w:r>
          </w:p>
        </w:tc>
        <w:tc>
          <w:tcPr>
            <w:tcW w:w="940" w:type="dxa"/>
            <w:vAlign w:val="bottom"/>
            <w:gridSpan w:val="3"/>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17"/>
        </w:trPr>
        <w:tc>
          <w:tcPr>
            <w:tcW w:w="7820" w:type="dxa"/>
            <w:vAlign w:val="bottom"/>
            <w:gridSpan w:val="2"/>
          </w:tcPr>
          <w:p>
            <w:pPr>
              <w:ind w:left="72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12,841</w:t>
            </w:r>
          </w:p>
        </w:tc>
        <w:tc>
          <w:tcPr>
            <w:tcW w:w="4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15,739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2,898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8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Loss from operations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01"/>
              <w:spacing w:after="0" w:line="202" w:lineRule="exact"/>
              <w:rPr>
                <w:sz w:val="20"/>
                <w:szCs w:val="20"/>
                <w:color w:val="auto"/>
              </w:rPr>
            </w:pPr>
            <w:r>
              <w:rPr>
                <w:rFonts w:ascii="Arial" w:cs="Arial" w:eastAsia="Arial" w:hAnsi="Arial"/>
                <w:sz w:val="18"/>
                <w:szCs w:val="18"/>
                <w:color w:val="auto"/>
              </w:rPr>
              <w:t>(12,841)</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1"/>
              <w:spacing w:after="0" w:line="202" w:lineRule="exact"/>
              <w:rPr>
                <w:sz w:val="20"/>
                <w:szCs w:val="20"/>
                <w:color w:val="auto"/>
              </w:rPr>
            </w:pPr>
            <w:r>
              <w:rPr>
                <w:rFonts w:ascii="Arial" w:cs="Arial" w:eastAsia="Arial" w:hAnsi="Arial"/>
                <w:sz w:val="18"/>
                <w:szCs w:val="18"/>
                <w:color w:val="auto"/>
              </w:rPr>
              <w:t>(15,739)</w:t>
            </w:r>
          </w:p>
        </w:tc>
        <w:tc>
          <w:tcPr>
            <w:tcW w:w="9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203"/>
        </w:trPr>
        <w:tc>
          <w:tcPr>
            <w:tcW w:w="782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8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income, net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1"/>
              <w:spacing w:after="0" w:line="202" w:lineRule="exact"/>
              <w:rPr>
                <w:sz w:val="20"/>
                <w:szCs w:val="20"/>
                <w:color w:val="auto"/>
              </w:rPr>
            </w:pPr>
            <w:r>
              <w:rPr>
                <w:rFonts w:ascii="Arial" w:cs="Arial" w:eastAsia="Arial" w:hAnsi="Arial"/>
                <w:sz w:val="18"/>
                <w:szCs w:val="18"/>
                <w:color w:val="auto"/>
              </w:rPr>
              <w:t>714</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1"/>
              <w:spacing w:after="0" w:line="202" w:lineRule="exact"/>
              <w:rPr>
                <w:sz w:val="20"/>
                <w:szCs w:val="20"/>
                <w:color w:val="auto"/>
              </w:rPr>
            </w:pPr>
            <w:r>
              <w:rPr>
                <w:rFonts w:ascii="Arial" w:cs="Arial" w:eastAsia="Arial" w:hAnsi="Arial"/>
                <w:sz w:val="18"/>
                <w:szCs w:val="18"/>
                <w:color w:val="auto"/>
              </w:rPr>
              <w:t>563</w:t>
            </w:r>
          </w:p>
        </w:tc>
        <w:tc>
          <w:tcPr>
            <w:tcW w:w="9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3"/>
        </w:trPr>
        <w:tc>
          <w:tcPr>
            <w:tcW w:w="782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14"/>
              <w:spacing w:after="0" w:line="202" w:lineRule="exact"/>
              <w:rPr>
                <w:sz w:val="20"/>
                <w:szCs w:val="20"/>
                <w:color w:val="auto"/>
              </w:rPr>
            </w:pPr>
            <w:r>
              <w:rPr>
                <w:rFonts w:ascii="Arial" w:cs="Arial" w:eastAsia="Arial" w:hAnsi="Arial"/>
                <w:sz w:val="18"/>
                <w:szCs w:val="18"/>
                <w:color w:val="auto"/>
              </w:rPr>
              <w:t>—</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01"/>
              <w:spacing w:after="0" w:line="202" w:lineRule="exact"/>
              <w:rPr>
                <w:sz w:val="20"/>
                <w:szCs w:val="20"/>
                <w:color w:val="auto"/>
              </w:rPr>
            </w:pPr>
            <w:r>
              <w:rPr>
                <w:rFonts w:ascii="Arial" w:cs="Arial" w:eastAsia="Arial" w:hAnsi="Arial"/>
                <w:sz w:val="18"/>
                <w:szCs w:val="18"/>
                <w:color w:val="auto"/>
              </w:rPr>
              <w:t>(43)</w:t>
            </w:r>
          </w:p>
        </w:tc>
        <w:tc>
          <w:tcPr>
            <w:tcW w:w="9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2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other income (expense)</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1"/>
              <w:spacing w:after="0" w:line="202" w:lineRule="exact"/>
              <w:rPr>
                <w:sz w:val="20"/>
                <w:szCs w:val="20"/>
                <w:color w:val="auto"/>
              </w:rPr>
            </w:pPr>
            <w:r>
              <w:rPr>
                <w:rFonts w:ascii="Arial" w:cs="Arial" w:eastAsia="Arial" w:hAnsi="Arial"/>
                <w:sz w:val="18"/>
                <w:szCs w:val="18"/>
                <w:color w:val="auto"/>
              </w:rPr>
              <w:t>714</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1"/>
              <w:spacing w:after="0" w:line="202" w:lineRule="exact"/>
              <w:rPr>
                <w:sz w:val="20"/>
                <w:szCs w:val="20"/>
                <w:color w:val="auto"/>
              </w:rPr>
            </w:pPr>
            <w:r>
              <w:rPr>
                <w:rFonts w:ascii="Arial" w:cs="Arial" w:eastAsia="Arial" w:hAnsi="Arial"/>
                <w:sz w:val="18"/>
                <w:szCs w:val="18"/>
                <w:color w:val="auto"/>
              </w:rPr>
              <w:t>520</w:t>
            </w:r>
          </w:p>
        </w:tc>
        <w:tc>
          <w:tcPr>
            <w:tcW w:w="9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9"/>
        </w:trPr>
        <w:tc>
          <w:tcPr>
            <w:tcW w:w="7820" w:type="dxa"/>
            <w:vAlign w:val="bottom"/>
            <w:gridSpan w:val="2"/>
          </w:tcPr>
          <w:p>
            <w:pPr>
              <w:ind w:left="360"/>
              <w:spacing w:after="0"/>
              <w:rPr>
                <w:sz w:val="20"/>
                <w:szCs w:val="20"/>
                <w:color w:val="auto"/>
              </w:rPr>
            </w:pPr>
            <w:r>
              <w:rPr>
                <w:rFonts w:ascii="Arial" w:cs="Arial" w:eastAsia="Arial" w:hAnsi="Arial"/>
                <w:sz w:val="18"/>
                <w:szCs w:val="18"/>
                <w:color w:val="auto"/>
              </w:rPr>
              <w:t>Loss before provision for income taxes</w:t>
            </w: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(12,127)</w:t>
            </w:r>
          </w:p>
        </w:tc>
        <w:tc>
          <w:tcPr>
            <w:tcW w:w="4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(15,219)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82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61"/>
              <w:spacing w:after="0" w:line="202" w:lineRule="exact"/>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61"/>
              <w:spacing w:after="0" w:line="202" w:lineRule="exact"/>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41"/>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7820" w:type="dxa"/>
            <w:vAlign w:val="bottom"/>
            <w:gridSpan w:val="2"/>
          </w:tcPr>
          <w:p>
            <w:pPr>
              <w:ind w:left="360"/>
              <w:spacing w:after="0"/>
              <w:rPr>
                <w:sz w:val="20"/>
                <w:szCs w:val="20"/>
                <w:color w:val="auto"/>
              </w:rPr>
            </w:pPr>
            <w:r>
              <w:rPr>
                <w:rFonts w:ascii="Arial" w:cs="Arial" w:eastAsia="Arial" w:hAnsi="Arial"/>
                <w:sz w:val="18"/>
                <w:szCs w:val="18"/>
                <w:color w:val="auto"/>
              </w:rPr>
              <w:t>Net loss</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(12,129</w:t>
            </w:r>
          </w:p>
        </w:tc>
        <w:tc>
          <w:tcPr>
            <w:tcW w:w="440" w:type="dxa"/>
            <w:vAlign w:val="bottom"/>
          </w:tcPr>
          <w:p>
            <w:pPr>
              <w:jc w:val="right"/>
              <w:ind w:right="301"/>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(15,221</w:t>
            </w:r>
          </w:p>
        </w:tc>
        <w:tc>
          <w:tcPr>
            <w:tcW w:w="240" w:type="dxa"/>
            <w:vAlign w:val="bottom"/>
          </w:tcPr>
          <w:p>
            <w:pPr>
              <w:jc w:val="right"/>
              <w:ind w:right="101"/>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(3,092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research and development expenses incurred during the periods indicated (in thousands):</w:t>
      </w:r>
    </w:p>
    <w:p>
      <w:pPr>
        <w:spacing w:after="0" w:line="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0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39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4"/>
          </w:tcPr>
          <w:p>
            <w:pPr>
              <w:jc w:val="center"/>
              <w:ind w:left="397"/>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9"/>
        </w:trPr>
        <w:tc>
          <w:tcPr>
            <w:tcW w:w="3760" w:type="dxa"/>
            <w:vAlign w:val="bottom"/>
            <w:gridSpan w:val="2"/>
            <w:vMerge w:val="continue"/>
          </w:tcPr>
          <w:p>
            <w:pPr>
              <w:spacing w:after="0"/>
              <w:rPr>
                <w:sz w:val="12"/>
                <w:szCs w:val="12"/>
                <w:color w:val="auto"/>
              </w:rPr>
            </w:pPr>
          </w:p>
        </w:tc>
        <w:tc>
          <w:tcPr>
            <w:tcW w:w="3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ind w:right="153"/>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40" w:type="dxa"/>
            <w:vAlign w:val="bottom"/>
            <w:tcBorders>
              <w:top w:val="single" w:sz="8" w:color="auto"/>
            </w:tcBorders>
          </w:tcPr>
          <w:p>
            <w:pPr>
              <w:spacing w:after="0"/>
              <w:rPr>
                <w:sz w:val="14"/>
                <w:szCs w:val="14"/>
                <w:color w:val="auto"/>
              </w:rPr>
            </w:pPr>
          </w:p>
        </w:tc>
        <w:tc>
          <w:tcPr>
            <w:tcW w:w="17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78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9"/>
              </w:rPr>
              <w:t>(unaudited)</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Research</w:t>
            </w:r>
          </w:p>
        </w:tc>
        <w:tc>
          <w:tcPr>
            <w:tcW w:w="4140" w:type="dxa"/>
            <w:vAlign w:val="bottom"/>
            <w:gridSpan w:val="2"/>
            <w:shd w:val="clear" w:color="auto" w:fill="CCEEFF"/>
          </w:tcPr>
          <w:p>
            <w:pPr>
              <w:ind w:left="39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4,720</w:t>
            </w:r>
          </w:p>
        </w:tc>
        <w:tc>
          <w:tcPr>
            <w:tcW w:w="4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3,207</w:t>
            </w:r>
          </w:p>
        </w:tc>
        <w:tc>
          <w:tcPr>
            <w:tcW w:w="98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$(1,513)</w:t>
            </w:r>
          </w:p>
        </w:tc>
        <w:tc>
          <w:tcPr>
            <w:tcW w:w="0" w:type="dxa"/>
            <w:vAlign w:val="bottom"/>
          </w:tcPr>
          <w:p>
            <w:pPr>
              <w:spacing w:after="0"/>
              <w:rPr>
                <w:sz w:val="1"/>
                <w:szCs w:val="1"/>
                <w:color w:val="auto"/>
              </w:rPr>
            </w:pPr>
          </w:p>
        </w:tc>
      </w:tr>
      <w:tr>
        <w:trPr>
          <w:trHeight w:val="203"/>
        </w:trPr>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Pre-clinical development</w:t>
            </w:r>
          </w:p>
        </w:tc>
        <w:tc>
          <w:tcPr>
            <w:tcW w:w="3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2,600</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4,593</w:t>
            </w:r>
          </w:p>
        </w:tc>
        <w:tc>
          <w:tcPr>
            <w:tcW w:w="9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1,993</w:t>
            </w:r>
          </w:p>
        </w:tc>
        <w:tc>
          <w:tcPr>
            <w:tcW w:w="0" w:type="dxa"/>
            <w:vAlign w:val="bottom"/>
          </w:tcPr>
          <w:p>
            <w:pPr>
              <w:spacing w:after="0"/>
              <w:rPr>
                <w:sz w:val="1"/>
                <w:szCs w:val="1"/>
                <w:color w:val="auto"/>
              </w:rPr>
            </w:pPr>
          </w:p>
        </w:tc>
      </w:tr>
      <w:tr>
        <w:trPr>
          <w:trHeight w:val="203"/>
        </w:trPr>
        <w:tc>
          <w:tcPr>
            <w:tcW w:w="3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Personnel related</w:t>
            </w:r>
          </w:p>
        </w:tc>
        <w:tc>
          <w:tcPr>
            <w:tcW w:w="3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2,718</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3,640</w:t>
            </w:r>
          </w:p>
        </w:tc>
        <w:tc>
          <w:tcPr>
            <w:tcW w:w="9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03"/>
        </w:trPr>
        <w:tc>
          <w:tcPr>
            <w:tcW w:w="3760" w:type="dxa"/>
            <w:vAlign w:val="bottom"/>
            <w:gridSpan w:val="2"/>
          </w:tcPr>
          <w:p>
            <w:pPr>
              <w:spacing w:after="0" w:line="202" w:lineRule="exact"/>
              <w:rPr>
                <w:sz w:val="20"/>
                <w:szCs w:val="20"/>
                <w:color w:val="auto"/>
              </w:rPr>
            </w:pPr>
            <w:r>
              <w:rPr>
                <w:rFonts w:ascii="Arial" w:cs="Arial" w:eastAsia="Arial" w:hAnsi="Arial"/>
                <w:sz w:val="18"/>
                <w:szCs w:val="18"/>
                <w:color w:val="auto"/>
              </w:rPr>
              <w:t>Stock-based compensation</w:t>
            </w:r>
          </w:p>
        </w:tc>
        <w:tc>
          <w:tcPr>
            <w:tcW w:w="3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127</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320</w:t>
            </w:r>
          </w:p>
        </w:tc>
        <w:tc>
          <w:tcPr>
            <w:tcW w:w="98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4140" w:type="dxa"/>
            <w:vAlign w:val="bottom"/>
            <w:gridSpan w:val="2"/>
            <w:shd w:val="clear" w:color="auto" w:fill="CCEEFF"/>
          </w:tcPr>
          <w:p>
            <w:pPr>
              <w:ind w:left="39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10,165</w:t>
            </w:r>
          </w:p>
        </w:tc>
        <w:tc>
          <w:tcPr>
            <w:tcW w:w="4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11,760</w:t>
            </w:r>
          </w:p>
        </w:tc>
        <w:tc>
          <w:tcPr>
            <w:tcW w:w="98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$ 1,595</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980" w:type="dxa"/>
            <w:vAlign w:val="bottom"/>
            <w:vMerge w:val="restart"/>
          </w:tcPr>
          <w:p>
            <w:pPr>
              <w:jc w:val="right"/>
              <w:ind w:right="1990"/>
              <w:spacing w:after="0"/>
              <w:rPr>
                <w:sz w:val="20"/>
                <w:szCs w:val="20"/>
                <w:color w:val="auto"/>
              </w:rPr>
            </w:pPr>
            <w:r>
              <w:rPr>
                <w:rFonts w:ascii="Arial" w:cs="Arial" w:eastAsia="Arial" w:hAnsi="Arial"/>
                <w:sz w:val="18"/>
                <w:szCs w:val="18"/>
                <w:color w:val="auto"/>
              </w:rPr>
              <w:t>105</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Research and development expenses were $10.2 million for the six months ended June 30, 2019, compared to $11.8 million for the six months ended June 30, 2020. The increase of $1.6 million was primarily due to the following:</w:t>
      </w:r>
    </w:p>
    <w:p>
      <w:pPr>
        <w:spacing w:after="0" w:line="50" w:lineRule="exact"/>
        <w:rPr>
          <w:sz w:val="20"/>
          <w:szCs w:val="20"/>
          <w:color w:val="auto"/>
        </w:rPr>
      </w:pPr>
    </w:p>
    <w:p>
      <w:pPr>
        <w:ind w:left="880" w:right="320" w:hanging="224"/>
        <w:spacing w:after="0" w:line="276"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There was a decrease of $1.5 million in research expense which was driven by a decline in costs from certain of our contract manufacturing initiatives.</w:t>
      </w:r>
    </w:p>
    <w:p>
      <w:pPr>
        <w:spacing w:after="0" w:line="50" w:lineRule="exact"/>
        <w:rPr>
          <w:rFonts w:ascii="Arial" w:cs="Arial" w:eastAsia="Arial" w:hAnsi="Arial"/>
          <w:sz w:val="18"/>
          <w:szCs w:val="18"/>
          <w:color w:val="auto"/>
        </w:rPr>
      </w:pPr>
    </w:p>
    <w:p>
      <w:pPr>
        <w:ind w:left="880" w:right="220" w:hanging="224"/>
        <w:spacing w:after="0" w:line="276"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There was a $2.0 million increase in our preclinical studies which were primarily associated with increased effort in developing our lead compound PC14586 through IND enabling studies.</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There was a $0.9 million increase in compensation and employee related expenses, primarily driven by increases in salaries and bonus expense associated with increased headcount for personnel dedicated to developing PC14586.</w:t>
      </w:r>
    </w:p>
    <w:p>
      <w:pPr>
        <w:spacing w:after="0" w:line="50" w:lineRule="exact"/>
        <w:rPr>
          <w:rFonts w:ascii="Arial" w:cs="Arial" w:eastAsia="Arial" w:hAnsi="Arial"/>
          <w:sz w:val="18"/>
          <w:szCs w:val="18"/>
          <w:color w:val="auto"/>
        </w:rPr>
      </w:pPr>
    </w:p>
    <w:p>
      <w:pPr>
        <w:ind w:left="880" w:right="340" w:hanging="224"/>
        <w:spacing w:after="0" w:line="276" w:lineRule="auto"/>
        <w:tabs>
          <w:tab w:leader="none" w:pos="8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There was a $0.2 million increase in stock-based compensation expense associated with increased headcount for personnel dedicated to developing PC14586.</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left="120" w:right="240" w:firstLine="551"/>
        <w:spacing w:after="0" w:line="276" w:lineRule="auto"/>
        <w:rPr>
          <w:sz w:val="20"/>
          <w:szCs w:val="20"/>
          <w:color w:val="auto"/>
        </w:rPr>
      </w:pPr>
      <w:r>
        <w:rPr>
          <w:rFonts w:ascii="Arial" w:cs="Arial" w:eastAsia="Arial" w:hAnsi="Arial"/>
          <w:sz w:val="18"/>
          <w:szCs w:val="18"/>
          <w:color w:val="auto"/>
        </w:rPr>
        <w:t>General and administrative expenses were $2.7 million for the six months ended June 30, 2019, compared to $4.0 million for the six months ended June 30, 2020. The increase of $1.3 million was primarily due to the following:</w:t>
      </w:r>
    </w:p>
    <w:p>
      <w:pPr>
        <w:spacing w:after="0" w:line="50" w:lineRule="exact"/>
        <w:rPr>
          <w:sz w:val="20"/>
          <w:szCs w:val="20"/>
          <w:color w:val="auto"/>
        </w:rPr>
      </w:pPr>
    </w:p>
    <w:p>
      <w:pPr>
        <w:ind w:left="880" w:right="80" w:hanging="224"/>
        <w:spacing w:after="0" w:line="255"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There was an increase in salary and bonus expense of $0.5 million and an increase in personnel related costs of $0.2 million associated with increased headcount to develop our financial and administrative staff. These increases were partially offset by a decrease in travel and entertainment expense of $0.1 million.</w:t>
      </w:r>
    </w:p>
    <w:p>
      <w:pPr>
        <w:spacing w:after="0" w:line="69" w:lineRule="exact"/>
        <w:rPr>
          <w:rFonts w:ascii="Arial" w:cs="Arial" w:eastAsia="Arial" w:hAnsi="Arial"/>
          <w:sz w:val="18"/>
          <w:szCs w:val="18"/>
          <w:color w:val="auto"/>
        </w:rPr>
      </w:pPr>
    </w:p>
    <w:p>
      <w:pPr>
        <w:ind w:left="880" w:right="340" w:hanging="224"/>
        <w:spacing w:after="0" w:line="276"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There was a $0.3 million increase in expense for legal services, which is primarily driven by increased legal costs associated with international patent filings in selected countries during the six months ended June 30, 2020.</w:t>
      </w:r>
    </w:p>
    <w:p>
      <w:pPr>
        <w:spacing w:after="0" w:line="50" w:lineRule="exact"/>
        <w:rPr>
          <w:rFonts w:ascii="Arial" w:cs="Arial" w:eastAsia="Arial" w:hAnsi="Arial"/>
          <w:sz w:val="18"/>
          <w:szCs w:val="18"/>
          <w:color w:val="auto"/>
        </w:rPr>
      </w:pPr>
    </w:p>
    <w:p>
      <w:pPr>
        <w:ind w:left="880" w:right="300" w:hanging="224"/>
        <w:spacing w:after="0" w:line="276" w:lineRule="auto"/>
        <w:tabs>
          <w:tab w:leader="none" w:pos="8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There was a $0.2 million increase in administrative consulting, primarily associated with increased costs with augmenting our administrative staff.</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04" w:lineRule="exact"/>
        <w:rPr>
          <w:sz w:val="20"/>
          <w:szCs w:val="20"/>
          <w:color w:val="auto"/>
        </w:rPr>
      </w:pPr>
    </w:p>
    <w:p>
      <w:pPr>
        <w:ind w:left="120" w:right="240" w:firstLine="551"/>
        <w:spacing w:after="0" w:line="255" w:lineRule="auto"/>
        <w:rPr>
          <w:sz w:val="20"/>
          <w:szCs w:val="20"/>
          <w:color w:val="auto"/>
        </w:rPr>
      </w:pPr>
      <w:r>
        <w:rPr>
          <w:rFonts w:ascii="Arial" w:cs="Arial" w:eastAsia="Arial" w:hAnsi="Arial"/>
          <w:sz w:val="18"/>
          <w:szCs w:val="18"/>
          <w:color w:val="auto"/>
        </w:rPr>
        <w:t>Interest income, net was $0.7 million for the six months ended June 30, 2019, compared to $0.6 million for the six months ended June 30, 2020. The decrease of $0.1 million is driven by decreased income from cash investments in marketable securities and U.S treasuries during the six months ended June 30, 2020.</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00"/>
          </w:cols>
          <w:pgMar w:left="320" w:top="455" w:right="479" w:bottom="1440" w:gutter="0" w:footer="0" w:header="0"/>
        </w:sectPr>
      </w:pPr>
    </w:p>
    <w:bookmarkStart w:id="110" w:name="page111"/>
    <w:bookmarkEnd w:id="1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2018 and 2019</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80" w:type="dxa"/>
            <w:vAlign w:val="bottom"/>
            <w:gridSpan w:val="4"/>
          </w:tcPr>
          <w:p>
            <w:pPr>
              <w:jc w:val="right"/>
              <w:ind w:right="641"/>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4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6100" w:type="dxa"/>
            <w:vAlign w:val="bottom"/>
            <w:vMerge w:val="restart"/>
          </w:tcPr>
          <w:p>
            <w:pPr>
              <w:spacing w:after="0"/>
              <w:rPr>
                <w:sz w:val="15"/>
                <w:szCs w:val="15"/>
                <w:color w:val="auto"/>
              </w:rPr>
            </w:pPr>
          </w:p>
        </w:tc>
        <w:tc>
          <w:tcPr>
            <w:tcW w:w="20" w:type="dxa"/>
            <w:vAlign w:val="bottom"/>
          </w:tcPr>
          <w:p>
            <w:pPr>
              <w:spacing w:after="0"/>
              <w:rPr>
                <w:sz w:val="15"/>
                <w:szCs w:val="15"/>
                <w:color w:val="auto"/>
              </w:rPr>
            </w:pPr>
          </w:p>
        </w:tc>
        <w:tc>
          <w:tcPr>
            <w:tcW w:w="1980" w:type="dxa"/>
            <w:vAlign w:val="bottom"/>
            <w:gridSpan w:val="4"/>
          </w:tcPr>
          <w:p>
            <w:pPr>
              <w:jc w:val="right"/>
              <w:ind w:right="561"/>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5"/>
                <w:szCs w:val="15"/>
                <w:color w:val="auto"/>
              </w:rPr>
            </w:pPr>
          </w:p>
        </w:tc>
        <w:tc>
          <w:tcPr>
            <w:tcW w:w="760" w:type="dxa"/>
            <w:vAlign w:val="bottom"/>
            <w:gridSpan w:val="2"/>
            <w:vMerge w:val="restart"/>
          </w:tcPr>
          <w:p>
            <w:pPr>
              <w:jc w:val="right"/>
              <w:ind w:right="10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2"/>
        </w:trPr>
        <w:tc>
          <w:tcPr>
            <w:tcW w:w="2040" w:type="dxa"/>
            <w:vAlign w:val="bottom"/>
            <w:tcBorders>
              <w:bottom w:val="single" w:sz="8" w:color="auto"/>
            </w:tcBorders>
            <w:vMerge w:val="continue"/>
          </w:tcPr>
          <w:p>
            <w:pPr>
              <w:spacing w:after="0"/>
              <w:rPr>
                <w:sz w:val="14"/>
                <w:szCs w:val="14"/>
                <w:color w:val="auto"/>
              </w:rPr>
            </w:pPr>
          </w:p>
        </w:tc>
        <w:tc>
          <w:tcPr>
            <w:tcW w:w="61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2018</w:t>
            </w:r>
          </w:p>
        </w:tc>
        <w:tc>
          <w:tcPr>
            <w:tcW w:w="34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14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Operating expenses:</w:t>
            </w:r>
          </w:p>
        </w:tc>
        <w:tc>
          <w:tcPr>
            <w:tcW w:w="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060" w:type="dxa"/>
            <w:vAlign w:val="bottom"/>
            <w:gridSpan w:val="3"/>
          </w:tcPr>
          <w:p>
            <w:pPr>
              <w:jc w:val="right"/>
              <w:ind w:right="261"/>
              <w:spacing w:after="0" w:line="202" w:lineRule="exact"/>
              <w:rPr>
                <w:sz w:val="20"/>
                <w:szCs w:val="20"/>
                <w:color w:val="auto"/>
              </w:rPr>
            </w:pPr>
            <w:r>
              <w:rPr>
                <w:rFonts w:ascii="Arial" w:cs="Arial" w:eastAsia="Arial" w:hAnsi="Arial"/>
                <w:sz w:val="18"/>
                <w:szCs w:val="18"/>
                <w:color w:val="auto"/>
                <w:w w:val="99"/>
              </w:rPr>
              <w:t>$ 13,853</w:t>
            </w:r>
          </w:p>
        </w:tc>
        <w:tc>
          <w:tcPr>
            <w:tcW w:w="940" w:type="dxa"/>
            <w:vAlign w:val="bottom"/>
            <w:gridSpan w:val="2"/>
          </w:tcPr>
          <w:p>
            <w:pPr>
              <w:jc w:val="right"/>
              <w:ind w:right="121"/>
              <w:spacing w:after="0" w:line="202" w:lineRule="exact"/>
              <w:rPr>
                <w:sz w:val="20"/>
                <w:szCs w:val="20"/>
                <w:color w:val="auto"/>
              </w:rPr>
            </w:pPr>
            <w:r>
              <w:rPr>
                <w:rFonts w:ascii="Arial" w:cs="Arial" w:eastAsia="Arial" w:hAnsi="Arial"/>
                <w:sz w:val="18"/>
                <w:szCs w:val="18"/>
                <w:color w:val="auto"/>
              </w:rPr>
              <w:t>$ 20,759</w:t>
            </w:r>
          </w:p>
        </w:tc>
        <w:tc>
          <w:tcPr>
            <w:tcW w:w="880" w:type="dxa"/>
            <w:vAlign w:val="bottom"/>
            <w:gridSpan w:val="3"/>
          </w:tcPr>
          <w:p>
            <w:pPr>
              <w:jc w:val="right"/>
              <w:ind w:right="41"/>
              <w:spacing w:after="0" w:line="202" w:lineRule="exact"/>
              <w:rPr>
                <w:sz w:val="20"/>
                <w:szCs w:val="20"/>
                <w:color w:val="auto"/>
              </w:rPr>
            </w:pPr>
            <w:r>
              <w:rPr>
                <w:rFonts w:ascii="Arial" w:cs="Arial" w:eastAsia="Arial" w:hAnsi="Arial"/>
                <w:sz w:val="18"/>
                <w:szCs w:val="18"/>
                <w:color w:val="auto"/>
              </w:rPr>
              <w:t>$ 6,906</w:t>
            </w:r>
          </w:p>
        </w:tc>
        <w:tc>
          <w:tcPr>
            <w:tcW w:w="0" w:type="dxa"/>
            <w:vAlign w:val="bottom"/>
          </w:tcPr>
          <w:p>
            <w:pPr>
              <w:spacing w:after="0"/>
              <w:rPr>
                <w:sz w:val="1"/>
                <w:szCs w:val="1"/>
                <w:color w:val="auto"/>
              </w:rPr>
            </w:pPr>
          </w:p>
        </w:tc>
      </w:tr>
      <w:tr>
        <w:trPr>
          <w:trHeight w:val="203"/>
        </w:trPr>
        <w:tc>
          <w:tcPr>
            <w:tcW w:w="81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060" w:type="dxa"/>
            <w:vAlign w:val="bottom"/>
            <w:gridSpan w:val="3"/>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5,039</w:t>
            </w:r>
          </w:p>
        </w:tc>
        <w:tc>
          <w:tcPr>
            <w:tcW w:w="940" w:type="dxa"/>
            <w:vAlign w:val="bottom"/>
            <w:gridSpan w:val="2"/>
            <w:shd w:val="clear" w:color="auto" w:fill="CCEEFF"/>
          </w:tcPr>
          <w:p>
            <w:pPr>
              <w:jc w:val="right"/>
              <w:ind w:right="121"/>
              <w:spacing w:after="0" w:line="202" w:lineRule="exact"/>
              <w:rPr>
                <w:sz w:val="20"/>
                <w:szCs w:val="20"/>
                <w:color w:val="auto"/>
              </w:rPr>
            </w:pPr>
            <w:r>
              <w:rPr>
                <w:rFonts w:ascii="Arial" w:cs="Arial" w:eastAsia="Arial" w:hAnsi="Arial"/>
                <w:sz w:val="18"/>
                <w:szCs w:val="18"/>
                <w:color w:val="auto"/>
              </w:rPr>
              <w:t>5,878</w:t>
            </w:r>
          </w:p>
        </w:tc>
        <w:tc>
          <w:tcPr>
            <w:tcW w:w="880" w:type="dxa"/>
            <w:vAlign w:val="bottom"/>
            <w:gridSpan w:val="3"/>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16"/>
        </w:trPr>
        <w:tc>
          <w:tcPr>
            <w:tcW w:w="8140" w:type="dxa"/>
            <w:vAlign w:val="bottom"/>
            <w:gridSpan w:val="2"/>
          </w:tcPr>
          <w:p>
            <w:pPr>
              <w:ind w:left="720"/>
              <w:spacing w:after="0"/>
              <w:rPr>
                <w:sz w:val="20"/>
                <w:szCs w:val="20"/>
                <w:color w:val="auto"/>
              </w:rPr>
            </w:pPr>
            <w:r>
              <w:rPr>
                <w:rFonts w:ascii="Arial" w:cs="Arial" w:eastAsia="Arial" w:hAnsi="Arial"/>
                <w:sz w:val="18"/>
                <w:szCs w:val="18"/>
                <w:color w:val="auto"/>
              </w:rPr>
              <w:t>Total operating expenses</w:t>
            </w:r>
          </w:p>
        </w:tc>
        <w:tc>
          <w:tcPr>
            <w:tcW w:w="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18,892</w:t>
            </w:r>
          </w:p>
        </w:tc>
        <w:tc>
          <w:tcPr>
            <w:tcW w:w="34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26,637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Loss from operations</w:t>
            </w:r>
          </w:p>
        </w:tc>
        <w:tc>
          <w:tcPr>
            <w:tcW w:w="1060" w:type="dxa"/>
            <w:vAlign w:val="bottom"/>
            <w:gridSpan w:val="3"/>
            <w:shd w:val="clear" w:color="auto" w:fill="CCEEFF"/>
          </w:tcPr>
          <w:p>
            <w:pPr>
              <w:jc w:val="right"/>
              <w:ind w:right="201"/>
              <w:spacing w:after="0" w:line="202" w:lineRule="exact"/>
              <w:rPr>
                <w:sz w:val="20"/>
                <w:szCs w:val="20"/>
                <w:color w:val="auto"/>
              </w:rPr>
            </w:pPr>
            <w:r>
              <w:rPr>
                <w:rFonts w:ascii="Arial" w:cs="Arial" w:eastAsia="Arial" w:hAnsi="Arial"/>
                <w:sz w:val="18"/>
                <w:szCs w:val="18"/>
                <w:color w:val="auto"/>
              </w:rPr>
              <w:t>(18,892)</w:t>
            </w:r>
          </w:p>
        </w:tc>
        <w:tc>
          <w:tcPr>
            <w:tcW w:w="940" w:type="dxa"/>
            <w:vAlign w:val="bottom"/>
            <w:gridSpan w:val="2"/>
            <w:shd w:val="clear" w:color="auto" w:fill="CCEEFF"/>
          </w:tcPr>
          <w:p>
            <w:pPr>
              <w:jc w:val="right"/>
              <w:ind w:right="61"/>
              <w:spacing w:after="0" w:line="202" w:lineRule="exact"/>
              <w:rPr>
                <w:sz w:val="20"/>
                <w:szCs w:val="20"/>
                <w:color w:val="auto"/>
              </w:rPr>
            </w:pPr>
            <w:r>
              <w:rPr>
                <w:rFonts w:ascii="Arial" w:cs="Arial" w:eastAsia="Arial" w:hAnsi="Arial"/>
                <w:sz w:val="18"/>
                <w:szCs w:val="18"/>
                <w:color w:val="auto"/>
              </w:rPr>
              <w:t>(26,637)</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(7,745)</w:t>
            </w:r>
          </w:p>
        </w:tc>
        <w:tc>
          <w:tcPr>
            <w:tcW w:w="0" w:type="dxa"/>
            <w:vAlign w:val="bottom"/>
          </w:tcPr>
          <w:p>
            <w:pPr>
              <w:spacing w:after="0"/>
              <w:rPr>
                <w:sz w:val="1"/>
                <w:szCs w:val="1"/>
                <w:color w:val="auto"/>
              </w:rPr>
            </w:pPr>
          </w:p>
        </w:tc>
      </w:tr>
      <w:tr>
        <w:trPr>
          <w:trHeight w:val="203"/>
        </w:trPr>
        <w:tc>
          <w:tcPr>
            <w:tcW w:w="8140" w:type="dxa"/>
            <w:vAlign w:val="bottom"/>
            <w:gridSpan w:val="2"/>
          </w:tcPr>
          <w:p>
            <w:pPr>
              <w:spacing w:after="0" w:line="202" w:lineRule="exact"/>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14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income, net</w:t>
            </w:r>
          </w:p>
        </w:tc>
        <w:tc>
          <w:tcPr>
            <w:tcW w:w="1060" w:type="dxa"/>
            <w:vAlign w:val="bottom"/>
            <w:gridSpan w:val="3"/>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1,341</w:t>
            </w:r>
          </w:p>
        </w:tc>
        <w:tc>
          <w:tcPr>
            <w:tcW w:w="940" w:type="dxa"/>
            <w:vAlign w:val="bottom"/>
            <w:gridSpan w:val="2"/>
            <w:shd w:val="clear" w:color="auto" w:fill="CCEEFF"/>
          </w:tcPr>
          <w:p>
            <w:pPr>
              <w:jc w:val="right"/>
              <w:ind w:right="121"/>
              <w:spacing w:after="0" w:line="202" w:lineRule="exact"/>
              <w:rPr>
                <w:sz w:val="20"/>
                <w:szCs w:val="20"/>
                <w:color w:val="auto"/>
              </w:rPr>
            </w:pPr>
            <w:r>
              <w:rPr>
                <w:rFonts w:ascii="Arial" w:cs="Arial" w:eastAsia="Arial" w:hAnsi="Arial"/>
                <w:sz w:val="18"/>
                <w:szCs w:val="18"/>
                <w:color w:val="auto"/>
              </w:rPr>
              <w:t>1,301</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3"/>
        </w:trPr>
        <w:tc>
          <w:tcPr>
            <w:tcW w:w="814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Other income (expense)</w:t>
            </w:r>
          </w:p>
        </w:tc>
        <w:tc>
          <w:tcPr>
            <w:tcW w:w="20" w:type="dxa"/>
            <w:vAlign w:val="bottom"/>
          </w:tcPr>
          <w:p>
            <w:pPr>
              <w:spacing w:after="0"/>
              <w:rPr>
                <w:sz w:val="17"/>
                <w:szCs w:val="17"/>
                <w:color w:val="auto"/>
              </w:rPr>
            </w:pPr>
          </w:p>
        </w:tc>
        <w:tc>
          <w:tcPr>
            <w:tcW w:w="1040" w:type="dxa"/>
            <w:vAlign w:val="bottom"/>
            <w:gridSpan w:val="2"/>
          </w:tcPr>
          <w:p>
            <w:pPr>
              <w:jc w:val="right"/>
              <w:ind w:right="261"/>
              <w:spacing w:after="0" w:line="202" w:lineRule="exact"/>
              <w:rPr>
                <w:sz w:val="20"/>
                <w:szCs w:val="20"/>
                <w:color w:val="auto"/>
              </w:rPr>
            </w:pPr>
            <w:r>
              <w:rPr>
                <w:rFonts w:ascii="Arial" w:cs="Arial" w:eastAsia="Arial" w:hAnsi="Arial"/>
                <w:sz w:val="18"/>
                <w:szCs w:val="18"/>
                <w:color w:val="auto"/>
              </w:rPr>
              <w:t>16</w:t>
            </w:r>
          </w:p>
        </w:tc>
        <w:tc>
          <w:tcPr>
            <w:tcW w:w="94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(8)</w:t>
            </w:r>
          </w:p>
        </w:tc>
        <w:tc>
          <w:tcPr>
            <w:tcW w:w="8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6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14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other income (expense)</w:t>
            </w:r>
          </w:p>
        </w:tc>
        <w:tc>
          <w:tcPr>
            <w:tcW w:w="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1,357</w:t>
            </w:r>
          </w:p>
        </w:tc>
        <w:tc>
          <w:tcPr>
            <w:tcW w:w="940" w:type="dxa"/>
            <w:vAlign w:val="bottom"/>
            <w:gridSpan w:val="2"/>
            <w:shd w:val="clear" w:color="auto" w:fill="CCEEFF"/>
          </w:tcPr>
          <w:p>
            <w:pPr>
              <w:jc w:val="right"/>
              <w:ind w:right="121"/>
              <w:spacing w:after="0" w:line="202" w:lineRule="exact"/>
              <w:rPr>
                <w:sz w:val="20"/>
                <w:szCs w:val="20"/>
                <w:color w:val="auto"/>
              </w:rPr>
            </w:pPr>
            <w:r>
              <w:rPr>
                <w:rFonts w:ascii="Arial" w:cs="Arial" w:eastAsia="Arial" w:hAnsi="Arial"/>
                <w:sz w:val="18"/>
                <w:szCs w:val="18"/>
                <w:color w:val="auto"/>
              </w:rPr>
              <w:t>1,293</w:t>
            </w:r>
          </w:p>
        </w:tc>
        <w:tc>
          <w:tcPr>
            <w:tcW w:w="8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9"/>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Loss before provision for income taxes</w:t>
            </w:r>
          </w:p>
        </w:tc>
        <w:tc>
          <w:tcPr>
            <w:tcW w:w="2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(17,535)</w:t>
            </w:r>
          </w:p>
        </w:tc>
        <w:tc>
          <w:tcPr>
            <w:tcW w:w="340" w:type="dxa"/>
            <w:vAlign w:val="bottom"/>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(25,344)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140" w:type="dxa"/>
            <w:vAlign w:val="bottom"/>
            <w:gridSpan w:val="2"/>
            <w:shd w:val="clear" w:color="auto" w:fill="CCEEFF"/>
          </w:tcPr>
          <w:p>
            <w:pPr>
              <w:ind w:left="720"/>
              <w:spacing w:after="0" w:line="202" w:lineRule="exact"/>
              <w:rPr>
                <w:sz w:val="20"/>
                <w:szCs w:val="20"/>
                <w:color w:val="auto"/>
              </w:rPr>
            </w:pPr>
            <w:r>
              <w:rPr>
                <w:rFonts w:ascii="Arial" w:cs="Arial" w:eastAsia="Arial" w:hAnsi="Arial"/>
                <w:sz w:val="18"/>
                <w:szCs w:val="18"/>
                <w:color w:val="auto"/>
              </w:rPr>
              <w:t>Provision for income taxes</w:t>
            </w:r>
          </w:p>
        </w:tc>
        <w:tc>
          <w:tcPr>
            <w:tcW w:w="1060" w:type="dxa"/>
            <w:vAlign w:val="bottom"/>
            <w:gridSpan w:val="3"/>
            <w:shd w:val="clear" w:color="auto" w:fill="CCEEFF"/>
          </w:tcPr>
          <w:p>
            <w:pPr>
              <w:jc w:val="right"/>
              <w:ind w:right="261"/>
              <w:spacing w:after="0" w:line="202" w:lineRule="exact"/>
              <w:rPr>
                <w:sz w:val="20"/>
                <w:szCs w:val="20"/>
                <w:color w:val="auto"/>
              </w:rPr>
            </w:pPr>
            <w:r>
              <w:rPr>
                <w:rFonts w:ascii="Arial" w:cs="Arial" w:eastAsia="Arial" w:hAnsi="Arial"/>
                <w:sz w:val="18"/>
                <w:szCs w:val="18"/>
                <w:color w:val="auto"/>
              </w:rPr>
              <w:t>3</w:t>
            </w:r>
          </w:p>
        </w:tc>
        <w:tc>
          <w:tcPr>
            <w:tcW w:w="940" w:type="dxa"/>
            <w:vAlign w:val="bottom"/>
            <w:gridSpan w:val="2"/>
            <w:shd w:val="clear" w:color="auto" w:fill="CCEEFF"/>
          </w:tcPr>
          <w:p>
            <w:pPr>
              <w:jc w:val="right"/>
              <w:ind w:right="121"/>
              <w:spacing w:after="0" w:line="202" w:lineRule="exact"/>
              <w:rPr>
                <w:sz w:val="20"/>
                <w:szCs w:val="20"/>
                <w:color w:val="auto"/>
              </w:rPr>
            </w:pPr>
            <w:r>
              <w:rPr>
                <w:rFonts w:ascii="Arial" w:cs="Arial" w:eastAsia="Arial" w:hAnsi="Arial"/>
                <w:sz w:val="18"/>
                <w:szCs w:val="18"/>
                <w:color w:val="auto"/>
              </w:rPr>
              <w:t>8</w:t>
            </w:r>
          </w:p>
        </w:tc>
        <w:tc>
          <w:tcPr>
            <w:tcW w:w="880" w:type="dxa"/>
            <w:vAlign w:val="bottom"/>
            <w:gridSpan w:val="3"/>
            <w:shd w:val="clear" w:color="auto" w:fill="CCEEFF"/>
          </w:tcPr>
          <w:p>
            <w:pPr>
              <w:jc w:val="right"/>
              <w:ind w:right="41"/>
              <w:spacing w:after="0" w:line="20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9"/>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Net loss</w:t>
            </w:r>
          </w:p>
        </w:tc>
        <w:tc>
          <w:tcPr>
            <w:tcW w:w="20" w:type="dxa"/>
            <w:vAlign w:val="bottom"/>
            <w:tcBorders>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(17,538</w:t>
            </w:r>
          </w:p>
        </w:tc>
        <w:tc>
          <w:tcPr>
            <w:tcW w:w="340" w:type="dxa"/>
            <w:vAlign w:val="bottom"/>
          </w:tcPr>
          <w:p>
            <w:pPr>
              <w:jc w:val="right"/>
              <w:ind w:right="201"/>
              <w:spacing w:after="0"/>
              <w:rPr>
                <w:sz w:val="20"/>
                <w:szCs w:val="20"/>
                <w:color w:val="auto"/>
              </w:rPr>
            </w:pPr>
            <w:r>
              <w:rPr>
                <w:rFonts w:ascii="Arial" w:cs="Arial" w:eastAsia="Arial" w:hAnsi="Arial"/>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(25,352</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(7,814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research and development expenses incurred during the periods indicated (in thousands):</w:t>
      </w:r>
    </w:p>
    <w:p>
      <w:pPr>
        <w:spacing w:after="0" w:line="125"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0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2040" w:type="dxa"/>
            <w:vAlign w:val="bottom"/>
            <w:vMerge w:val="restart"/>
          </w:tcPr>
          <w:p>
            <w:pPr>
              <w:spacing w:after="0"/>
              <w:rPr>
                <w:sz w:val="20"/>
                <w:szCs w:val="20"/>
                <w:color w:val="auto"/>
              </w:rPr>
            </w:pPr>
            <w:r>
              <w:rPr>
                <w:rFonts w:ascii="Arial" w:cs="Arial" w:eastAsia="Arial" w:hAnsi="Arial"/>
                <w:sz w:val="14"/>
                <w:szCs w:val="14"/>
                <w:b w:val="1"/>
                <w:bCs w:val="1"/>
                <w:color w:val="auto"/>
              </w:rPr>
              <w:t>Statement of operations data:</w:t>
            </w:r>
          </w:p>
        </w:tc>
        <w:tc>
          <w:tcPr>
            <w:tcW w:w="3280" w:type="dxa"/>
            <w:vAlign w:val="bottom"/>
            <w:vMerge w:val="restart"/>
          </w:tcPr>
          <w:p>
            <w:pPr>
              <w:spacing w:after="0"/>
              <w:rPr>
                <w:sz w:val="15"/>
                <w:szCs w:val="15"/>
                <w:color w:val="auto"/>
              </w:rPr>
            </w:pPr>
          </w:p>
        </w:tc>
        <w:tc>
          <w:tcPr>
            <w:tcW w:w="3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5"/>
                <w:szCs w:val="15"/>
                <w:color w:val="auto"/>
              </w:rPr>
            </w:pPr>
          </w:p>
        </w:tc>
        <w:tc>
          <w:tcPr>
            <w:tcW w:w="70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62"/>
        </w:trPr>
        <w:tc>
          <w:tcPr>
            <w:tcW w:w="2040" w:type="dxa"/>
            <w:vAlign w:val="bottom"/>
            <w:tcBorders>
              <w:bottom w:val="single" w:sz="8" w:color="auto"/>
            </w:tcBorders>
            <w:vMerge w:val="continue"/>
          </w:tcPr>
          <w:p>
            <w:pPr>
              <w:spacing w:after="0"/>
              <w:rPr>
                <w:sz w:val="14"/>
                <w:szCs w:val="14"/>
                <w:color w:val="auto"/>
              </w:rPr>
            </w:pPr>
          </w:p>
        </w:tc>
        <w:tc>
          <w:tcPr>
            <w:tcW w:w="3280" w:type="dxa"/>
            <w:vAlign w:val="bottom"/>
            <w:vMerge w:val="continue"/>
          </w:tcPr>
          <w:p>
            <w:pPr>
              <w:spacing w:after="0"/>
              <w:rPr>
                <w:sz w:val="14"/>
                <w:szCs w:val="14"/>
                <w:color w:val="auto"/>
              </w:rPr>
            </w:pPr>
          </w:p>
        </w:tc>
        <w:tc>
          <w:tcPr>
            <w:tcW w:w="3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Research</w:t>
            </w:r>
          </w:p>
        </w:tc>
        <w:tc>
          <w:tcPr>
            <w:tcW w:w="31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7,516</w:t>
            </w:r>
          </w:p>
        </w:tc>
        <w:tc>
          <w:tcPr>
            <w:tcW w:w="2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9,364</w:t>
            </w: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$1,848</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Pre-clinical development</w:t>
            </w: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1,179</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5,811</w:t>
            </w:r>
          </w:p>
        </w:tc>
        <w:tc>
          <w:tcPr>
            <w:tcW w:w="84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4,632</w:t>
            </w:r>
          </w:p>
        </w:tc>
        <w:tc>
          <w:tcPr>
            <w:tcW w:w="0" w:type="dxa"/>
            <w:vAlign w:val="bottom"/>
          </w:tcPr>
          <w:p>
            <w:pPr>
              <w:spacing w:after="0"/>
              <w:rPr>
                <w:sz w:val="1"/>
                <w:szCs w:val="1"/>
                <w:color w:val="auto"/>
              </w:rPr>
            </w:pPr>
          </w:p>
        </w:tc>
      </w:tr>
      <w:tr>
        <w:trPr>
          <w:trHeight w:val="202"/>
        </w:trPr>
        <w:tc>
          <w:tcPr>
            <w:tcW w:w="5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Personnel related</w:t>
            </w:r>
          </w:p>
        </w:tc>
        <w:tc>
          <w:tcPr>
            <w:tcW w:w="3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4,844</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5,282</w:t>
            </w:r>
          </w:p>
        </w:tc>
        <w:tc>
          <w:tcPr>
            <w:tcW w:w="8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03"/>
        </w:trPr>
        <w:tc>
          <w:tcPr>
            <w:tcW w:w="5320" w:type="dxa"/>
            <w:vAlign w:val="bottom"/>
            <w:gridSpan w:val="2"/>
          </w:tcPr>
          <w:p>
            <w:pPr>
              <w:spacing w:after="0" w:line="202" w:lineRule="exact"/>
              <w:rPr>
                <w:sz w:val="20"/>
                <w:szCs w:val="20"/>
                <w:color w:val="auto"/>
              </w:rPr>
            </w:pPr>
            <w:r>
              <w:rPr>
                <w:rFonts w:ascii="Arial" w:cs="Arial" w:eastAsia="Arial" w:hAnsi="Arial"/>
                <w:sz w:val="18"/>
                <w:szCs w:val="18"/>
                <w:color w:val="auto"/>
              </w:rPr>
              <w:t>Stock-based compensation</w:t>
            </w:r>
          </w:p>
        </w:tc>
        <w:tc>
          <w:tcPr>
            <w:tcW w:w="3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314</w:t>
            </w:r>
          </w:p>
        </w:tc>
        <w:tc>
          <w:tcPr>
            <w:tcW w:w="100" w:type="dxa"/>
            <w:vAlign w:val="bottom"/>
          </w:tcPr>
          <w:p>
            <w:pPr>
              <w:spacing w:after="0"/>
              <w:rPr>
                <w:sz w:val="17"/>
                <w:szCs w:val="17"/>
                <w:color w:val="auto"/>
              </w:rPr>
            </w:pPr>
          </w:p>
        </w:tc>
        <w:tc>
          <w:tcPr>
            <w:tcW w:w="6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302</w:t>
            </w:r>
          </w:p>
        </w:tc>
        <w:tc>
          <w:tcPr>
            <w:tcW w:w="84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3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32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3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8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w w:val="98"/>
              </w:rPr>
              <w:t>13,853</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8"/>
              </w:rPr>
              <w:t>20,759</w:t>
            </w:r>
          </w:p>
        </w:tc>
        <w:tc>
          <w:tcPr>
            <w:tcW w:w="84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6,906</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100" w:firstLine="551"/>
        <w:spacing w:after="0" w:line="276" w:lineRule="auto"/>
        <w:rPr>
          <w:sz w:val="20"/>
          <w:szCs w:val="20"/>
          <w:color w:val="auto"/>
        </w:rPr>
      </w:pPr>
      <w:r>
        <w:rPr>
          <w:rFonts w:ascii="Arial" w:cs="Arial" w:eastAsia="Arial" w:hAnsi="Arial"/>
          <w:sz w:val="18"/>
          <w:szCs w:val="18"/>
          <w:color w:val="auto"/>
        </w:rPr>
        <w:t>Research and development expenses were $13.9 million for the year ended December 31, 2018, compared to $20.8 million for the year ended December 31, 2019. The increase of $6.9 million was primarily due to the following:</w:t>
      </w:r>
    </w:p>
    <w:p>
      <w:pPr>
        <w:spacing w:after="0" w:line="50" w:lineRule="exact"/>
        <w:rPr>
          <w:sz w:val="20"/>
          <w:szCs w:val="20"/>
          <w:color w:val="auto"/>
        </w:rPr>
      </w:pPr>
    </w:p>
    <w:p>
      <w:pPr>
        <w:ind w:left="880" w:right="40" w:hanging="224"/>
        <w:spacing w:after="0" w:line="276"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There was a $1.8 million increase in research expense, driven primarily by a $1.3 million increase in outside laboratory analytics, $0.8 million increase in technical consulting, partially offset by a decrease of $0.4 million in scientific contract expense.</w:t>
      </w:r>
    </w:p>
    <w:p>
      <w:pPr>
        <w:spacing w:after="0" w:line="50" w:lineRule="exact"/>
        <w:rPr>
          <w:rFonts w:ascii="Arial" w:cs="Arial" w:eastAsia="Arial" w:hAnsi="Arial"/>
          <w:sz w:val="18"/>
          <w:szCs w:val="18"/>
          <w:color w:val="auto"/>
        </w:rPr>
      </w:pPr>
    </w:p>
    <w:p>
      <w:pPr>
        <w:ind w:left="880" w:right="140" w:hanging="224"/>
        <w:spacing w:after="0" w:line="248"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There was a $4.6 million increase in preclinical development, which was primarily associated with increased effort in developing our lead candidate, PC14586. The $4.6 million increase in preclinical studies is primarily driven by the initiation of an investigational new drug, or IND, enabling study for the Y220C mutation, for which we incurred approximately $2.0 million in expense for the year ended December 31, 2019.</w:t>
      </w:r>
    </w:p>
    <w:p>
      <w:pPr>
        <w:spacing w:after="0" w:line="75" w:lineRule="exact"/>
        <w:rPr>
          <w:rFonts w:ascii="Arial" w:cs="Arial" w:eastAsia="Arial" w:hAnsi="Arial"/>
          <w:sz w:val="18"/>
          <w:szCs w:val="18"/>
          <w:color w:val="auto"/>
        </w:rPr>
      </w:pPr>
    </w:p>
    <w:p>
      <w:pPr>
        <w:ind w:left="880" w:right="80" w:hanging="224"/>
        <w:spacing w:after="0" w:line="276" w:lineRule="auto"/>
        <w:tabs>
          <w:tab w:leader="none" w:pos="8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There was an $0.4 million increase in expenses for salaries and bonuses, primarily driven by increased headcount for personnel dedicated to developing PC14586.</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40"/>
          </w:cols>
          <w:pgMar w:left="320" w:top="455" w:right="439" w:bottom="1440" w:gutter="0" w:footer="0" w:header="0"/>
        </w:sectPr>
      </w:pPr>
    </w:p>
    <w:bookmarkStart w:id="111" w:name="page112"/>
    <w:bookmarkEnd w:id="1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04" w:lineRule="exact"/>
        <w:rPr>
          <w:sz w:val="20"/>
          <w:szCs w:val="20"/>
          <w:color w:val="auto"/>
        </w:rPr>
      </w:pPr>
    </w:p>
    <w:p>
      <w:pPr>
        <w:ind w:left="120" w:right="320" w:firstLine="551"/>
        <w:spacing w:after="0" w:line="276" w:lineRule="auto"/>
        <w:rPr>
          <w:sz w:val="20"/>
          <w:szCs w:val="20"/>
          <w:color w:val="auto"/>
        </w:rPr>
      </w:pPr>
      <w:r>
        <w:rPr>
          <w:rFonts w:ascii="Arial" w:cs="Arial" w:eastAsia="Arial" w:hAnsi="Arial"/>
          <w:sz w:val="18"/>
          <w:szCs w:val="18"/>
          <w:color w:val="auto"/>
        </w:rPr>
        <w:t>General and administrative expenses were $5.0 million for the year ended December 31, 2018, compared to $5.9 million for the year ended December 31, 2019. The increase of $0.9 million was primarily due to the following:</w:t>
      </w:r>
    </w:p>
    <w:p>
      <w:pPr>
        <w:spacing w:after="0" w:line="50" w:lineRule="exact"/>
        <w:rPr>
          <w:sz w:val="20"/>
          <w:szCs w:val="20"/>
          <w:color w:val="auto"/>
        </w:rPr>
      </w:pPr>
    </w:p>
    <w:p>
      <w:pPr>
        <w:ind w:left="880" w:right="580" w:hanging="224"/>
        <w:spacing w:after="0" w:line="276"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There was a $0.4 million increase in expense for employee compensation, driven primarily by increased salary and bonus expense of $0.5 million, partially offset by a decrease in stock-based compensation expense of $0.2 million.</w:t>
      </w:r>
    </w:p>
    <w:p>
      <w:pPr>
        <w:spacing w:after="0" w:line="50" w:lineRule="exact"/>
        <w:rPr>
          <w:rFonts w:ascii="Arial" w:cs="Arial" w:eastAsia="Arial" w:hAnsi="Arial"/>
          <w:sz w:val="18"/>
          <w:szCs w:val="18"/>
          <w:color w:val="auto"/>
        </w:rPr>
      </w:pPr>
    </w:p>
    <w:p>
      <w:pPr>
        <w:ind w:left="880" w:right="860" w:hanging="224"/>
        <w:spacing w:after="0" w:line="255" w:lineRule="auto"/>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There was a $0.3 million increase in expense for outside services, which is primarily driven by increased legal costs of $0.2 million associated for patent expenses and reviews of contracts executed with third-party contract research and manufacturing organizations during the year ended December 31, 2019.</w:t>
      </w:r>
    </w:p>
    <w:p>
      <w:pPr>
        <w:spacing w:after="0" w:line="69" w:lineRule="exact"/>
        <w:rPr>
          <w:rFonts w:ascii="Arial" w:cs="Arial" w:eastAsia="Arial" w:hAnsi="Arial"/>
          <w:sz w:val="18"/>
          <w:szCs w:val="18"/>
          <w:color w:val="auto"/>
        </w:rPr>
      </w:pPr>
    </w:p>
    <w:p>
      <w:pPr>
        <w:ind w:left="880" w:hanging="224"/>
        <w:spacing w:after="0"/>
        <w:tabs>
          <w:tab w:leader="none" w:pos="8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There was a $0.2 million increase associated with facility related expenses during the year ended December 31, 2019.</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Income, Net</w:t>
      </w:r>
    </w:p>
    <w:p>
      <w:pPr>
        <w:spacing w:after="0" w:line="104" w:lineRule="exact"/>
        <w:rPr>
          <w:sz w:val="20"/>
          <w:szCs w:val="20"/>
          <w:color w:val="auto"/>
        </w:rPr>
      </w:pPr>
    </w:p>
    <w:p>
      <w:pPr>
        <w:ind w:left="120" w:right="20" w:firstLine="551"/>
        <w:spacing w:after="0" w:line="260" w:lineRule="auto"/>
        <w:rPr>
          <w:sz w:val="20"/>
          <w:szCs w:val="20"/>
          <w:color w:val="auto"/>
        </w:rPr>
      </w:pPr>
      <w:r>
        <w:rPr>
          <w:rFonts w:ascii="Arial" w:cs="Arial" w:eastAsia="Arial" w:hAnsi="Arial"/>
          <w:sz w:val="17"/>
          <w:szCs w:val="17"/>
          <w:color w:val="auto"/>
        </w:rPr>
        <w:t>Interest income, net primarily consists of interest income from our interest-bearing cash, cash equivalents and short-term marketable securities and interest costs related to amortization of premiums and discounts on short-term marketable securities. Interest income, net was $1.3 million for the year ended December 31, 2018, compared to $1.3 million for the year ended December 31, 2019. There was no change in interest income, net for the year ended December 31, 2019 and December 31, 2018, due to a decrease in interest income of $0.3 million for the year ended December 31, 2019 compared to the year ended December 31, 2018, which was offset by a decrease of $0.3 million of interest expense for the year ended December 31, 2019 compared to the year ended December 31, 2018.</w:t>
      </w:r>
    </w:p>
    <w:p>
      <w:pPr>
        <w:spacing w:after="0" w:line="3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Since our inception, we have not generated any revenue from any product sales or any other sources, and have incurred significant operating losses and negative cash flows from our operations. We have not yet commercialized any of our product candidates and we do not expect to generate revenue from sales of any product candidates for several years, if at all. As of June 30, 2020, we had cash, cash equivalents and short-term marketable securities of $86.1 million and an accumulated deficit of $90.7 million. We have financed our operations primarily through issuances of our convertible preferred stock. In 2019, we sold an aggregate of 28,798,050 shares of our Series C convertible preferred stock to accredited investors, generating gross proceeds of $61.9 million. In July 2020, we sold an aggregate of 28,020,172 shares of our Series D convertible preferred stock to accredited investors, generating gross proceeds of $70.0 million.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Plan of Operation and Future Funding Requirements</w:t>
      </w:r>
    </w:p>
    <w:p>
      <w:pPr>
        <w:spacing w:after="0" w:line="104"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We use our capital resources primarily to fund operating expenses, primarily research and development expenditures. We plan to increase our research and development expenses for the foreseeable future as we continue the preclinical development and move into clinical development of our product candidates. At this time, due to the inherently unpredictable nature of preclinical and clinical development and given the early stage of our product candidates, we cannot reasonably estimate the costs we will incur and the timelines that will be required to complete development, obtain marketing approval and commercialize our current product candidates or any future product</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5" w:right="459" w:bottom="1440" w:gutter="0" w:footer="0" w:header="0"/>
        </w:sectPr>
      </w:pPr>
    </w:p>
    <w:bookmarkStart w:id="112" w:name="page113"/>
    <w:bookmarkEnd w:id="1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20"/>
        <w:spacing w:after="0" w:line="245" w:lineRule="auto"/>
        <w:rPr>
          <w:sz w:val="20"/>
          <w:szCs w:val="20"/>
          <w:color w:val="auto"/>
        </w:rPr>
      </w:pPr>
      <w:r>
        <w:rPr>
          <w:rFonts w:ascii="Arial" w:cs="Arial" w:eastAsia="Arial" w:hAnsi="Arial"/>
          <w:sz w:val="18"/>
          <w:szCs w:val="18"/>
          <w:color w:val="auto"/>
        </w:rPr>
        <w:t>candidates, if at all. For the same reasons, we are also unable to predict when, if ever, we will generate revenue from product sales or whether, or when, if ever, we may achieve profitability. Clinical and preclinical development timelines, the probability of success, and development costs can differ materially from expectations. In addition, we cannot forecast which product candidates may be subject to future collaborations, when such arrangements will be secured, if at all, and to what degree such arrangements would affect our development plans and capital requirements.</w:t>
      </w:r>
    </w:p>
    <w:p>
      <w:pPr>
        <w:spacing w:after="0" w:line="172" w:lineRule="exact"/>
        <w:rPr>
          <w:sz w:val="20"/>
          <w:szCs w:val="20"/>
          <w:color w:val="auto"/>
        </w:rPr>
      </w:pPr>
    </w:p>
    <w:p>
      <w:pPr>
        <w:ind w:left="120" w:firstLine="551"/>
        <w:spacing w:after="0" w:line="254" w:lineRule="auto"/>
        <w:rPr>
          <w:sz w:val="20"/>
          <w:szCs w:val="20"/>
          <w:color w:val="auto"/>
        </w:rPr>
      </w:pPr>
      <w:r>
        <w:rPr>
          <w:rFonts w:ascii="Arial" w:cs="Arial" w:eastAsia="Arial" w:hAnsi="Arial"/>
          <w:sz w:val="17"/>
          <w:szCs w:val="17"/>
          <w:color w:val="auto"/>
        </w:rPr>
        <w:t>Due to our significant research and development expenditures, we have generated substantial operating losses in each period since inception. We have incurred an accumulated deficit of $90.7 million through June 30, 2020. We expect to incur substantial additional losses in the future as we expand our research and development activities. Based on our research and development plans, we expect that the net proceeds from this offering, together with our existing cash, cash equivalents and short-term marketable securities, which includes the gross proceeds of approximately $70.0 million from our Series D convertible preferred stock financing, will be sufficient to fund our</w:t>
      </w:r>
    </w:p>
    <w:p>
      <w:pPr>
        <w:ind w:left="120" w:right="100"/>
        <w:spacing w:after="0" w:line="250" w:lineRule="auto"/>
        <w:rPr>
          <w:sz w:val="20"/>
          <w:szCs w:val="20"/>
          <w:color w:val="auto"/>
        </w:rPr>
      </w:pPr>
      <w:r>
        <w:rPr>
          <w:rFonts w:ascii="Arial" w:cs="Arial" w:eastAsia="Arial" w:hAnsi="Arial"/>
          <w:sz w:val="18"/>
          <w:szCs w:val="18"/>
          <w:color w:val="auto"/>
        </w:rPr>
        <w:t>operations through . We have based this estimate on assumptions that may prove to be wrong, however, and we could use our capital resources sooner than we expect.</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timing and amount of our operating expenditures will depend largely on:</w:t>
      </w:r>
    </w:p>
    <w:p>
      <w:pPr>
        <w:spacing w:after="0" w:line="117" w:lineRule="exact"/>
        <w:rPr>
          <w:sz w:val="20"/>
          <w:szCs w:val="20"/>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timing and amount of milestone payments we may receive under any future collaboration agreements;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our ability to maintain future licenses and research and development programs and to establish new collaboration arrangements;</w:t>
      </w:r>
    </w:p>
    <w:p>
      <w:pPr>
        <w:spacing w:after="0" w:line="128" w:lineRule="exact"/>
        <w:rPr>
          <w:rFonts w:ascii="Arial" w:cs="Arial" w:eastAsia="Arial" w:hAnsi="Arial"/>
          <w:sz w:val="17"/>
          <w:szCs w:val="17"/>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and other intellectual property claims;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cost and timing of regulatory approvals; and</w:t>
      </w:r>
    </w:p>
    <w:p>
      <w:pPr>
        <w:spacing w:after="0" w:line="117" w:lineRule="exact"/>
        <w:rPr>
          <w:rFonts w:ascii="Arial" w:cs="Arial" w:eastAsia="Arial" w:hAnsi="Arial"/>
          <w:sz w:val="18"/>
          <w:szCs w:val="18"/>
          <w:color w:val="auto"/>
        </w:rPr>
      </w:pPr>
    </w:p>
    <w:p>
      <w:pPr>
        <w:ind w:left="880" w:right="380" w:hanging="224"/>
        <w:spacing w:after="0" w:line="276" w:lineRule="auto"/>
        <w:tabs>
          <w:tab w:leader="none" w:pos="8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including personnel to support development of our product candidates and satisfy our obligations as a public company.</w:t>
      </w:r>
    </w:p>
    <w:p>
      <w:pPr>
        <w:spacing w:after="0" w:line="145" w:lineRule="exact"/>
        <w:rPr>
          <w:sz w:val="20"/>
          <w:szCs w:val="20"/>
          <w:color w:val="auto"/>
        </w:rPr>
      </w:pPr>
    </w:p>
    <w:p>
      <w:pPr>
        <w:ind w:left="120" w:right="240" w:firstLine="551"/>
        <w:spacing w:after="0" w:line="239" w:lineRule="auto"/>
        <w:rPr>
          <w:sz w:val="20"/>
          <w:szCs w:val="20"/>
          <w:color w:val="auto"/>
        </w:rPr>
      </w:pPr>
      <w:r>
        <w:rPr>
          <w:rFonts w:ascii="Arial" w:cs="Arial" w:eastAsia="Arial" w:hAnsi="Arial"/>
          <w:sz w:val="18"/>
          <w:szCs w:val="18"/>
          <w:color w:val="auto"/>
        </w:rPr>
        <w:t>Until such time, if ever, as we can generate substantial revenue from product sales, we expect to fund our operations and capital funding needs through equity and/or debt financing. We may also consider entering into collaboration arrangements or selectively partnering for clinical development and commercialization. The sale of additional equity would result in additional dilution to our stockholders. The incurrence of debt financing would result in debt service obligations and the instruments governing such debt could provide for operating and financing covenants that would restrict our operations or our ability to incur additional indebtedness or pay dividends, among other items. If we raise additional funds through governmental funding, collaborations, strategic partnerships and alliances or marketing, distribution or licensing arrangements with third parties, we may have to relinquish valuable rights to our technologies, future revenue streams, research programs or product candidates or grant licenses on terms that may not be favorable to us. If we are not able to secure adequate additional funding, we may be forced to make reductions in spending, extend payment terms with suppliers, liquidate assets where possible, and/or suspend or curtail planned programs. Any of these actions could materially and adversely affect our business, financial condition, results of operations and prospects.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00"/>
          </w:cols>
          <w:pgMar w:left="320" w:top="455" w:right="479" w:bottom="1440" w:gutter="0" w:footer="0" w:header="0"/>
        </w:sectPr>
      </w:pPr>
    </w:p>
    <w:bookmarkStart w:id="113" w:name="page114"/>
    <w:bookmarkEnd w:id="1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cash flows for the period indicated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jc w:val="right"/>
              <w:ind w:right="840"/>
              <w:spacing w:after="0"/>
              <w:rPr>
                <w:sz w:val="20"/>
                <w:szCs w:val="20"/>
                <w:color w:val="auto"/>
              </w:rPr>
            </w:pPr>
            <w:r>
              <w:rPr>
                <w:rFonts w:ascii="Arial" w:cs="Arial" w:eastAsia="Arial" w:hAnsi="Arial"/>
                <w:sz w:val="14"/>
                <w:szCs w:val="14"/>
                <w:b w:val="1"/>
                <w:bCs w:val="1"/>
                <w:color w:val="auto"/>
              </w:rPr>
              <w:t>Year Ended</w:t>
            </w:r>
          </w:p>
        </w:tc>
        <w:tc>
          <w:tcPr>
            <w:tcW w:w="160" w:type="dxa"/>
            <w:vAlign w:val="bottom"/>
          </w:tcPr>
          <w:p>
            <w:pPr>
              <w:spacing w:after="0"/>
              <w:rPr>
                <w:sz w:val="14"/>
                <w:szCs w:val="14"/>
                <w:color w:val="auto"/>
              </w:rPr>
            </w:pPr>
          </w:p>
        </w:tc>
        <w:tc>
          <w:tcPr>
            <w:tcW w:w="19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Six Months Ended</w:t>
            </w:r>
          </w:p>
        </w:tc>
      </w:tr>
      <w:tr>
        <w:trPr>
          <w:trHeight w:val="177"/>
        </w:trPr>
        <w:tc>
          <w:tcPr>
            <w:tcW w:w="6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2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5"/>
                <w:szCs w:val="15"/>
                <w:color w:val="auto"/>
              </w:rPr>
            </w:pPr>
          </w:p>
        </w:tc>
        <w:tc>
          <w:tcPr>
            <w:tcW w:w="1120" w:type="dxa"/>
            <w:vAlign w:val="bottom"/>
            <w:gridSpan w:val="3"/>
          </w:tcPr>
          <w:p>
            <w:pPr>
              <w:jc w:val="center"/>
              <w:ind w:left="418"/>
              <w:spacing w:after="0"/>
              <w:rPr>
                <w:sz w:val="20"/>
                <w:szCs w:val="20"/>
                <w:color w:val="auto"/>
              </w:rPr>
            </w:pPr>
            <w:r>
              <w:rPr>
                <w:rFonts w:ascii="Arial" w:cs="Arial" w:eastAsia="Arial" w:hAnsi="Arial"/>
                <w:sz w:val="14"/>
                <w:szCs w:val="14"/>
                <w:b w:val="1"/>
                <w:bCs w:val="1"/>
                <w:color w:val="auto"/>
              </w:rPr>
              <w:t>June 30,</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56"/>
        </w:trPr>
        <w:tc>
          <w:tcPr>
            <w:tcW w:w="68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18"/>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58"/>
              <w:spacing w:after="0" w:line="155" w:lineRule="exact"/>
              <w:rPr>
                <w:sz w:val="20"/>
                <w:szCs w:val="20"/>
                <w:color w:val="auto"/>
              </w:rPr>
            </w:pPr>
            <w:r>
              <w:rPr>
                <w:rFonts w:ascii="Arial" w:cs="Arial" w:eastAsia="Arial" w:hAnsi="Arial"/>
                <w:sz w:val="14"/>
                <w:szCs w:val="14"/>
                <w:b w:val="1"/>
                <w:bCs w:val="1"/>
                <w:color w:val="auto"/>
              </w:rPr>
              <w:t>2019</w:t>
            </w:r>
          </w:p>
        </w:tc>
        <w:tc>
          <w:tcPr>
            <w:tcW w:w="34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5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r>
      <w:tr>
        <w:trPr>
          <w:trHeight w:val="155"/>
        </w:trPr>
        <w:tc>
          <w:tcPr>
            <w:tcW w:w="68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(unaudited)</w:t>
            </w:r>
          </w:p>
        </w:tc>
        <w:tc>
          <w:tcPr>
            <w:tcW w:w="340" w:type="dxa"/>
            <w:vAlign w:val="bottom"/>
          </w:tcPr>
          <w:p>
            <w:pPr>
              <w:spacing w:after="0"/>
              <w:rPr>
                <w:sz w:val="13"/>
                <w:szCs w:val="13"/>
                <w:color w:val="auto"/>
              </w:rPr>
            </w:pPr>
          </w:p>
        </w:tc>
        <w:tc>
          <w:tcPr>
            <w:tcW w:w="8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3"/>
                <w:szCs w:val="13"/>
                <w:color w:val="auto"/>
              </w:rPr>
            </w:pP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used in operating activities</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8"/>
              </w:rPr>
              <w:t>(15,178)</w:t>
            </w:r>
          </w:p>
        </w:tc>
        <w:tc>
          <w:tcPr>
            <w:tcW w:w="12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$(22,065)</w:t>
            </w:r>
          </w:p>
        </w:tc>
        <w:tc>
          <w:tcPr>
            <w:tcW w:w="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(11,211)</w:t>
            </w:r>
          </w:p>
        </w:tc>
        <w:tc>
          <w:tcPr>
            <w:tcW w:w="1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(15,034)</w:t>
            </w:r>
          </w:p>
        </w:tc>
      </w:tr>
      <w:tr>
        <w:trPr>
          <w:trHeight w:val="203"/>
        </w:trPr>
        <w:tc>
          <w:tcPr>
            <w:tcW w:w="6820" w:type="dxa"/>
            <w:vAlign w:val="bottom"/>
          </w:tcPr>
          <w:p>
            <w:pPr>
              <w:spacing w:after="0" w:line="202" w:lineRule="exact"/>
              <w:rPr>
                <w:sz w:val="20"/>
                <w:szCs w:val="20"/>
                <w:color w:val="auto"/>
              </w:rPr>
            </w:pPr>
            <w:r>
              <w:rPr>
                <w:rFonts w:ascii="Arial" w:cs="Arial" w:eastAsia="Arial" w:hAnsi="Arial"/>
                <w:sz w:val="18"/>
                <w:szCs w:val="18"/>
                <w:color w:val="auto"/>
              </w:rPr>
              <w:t>Cash provided by investing activities</w:t>
            </w:r>
          </w:p>
        </w:tc>
        <w:tc>
          <w:tcPr>
            <w:tcW w:w="120" w:type="dxa"/>
            <w:vAlign w:val="bottom"/>
          </w:tcPr>
          <w:p>
            <w:pPr>
              <w:spacing w:after="0"/>
              <w:rPr>
                <w:sz w:val="17"/>
                <w:szCs w:val="17"/>
                <w:color w:val="auto"/>
              </w:rPr>
            </w:pPr>
          </w:p>
        </w:tc>
        <w:tc>
          <w:tcPr>
            <w:tcW w:w="6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21,693</w:t>
            </w:r>
          </w:p>
        </w:tc>
        <w:tc>
          <w:tcPr>
            <w:tcW w:w="180" w:type="dxa"/>
            <w:vAlign w:val="bottom"/>
          </w:tcPr>
          <w:p>
            <w:pPr>
              <w:spacing w:after="0"/>
              <w:rPr>
                <w:sz w:val="17"/>
                <w:szCs w:val="17"/>
                <w:color w:val="auto"/>
              </w:rPr>
            </w:pPr>
          </w:p>
        </w:tc>
        <w:tc>
          <w:tcPr>
            <w:tcW w:w="120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3,231</w:t>
            </w:r>
          </w:p>
        </w:tc>
        <w:tc>
          <w:tcPr>
            <w:tcW w:w="160" w:type="dxa"/>
            <w:vAlign w:val="bottom"/>
          </w:tcPr>
          <w:p>
            <w:pPr>
              <w:spacing w:after="0"/>
              <w:rPr>
                <w:sz w:val="17"/>
                <w:szCs w:val="17"/>
                <w:color w:val="auto"/>
              </w:rPr>
            </w:pPr>
          </w:p>
        </w:tc>
        <w:tc>
          <w:tcPr>
            <w:tcW w:w="9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22,774</w:t>
            </w:r>
          </w:p>
        </w:tc>
        <w:tc>
          <w:tcPr>
            <w:tcW w:w="14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19,931</w:t>
            </w:r>
          </w:p>
        </w:tc>
      </w:tr>
      <w:tr>
        <w:trPr>
          <w:trHeight w:val="203"/>
        </w:trPr>
        <w:tc>
          <w:tcPr>
            <w:tcW w:w="6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provided by (used in) financing activities</w:t>
            </w:r>
          </w:p>
        </w:tc>
        <w:tc>
          <w:tcPr>
            <w:tcW w:w="12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61,805</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(124)</w:t>
            </w:r>
          </w:p>
        </w:tc>
      </w:tr>
      <w:tr>
        <w:trPr>
          <w:trHeight w:val="210"/>
        </w:trPr>
        <w:tc>
          <w:tcPr>
            <w:tcW w:w="68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6,515</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$ 42,971</w:t>
            </w:r>
          </w:p>
        </w:tc>
        <w:tc>
          <w:tcPr>
            <w:tcW w:w="3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11,663</w:t>
            </w: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4,773</w:t>
            </w:r>
          </w:p>
        </w:tc>
        <w:tc>
          <w:tcPr>
            <w:tcW w:w="120" w:type="dxa"/>
            <w:vAlign w:val="bottom"/>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Net cash used in operating activities for the six months ended June 30, 2019, was $11.2 million, which consisted primarily of net loss of $12.1 million decreased by non-cash charges of $0.7 million and by a net change of $0.3 million in our net operating assets. The non-cash charges primarily consisted of stock-based compensation of $0.4 million and depreciation of $0.2 million. The change in our net operating assets and liabilities was primarily due to an increase in accrued compensation and accrued liabilities and outstanding payables in 2019.</w:t>
      </w:r>
    </w:p>
    <w:p>
      <w:pPr>
        <w:spacing w:after="0" w:line="172" w:lineRule="exact"/>
        <w:rPr>
          <w:sz w:val="20"/>
          <w:szCs w:val="20"/>
          <w:color w:val="auto"/>
        </w:rPr>
      </w:pPr>
    </w:p>
    <w:p>
      <w:pPr>
        <w:ind w:left="120" w:right="40" w:firstLine="551"/>
        <w:spacing w:after="0" w:line="268" w:lineRule="auto"/>
        <w:rPr>
          <w:sz w:val="20"/>
          <w:szCs w:val="20"/>
          <w:color w:val="auto"/>
        </w:rPr>
      </w:pPr>
      <w:r>
        <w:rPr>
          <w:rFonts w:ascii="Arial" w:cs="Arial" w:eastAsia="Arial" w:hAnsi="Arial"/>
          <w:sz w:val="17"/>
          <w:szCs w:val="17"/>
          <w:color w:val="auto"/>
        </w:rPr>
        <w:t>Net cash used in operating activities for the six months ended June 30, 2020, was $ 15.0 million, which consisted primarily of net loss of $15.2 million decreased by non-cash charges of $1.1 million partially offset by a net change of $0.9 million in our net operating assets. The non-cash charges primarily consisted of stock-based compensation of $0.7 million and depreciation and amortization expense of $0.3 million. The change in our net operating assets and liabilities was primarily due to a decrease in outstanding payables in 2020.</w:t>
      </w:r>
    </w:p>
    <w:p>
      <w:pPr>
        <w:spacing w:after="0" w:line="153" w:lineRule="exact"/>
        <w:rPr>
          <w:sz w:val="20"/>
          <w:szCs w:val="20"/>
          <w:color w:val="auto"/>
        </w:rPr>
      </w:pPr>
    </w:p>
    <w:p>
      <w:pPr>
        <w:ind w:left="120" w:right="140" w:firstLine="551"/>
        <w:spacing w:after="0" w:line="245" w:lineRule="auto"/>
        <w:rPr>
          <w:sz w:val="20"/>
          <w:szCs w:val="20"/>
          <w:color w:val="auto"/>
        </w:rPr>
      </w:pPr>
      <w:r>
        <w:rPr>
          <w:rFonts w:ascii="Arial" w:cs="Arial" w:eastAsia="Arial" w:hAnsi="Arial"/>
          <w:sz w:val="18"/>
          <w:szCs w:val="18"/>
          <w:color w:val="auto"/>
        </w:rPr>
        <w:t>Net cash used in operating activities for the year ended December 31, 2018, was $15.2 million, which consisted primarily of net loss of $17.5 million decreased by non-cash charges of $1.7 million and by a net change of $0.6 million in our net operating assets. The non-cash charges primarily consisted of stock-based compensation of $1.1 million, depreciation of $0.3 million and amortization of premiums on marketable securities of $0.3 million. The change in our net operating assets and liabilities was primarily due to an increase in accrued liabilities and outstanding payables in 2018.</w:t>
      </w:r>
    </w:p>
    <w:p>
      <w:pPr>
        <w:spacing w:after="0" w:line="172" w:lineRule="exact"/>
        <w:rPr>
          <w:sz w:val="20"/>
          <w:szCs w:val="20"/>
          <w:color w:val="auto"/>
        </w:rPr>
      </w:pPr>
    </w:p>
    <w:p>
      <w:pPr>
        <w:ind w:left="120" w:right="260" w:firstLine="551"/>
        <w:spacing w:after="0" w:line="248" w:lineRule="auto"/>
        <w:rPr>
          <w:sz w:val="20"/>
          <w:szCs w:val="20"/>
          <w:color w:val="auto"/>
        </w:rPr>
      </w:pPr>
      <w:r>
        <w:rPr>
          <w:rFonts w:ascii="Arial" w:cs="Arial" w:eastAsia="Arial" w:hAnsi="Arial"/>
          <w:sz w:val="18"/>
          <w:szCs w:val="18"/>
          <w:color w:val="auto"/>
        </w:rPr>
        <w:t>Net cash used in operating activities for the year ended December 31, 2019, was $22.1 million, which consisted primarily of net loss of $25.4 million decreased by non-cash charges of $1.4 million and by a net change of $1.9 million in our net operating assets. The non-cash charges primarily consisted of stock-based compensation of $0.9 million and depreciation and amortization expense of $0.5 million. The change in our net operating assets and liabilities was primarily due to an increase in outstanding payables in 2019.</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Our investing activities provided $22.7 million of cash during the six months ended June 30, 2019, which consisted primarily of maturities of marketable securities of $33.6 million, partially offset by purchases of marketable securities of $10.7 million and purchases of property and equipment of $0.1 million.</w:t>
      </w:r>
    </w:p>
    <w:p>
      <w:pPr>
        <w:spacing w:after="0" w:line="164"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Our investing activities provided $19.9 million of cash during the six months ended June 30, 2020, which consisted primarily of maturities of marketable securities of $34.6 million, partially offset by purchases of marketable securities of $14.6 million and purchases of property and equipment of $0.1 million.</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40"/>
          </w:cols>
          <w:pgMar w:left="320" w:top="455" w:right="439" w:bottom="1440" w:gutter="0" w:footer="0" w:header="0"/>
        </w:sectPr>
      </w:pPr>
    </w:p>
    <w:bookmarkStart w:id="114" w:name="page115"/>
    <w:bookmarkEnd w:id="1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Our investing activities provided $21.7 million of cash during the year ended December 31, 2018, which consisted primarily of maturities of marketable securities of $70.8 million, partially offset by purchases of marketable securities of $48.7 million and purchases of property and equipment of $0.5 million.</w:t>
      </w:r>
    </w:p>
    <w:p>
      <w:pPr>
        <w:spacing w:after="0" w:line="164"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Our investing activities provided $3.2 million of cash during the year ended December 31, 2019, which consisted primarily of maturities of marketable securities of $46.8 million, partially offset by purchases of marketable securities of $43.5 million and purchases of property and equipment of $0.1 million.</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left="120" w:right="540" w:firstLine="551"/>
        <w:spacing w:after="0" w:line="276" w:lineRule="auto"/>
        <w:rPr>
          <w:sz w:val="20"/>
          <w:szCs w:val="20"/>
          <w:color w:val="auto"/>
        </w:rPr>
      </w:pPr>
      <w:r>
        <w:rPr>
          <w:rFonts w:ascii="Arial" w:cs="Arial" w:eastAsia="Arial" w:hAnsi="Arial"/>
          <w:sz w:val="18"/>
          <w:szCs w:val="18"/>
          <w:color w:val="auto"/>
        </w:rPr>
        <w:t>Our financing activities provided $0.1 million of cash during the six months ended June 30, 2019, which consisted primarily of exercises of stock options of $0.1 million.</w:t>
      </w:r>
    </w:p>
    <w:p>
      <w:pPr>
        <w:spacing w:after="0" w:line="145" w:lineRule="exact"/>
        <w:rPr>
          <w:sz w:val="20"/>
          <w:szCs w:val="20"/>
          <w:color w:val="auto"/>
        </w:rPr>
      </w:pPr>
    </w:p>
    <w:p>
      <w:pPr>
        <w:ind w:left="120" w:right="180" w:firstLine="551"/>
        <w:spacing w:after="0" w:line="255" w:lineRule="auto"/>
        <w:rPr>
          <w:sz w:val="20"/>
          <w:szCs w:val="20"/>
          <w:color w:val="auto"/>
        </w:rPr>
      </w:pPr>
      <w:r>
        <w:rPr>
          <w:rFonts w:ascii="Arial" w:cs="Arial" w:eastAsia="Arial" w:hAnsi="Arial"/>
          <w:sz w:val="18"/>
          <w:szCs w:val="18"/>
          <w:color w:val="auto"/>
        </w:rPr>
        <w:t>Our financing activities used $0.1 million of cash during the six months ended June 30, 2020, which consisted primarily of payments of deferred offering costs associated with incremental legal, professional and other third-party fees directly associated with the planned IPO.</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had no cash flows from financing activities for the year ended December 31, 2018.</w:t>
      </w:r>
    </w:p>
    <w:p>
      <w:pPr>
        <w:spacing w:after="0" w:line="212"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Our financing activities provided $61.8 million of cash during the year ended December 31, 2019, which consisted primarily of proceeds from the issuance of our Series C convertible preferred stock of $61.9 million, and proceeds from the exercise of stock options of $0.1 million, partially offset by payments of equity issuance costs of $0.2 million.</w:t>
      </w:r>
    </w:p>
    <w:p>
      <w:pPr>
        <w:spacing w:after="0" w:line="270"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Off-Balance Sheet Arrangements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not entered into any off-balance sheet arrangements.</w:t>
      </w:r>
    </w:p>
    <w:p>
      <w:pPr>
        <w:spacing w:after="0" w:line="3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contractual obligations as of December 31, 2019 (in thousands):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Less than</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1 to 3</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3 to 5</w:t>
            </w: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8"/>
              </w:rPr>
              <w:t>More than</w:t>
            </w: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7"/>
        </w:trPr>
        <w:tc>
          <w:tcPr>
            <w:tcW w:w="6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1 year</w:t>
            </w: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rPr>
              <w:t>years</w:t>
            </w:r>
          </w:p>
        </w:tc>
        <w:tc>
          <w:tcPr>
            <w:tcW w:w="6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5 years</w:t>
            </w:r>
          </w:p>
        </w:tc>
        <w:tc>
          <w:tcPr>
            <w:tcW w:w="440" w:type="dxa"/>
            <w:vAlign w:val="bottom"/>
          </w:tcPr>
          <w:p>
            <w:pPr>
              <w:spacing w:after="0"/>
              <w:rPr>
                <w:sz w:val="15"/>
                <w:szCs w:val="15"/>
                <w:color w:val="auto"/>
              </w:rPr>
            </w:pPr>
          </w:p>
        </w:tc>
        <w:tc>
          <w:tcPr>
            <w:tcW w:w="6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Total</w:t>
            </w:r>
          </w:p>
        </w:tc>
      </w:tr>
      <w:tr>
        <w:trPr>
          <w:trHeight w:val="196"/>
        </w:trPr>
        <w:tc>
          <w:tcPr>
            <w:tcW w:w="6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lease obligations:</w:t>
            </w: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479</w:t>
            </w:r>
          </w:p>
        </w:tc>
        <w:tc>
          <w:tcPr>
            <w:tcW w:w="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730</w:t>
            </w: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4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bottom w:val="single" w:sz="8" w:color="auto"/>
            </w:tcBorders>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1,213</w:t>
            </w:r>
          </w:p>
        </w:tc>
        <w:tc>
          <w:tcPr>
            <w:tcW w:w="60" w:type="dxa"/>
            <w:vAlign w:val="bottom"/>
            <w:tcBorders>
              <w:top w:val="single" w:sz="8" w:color="CCEEFF"/>
            </w:tcBorders>
            <w:shd w:val="clear" w:color="auto" w:fill="CCEEFF"/>
          </w:tcPr>
          <w:p>
            <w:pPr>
              <w:spacing w:after="0"/>
              <w:rPr>
                <w:sz w:val="17"/>
                <w:szCs w:val="17"/>
                <w:color w:val="auto"/>
              </w:rPr>
            </w:pPr>
          </w:p>
        </w:tc>
      </w:tr>
      <w:tr>
        <w:trPr>
          <w:trHeight w:val="209"/>
        </w:trPr>
        <w:tc>
          <w:tcPr>
            <w:tcW w:w="650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20" w:type="dxa"/>
            <w:vAlign w:val="bottom"/>
            <w:tcBorders>
              <w:bottom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u w:val="single" w:color="auto"/>
                <w:color w:val="auto"/>
                <w:w w:val="94"/>
              </w:rPr>
              <w:t>$</w:t>
            </w:r>
            <w:r>
              <w:rPr>
                <w:rFonts w:ascii="Arial" w:cs="Arial" w:eastAsia="Arial" w:hAnsi="Arial"/>
                <w:sz w:val="18"/>
                <w:szCs w:val="18"/>
                <w:color w:val="auto"/>
                <w:w w:val="94"/>
              </w:rPr>
              <w:t>730</w:t>
            </w:r>
          </w:p>
        </w:tc>
        <w:tc>
          <w:tcPr>
            <w:tcW w:w="44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4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1,213</w:t>
            </w:r>
          </w:p>
        </w:tc>
        <w:tc>
          <w:tcPr>
            <w:tcW w:w="60" w:type="dxa"/>
            <w:vAlign w:val="bottom"/>
          </w:tcPr>
          <w:p>
            <w:pPr>
              <w:spacing w:after="0"/>
              <w:rPr>
                <w:sz w:val="18"/>
                <w:szCs w:val="18"/>
                <w:color w:val="auto"/>
              </w:rPr>
            </w:pPr>
          </w:p>
        </w:tc>
      </w:tr>
      <w:tr>
        <w:trPr>
          <w:trHeight w:val="20"/>
        </w:trPr>
        <w:tc>
          <w:tcPr>
            <w:tcW w:w="6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We enter into contracts in the normal course of business with CROs and other vendors to assist in the performance of our research and development activities and other services and products for operating purposes. These contracts generally provide for termination on notice, and therefore are cancelable contracts and not included in the table of contractual obligations and commitments.</w:t>
      </w: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14" w:lineRule="exact"/>
        <w:rPr>
          <w:sz w:val="20"/>
          <w:szCs w:val="20"/>
          <w:color w:val="auto"/>
        </w:rPr>
      </w:pPr>
    </w:p>
    <w:p>
      <w:pPr>
        <w:ind w:left="120" w:right="380" w:firstLine="551"/>
        <w:spacing w:after="0" w:line="255" w:lineRule="auto"/>
        <w:rPr>
          <w:sz w:val="20"/>
          <w:szCs w:val="20"/>
          <w:color w:val="auto"/>
        </w:rPr>
      </w:pPr>
      <w:r>
        <w:rPr>
          <w:rFonts w:ascii="Arial" w:cs="Arial" w:eastAsia="Arial" w:hAnsi="Arial"/>
          <w:sz w:val="18"/>
          <w:szCs w:val="18"/>
          <w:color w:val="auto"/>
        </w:rPr>
        <w:t>The preparation of our financial statements in conformity with accounting principles generally accepted in the United States requires us to make estimates and judgments that affect the amounts reported in those financial statements and accompanying notes. Although we believe that the</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40"/>
          </w:cols>
          <w:pgMar w:left="320" w:top="455" w:right="439" w:bottom="1440" w:gutter="0" w:footer="0" w:header="0"/>
        </w:sectPr>
      </w:pPr>
    </w:p>
    <w:bookmarkStart w:id="115" w:name="page116"/>
    <w:bookmarkEnd w:id="1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380"/>
        <w:spacing w:after="0" w:line="276" w:lineRule="auto"/>
        <w:rPr>
          <w:sz w:val="20"/>
          <w:szCs w:val="20"/>
          <w:color w:val="auto"/>
        </w:rPr>
      </w:pPr>
      <w:r>
        <w:rPr>
          <w:rFonts w:ascii="Arial" w:cs="Arial" w:eastAsia="Arial" w:hAnsi="Arial"/>
          <w:sz w:val="18"/>
          <w:szCs w:val="18"/>
          <w:color w:val="auto"/>
        </w:rPr>
        <w:t>estimates we use are reasonable, due to the inherent uncertainty involved in making those estimates, actual results reported in future periods could differ from those estimates.</w:t>
      </w:r>
    </w:p>
    <w:p>
      <w:pPr>
        <w:spacing w:after="0" w:line="145"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We believe that the accounting policies described below involve a high degree of judgment and complexity. Accordingly, these are the policies we believe are the most critical to aid in fully understanding and evaluating our financial condition and results of our operations.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Costs, Accrued Research and Development Costs and Related Prepaid Expenses</w:t>
      </w:r>
    </w:p>
    <w:p>
      <w:pPr>
        <w:spacing w:after="0" w:line="10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Research and development costs are expensed as incurred. Research and development expenses consist principally of personnel costs, including salaries, stock-based compensation and benefits for employees, third-party license fees and other operational costs related to our research and development activities, including allocated facility-related expenses and external costs of outside vendors, and other direct and indirect costs. Non -refundable research and development advance payments are deferred and capitalized. The capitalized amounts are expensed as the related goods are delivered or services are performed.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measure all stock options and other stock-based awards granted to our employees, directors, consultants and</w:t>
      </w:r>
    </w:p>
    <w:p>
      <w:pPr>
        <w:spacing w:after="0" w:line="18" w:lineRule="exact"/>
        <w:rPr>
          <w:sz w:val="20"/>
          <w:szCs w:val="20"/>
          <w:color w:val="auto"/>
        </w:rPr>
      </w:pPr>
    </w:p>
    <w:p>
      <w:pPr>
        <w:ind w:left="120" w:right="20"/>
        <w:spacing w:after="0" w:line="237" w:lineRule="auto"/>
        <w:rPr>
          <w:sz w:val="20"/>
          <w:szCs w:val="20"/>
          <w:color w:val="auto"/>
        </w:rPr>
      </w:pPr>
      <w:r>
        <w:rPr>
          <w:rFonts w:ascii="Arial" w:cs="Arial" w:eastAsia="Arial" w:hAnsi="Arial"/>
          <w:sz w:val="18"/>
          <w:szCs w:val="18"/>
          <w:color w:val="auto"/>
        </w:rPr>
        <w:t>other non-employee service providers based on the fair value on the date of the grant. Compensation expense related to awards to employees and directors with service-based vesting conditions is recognized on a straight-line basis based on the grant date fair value over the associated service period of the award, which is typically the vesting term. Compensation expense related to awards to employees with performance-based vesting conditions is recognized based on grant date fair value over the requisite service period using the accelerated attribution method to the extent achievement of the performance condition is probable. Non-employee option awards are measured at the earlier of the commitment date for performance by the counterparty or the date when the performance is complete, and compensation expense is recognized in the same manner as if we had paid cash for goods or services.</w:t>
      </w:r>
    </w:p>
    <w:p>
      <w:pPr>
        <w:spacing w:after="0" w:line="181" w:lineRule="exact"/>
        <w:rPr>
          <w:sz w:val="20"/>
          <w:szCs w:val="20"/>
          <w:color w:val="auto"/>
        </w:rPr>
      </w:pPr>
    </w:p>
    <w:p>
      <w:pPr>
        <w:ind w:left="120" w:right="60" w:firstLine="551"/>
        <w:spacing w:after="0" w:line="276" w:lineRule="auto"/>
        <w:rPr>
          <w:sz w:val="20"/>
          <w:szCs w:val="20"/>
          <w:color w:val="auto"/>
        </w:rPr>
      </w:pPr>
      <w:r>
        <w:rPr>
          <w:rFonts w:ascii="Arial" w:cs="Arial" w:eastAsia="Arial" w:hAnsi="Arial"/>
          <w:sz w:val="18"/>
          <w:szCs w:val="18"/>
          <w:color w:val="auto"/>
        </w:rPr>
        <w:t>We classify stock-based compensation expense in our statement of operations in the same way the award recipient’s payroll costs are classified or in which the award recipients’ service payments are classified.</w:t>
      </w:r>
    </w:p>
    <w:p>
      <w:pPr>
        <w:spacing w:after="0" w:line="145" w:lineRule="exact"/>
        <w:rPr>
          <w:sz w:val="20"/>
          <w:szCs w:val="20"/>
          <w:color w:val="auto"/>
        </w:rPr>
      </w:pPr>
    </w:p>
    <w:p>
      <w:pPr>
        <w:ind w:left="120" w:right="160" w:firstLine="551"/>
        <w:spacing w:after="0" w:line="255" w:lineRule="auto"/>
        <w:rPr>
          <w:sz w:val="20"/>
          <w:szCs w:val="20"/>
          <w:color w:val="auto"/>
        </w:rPr>
      </w:pPr>
      <w:r>
        <w:rPr>
          <w:rFonts w:ascii="Arial" w:cs="Arial" w:eastAsia="Arial" w:hAnsi="Arial"/>
          <w:sz w:val="18"/>
          <w:szCs w:val="18"/>
          <w:color w:val="auto"/>
        </w:rPr>
        <w:t>We use the Black-Scholes option pricing model to estimate the fair value of stock options on the date of grant. Using the Black-Scholes option pricing model requires management to make significant assumptions and judgments. We determined these assumptions for the Black-Scholes option-pricing model as discussed below.</w:t>
      </w:r>
    </w:p>
    <w:p>
      <w:pPr>
        <w:spacing w:after="0" w:line="69" w:lineRule="exact"/>
        <w:rPr>
          <w:sz w:val="20"/>
          <w:szCs w:val="20"/>
          <w:color w:val="auto"/>
        </w:rPr>
      </w:pPr>
    </w:p>
    <w:p>
      <w:pPr>
        <w:ind w:left="880" w:right="100" w:hanging="224"/>
        <w:spacing w:after="0" w:line="248"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—The expected term represents the period that the stock-based awards are expected to be outstanding. As we</w:t>
      </w:r>
      <w:r>
        <w:rPr>
          <w:rFonts w:ascii="Arial" w:cs="Arial" w:eastAsia="Arial" w:hAnsi="Arial"/>
          <w:sz w:val="18"/>
          <w:szCs w:val="18"/>
          <w:i w:val="1"/>
          <w:iCs w:val="1"/>
          <w:color w:val="auto"/>
        </w:rPr>
        <w:t xml:space="preserve"> </w:t>
      </w:r>
      <w:r>
        <w:rPr>
          <w:rFonts w:ascii="Arial" w:cs="Arial" w:eastAsia="Arial" w:hAnsi="Arial"/>
          <w:sz w:val="18"/>
          <w:szCs w:val="18"/>
          <w:color w:val="auto"/>
        </w:rPr>
        <w:t>do not have sufficient historical experience for determining the expected term of the stock option awards granted, we based our expected term for awards issued to employees and non-employees using the simplified method which is presumed to be the midpoint between the vesting date and the end of the contracted term.</w:t>
      </w:r>
    </w:p>
    <w:p>
      <w:pPr>
        <w:spacing w:after="0" w:line="75" w:lineRule="exact"/>
        <w:rPr>
          <w:rFonts w:ascii="Arial" w:cs="Arial" w:eastAsia="Arial" w:hAnsi="Arial"/>
          <w:sz w:val="18"/>
          <w:szCs w:val="18"/>
          <w:color w:val="auto"/>
        </w:rPr>
      </w:pPr>
    </w:p>
    <w:p>
      <w:pPr>
        <w:ind w:left="880" w:right="60" w:hanging="224"/>
        <w:spacing w:after="0" w:line="255"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Contractual Term</w:t>
      </w:r>
      <w:r>
        <w:rPr>
          <w:rFonts w:ascii="Arial" w:cs="Arial" w:eastAsia="Arial" w:hAnsi="Arial"/>
          <w:sz w:val="18"/>
          <w:szCs w:val="18"/>
          <w:color w:val="auto"/>
        </w:rPr>
        <w:t>—The contractual term represents the nominal period that the stock-based awards are outstanding.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nature of specific terms of our nonemployee share option arrangements, we determined the contractual term is the appropriate expected term to be used in estimating the fair value of the nonemployee share options.</w:t>
      </w:r>
    </w:p>
    <w:p>
      <w:pPr>
        <w:spacing w:after="0" w:line="69" w:lineRule="exact"/>
        <w:rPr>
          <w:rFonts w:ascii="Arial" w:cs="Arial" w:eastAsia="Arial" w:hAnsi="Arial"/>
          <w:sz w:val="18"/>
          <w:szCs w:val="18"/>
          <w:color w:val="auto"/>
        </w:rPr>
      </w:pPr>
    </w:p>
    <w:p>
      <w:pPr>
        <w:ind w:left="880" w:right="380" w:hanging="224"/>
        <w:spacing w:after="0" w:line="255" w:lineRule="auto"/>
        <w:tabs>
          <w:tab w:leader="none" w:pos="880" w:val="left"/>
        </w:tabs>
        <w:numPr>
          <w:ilvl w:val="0"/>
          <w:numId w:val="69"/>
        </w:numPr>
        <w:rPr>
          <w:rFonts w:ascii="Arial" w:cs="Arial" w:eastAsia="Arial" w:hAnsi="Arial"/>
          <w:sz w:val="18"/>
          <w:szCs w:val="18"/>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—The risk-free interest rate is based on the U.S. Treasury yield curve in effect at the date of grant</w:t>
      </w:r>
      <w:r>
        <w:rPr>
          <w:rFonts w:ascii="Arial" w:cs="Arial" w:eastAsia="Arial" w:hAnsi="Arial"/>
          <w:sz w:val="18"/>
          <w:szCs w:val="18"/>
          <w:i w:val="1"/>
          <w:iCs w:val="1"/>
          <w:color w:val="auto"/>
        </w:rPr>
        <w:t xml:space="preserve"> </w:t>
      </w:r>
      <w:r>
        <w:rPr>
          <w:rFonts w:ascii="Arial" w:cs="Arial" w:eastAsia="Arial" w:hAnsi="Arial"/>
          <w:sz w:val="18"/>
          <w:szCs w:val="18"/>
          <w:color w:val="auto"/>
        </w:rPr>
        <w:t>for zero-coupon U.S. Treasury constant maturity notes with terms approximately equal to the stock-based awards’ expected term.</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80"/>
          </w:cols>
          <w:pgMar w:left="320" w:top="455" w:right="499" w:bottom="1440" w:gutter="0" w:footer="0" w:header="0"/>
        </w:sectPr>
      </w:pPr>
    </w:p>
    <w:bookmarkStart w:id="116" w:name="page117"/>
    <w:bookmarkEnd w:id="1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260" w:hanging="224"/>
        <w:spacing w:after="0" w:line="255"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—Since we do not have a trading history of common stock, the expected volatility was derived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average historical stock volatilities of the common stock of several public companies within the industry that we consider to be comparable to our business over a period equivalent to the expected term of the stock-based awards.</w:t>
      </w:r>
    </w:p>
    <w:p>
      <w:pPr>
        <w:spacing w:after="0" w:line="69" w:lineRule="exact"/>
        <w:rPr>
          <w:rFonts w:ascii="Arial" w:cs="Arial" w:eastAsia="Arial" w:hAnsi="Arial"/>
          <w:sz w:val="18"/>
          <w:szCs w:val="18"/>
          <w:color w:val="auto"/>
        </w:rPr>
      </w:pPr>
    </w:p>
    <w:p>
      <w:pPr>
        <w:ind w:left="880" w:right="600" w:hanging="224"/>
        <w:spacing w:after="0" w:line="276"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Dividend Rate</w:t>
      </w:r>
      <w:r>
        <w:rPr>
          <w:rFonts w:ascii="Arial" w:cs="Arial" w:eastAsia="Arial" w:hAnsi="Arial"/>
          <w:sz w:val="18"/>
          <w:szCs w:val="18"/>
          <w:color w:val="auto"/>
        </w:rPr>
        <w:t>—The expected dividend rate is zero as we have not paid and do not anticipate paying any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w:t>
      </w:r>
    </w:p>
    <w:p>
      <w:pPr>
        <w:spacing w:after="0" w:line="50" w:lineRule="exact"/>
        <w:rPr>
          <w:rFonts w:ascii="Arial" w:cs="Arial" w:eastAsia="Arial" w:hAnsi="Arial"/>
          <w:sz w:val="18"/>
          <w:szCs w:val="18"/>
          <w:color w:val="auto"/>
        </w:rPr>
      </w:pPr>
    </w:p>
    <w:p>
      <w:pPr>
        <w:ind w:left="880" w:right="40" w:hanging="224"/>
        <w:spacing w:after="0" w:line="245"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i w:val="1"/>
          <w:iCs w:val="1"/>
          <w:color w:val="auto"/>
        </w:rPr>
        <w:t>Fair Value of Common Stock</w:t>
      </w:r>
      <w:r>
        <w:rPr>
          <w:rFonts w:ascii="Arial" w:cs="Arial" w:eastAsia="Arial" w:hAnsi="Arial"/>
          <w:sz w:val="18"/>
          <w:szCs w:val="18"/>
          <w:color w:val="auto"/>
        </w:rPr>
        <w:t>—Prior to this offering, the fair value of the shares of common stock underlying the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awards has been determined by our board of directors with input from management. Because there has been no public market for our common stock, our board of directors has determined the fair value of our common stock at the time of grant of the stock-based award by considering a number of objective and subjective factors, including having valuations of the common stock performed by a third-party valuation specialist, as further described below.</w:t>
      </w:r>
    </w:p>
    <w:p>
      <w:pPr>
        <w:spacing w:after="0" w:line="172" w:lineRule="exact"/>
        <w:rPr>
          <w:sz w:val="20"/>
          <w:szCs w:val="20"/>
          <w:color w:val="auto"/>
        </w:rPr>
      </w:pPr>
    </w:p>
    <w:p>
      <w:pPr>
        <w:ind w:left="120" w:right="20" w:firstLine="551"/>
        <w:spacing w:after="0" w:line="262" w:lineRule="auto"/>
        <w:rPr>
          <w:sz w:val="20"/>
          <w:szCs w:val="20"/>
          <w:color w:val="auto"/>
        </w:rPr>
      </w:pPr>
      <w:r>
        <w:rPr>
          <w:rFonts w:ascii="Arial" w:cs="Arial" w:eastAsia="Arial" w:hAnsi="Arial"/>
          <w:sz w:val="17"/>
          <w:szCs w:val="17"/>
          <w:color w:val="auto"/>
        </w:rPr>
        <w:t>As of June 30, 2020, the total unrecognized compensation expense related to unvested employee and non-employee options was $3.6 million, which we expect to recognize over an estimated weighted-average period of 2.9 years. Based upon the assumed initial public</w:t>
      </w:r>
    </w:p>
    <w:p>
      <w:pPr>
        <w:ind w:left="120" w:right="160"/>
        <w:spacing w:after="0" w:line="234" w:lineRule="auto"/>
        <w:rPr>
          <w:sz w:val="20"/>
          <w:szCs w:val="20"/>
          <w:color w:val="auto"/>
        </w:rPr>
      </w:pPr>
      <w:r>
        <w:rPr>
          <w:rFonts w:ascii="Arial" w:cs="Arial" w:eastAsia="Arial" w:hAnsi="Arial"/>
          <w:sz w:val="18"/>
          <w:szCs w:val="18"/>
          <w:color w:val="auto"/>
        </w:rPr>
        <w:t>offering price of $ per share, the midpoint of the price range set forth on the cover page of this prospectus, the aggregate intrinsic value of options outstanding as of June 30, 2020 was $ million, of which $ million related to vested options and</w:t>
      </w:r>
    </w:p>
    <w:p>
      <w:pPr>
        <w:spacing w:after="0" w:line="1" w:lineRule="exact"/>
        <w:rPr>
          <w:sz w:val="20"/>
          <w:szCs w:val="20"/>
          <w:color w:val="auto"/>
        </w:rPr>
      </w:pPr>
    </w:p>
    <w:p>
      <w:pPr>
        <w:ind w:left="820" w:hanging="704"/>
        <w:spacing w:after="0"/>
        <w:tabs>
          <w:tab w:leader="none" w:pos="8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million related to unvested options.</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0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 xml:space="preserve">The fair value of the shares of common stock underlying our stock-based awards has historically been determined by our board of directors with input from management and contemporaneous third-party valuations. We believe that our board of directors has the relevant experience and expertise to determine the fair value of our common stock. Given the absence of a public trading market of our common stock, and in accordance with the </w:t>
      </w:r>
      <w:r>
        <w:rPr>
          <w:rFonts w:ascii="Arial" w:cs="Arial" w:eastAsia="Arial" w:hAnsi="Arial"/>
          <w:sz w:val="18"/>
          <w:szCs w:val="18"/>
          <w:i w:val="1"/>
          <w:iCs w:val="1"/>
          <w:color w:val="auto"/>
        </w:rPr>
        <w:t>American Institute of Certified Public Accountants Practice Aid, Valuation of Privately-Held Company</w:t>
      </w:r>
      <w:r>
        <w:rPr>
          <w:rFonts w:ascii="Arial" w:cs="Arial" w:eastAsia="Arial" w:hAnsi="Arial"/>
          <w:sz w:val="18"/>
          <w:szCs w:val="18"/>
          <w:color w:val="auto"/>
        </w:rPr>
        <w:t xml:space="preserve"> </w:t>
      </w:r>
      <w:r>
        <w:rPr>
          <w:rFonts w:ascii="Arial" w:cs="Arial" w:eastAsia="Arial" w:hAnsi="Arial"/>
          <w:sz w:val="18"/>
          <w:szCs w:val="18"/>
          <w:i w:val="1"/>
          <w:iCs w:val="1"/>
          <w:color w:val="auto"/>
        </w:rPr>
        <w:t>Equity Securities Issued as Compensation</w:t>
      </w:r>
      <w:r>
        <w:rPr>
          <w:rFonts w:ascii="Arial" w:cs="Arial" w:eastAsia="Arial" w:hAnsi="Arial"/>
          <w:sz w:val="18"/>
          <w:szCs w:val="18"/>
          <w:color w:val="auto"/>
        </w:rPr>
        <w:t>, our board of directors exercised reasonable judgment and considered numerous and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subjective factors to determine the best estimate of the fair value of our common stock at each grant date. These factors include:</w:t>
      </w:r>
    </w:p>
    <w:p>
      <w:pPr>
        <w:spacing w:after="0" w:line="79" w:lineRule="exact"/>
        <w:rPr>
          <w:sz w:val="20"/>
          <w:szCs w:val="20"/>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contemporaneous valuations of our common stock performed by independent third-party specialists;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prices, rights, preferences and privileges of our convertible preferred stock relative to those of our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prices of common or convertible preferred stock sold to third-party investors by us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lack of marketability of our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actual operating and financial performance;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current business conditions and projections;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hiring of key personnel and the experience of our management;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history of the company;</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our stage of development;</w:t>
      </w:r>
    </w:p>
    <w:p>
      <w:pPr>
        <w:spacing w:after="0" w:line="117" w:lineRule="exact"/>
        <w:rPr>
          <w:rFonts w:ascii="Arial" w:cs="Arial" w:eastAsia="Arial" w:hAnsi="Arial"/>
          <w:sz w:val="18"/>
          <w:szCs w:val="18"/>
          <w:color w:val="auto"/>
        </w:rPr>
      </w:pPr>
    </w:p>
    <w:p>
      <w:pPr>
        <w:ind w:left="880" w:right="740" w:hanging="224"/>
        <w:spacing w:after="0" w:line="276" w:lineRule="auto"/>
        <w:tabs>
          <w:tab w:leader="none" w:pos="8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likelihood of achieving a liquidity event, such as an initial public offering or a merger or acquisition of our company given prevailing market conditions;</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market performance of comparable publicly traded companies;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U.S. and global capital market conditions.</w:t>
      </w:r>
    </w:p>
    <w:p>
      <w:pPr>
        <w:spacing w:after="0" w:line="212"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In valuing our common stock, our board of directors determined the equity value of our business using the hybrid method with input from management and contemporaneous third-party valuations. The hybrid method is based upon the probability-weighted value across two scenarios, being (i) successfully consummating an initial public offering and (ii) alternative scenarios in which an initial public offering is not consummated. The hybrid method can be a useful alternative to explicitly modeling all probability-weighted expected return scenarios in situations when the company has transparency into one or more near term exits but is unsure about what will occur if current plans do not materialize. In the first scenario, the potential exit date, the probability exit value and the likelihood of interim financings were considered. In the second scenario, which was assigned the residual probability, the potential exit date, the equity volatility, the assumed interest rate, the dividend yield and equity inflection points at which the allocation of proceeds changes were considered. The valuation method considers the total number of shares authorized and outstanding, as well as recent issuances of both preferred and common stock.</w:t>
      </w:r>
    </w:p>
    <w:p>
      <w:pPr>
        <w:spacing w:after="0" w:line="180" w:lineRule="exact"/>
        <w:rPr>
          <w:sz w:val="20"/>
          <w:szCs w:val="20"/>
          <w:color w:val="auto"/>
        </w:rPr>
      </w:pPr>
    </w:p>
    <w:p>
      <w:pPr>
        <w:ind w:left="120" w:right="120" w:firstLine="551"/>
        <w:spacing w:after="0" w:line="248" w:lineRule="auto"/>
        <w:rPr>
          <w:sz w:val="20"/>
          <w:szCs w:val="20"/>
          <w:color w:val="auto"/>
        </w:rPr>
      </w:pPr>
      <w:r>
        <w:rPr>
          <w:rFonts w:ascii="Arial" w:cs="Arial" w:eastAsia="Arial" w:hAnsi="Arial"/>
          <w:sz w:val="18"/>
          <w:szCs w:val="18"/>
          <w:color w:val="auto"/>
        </w:rPr>
        <w:t>Application of these approaches involves the use of estimates, judgment and assumptions that are highly complex and subjective, such as those regarding the time to the liquidation event and volatility. Changes in these estimates and assumptions or the relationships between these assumptions impact our valuations as of each valuation date and may have a material impact on the valuation of common stock.</w:t>
      </w:r>
    </w:p>
    <w:p>
      <w:pPr>
        <w:spacing w:after="0" w:line="170" w:lineRule="exact"/>
        <w:rPr>
          <w:sz w:val="20"/>
          <w:szCs w:val="20"/>
          <w:color w:val="auto"/>
        </w:rPr>
      </w:pPr>
    </w:p>
    <w:p>
      <w:pPr>
        <w:ind w:left="120" w:right="160" w:firstLine="551"/>
        <w:spacing w:after="0" w:line="255" w:lineRule="auto"/>
        <w:rPr>
          <w:sz w:val="20"/>
          <w:szCs w:val="20"/>
          <w:color w:val="auto"/>
        </w:rPr>
      </w:pPr>
      <w:r>
        <w:rPr>
          <w:rFonts w:ascii="Arial" w:cs="Arial" w:eastAsia="Arial" w:hAnsi="Arial"/>
          <w:sz w:val="18"/>
          <w:szCs w:val="18"/>
          <w:color w:val="auto"/>
        </w:rPr>
        <w:t>For valuations after the completion of this offering, our board of directors will determine the fair value of each share of underlying common stock based on the closing price of our common stock as reported by Nasdaq on the date of grant. Future expense amounts for any particular period could be affected by changes in our assumptions or market conditions.</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Recent Accounting Pronouncements</w:t>
      </w:r>
    </w:p>
    <w:p>
      <w:pPr>
        <w:spacing w:after="0" w:line="214" w:lineRule="exact"/>
        <w:rPr>
          <w:sz w:val="20"/>
          <w:szCs w:val="20"/>
          <w:color w:val="auto"/>
        </w:rPr>
      </w:pPr>
    </w:p>
    <w:p>
      <w:pPr>
        <w:ind w:left="120" w:right="340" w:firstLine="551"/>
        <w:spacing w:after="0" w:line="276" w:lineRule="auto"/>
        <w:rPr>
          <w:sz w:val="20"/>
          <w:szCs w:val="20"/>
          <w:color w:val="auto"/>
        </w:rPr>
      </w:pPr>
      <w:r>
        <w:rPr>
          <w:rFonts w:ascii="Arial" w:cs="Arial" w:eastAsia="Arial" w:hAnsi="Arial"/>
          <w:sz w:val="18"/>
          <w:szCs w:val="18"/>
          <w:color w:val="auto"/>
        </w:rPr>
        <w:t>For a description of recent accounting pronouncements, see Note 2 of the notes to our audited financial statements for the year ended December 31, 2019 included elsewhere in this prospectus.</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JOBS Act Accounting Election</w:t>
      </w:r>
    </w:p>
    <w:p>
      <w:pPr>
        <w:spacing w:after="0" w:line="21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We are an emerging growth company, as defined in the Jumpstart Our Business Startups Act of 2012, as amended, or JOBS Act, enacted in April 2012.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as amended, or Sarbanes-Oxley Act, reduced disclosure obligations regarding executive compensation in this prospectus and our periodic reports and proxy statements, and exemptions from the requirements of holding nonbinding advisory votes on executive compensation and stockholder approval of any golden parachute payments not previously approved. We could be an emerging growth company for up to five years following the year in which we complete this offering, although circumstances could cause us to lose that status earlier. We will remain an emerging growth company until the earlier of (1) the last day of the fiscal year (a) following the fifth anniversary of the closing of this offering, (b) in which we have total annual gross revenue of at least $1.07 billion or (c) in which we are deemed to be a large accelerated filer, which requires the market value of our common stock that is held by non-affiliates to exceed $700 million as of the prior June 30th, and (2) the date on which we have issued more than $1 billion in non-convertible debt during the prior three-year period.</w:t>
      </w:r>
    </w:p>
    <w:p>
      <w:pPr>
        <w:spacing w:after="0" w:line="11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use the extended transition period to enable us to comply with new or revised accounting standards and, therefore, we will adopt new or revised accounting standards at the time private companies adopt the new or revised accounting standard and will do so until such time that we either (i) irrevocably elect to “opt out” of such extended transition period or (ii) no longer qualify as an emerging growth company.</w:t>
      </w:r>
    </w:p>
    <w:p>
      <w:pPr>
        <w:spacing w:after="0" w:line="172"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which would allow us to continue to take advantage of many of the same exemptions from disclosure requirements, including not being required to comply with the auditor attestation requirements of Section 404 of the Sarbanes-Oxley Act and reduced disclosure obligations regarding executive compensation in this prospectus and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 risks.</w:t>
      </w:r>
    </w:p>
    <w:p>
      <w:pPr>
        <w:spacing w:after="0" w:line="212" w:lineRule="exact"/>
        <w:rPr>
          <w:sz w:val="20"/>
          <w:szCs w:val="20"/>
          <w:color w:val="auto"/>
        </w:rPr>
      </w:pPr>
    </w:p>
    <w:p>
      <w:pPr>
        <w:jc w:val="both"/>
        <w:ind w:left="120" w:right="100" w:firstLine="551"/>
        <w:spacing w:after="0" w:line="255" w:lineRule="auto"/>
        <w:rPr>
          <w:sz w:val="20"/>
          <w:szCs w:val="20"/>
          <w:color w:val="auto"/>
        </w:rPr>
      </w:pPr>
      <w:r>
        <w:rPr>
          <w:rFonts w:ascii="Arial" w:cs="Arial" w:eastAsia="Arial" w:hAnsi="Arial"/>
          <w:sz w:val="18"/>
          <w:szCs w:val="18"/>
          <w:color w:val="auto"/>
        </w:rPr>
        <w:t>We had cash and cash equivalents of $78.1 million and short-term marketable securities of $8.1 million as of June 30, 2020, which consists of interest-bearing U.S. treasury securities, money market funds and corporate debt securities. Our exposure due to changes in interest rates is not material due to the nature and amount of our money-market funds and short-term marketable securities.</w:t>
      </w:r>
    </w:p>
    <w:p>
      <w:pPr>
        <w:spacing w:after="0" w:line="164" w:lineRule="exact"/>
        <w:rPr>
          <w:sz w:val="20"/>
          <w:szCs w:val="20"/>
          <w:color w:val="auto"/>
        </w:rPr>
      </w:pPr>
    </w:p>
    <w:p>
      <w:pPr>
        <w:ind w:left="120" w:right="320" w:firstLine="551"/>
        <w:spacing w:after="0" w:line="255" w:lineRule="auto"/>
        <w:rPr>
          <w:sz w:val="20"/>
          <w:szCs w:val="20"/>
          <w:color w:val="auto"/>
        </w:rPr>
      </w:pPr>
      <w:r>
        <w:rPr>
          <w:rFonts w:ascii="Arial" w:cs="Arial" w:eastAsia="Arial" w:hAnsi="Arial"/>
          <w:sz w:val="18"/>
          <w:szCs w:val="18"/>
          <w:color w:val="auto"/>
        </w:rPr>
        <w:t>We are not currently exposed to significant market risk related to changes in foreign currency exchange rates; however, we may contract with foreign vendors that are located outside the United States in the future. This may subject us to fluctuations in foreign currency exchange rates in the future.</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140"/>
          </w:cols>
          <w:pgMar w:left="320" w:top="455" w:right="439" w:bottom="1440" w:gutter="0" w:footer="0" w:header="0"/>
        </w:sectPr>
      </w:pPr>
    </w:p>
    <w:bookmarkStart w:id="119" w:name="page120"/>
    <w:bookmarkEnd w:id="1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BUSINESS</w:t>
      </w:r>
    </w:p>
    <w:p>
      <w:pPr>
        <w:spacing w:after="0" w:line="32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Overview</w:t>
      </w:r>
    </w:p>
    <w:p>
      <w:pPr>
        <w:spacing w:after="0" w:line="21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are a precision oncology company pioneering the discovery and development of small molecule, tumor-agnostic therapies targeting p53 mutations. p53 is a well-defined tumor suppressor protein known as the “guardian of the genome,” and normal, or wild-type, p53 has the ability to eliminate cancer cells. However, mutant p53 proteins can be misfolded and lose their wild-type tumor suppressing function. These p53 mutations are found in approximately half of all cancers. The field of p53 biology was established by our co-founder Dr. Arnold Levine when he discovered the p53 protein in 1979. We have leveraged more than four decades of research experience and developed unique insights into p53 to create a precision oncology platform designed to generate selective, small molecule, tumor-agnostic therapies that structurally correct specific mutant p53 proteins to restore their wild-type function. We are deploying our precision oncology platform to target the top ten most frequent, or hotspot, p53 mutations that are collectively associated with approximately 10-15% of all cancers.</w:t>
      </w:r>
    </w:p>
    <w:p>
      <w:pPr>
        <w:spacing w:after="0" w:line="176"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color w:val="auto"/>
        </w:rPr>
        <w:t>Our lead product candidate, PC14586, is an orally available small molecule designed to potently and selectively correct p53 misfolding caused by a specific p53 mutation, Y220C, while sparing wild-type p53. The Y220C mutation is associated with 1.0-1.5% of all cancers, including breast, non-small cell lung cancer, or NSCLC, colorectal, pancreatic and ovarian cancers. PC14586 is designed to restore the wild-type conformation by occupying the crevice created by the tyrosine to cysteine mutation in amino acid position 220. While we are in the early stages of discovery and development of our product candidates and our novel approach is unproven, we are initially pursuing a tumor-agnostic development strategy and submitted our investigational new drug application, or IND, for PC14586 on August 5, 2020 and plan to start a Phase 1/2 clinical trial in the second half of 2020. Our strategy is to seek approval under an accelerated pathway, and we believe our Phase 1/2 clinical trial has the potential to serve as a pivotal study. We cannot guarantee that the FDA will agree with this strategy of utilizing the Phase 1/2 clinical trial as a pivotal study, which could require us to conduct additional clinical trials prior to seeking FDA approval. In addition, we are leveraging our precision oncology platform to develop a pipeline of oral small molecule product candidates that structurally correct other p53 hotspot mutations to restore their wild-type function.</w:t>
      </w:r>
    </w:p>
    <w:p>
      <w:pPr>
        <w:spacing w:after="0" w:line="176"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 better understanding of mutations that drive cancers have facilitated the development of precise, gene- and protein-specific drugs known as targeted therapies. Targeted therapies have the potential to transform treatment of some cancers by providing robust clinical benefit to patients. In many cases, clinical responses can be dramatic enough to support expedited regulatory approval of these therapies. Further, recent advancements in next-generation-sequencing, or NGS, have accelerated the development of targeted therapies. A recent study found that 75% of oncologists in the United States employ genetic sequencing. We believe p53 mutations are particularly well-suited for the evolving precision oncology paradigm, as a single mutation can cause p53 malfunction, and p53 is one of the genes commonly sequenced, to our knowledge, in NGS panels. We believe that our precision oncology platform offers a substantial opportunity to expand the number of patients who will benefit from targeted therapies.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innovation engine consists of three complementary drivers:</w:t>
      </w:r>
    </w:p>
    <w:p>
      <w:pPr>
        <w:spacing w:after="0" w:line="117" w:lineRule="exact"/>
        <w:rPr>
          <w:sz w:val="20"/>
          <w:szCs w:val="20"/>
          <w:color w:val="auto"/>
        </w:rPr>
      </w:pPr>
    </w:p>
    <w:p>
      <w:pPr>
        <w:ind w:left="880" w:hanging="224"/>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deep understanding of, and leadership in, p53 biology that enable unique insights into targeting individual mutations;</w:t>
      </w:r>
    </w:p>
    <w:p>
      <w:pPr>
        <w:spacing w:after="0" w:line="117" w:lineRule="exact"/>
        <w:rPr>
          <w:rFonts w:ascii="Arial" w:cs="Arial" w:eastAsia="Arial" w:hAnsi="Arial"/>
          <w:sz w:val="18"/>
          <w:szCs w:val="18"/>
          <w:color w:val="auto"/>
        </w:rPr>
      </w:pPr>
    </w:p>
    <w:p>
      <w:pPr>
        <w:ind w:left="880" w:right="120" w:hanging="224"/>
        <w:spacing w:after="0" w:line="276"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ability to design structure-based oral small molecule product candidates that selectively target and correct specific p53 mutants; and</w:t>
      </w:r>
    </w:p>
    <w:p>
      <w:pPr>
        <w:spacing w:after="0" w:line="50" w:lineRule="exact"/>
        <w:rPr>
          <w:rFonts w:ascii="Arial" w:cs="Arial" w:eastAsia="Arial" w:hAnsi="Arial"/>
          <w:sz w:val="18"/>
          <w:szCs w:val="18"/>
          <w:color w:val="auto"/>
        </w:rPr>
      </w:pPr>
    </w:p>
    <w:p>
      <w:pPr>
        <w:ind w:left="880" w:right="460" w:hanging="224"/>
        <w:spacing w:after="0" w:line="276"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assays, screens, preclinical model systems and biomarkers that enable us to assess and optimize selective small molecule product candidates for specific p53 mutants.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120"/>
          </w:cols>
          <w:pgMar w:left="320" w:top="455" w:right="459" w:bottom="1440" w:gutter="0" w:footer="0" w:header="0"/>
        </w:sectPr>
      </w:pPr>
    </w:p>
    <w:bookmarkStart w:id="120" w:name="page121"/>
    <w:bookmarkEnd w:id="1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PC14586 and Pipeline</w:t>
      </w:r>
    </w:p>
    <w:p>
      <w:pPr>
        <w:spacing w:after="0" w:line="214" w:lineRule="exact"/>
        <w:rPr>
          <w:sz w:val="20"/>
          <w:szCs w:val="20"/>
          <w:color w:val="auto"/>
        </w:rPr>
      </w:pPr>
    </w:p>
    <w:p>
      <w:pPr>
        <w:ind w:left="120" w:right="280" w:firstLine="551"/>
        <w:spacing w:after="0" w:line="255" w:lineRule="auto"/>
        <w:rPr>
          <w:sz w:val="20"/>
          <w:szCs w:val="20"/>
          <w:color w:val="auto"/>
        </w:rPr>
      </w:pPr>
      <w:r>
        <w:rPr>
          <w:rFonts w:ascii="Arial" w:cs="Arial" w:eastAsia="Arial" w:hAnsi="Arial"/>
          <w:sz w:val="18"/>
          <w:szCs w:val="18"/>
          <w:color w:val="auto"/>
        </w:rPr>
        <w:t>We are leveraging our precision oncology platform to develop a pipeline of orally available, potent and highly selective small molecule product candidates that are designed to structurally correct specific mutant p53 proteins to restore their wild-type function. An overview of our development pipeline is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135890</wp:posOffset>
            </wp:positionV>
            <wp:extent cx="5186045" cy="150876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86045"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60" w:hanging="544"/>
        <w:spacing w:after="0"/>
        <w:tabs>
          <w:tab w:leader="none" w:pos="660" w:val="left"/>
        </w:tabs>
        <w:numPr>
          <w:ilvl w:val="0"/>
          <w:numId w:val="75"/>
        </w:numPr>
        <w:rPr>
          <w:rFonts w:ascii="Arial" w:cs="Arial" w:eastAsia="Arial" w:hAnsi="Arial"/>
          <w:sz w:val="24"/>
          <w:szCs w:val="24"/>
          <w:color w:val="auto"/>
          <w:vertAlign w:val="superscript"/>
        </w:rPr>
      </w:pPr>
      <w:r>
        <w:rPr>
          <w:rFonts w:ascii="Arial" w:cs="Arial" w:eastAsia="Arial" w:hAnsi="Arial"/>
          <w:sz w:val="14"/>
          <w:szCs w:val="14"/>
          <w:color w:val="auto"/>
        </w:rPr>
        <w:t>In Discovery, we screen compounds against biological assays to identify lead compounds with selective activity to our specific mutant p53 target of interest.</w:t>
      </w:r>
    </w:p>
    <w:p>
      <w:pPr>
        <w:ind w:left="660" w:right="420" w:hanging="544"/>
        <w:spacing w:after="0" w:line="182" w:lineRule="auto"/>
        <w:tabs>
          <w:tab w:leader="none" w:pos="660" w:val="left"/>
        </w:tabs>
        <w:numPr>
          <w:ilvl w:val="0"/>
          <w:numId w:val="75"/>
        </w:numPr>
        <w:rPr>
          <w:rFonts w:ascii="Arial" w:cs="Arial" w:eastAsia="Arial" w:hAnsi="Arial"/>
          <w:sz w:val="23"/>
          <w:szCs w:val="23"/>
          <w:color w:val="auto"/>
          <w:vertAlign w:val="superscript"/>
        </w:rPr>
      </w:pPr>
      <w:r>
        <w:rPr>
          <w:rFonts w:ascii="Arial" w:cs="Arial" w:eastAsia="Arial" w:hAnsi="Arial"/>
          <w:sz w:val="14"/>
          <w:szCs w:val="14"/>
          <w:color w:val="auto"/>
        </w:rPr>
        <w:t>In Lead Optimization, we modify the lead compound to improve potency, selectivity, pharmacokinetic and toxicity parameters and physical chemical properties important for clinical development.</w:t>
      </w:r>
    </w:p>
    <w:p>
      <w:pPr>
        <w:spacing w:after="0" w:line="1" w:lineRule="exact"/>
        <w:rPr>
          <w:rFonts w:ascii="Arial" w:cs="Arial" w:eastAsia="Arial" w:hAnsi="Arial"/>
          <w:sz w:val="23"/>
          <w:szCs w:val="23"/>
          <w:color w:val="auto"/>
          <w:vertAlign w:val="superscript"/>
        </w:rPr>
      </w:pPr>
    </w:p>
    <w:p>
      <w:pPr>
        <w:ind w:left="660" w:hanging="544"/>
        <w:spacing w:after="0" w:line="183" w:lineRule="auto"/>
        <w:tabs>
          <w:tab w:leader="none" w:pos="660" w:val="left"/>
        </w:tabs>
        <w:numPr>
          <w:ilvl w:val="0"/>
          <w:numId w:val="75"/>
        </w:numPr>
        <w:rPr>
          <w:rFonts w:ascii="Arial" w:cs="Arial" w:eastAsia="Arial" w:hAnsi="Arial"/>
          <w:sz w:val="20"/>
          <w:szCs w:val="20"/>
          <w:color w:val="auto"/>
          <w:vertAlign w:val="superscript"/>
        </w:rPr>
      </w:pPr>
      <w:r>
        <w:rPr>
          <w:rFonts w:ascii="Arial" w:cs="Arial" w:eastAsia="Arial" w:hAnsi="Arial"/>
          <w:sz w:val="12"/>
          <w:szCs w:val="12"/>
          <w:color w:val="auto"/>
        </w:rPr>
        <w:t>In IND-Enabling Studies, we conduct preclinical studies, in accordance with Good Laboratory Practice, or GLP, required for an IND submission to the FDA.</w:t>
      </w:r>
    </w:p>
    <w:p>
      <w:pPr>
        <w:spacing w:after="0" w:line="17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Our lead product candidate, PC14586, is designed to be an orally available small molecule that structurally corrects the mutant p53 protein with the Y220C mutation. The Y220C mutation results from tyrosine being substituted by a cysteine at amino acid position 220 and is associated with 1.0-1.5% of all cancers, including breast, NSCLC, colorectal, pancreatic and ovarian cancers. There are currently no products approved by the U.S. Food and Drug Administration, or FDA, and we are not aware of any other products in clinical development, that selectively target the p53 Y220C mutation.</w:t>
      </w:r>
    </w:p>
    <w:p>
      <w:pPr>
        <w:spacing w:after="0" w:line="172"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PC14586 is designed to bind to the mutation site and structurally correct the misfolded p53 protein, while sparing wild-type p53. Our approach has yielded a highly selective product candidate, which we believe can maximize the potential therapeutic potency and minimize risk to normal functioning cells. In preclinical studies, PC14586 has shown selective on-target activity (</w:t>
      </w:r>
      <w:r>
        <w:rPr>
          <w:rFonts w:ascii="Arial" w:cs="Arial" w:eastAsia="Arial" w:hAnsi="Arial"/>
          <w:sz w:val="18"/>
          <w:szCs w:val="18"/>
          <w:i w:val="1"/>
          <w:iCs w:val="1"/>
          <w:color w:val="auto"/>
        </w:rPr>
        <w:t>i.e.</w:t>
      </w:r>
      <w:r>
        <w:rPr>
          <w:rFonts w:ascii="Arial" w:cs="Arial" w:eastAsia="Arial" w:hAnsi="Arial"/>
          <w:sz w:val="18"/>
          <w:szCs w:val="18"/>
          <w:color w:val="auto"/>
        </w:rPr>
        <w:t>, primarily functions in cells with the p53 Y220C mutation) and exhibited robust anti-tumor activity evidenced by potent tumor growth inhibition, or TGI, and strong tumor regression as a single agent. In these studies, PC14586 also induced the expression of Macrophage Inhibitory Cytokine-1, or MIC-1, which is an established biomarker for wild-type p53 activity that can be measured non-invasively in the blood in animal models as well as in humans. Further, preclinical studies have demonstrated significant synergistic effects in combination with anti-PD-1 therapy.</w:t>
      </w:r>
    </w:p>
    <w:p>
      <w:pPr>
        <w:spacing w:after="0" w:line="179" w:lineRule="exact"/>
        <w:rPr>
          <w:sz w:val="20"/>
          <w:szCs w:val="20"/>
          <w:color w:val="auto"/>
        </w:rPr>
      </w:pPr>
    </w:p>
    <w:p>
      <w:pPr>
        <w:ind w:left="120" w:firstLine="551"/>
        <w:spacing w:after="0" w:line="260" w:lineRule="auto"/>
        <w:rPr>
          <w:sz w:val="20"/>
          <w:szCs w:val="20"/>
          <w:color w:val="auto"/>
        </w:rPr>
      </w:pPr>
      <w:r>
        <w:rPr>
          <w:rFonts w:ascii="Arial" w:cs="Arial" w:eastAsia="Arial" w:hAnsi="Arial"/>
          <w:sz w:val="17"/>
          <w:szCs w:val="17"/>
          <w:color w:val="auto"/>
        </w:rPr>
        <w:t>We submitted an IND for PC14586 on August 5, 2020 and plan to start a Phase 1/2 clinical trial in the second half of 2020. The Phase 1 portion of the trial is designed to evaluate escalating doses of PC14586 to determine the maximum tolerated dose, or MTD, and recommended Phase 2 dose of PC14586 when administered orally to patients on a once daily dosing schedule. Safety, tolerability and effects on biomarkers such as MIC-1 will also be assessed. The Phase 1 portion is also designed to assess preliminary anti-tumor efficacy in patients with advanced solid tumors that have the p53 Y220C mutation. In the Phase 2 portion, we plan to evaluate the objective response rate, or ORR, and duration of response, or DoR, in patients with advanced solid tumors that have the p53 Y220C mutation. We</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00"/>
          </w:cols>
          <w:pgMar w:left="320" w:top="455" w:right="479" w:bottom="1440" w:gutter="0" w:footer="0" w:header="0"/>
        </w:sectPr>
      </w:pPr>
    </w:p>
    <w:bookmarkStart w:id="121" w:name="page122"/>
    <w:bookmarkEnd w:id="1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20"/>
        <w:spacing w:after="0" w:line="276" w:lineRule="auto"/>
        <w:rPr>
          <w:sz w:val="20"/>
          <w:szCs w:val="20"/>
          <w:color w:val="auto"/>
        </w:rPr>
      </w:pPr>
      <w:r>
        <w:rPr>
          <w:rFonts w:ascii="Arial" w:cs="Arial" w:eastAsia="Arial" w:hAnsi="Arial"/>
          <w:sz w:val="18"/>
          <w:szCs w:val="18"/>
          <w:color w:val="auto"/>
        </w:rPr>
        <w:t>initially intend to pursue an accelerated approval on the basis of this Phase 1/2 clinical trial for a tumor-agnostic indication for PC14586, subject to discussions with FDA and other health authorities.</w:t>
      </w:r>
    </w:p>
    <w:p>
      <w:pPr>
        <w:spacing w:after="0" w:line="145"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believe the mechanism of action employed by PC14586 to structurally correct a specific p53 mutant and restore wild-type p53 activity could offer a unique value proposition in oncology, and is a strategy that can be pursued broadly across other p53 mutations. To that point, we are developing a pipeline of candidates targeting other p53 hotspot mutations. We have other preclinical programs that have demonstrated biochemical validation, for which we are leveraging knowledge from our PC14586 Y220C program. We believe we can scale our discovery and development principles across all p53 hotspot mutations to streamline the process of further developing our pipeline.</w:t>
      </w:r>
    </w:p>
    <w:p>
      <w:pPr>
        <w:spacing w:after="0" w:line="2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Strategy</w:t>
      </w:r>
    </w:p>
    <w:p>
      <w:pPr>
        <w:spacing w:after="0" w:line="214"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Our vision is to become a leading precision oncology company by designing, developing and commercializing novel precision medicines for every patient with a tumor containing a p53 mutation. We believe we are well positioned to leverage our deep experience in p53 biology, precision oncology platform and foundational knowledge acquired through our lead program to bring these therapies to patients. The critical components of our strategy include:</w:t>
      </w:r>
    </w:p>
    <w:p>
      <w:pPr>
        <w:spacing w:after="0" w:line="74" w:lineRule="exact"/>
        <w:rPr>
          <w:sz w:val="20"/>
          <w:szCs w:val="20"/>
          <w:color w:val="auto"/>
        </w:rPr>
      </w:pPr>
    </w:p>
    <w:p>
      <w:pPr>
        <w:ind w:left="880" w:hanging="224"/>
        <w:spacing w:after="0" w:line="239"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Advancing our lead product candidate, PC14586, as a tumor-agnostic, oral small molecule single-agent therapy for cancer patients</w:t>
      </w:r>
      <w:r>
        <w:rPr>
          <w:rFonts w:ascii="Arial" w:cs="Arial" w:eastAsia="Arial" w:hAnsi="Arial"/>
          <w:sz w:val="18"/>
          <w:szCs w:val="18"/>
          <w:color w:val="auto"/>
        </w:rPr>
        <w:t>. We have designed PC14586 to be an orally available, tumor-agnostic therapeutic and, if approved, we believe</w:t>
      </w:r>
      <w:r>
        <w:rPr>
          <w:rFonts w:ascii="Arial" w:cs="Arial" w:eastAsia="Arial" w:hAnsi="Arial"/>
          <w:sz w:val="18"/>
          <w:szCs w:val="18"/>
          <w:b w:val="1"/>
          <w:bCs w:val="1"/>
          <w:color w:val="auto"/>
        </w:rPr>
        <w:t xml:space="preserve"> </w:t>
      </w:r>
      <w:r>
        <w:rPr>
          <w:rFonts w:ascii="Arial" w:cs="Arial" w:eastAsia="Arial" w:hAnsi="Arial"/>
          <w:sz w:val="18"/>
          <w:szCs w:val="18"/>
          <w:color w:val="auto"/>
        </w:rPr>
        <w:t>it could become the first agent to address the p53 Y220C mutation-defined patient population. We intend to advance PC14586 into a Phase 1/2 clinical trial in multiple solid tumors with the p53 Y220C mutation in the second half of 2020. We plan to conduct our clinical trials in this genetically-defined patient population and leverage learnings from recently approved tumor-agnostic drugs to inform the clinical and regulatory pathways for PC14586. If successful in achieving clinically meaningful anti-tumor efficacy in patients with p53 Y220C mutations across a range of solid tumor types, we plan to meet with regulatory authorities to discuss the potential to pursue approval for a tumor-agnostic label under the FDA’s accelerated approval pathway. We also plan to explore pursuing certain expedited regulatory pathways, such as fast track or breakthrough therapy designation, as well as orphan drug designation.</w:t>
      </w:r>
    </w:p>
    <w:p>
      <w:pPr>
        <w:spacing w:after="0" w:line="85" w:lineRule="exact"/>
        <w:rPr>
          <w:rFonts w:ascii="Arial" w:cs="Arial" w:eastAsia="Arial" w:hAnsi="Arial"/>
          <w:sz w:val="18"/>
          <w:szCs w:val="18"/>
          <w:color w:val="auto"/>
        </w:rPr>
      </w:pPr>
    </w:p>
    <w:p>
      <w:pPr>
        <w:ind w:left="880" w:right="20" w:hanging="224"/>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Harnessing the power of our precision oncology platform to discover and develop additional differentiated product candidates that are designed to precisely target p53 mutations in cancer</w:t>
      </w:r>
      <w:r>
        <w:rPr>
          <w:rFonts w:ascii="Arial" w:cs="Arial" w:eastAsia="Arial" w:hAnsi="Arial"/>
          <w:sz w:val="18"/>
          <w:szCs w:val="18"/>
          <w:color w:val="auto"/>
        </w:rPr>
        <w:t>. We believe that the general principles for our</w:t>
      </w:r>
      <w:r>
        <w:rPr>
          <w:rFonts w:ascii="Arial" w:cs="Arial" w:eastAsia="Arial" w:hAnsi="Arial"/>
          <w:sz w:val="18"/>
          <w:szCs w:val="18"/>
          <w:b w:val="1"/>
          <w:bCs w:val="1"/>
          <w:color w:val="auto"/>
        </w:rPr>
        <w:t xml:space="preserve"> </w:t>
      </w:r>
      <w:r>
        <w:rPr>
          <w:rFonts w:ascii="Arial" w:cs="Arial" w:eastAsia="Arial" w:hAnsi="Arial"/>
          <w:sz w:val="18"/>
          <w:szCs w:val="18"/>
          <w:color w:val="auto"/>
        </w:rPr>
        <w:t>PC14586 Y220C program can be applied to other p53 hotspot mutations. Using our extensive in-house expertise, deep understanding of chemistry and decades of experience researching the p53 protein, we believe that we will be able to leverage and apply foundational knowledge from the advancement of PC14586 to the discovery and development of small molecules targeting other p53 mutations. We are advancing several early-stage programs focused on targeting the p53 hotspot mutations, including our R273H program. In an ongoing effort to bring forward new product candidates, we plan to continue to invest in our precision oncology platform, including our high-throughput screens that allow for quantitative visualization of the conversion from mutant to wild-type p53 in a dose-dependent manner.</w:t>
      </w:r>
    </w:p>
    <w:p>
      <w:pPr>
        <w:spacing w:after="0" w:line="81" w:lineRule="exact"/>
        <w:rPr>
          <w:rFonts w:ascii="Arial" w:cs="Arial" w:eastAsia="Arial" w:hAnsi="Arial"/>
          <w:sz w:val="18"/>
          <w:szCs w:val="18"/>
          <w:color w:val="auto"/>
        </w:rPr>
      </w:pPr>
    </w:p>
    <w:p>
      <w:pPr>
        <w:ind w:left="880" w:right="40" w:hanging="224"/>
        <w:spacing w:after="0" w:line="243"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b w:val="1"/>
          <w:bCs w:val="1"/>
          <w:color w:val="auto"/>
        </w:rPr>
        <w:t>Leveraging the advantages of precision medicine and our expertise in p53 biology to pursue accelerated approval of our product candidates</w:t>
      </w:r>
      <w:r>
        <w:rPr>
          <w:rFonts w:ascii="Arial" w:cs="Arial" w:eastAsia="Arial" w:hAnsi="Arial"/>
          <w:sz w:val="18"/>
          <w:szCs w:val="18"/>
          <w:color w:val="auto"/>
        </w:rPr>
        <w:t>. For our lead product candidate, PC14586, we plan to work with physicians and leading academic</w:t>
      </w:r>
      <w:r>
        <w:rPr>
          <w:rFonts w:ascii="Arial" w:cs="Arial" w:eastAsia="Arial" w:hAnsi="Arial"/>
          <w:sz w:val="18"/>
          <w:szCs w:val="18"/>
          <w:b w:val="1"/>
          <w:bCs w:val="1"/>
          <w:color w:val="auto"/>
        </w:rPr>
        <w:t xml:space="preserve"> </w:t>
      </w:r>
      <w:r>
        <w:rPr>
          <w:rFonts w:ascii="Arial" w:cs="Arial" w:eastAsia="Arial" w:hAnsi="Arial"/>
          <w:sz w:val="18"/>
          <w:szCs w:val="18"/>
          <w:color w:val="auto"/>
        </w:rPr>
        <w:t>centers to enroll patients with the p53 Y220C mutation identified through NGS in our Phase 1/2 clinical trial. In order to rapidly confirm mechanistic and clinical proof of concept, we plan to utilize assays to measure target engagement and biomarkers, as well as assess clinical responses in patients. We expect this strategy, which we also plan to replicate for our other future product candidates, will enable a rapid</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00"/>
          </w:cols>
          <w:pgMar w:left="320" w:top="455" w:right="479" w:bottom="1440" w:gutter="0" w:footer="0" w:header="0"/>
        </w:sectPr>
      </w:pPr>
    </w:p>
    <w:bookmarkStart w:id="122" w:name="page123"/>
    <w:bookmarkEnd w:id="1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spacing w:after="0" w:line="245" w:lineRule="auto"/>
        <w:rPr>
          <w:sz w:val="20"/>
          <w:szCs w:val="20"/>
          <w:color w:val="auto"/>
        </w:rPr>
      </w:pPr>
      <w:r>
        <w:rPr>
          <w:rFonts w:ascii="Arial" w:cs="Arial" w:eastAsia="Arial" w:hAnsi="Arial"/>
          <w:sz w:val="18"/>
          <w:szCs w:val="18"/>
          <w:color w:val="auto"/>
        </w:rPr>
        <w:t>determination of target engagement and has potential to serve as a predictive marker of efficacy, thereby providing clear decision points for clinical development and efficient advancement of our product candidates towards approval. If we obtain early and encouraging clinical results, we may seek breakthrough therapy designation from the FDA, which, if granted, is intended to expedite clinical development and regulatory review. We intend to maximize the benefit of our product candidates by pursuing a tumor-agnostic approach.</w:t>
      </w:r>
    </w:p>
    <w:p>
      <w:pPr>
        <w:spacing w:after="0" w:line="76" w:lineRule="exact"/>
        <w:rPr>
          <w:sz w:val="20"/>
          <w:szCs w:val="20"/>
          <w:color w:val="auto"/>
        </w:rPr>
      </w:pPr>
    </w:p>
    <w:p>
      <w:pPr>
        <w:ind w:left="880" w:right="20" w:hanging="224"/>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Identifying and exploring combination therapy approaches for our product candidates</w:t>
      </w:r>
      <w:r>
        <w:rPr>
          <w:rFonts w:ascii="Arial" w:cs="Arial" w:eastAsia="Arial" w:hAnsi="Arial"/>
          <w:sz w:val="18"/>
          <w:szCs w:val="18"/>
          <w:color w:val="auto"/>
        </w:rPr>
        <w:t>. Though PC14586 has</w:t>
      </w:r>
      <w:r>
        <w:rPr>
          <w:rFonts w:ascii="Arial" w:cs="Arial" w:eastAsia="Arial" w:hAnsi="Arial"/>
          <w:sz w:val="18"/>
          <w:szCs w:val="18"/>
          <w:b w:val="1"/>
          <w:bCs w:val="1"/>
          <w:color w:val="auto"/>
        </w:rPr>
        <w:t xml:space="preserve"> </w:t>
      </w:r>
      <w:r>
        <w:rPr>
          <w:rFonts w:ascii="Arial" w:cs="Arial" w:eastAsia="Arial" w:hAnsi="Arial"/>
          <w:sz w:val="18"/>
          <w:szCs w:val="18"/>
          <w:color w:val="auto"/>
        </w:rPr>
        <w:t>demonstrated clear and robust tumor regression as a single agent in preclinical animal models, we believe that the mechanism of correcting the structure of mutant p53 can be complementary to other oncology therapies. Leveraging our expertise in p53 biology, chemistry and cancer pharmacology, we plan to identify and explore combination strategies with multiple cancer therapies. For example, chemotherapy and radiation therapy, approaches that result in DNA damage, upregulate p53 and are natural candidates for combining with our product candidates. In addition, we believe that p53 plays a role in influencing the tumor microenvironment. Therefore, immune checkpoint inhibitors, such as anti-PD-1 and anti-CTLA-4 agents, could also be considered as potential combination agents for use with our product candidates. We believe that our unique expertise will enable us to prioritize therapeutic strategies and optimize outcomes for clinical studies.</w:t>
      </w:r>
    </w:p>
    <w:p>
      <w:pPr>
        <w:spacing w:after="0" w:line="28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History and Team</w:t>
      </w:r>
    </w:p>
    <w:p>
      <w:pPr>
        <w:spacing w:after="0" w:line="214" w:lineRule="exact"/>
        <w:rPr>
          <w:sz w:val="20"/>
          <w:szCs w:val="20"/>
          <w:color w:val="auto"/>
        </w:rPr>
      </w:pPr>
    </w:p>
    <w:p>
      <w:pPr>
        <w:jc w:val="both"/>
        <w:ind w:left="120" w:right="80" w:firstLine="551"/>
        <w:spacing w:after="0" w:line="241" w:lineRule="auto"/>
        <w:rPr>
          <w:sz w:val="20"/>
          <w:szCs w:val="20"/>
          <w:color w:val="auto"/>
        </w:rPr>
      </w:pPr>
      <w:r>
        <w:rPr>
          <w:rFonts w:ascii="Arial" w:cs="Arial" w:eastAsia="Arial" w:hAnsi="Arial"/>
          <w:sz w:val="18"/>
          <w:szCs w:val="18"/>
          <w:color w:val="auto"/>
        </w:rPr>
        <w:t>We believe we have established a leadership position in the discovery and development of oral small molecule therapies targeting mutant p53. Founded in 2013 by David Mack, Ph.D., Arnold Levine, Ph.D. and Thomas Shenk, Ph.D., we have built a precision oncology platform and chemistry discovery engine that leverages more than four decades of research experience and unique insights into the p53 protein. Dr. Levine is widely recognized for his seminal contributions to the field of p53 biology, having discovered p53 in 1979. Our vision has been supported by leading investors, including InterWest Partners, OrbiMed Advisors, Topspin Partners, Euclidean Capital, Nextech Invest, Viking Global Investors, Boxer Capital of Tavistock Group, Osage University Partners, Avoro Capital, RA Capital Management and Wellington Management.</w:t>
      </w:r>
    </w:p>
    <w:p>
      <w:pPr>
        <w:spacing w:after="0" w:line="179" w:lineRule="exact"/>
        <w:rPr>
          <w:sz w:val="20"/>
          <w:szCs w:val="20"/>
          <w:color w:val="auto"/>
        </w:rPr>
      </w:pPr>
    </w:p>
    <w:p>
      <w:pPr>
        <w:ind w:left="120" w:right="180" w:firstLine="551"/>
        <w:spacing w:after="0"/>
        <w:rPr>
          <w:sz w:val="20"/>
          <w:szCs w:val="20"/>
          <w:color w:val="auto"/>
        </w:rPr>
      </w:pPr>
      <w:r>
        <w:rPr>
          <w:rFonts w:ascii="Arial" w:cs="Arial" w:eastAsia="Arial" w:hAnsi="Arial"/>
          <w:sz w:val="18"/>
          <w:szCs w:val="18"/>
          <w:color w:val="auto"/>
        </w:rPr>
        <w:t>We have assembled a team with significant experience in drug discovery and development, with particular expertise in the discovery of small molecule oncology programs. Dr. Mack, our President and Chief Executive Officer, was previously General Partner at Alta Partners and co-founder and Vice President of Genomic Research at Eos Biotechnology, where he led the advancement of multiple product candidates prior to the company’s sale to Protein Design Labs. Winston Kung, our Chief Operating Officer and Chief Financial Officer, was previously Vice President of Business Development and Global Alliances at Celgene and Chief Business Officer of Celgene Cellular Therapeutics. Leila Alland, M.D., our Chief Medical Officer, is an oncologist with 20 years of experience developing oncology products in the biopharmaceutical industry, most recently as Chief Medical Officer of Affimed. Deepika Jalota, Pharm.D., our Senior Vice President, Regulatory Affairs and Quality Assurance, was previously Vice President in Oncology Regulatory Affairs at Bayer and led the tumor-agnostic regulatory strategy for larotrectinib (Vitrakvi) in collaboration with Loxo Oncology.</w:t>
      </w:r>
    </w:p>
    <w:p>
      <w:pPr>
        <w:spacing w:after="0" w:line="176" w:lineRule="exact"/>
        <w:rPr>
          <w:sz w:val="20"/>
          <w:szCs w:val="20"/>
          <w:color w:val="auto"/>
        </w:rPr>
      </w:pPr>
    </w:p>
    <w:p>
      <w:pPr>
        <w:ind w:left="120" w:right="40" w:firstLine="551"/>
        <w:spacing w:after="0" w:line="276" w:lineRule="auto"/>
        <w:rPr>
          <w:sz w:val="20"/>
          <w:szCs w:val="20"/>
          <w:color w:val="auto"/>
        </w:rPr>
      </w:pPr>
      <w:r>
        <w:rPr>
          <w:rFonts w:ascii="Arial" w:cs="Arial" w:eastAsia="Arial" w:hAnsi="Arial"/>
          <w:sz w:val="18"/>
          <w:szCs w:val="18"/>
          <w:color w:val="auto"/>
        </w:rPr>
        <w:t>Our company was founded and continues to be supported by world-class scientific advisors, including our scientific advisory board, or SAB:</w:t>
      </w:r>
    </w:p>
    <w:p>
      <w:pPr>
        <w:spacing w:after="0" w:line="50" w:lineRule="exact"/>
        <w:rPr>
          <w:sz w:val="20"/>
          <w:szCs w:val="20"/>
          <w:color w:val="auto"/>
        </w:rPr>
      </w:pPr>
    </w:p>
    <w:p>
      <w:pPr>
        <w:ind w:left="880" w:right="520" w:hanging="224"/>
        <w:spacing w:after="0" w:line="276"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Scott Lowe, Ph.D.—Chair, Cancer Biology and Genetics Program, Sloan Kettering Institute, Chair, Geoffrey Beene Cancer Research Center, Memorial Sloan Kettering and co-founder of ORIC Pharmaceuticals (NASDAQ: ORIC);</w:t>
      </w:r>
    </w:p>
    <w:p>
      <w:pPr>
        <w:spacing w:after="0" w:line="50" w:lineRule="exact"/>
        <w:rPr>
          <w:rFonts w:ascii="Arial" w:cs="Arial" w:eastAsia="Arial" w:hAnsi="Arial"/>
          <w:sz w:val="18"/>
          <w:szCs w:val="18"/>
          <w:color w:val="auto"/>
        </w:rPr>
      </w:pPr>
    </w:p>
    <w:p>
      <w:pPr>
        <w:ind w:left="880" w:right="480" w:hanging="224"/>
        <w:spacing w:after="0" w:line="276" w:lineRule="auto"/>
        <w:tabs>
          <w:tab w:leader="none" w:pos="8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Richard Heyman, Ph.D.—Vice Chair of the Board of Trustees at the Salk Institute, former Chief Executive Officer of Aragon Pharmaceuticals (acquired by Johnson &amp; Johnson (NYSE: JNJ)),</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5" w:right="459" w:bottom="1440" w:gutter="0" w:footer="0" w:header="0"/>
        </w:sectPr>
      </w:pPr>
    </w:p>
    <w:bookmarkStart w:id="123" w:name="page124"/>
    <w:bookmarkEnd w:id="1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340"/>
        <w:spacing w:after="0" w:line="276" w:lineRule="auto"/>
        <w:rPr>
          <w:sz w:val="20"/>
          <w:szCs w:val="20"/>
          <w:color w:val="auto"/>
        </w:rPr>
      </w:pPr>
      <w:r>
        <w:rPr>
          <w:rFonts w:ascii="Arial" w:cs="Arial" w:eastAsia="Arial" w:hAnsi="Arial"/>
          <w:sz w:val="18"/>
          <w:szCs w:val="18"/>
          <w:color w:val="auto"/>
        </w:rPr>
        <w:t>co-founder and former Chief Executive Officer of Seragon Pharmaceuticals (acquired by Roche Genentech), and co-founder, Chairman and former Chief Executive Officer of ORIC Pharmaceuticals (NASDAQ: ORIC);</w:t>
      </w:r>
    </w:p>
    <w:p>
      <w:pPr>
        <w:spacing w:after="0" w:line="50" w:lineRule="exact"/>
        <w:rPr>
          <w:sz w:val="20"/>
          <w:szCs w:val="20"/>
          <w:color w:val="auto"/>
        </w:rPr>
      </w:pPr>
    </w:p>
    <w:p>
      <w:pPr>
        <w:ind w:left="880" w:right="120" w:hanging="224"/>
        <w:spacing w:after="0" w:line="245"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Michael Jung, Ph.D.—Distinguished Professor of Chemistry and Biochemistry at University of California, Los Angeles, and co-founder of Aragon Pharmaceuticals (acquired by Johnson &amp; Johnson (NYSE: JNJ)) and Seragon Pharmaceuticals (acquired by Roche Genentech), and co-discovered Xtandi, an FDA-approved prostate cancer drug licensed to Medivation (acquired by Pfizer (NYSE: PFE)), and Erleada, an FDA-approved prostate cancer drug developed by Aragon Pharmaceuticals and acquired by Johnson &amp; Johnson;</w:t>
      </w:r>
    </w:p>
    <w:p>
      <w:pPr>
        <w:spacing w:after="0" w:line="77" w:lineRule="exact"/>
        <w:rPr>
          <w:rFonts w:ascii="Arial" w:cs="Arial" w:eastAsia="Arial" w:hAnsi="Arial"/>
          <w:sz w:val="18"/>
          <w:szCs w:val="18"/>
          <w:color w:val="auto"/>
        </w:rPr>
      </w:pPr>
    </w:p>
    <w:p>
      <w:pPr>
        <w:ind w:left="880" w:hanging="224"/>
        <w:spacing w:after="0"/>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Arnold Levine, Ph.D.—Professor Emeritus, School of Natural Sciences Biology, Institute of Advanced Studies;</w:t>
      </w:r>
    </w:p>
    <w:p>
      <w:pPr>
        <w:spacing w:after="0" w:line="117" w:lineRule="exact"/>
        <w:rPr>
          <w:rFonts w:ascii="Arial" w:cs="Arial" w:eastAsia="Arial" w:hAnsi="Arial"/>
          <w:sz w:val="18"/>
          <w:szCs w:val="18"/>
          <w:color w:val="auto"/>
        </w:rPr>
      </w:pPr>
    </w:p>
    <w:p>
      <w:pPr>
        <w:ind w:left="880" w:hanging="224"/>
        <w:spacing w:after="0" w:line="255"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Frank McCormick, Ph.D., F.R.S.—Professor at the UCSF Helen Diller Comprehensive Cancer Center, co-founder of Bridge Bio and Onyx Pharmaceuticals and initiated and led drug discovery efforts that led to approval of Nexavar, an FDA-approved drug for liver, thyroid and kidney cancer;</w:t>
      </w:r>
    </w:p>
    <w:p>
      <w:pPr>
        <w:spacing w:after="0" w:line="69" w:lineRule="exact"/>
        <w:rPr>
          <w:rFonts w:ascii="Arial" w:cs="Arial" w:eastAsia="Arial" w:hAnsi="Arial"/>
          <w:sz w:val="18"/>
          <w:szCs w:val="18"/>
          <w:color w:val="auto"/>
        </w:rPr>
      </w:pPr>
    </w:p>
    <w:p>
      <w:pPr>
        <w:ind w:left="880" w:right="220" w:hanging="224"/>
        <w:spacing w:after="0" w:line="245"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Charles Sawyers, M.D.—Marie-Josee and Henry R. Kravis Chair in Human Oncology and Pathogenesis, Memorial Sloan Kettering, co-founder of Aragon Pharmaceuticals (acquired by Johnson &amp; Johnson (NYSE: JNJ)), Seragon Pharmaceuticals (acquired by Roche Genentech), and ORIC Pharmaceuticals (NASDAQ: ORIC), and member of the board of directors of Novartis (NYSE: NVS), and co-discovered Xtandi, an FDA-approved prostate cancer drug licensed to Medivation and Erleada, an FDA-approved prostate cancer drug developed by Aragon Pharmaceuticals and acquired by Johnson &amp; Johnson;</w:t>
      </w:r>
    </w:p>
    <w:p>
      <w:pPr>
        <w:spacing w:after="0" w:line="77" w:lineRule="exact"/>
        <w:rPr>
          <w:rFonts w:ascii="Arial" w:cs="Arial" w:eastAsia="Arial" w:hAnsi="Arial"/>
          <w:sz w:val="18"/>
          <w:szCs w:val="18"/>
          <w:color w:val="auto"/>
        </w:rPr>
      </w:pPr>
    </w:p>
    <w:p>
      <w:pPr>
        <w:ind w:left="880" w:right="740" w:hanging="224"/>
        <w:spacing w:after="0" w:line="276"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Thomas Shenk, Ph.D.—James A. Elkins Professor of Life Sciences in the Department of Molecular Biology at Princeton University; and</w:t>
      </w:r>
    </w:p>
    <w:p>
      <w:pPr>
        <w:spacing w:after="0" w:line="50" w:lineRule="exact"/>
        <w:rPr>
          <w:rFonts w:ascii="Arial" w:cs="Arial" w:eastAsia="Arial" w:hAnsi="Arial"/>
          <w:sz w:val="18"/>
          <w:szCs w:val="18"/>
          <w:color w:val="auto"/>
        </w:rPr>
      </w:pPr>
    </w:p>
    <w:p>
      <w:pPr>
        <w:ind w:left="880" w:right="680" w:hanging="224"/>
        <w:spacing w:after="0" w:line="276"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Karen Vousden, Ph.D.—Chief Scientist at Cancer Research UK (CRUK), Group Leader at the Francis Crick Institute and member of the board of directors of Bristol-Myers Squibb (NYSE: BMY).</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Background on Targeted Therapies</w:t>
      </w:r>
    </w:p>
    <w:p>
      <w:pPr>
        <w:spacing w:after="0" w:line="214" w:lineRule="exact"/>
        <w:rPr>
          <w:sz w:val="20"/>
          <w:szCs w:val="20"/>
          <w:color w:val="auto"/>
        </w:rPr>
      </w:pPr>
    </w:p>
    <w:p>
      <w:pPr>
        <w:ind w:left="120" w:right="20" w:firstLine="551"/>
        <w:spacing w:after="0" w:line="268" w:lineRule="auto"/>
        <w:rPr>
          <w:sz w:val="20"/>
          <w:szCs w:val="20"/>
          <w:color w:val="auto"/>
        </w:rPr>
      </w:pPr>
      <w:r>
        <w:rPr>
          <w:rFonts w:ascii="Arial" w:cs="Arial" w:eastAsia="Arial" w:hAnsi="Arial"/>
          <w:sz w:val="17"/>
          <w:szCs w:val="17"/>
          <w:color w:val="auto"/>
        </w:rPr>
        <w:t>Cancer is a genetic disease that results from changes in a person’s DNA that causes cells to grow and divide uncontrollably. Genes are the distinct segments in a cell’s DNA that can encode proteins with structural or functional roles in the body. Alterations in some genes can lead to the expression of mutant proteins with impaired or abnormal functions that can cause cancer. Cancer has historically been both diagnosed and treated based on a tumor’s organ site, such as the breast, lung, ovary, brain, pancreas, skin, bone or blood.</w:t>
      </w:r>
    </w:p>
    <w:p>
      <w:pPr>
        <w:spacing w:after="0" w:line="153" w:lineRule="exact"/>
        <w:rPr>
          <w:sz w:val="20"/>
          <w:szCs w:val="20"/>
          <w:color w:val="auto"/>
        </w:rPr>
      </w:pPr>
    </w:p>
    <w:p>
      <w:pPr>
        <w:ind w:left="120" w:right="260" w:firstLine="551"/>
        <w:spacing w:after="0"/>
        <w:rPr>
          <w:sz w:val="20"/>
          <w:szCs w:val="20"/>
          <w:color w:val="auto"/>
        </w:rPr>
      </w:pPr>
      <w:r>
        <w:rPr>
          <w:rFonts w:ascii="Arial" w:cs="Arial" w:eastAsia="Arial" w:hAnsi="Arial"/>
          <w:sz w:val="18"/>
          <w:szCs w:val="18"/>
          <w:color w:val="auto"/>
        </w:rPr>
        <w:t>Recent advances in genetic sequencing and a better understanding of the genetic alterations that drive tumor development and growth have facilitated precise, gene and protein-specific drug development, known as targeted therapies. Targeted therapies have the potential to transform treatment of some cancers by providing robust clinical benefit to patients. In notable cases, the clinical outcomes have been dramatic enough to support expedited regulatory approval of these therapies. For example, Retevmo in RET-altered NSCLC and thyroid cancers (Lilly/Loxo); Ayvakit, in platelet-derived growth factor receptor alpha exon 18 mutated advanced gastrointestinal stromal tumor, or GIST (Blueprint); Rozlytrek, in solid tumors with a neurotrophic tropomyosin receptor kinase, or NTRK, gene fusion (Roche); Vitrakvi, in solid tumors with an NTRK gene fusion (Loxo/Bayer); Zykadia, in anaplastic lymphoma kinase-positive, or ALK+, advanced NSCLC (Novartis); Zelboraf, in advanced melanoma with a BRAF V600E mutation (Roche Genentech); Xalkori, in ALK+ advanced NSCLC (Pfizer);</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40"/>
          </w:cols>
          <w:pgMar w:left="320" w:top="455" w:right="439" w:bottom="1440" w:gutter="0" w:footer="0" w:header="0"/>
        </w:sectPr>
      </w:pPr>
    </w:p>
    <w:bookmarkStart w:id="124" w:name="page125"/>
    <w:bookmarkEnd w:id="1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60"/>
        <w:spacing w:after="0" w:line="245" w:lineRule="auto"/>
        <w:rPr>
          <w:sz w:val="20"/>
          <w:szCs w:val="20"/>
          <w:color w:val="auto"/>
        </w:rPr>
      </w:pPr>
      <w:r>
        <w:rPr>
          <w:rFonts w:ascii="Arial" w:cs="Arial" w:eastAsia="Arial" w:hAnsi="Arial"/>
          <w:sz w:val="18"/>
          <w:szCs w:val="18"/>
          <w:color w:val="auto"/>
        </w:rPr>
        <w:t>Tagrisso, in epidermal growth factor receptor mutation-positive, or EGFR+, advanced NSCLC (AstraZeneca); and Qinlock, in GIST (Deciphera), all received approvals within five years of first dosing in humans. This time period is significantly reduced compared to conventional drug development timelines. Despite this progress, a recent analysis found that only 8% of patients with metastatic cancer have tumors with genetic profiles eligible for treatment with an approved targeted agent, which leaves a large opportunity for precision oncology.</w:t>
      </w:r>
    </w:p>
    <w:p>
      <w:pPr>
        <w:spacing w:after="0" w:line="172"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There is an emerging change in the development of targeted therapies, in that cancer is increasingly being targeted through a tumor-agnostic approach with a focus on selectively targeting a genetic or protein mutation irrespective of tumor type. For example, there are now multiple tumor-agnostic product approvals that are based on a genetic mutation that defines the disease, as opposed to the tumor type. These include the aforementioned Vitrakvi and Rozlytrek approvals as well as the pembrolizumab, or Keytruda, approval in metastatic microsatellite instability-high, or MSI-high, or deficient mismatch repair, or dMMR, solid tumors. We believe that these approvals represent a fundamental shift in the development of targeted therapies and will increasingly lead to cancer being characterized for treatment in a genetic, rather than in a tumor-specific, manner.</w:t>
      </w:r>
    </w:p>
    <w:p>
      <w:pPr>
        <w:spacing w:after="0" w:line="179"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The widespread recognition that cancer is a genetic disease, as much as it is a disease defined by histology or anatomical location, has driven the increased use of genetic sequencing, which is now employed by 75% of oncologists in the United States. As technology advances in DNA sequencing, the availability of well-defined genetic sequencing tests increases. With the increasing number of approved targeted therapies, we believe that physicians will seek a better understanding of the underlying genetic and protein abnormalities associated with a specific type of cancer in order to determine the optimal course of treatment. Advances in genetic sequencing are leading to transformations in the discovery and development of new targeted oncology drugs.</w:t>
      </w:r>
    </w:p>
    <w:p>
      <w:pPr>
        <w:spacing w:after="0" w:line="174" w:lineRule="exact"/>
        <w:rPr>
          <w:sz w:val="20"/>
          <w:szCs w:val="20"/>
          <w:color w:val="auto"/>
        </w:rPr>
      </w:pPr>
    </w:p>
    <w:p>
      <w:pPr>
        <w:jc w:val="both"/>
        <w:ind w:left="120" w:firstLine="551"/>
        <w:spacing w:after="0" w:line="257" w:lineRule="auto"/>
        <w:rPr>
          <w:sz w:val="20"/>
          <w:szCs w:val="20"/>
          <w:color w:val="auto"/>
        </w:rPr>
      </w:pPr>
      <w:r>
        <w:rPr>
          <w:rFonts w:ascii="Arial" w:cs="Arial" w:eastAsia="Arial" w:hAnsi="Arial"/>
          <w:sz w:val="17"/>
          <w:szCs w:val="17"/>
          <w:color w:val="auto"/>
        </w:rPr>
        <w:t>We believe p53 mutations are prime targets for precision oncology, as more than 50% of all human cancers contain a p53 mutation. Identifying the specific p53 gene mutation and structurally correcting the corresponding mutant p53 protein can potentially serve as a basis of treatment for these cancers. Diagnostic tests are currently used by physicians in their practice to identify patients with p53 mutations.</w:t>
      </w:r>
    </w:p>
    <w:p>
      <w:pPr>
        <w:spacing w:after="0" w:line="2"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Given the high prevalence of p53 mutations in cancers, we believe that the best way to address p53-driven cancers is by targeting individual p53 mutations using a precision oncology approach and significantly expand the scope of patients who can benefit from targeted therapies.</w:t>
      </w: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Background on p53, the Most Frequently Mutated Gene in Human Cancer</w:t>
      </w:r>
    </w:p>
    <w:p>
      <w:pPr>
        <w:spacing w:after="0" w:line="214"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The p53 gene provides instructions for the production of tumor suppression protein p53 and is the most widely mutated gene in human cancers. Since its discovery in 1979 by our co-founder Dr. Arnold Levine, p53 has been extensively studied by researchers and the pharmaceutical industry due to its central role in preventing the initiation and proliferation of liquid and solid tumors. p53 has long been referred to as the “guardian of the genome” because it regulates expression of a number of genes that comprise the body’s first line of cellular defense against cancers. Among its multiple biologic functions, p53 regulates a variety of tumor suppressive responses including cell cycle arrest, DNA repair, senescence and apoptosis.</w:t>
      </w:r>
    </w:p>
    <w:p>
      <w:pPr>
        <w:spacing w:after="0" w:line="174" w:lineRule="exact"/>
        <w:rPr>
          <w:sz w:val="20"/>
          <w:szCs w:val="20"/>
          <w:color w:val="auto"/>
        </w:rPr>
      </w:pPr>
    </w:p>
    <w:p>
      <w:pPr>
        <w:ind w:left="120" w:right="180" w:firstLine="551"/>
        <w:spacing w:after="0" w:line="245" w:lineRule="auto"/>
        <w:rPr>
          <w:sz w:val="20"/>
          <w:szCs w:val="20"/>
          <w:color w:val="auto"/>
        </w:rPr>
      </w:pPr>
      <w:r>
        <w:rPr>
          <w:rFonts w:ascii="Arial" w:cs="Arial" w:eastAsia="Arial" w:hAnsi="Arial"/>
          <w:sz w:val="18"/>
          <w:szCs w:val="18"/>
          <w:color w:val="auto"/>
        </w:rPr>
        <w:t>p53 is a transcriptional factor, which binds to the promoters of its target genes in a sequence-specific manner and regulates their expression, thereby controlling cell cycle and cell death. p53 is activated when DNA damage is detected and when oxidative or other cellular stresses exceed thresholds for normal cellular function. p53 activation facilitates the repair of the cell’s damaged DNA or triggers the killing of the damaged cell through a process known as programmed cell death, or apoptosis, before the cell can become cancerous and proliferate.</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Under normal cellular conditions, p53 is kept at low levels by expression of murine double minute 2, or MDM2, a ubiquitin ligase that promotes the degradation of p53. Upon p53 activation by damaged DNA, and other types of stresses, p53 is upregulated and blocks the proliferation of pre-malignant and malignant cells or eliminates them by inducing apoptosis. Mutant p53 loses the ability to eliminate the proliferation of pre-malignant and malignant cells. Given that the mutational status of p53 in a tumor has a strong impact on sensitivity to commonly used anti-cancer drugs and radiotherapy, p53 is important both as a biomarker and as a novel therapeutic target.</w:t>
      </w:r>
    </w:p>
    <w:p>
      <w:pPr>
        <w:spacing w:after="0" w:line="172"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A key challenge in the development of p53-targeted therapies is the vast number of p53 mutants that lose tumor suppression activity. To date, more than 25,000 unique p53 mutations have been discovered. The p53 hotspot mutations occur as a result of site-specific substitution of one amino acid for another and lead to loss of tumor suppression function for the p53 protein. Strategies that attempt to restore wild-type p53 activity in a non-selective manner (</w:t>
      </w:r>
      <w:r>
        <w:rPr>
          <w:rFonts w:ascii="Arial" w:cs="Arial" w:eastAsia="Arial" w:hAnsi="Arial"/>
          <w:sz w:val="18"/>
          <w:szCs w:val="18"/>
          <w:i w:val="1"/>
          <w:iCs w:val="1"/>
          <w:color w:val="auto"/>
        </w:rPr>
        <w:t>i.e.</w:t>
      </w:r>
      <w:r>
        <w:rPr>
          <w:rFonts w:ascii="Arial" w:cs="Arial" w:eastAsia="Arial" w:hAnsi="Arial"/>
          <w:sz w:val="18"/>
          <w:szCs w:val="18"/>
          <w:color w:val="auto"/>
        </w:rPr>
        <w:t>, regardless of which p53 mutation the tumor is harboring) are likely to face significant challenges, as a “one size fits all” drug is unlikely to address all p53 mutants and could have the potential for off-target toxicities. We are initially focusing on targeting the p53 hotspot mutations.</w:t>
      </w:r>
    </w:p>
    <w:p>
      <w:pPr>
        <w:spacing w:after="0" w:line="28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Focus: Top Ten Most Frequent p53 Mutations</w:t>
      </w:r>
    </w:p>
    <w:p>
      <w:pPr>
        <w:spacing w:after="0" w:line="243" w:lineRule="exact"/>
        <w:rPr>
          <w:sz w:val="20"/>
          <w:szCs w:val="20"/>
          <w:color w:val="auto"/>
        </w:rPr>
      </w:pPr>
    </w:p>
    <w:tbl>
      <w:tblPr>
        <w:tblLayout w:type="fixed"/>
        <w:tblInd w:w="570" w:type="dxa"/>
        <w:tblCellMar>
          <w:top w:w="0" w:type="dxa"/>
          <w:left w:w="0" w:type="dxa"/>
          <w:bottom w:w="0" w:type="dxa"/>
          <w:right w:w="0" w:type="dxa"/>
        </w:tblCellMar>
      </w:tblPr>
      <w:tr>
        <w:trPr>
          <w:trHeight w:val="250"/>
        </w:trPr>
        <w:tc>
          <w:tcPr>
            <w:tcW w:w="5180" w:type="dxa"/>
            <w:vAlign w:val="bottom"/>
            <w:tcBorders>
              <w:top w:val="single" w:sz="8" w:color="auto"/>
              <w:left w:val="single" w:sz="8" w:color="auto"/>
              <w:bottom w:val="single" w:sz="8" w:color="0C0C0C"/>
            </w:tcBorders>
            <w:shd w:val="clear" w:color="auto" w:fill="0C0C0C"/>
          </w:tcPr>
          <w:p>
            <w:pPr>
              <w:ind w:left="1940"/>
              <w:spacing w:after="0"/>
              <w:rPr>
                <w:sz w:val="20"/>
                <w:szCs w:val="20"/>
                <w:color w:val="auto"/>
              </w:rPr>
            </w:pPr>
            <w:r>
              <w:rPr>
                <w:rFonts w:ascii="Arial" w:cs="Arial" w:eastAsia="Arial" w:hAnsi="Arial"/>
                <w:sz w:val="14"/>
                <w:szCs w:val="14"/>
                <w:b w:val="1"/>
                <w:bCs w:val="1"/>
                <w:color w:val="FFFFFF"/>
              </w:rPr>
              <w:t>p53 Hotspot Mutation</w:t>
            </w:r>
          </w:p>
        </w:tc>
        <w:tc>
          <w:tcPr>
            <w:tcW w:w="4960" w:type="dxa"/>
            <w:vAlign w:val="bottom"/>
            <w:tcBorders>
              <w:top w:val="single" w:sz="8" w:color="auto"/>
              <w:bottom w:val="single" w:sz="8" w:color="0C0C0C"/>
              <w:right w:val="single" w:sz="8" w:color="auto"/>
            </w:tcBorders>
            <w:shd w:val="clear" w:color="auto" w:fill="0C0C0C"/>
          </w:tcPr>
          <w:p>
            <w:pPr>
              <w:jc w:val="center"/>
              <w:ind w:left="152"/>
              <w:spacing w:after="0"/>
              <w:rPr>
                <w:sz w:val="20"/>
                <w:szCs w:val="20"/>
                <w:color w:val="auto"/>
              </w:rPr>
            </w:pPr>
            <w:r>
              <w:rPr>
                <w:rFonts w:ascii="Arial" w:cs="Arial" w:eastAsia="Arial" w:hAnsi="Arial"/>
                <w:sz w:val="14"/>
                <w:szCs w:val="14"/>
                <w:b w:val="1"/>
                <w:bCs w:val="1"/>
                <w:color w:val="FFFFFF"/>
              </w:rPr>
              <w:t>Frequency Among p53 Mutations</w:t>
            </w:r>
          </w:p>
        </w:tc>
      </w:tr>
      <w:tr>
        <w:trPr>
          <w:trHeight w:val="295"/>
        </w:trPr>
        <w:tc>
          <w:tcPr>
            <w:tcW w:w="51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9"/>
              </w:rPr>
              <w:t>R175H</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5.6%</w:t>
            </w:r>
          </w:p>
        </w:tc>
      </w:tr>
      <w:tr>
        <w:trPr>
          <w:trHeight w:val="270"/>
        </w:trPr>
        <w:tc>
          <w:tcPr>
            <w:tcW w:w="5180" w:type="dxa"/>
            <w:vAlign w:val="bottom"/>
            <w:tcBorders>
              <w:left w:val="single" w:sz="8" w:color="auto"/>
            </w:tcBorders>
          </w:tcPr>
          <w:p>
            <w:pPr>
              <w:jc w:val="center"/>
              <w:ind w:left="72"/>
              <w:spacing w:after="0"/>
              <w:rPr>
                <w:sz w:val="20"/>
                <w:szCs w:val="20"/>
                <w:color w:val="auto"/>
              </w:rPr>
            </w:pPr>
            <w:r>
              <w:rPr>
                <w:rFonts w:ascii="Arial" w:cs="Arial" w:eastAsia="Arial" w:hAnsi="Arial"/>
                <w:sz w:val="18"/>
                <w:szCs w:val="18"/>
                <w:b w:val="1"/>
                <w:bCs w:val="1"/>
                <w:color w:val="auto"/>
              </w:rPr>
              <w:t>R248Q</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4.4%</w:t>
            </w:r>
          </w:p>
        </w:tc>
      </w:tr>
      <w:tr>
        <w:trPr>
          <w:trHeight w:val="270"/>
        </w:trPr>
        <w:tc>
          <w:tcPr>
            <w:tcW w:w="51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9"/>
              </w:rPr>
              <w:t>R273H</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4.0%</w:t>
            </w:r>
          </w:p>
        </w:tc>
      </w:tr>
      <w:tr>
        <w:trPr>
          <w:trHeight w:val="270"/>
        </w:trPr>
        <w:tc>
          <w:tcPr>
            <w:tcW w:w="51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9"/>
              </w:rPr>
              <w:t>R248W</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3.5%</w:t>
            </w:r>
          </w:p>
        </w:tc>
      </w:tr>
      <w:tr>
        <w:trPr>
          <w:trHeight w:val="270"/>
        </w:trPr>
        <w:tc>
          <w:tcPr>
            <w:tcW w:w="51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9"/>
              </w:rPr>
              <w:t>R273C</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3.3%</w:t>
            </w:r>
          </w:p>
        </w:tc>
      </w:tr>
      <w:tr>
        <w:trPr>
          <w:trHeight w:val="270"/>
        </w:trPr>
        <w:tc>
          <w:tcPr>
            <w:tcW w:w="51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9"/>
              </w:rPr>
              <w:t>R282W</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2.8%</w:t>
            </w:r>
          </w:p>
        </w:tc>
      </w:tr>
      <w:tr>
        <w:trPr>
          <w:trHeight w:val="270"/>
        </w:trPr>
        <w:tc>
          <w:tcPr>
            <w:tcW w:w="5180" w:type="dxa"/>
            <w:vAlign w:val="bottom"/>
            <w:tcBorders>
              <w:left w:val="single" w:sz="8" w:color="auto"/>
            </w:tcBorders>
          </w:tcPr>
          <w:p>
            <w:pPr>
              <w:jc w:val="center"/>
              <w:ind w:left="52"/>
              <w:spacing w:after="0"/>
              <w:rPr>
                <w:sz w:val="20"/>
                <w:szCs w:val="20"/>
                <w:color w:val="auto"/>
              </w:rPr>
            </w:pPr>
            <w:r>
              <w:rPr>
                <w:rFonts w:ascii="Arial" w:cs="Arial" w:eastAsia="Arial" w:hAnsi="Arial"/>
                <w:sz w:val="18"/>
                <w:szCs w:val="18"/>
                <w:b w:val="1"/>
                <w:bCs w:val="1"/>
                <w:color w:val="auto"/>
                <w:w w:val="99"/>
              </w:rPr>
              <w:t>G245S</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2.1%</w:t>
            </w:r>
          </w:p>
        </w:tc>
      </w:tr>
      <w:tr>
        <w:trPr>
          <w:trHeight w:val="270"/>
        </w:trPr>
        <w:tc>
          <w:tcPr>
            <w:tcW w:w="5180" w:type="dxa"/>
            <w:vAlign w:val="bottom"/>
            <w:tcBorders>
              <w:left w:val="single" w:sz="8" w:color="auto"/>
            </w:tcBorders>
          </w:tcPr>
          <w:p>
            <w:pPr>
              <w:jc w:val="center"/>
              <w:ind w:left="72"/>
              <w:spacing w:after="0"/>
              <w:rPr>
                <w:sz w:val="20"/>
                <w:szCs w:val="20"/>
                <w:color w:val="auto"/>
              </w:rPr>
            </w:pPr>
            <w:r>
              <w:rPr>
                <w:rFonts w:ascii="Arial" w:cs="Arial" w:eastAsia="Arial" w:hAnsi="Arial"/>
                <w:sz w:val="18"/>
                <w:szCs w:val="18"/>
                <w:b w:val="1"/>
                <w:bCs w:val="1"/>
                <w:color w:val="auto"/>
                <w:w w:val="98"/>
              </w:rPr>
              <w:t>R249S</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2.0%</w:t>
            </w:r>
          </w:p>
        </w:tc>
      </w:tr>
      <w:tr>
        <w:trPr>
          <w:trHeight w:val="270"/>
        </w:trPr>
        <w:tc>
          <w:tcPr>
            <w:tcW w:w="5180" w:type="dxa"/>
            <w:vAlign w:val="bottom"/>
            <w:tcBorders>
              <w:left w:val="single" w:sz="8" w:color="auto"/>
            </w:tcBorders>
          </w:tcPr>
          <w:p>
            <w:pPr>
              <w:jc w:val="center"/>
              <w:ind w:left="72"/>
              <w:spacing w:after="0"/>
              <w:rPr>
                <w:sz w:val="20"/>
                <w:szCs w:val="20"/>
                <w:color w:val="auto"/>
              </w:rPr>
            </w:pPr>
            <w:r>
              <w:rPr>
                <w:rFonts w:ascii="Arial" w:cs="Arial" w:eastAsia="Arial" w:hAnsi="Arial"/>
                <w:sz w:val="18"/>
                <w:szCs w:val="18"/>
                <w:b w:val="1"/>
                <w:bCs w:val="1"/>
                <w:color w:val="auto"/>
                <w:w w:val="98"/>
              </w:rPr>
              <w:t>Y220C</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1.8%</w:t>
            </w:r>
          </w:p>
        </w:tc>
      </w:tr>
      <w:tr>
        <w:trPr>
          <w:trHeight w:val="270"/>
        </w:trPr>
        <w:tc>
          <w:tcPr>
            <w:tcW w:w="5180" w:type="dxa"/>
            <w:vAlign w:val="bottom"/>
            <w:tcBorders>
              <w:left w:val="single" w:sz="8" w:color="auto"/>
            </w:tcBorders>
          </w:tcPr>
          <w:p>
            <w:pPr>
              <w:jc w:val="center"/>
              <w:ind w:left="72"/>
              <w:spacing w:after="0"/>
              <w:rPr>
                <w:sz w:val="20"/>
                <w:szCs w:val="20"/>
                <w:color w:val="auto"/>
              </w:rPr>
            </w:pPr>
            <w:r>
              <w:rPr>
                <w:rFonts w:ascii="Arial" w:cs="Arial" w:eastAsia="Arial" w:hAnsi="Arial"/>
                <w:sz w:val="18"/>
                <w:szCs w:val="18"/>
                <w:b w:val="1"/>
                <w:bCs w:val="1"/>
                <w:color w:val="auto"/>
              </w:rPr>
              <w:t>V157F</w:t>
            </w:r>
          </w:p>
        </w:tc>
        <w:tc>
          <w:tcPr>
            <w:tcW w:w="4960" w:type="dxa"/>
            <w:vAlign w:val="bottom"/>
            <w:tcBorders>
              <w:right w:val="single" w:sz="8" w:color="auto"/>
            </w:tcBorders>
          </w:tcPr>
          <w:p>
            <w:pPr>
              <w:jc w:val="center"/>
              <w:ind w:left="152"/>
              <w:spacing w:after="0"/>
              <w:rPr>
                <w:sz w:val="20"/>
                <w:szCs w:val="20"/>
                <w:color w:val="auto"/>
              </w:rPr>
            </w:pPr>
            <w:r>
              <w:rPr>
                <w:rFonts w:ascii="Arial" w:cs="Arial" w:eastAsia="Arial" w:hAnsi="Arial"/>
                <w:sz w:val="18"/>
                <w:szCs w:val="18"/>
                <w:b w:val="1"/>
                <w:bCs w:val="1"/>
                <w:color w:val="auto"/>
                <w:w w:val="97"/>
              </w:rPr>
              <w:t>1.0%</w:t>
            </w:r>
          </w:p>
        </w:tc>
      </w:tr>
      <w:tr>
        <w:trPr>
          <w:trHeight w:val="69"/>
        </w:trPr>
        <w:tc>
          <w:tcPr>
            <w:tcW w:w="5180" w:type="dxa"/>
            <w:vAlign w:val="bottom"/>
            <w:tcBorders>
              <w:left w:val="single" w:sz="8" w:color="auto"/>
              <w:bottom w:val="single" w:sz="8" w:color="auto"/>
            </w:tcBorders>
          </w:tcPr>
          <w:p>
            <w:pPr>
              <w:spacing w:after="0"/>
              <w:rPr>
                <w:sz w:val="6"/>
                <w:szCs w:val="6"/>
                <w:color w:val="auto"/>
              </w:rPr>
            </w:pPr>
          </w:p>
        </w:tc>
        <w:tc>
          <w:tcPr>
            <w:tcW w:w="4960" w:type="dxa"/>
            <w:vAlign w:val="bottom"/>
            <w:tcBorders>
              <w:bottom w:val="single" w:sz="8" w:color="auto"/>
              <w:right w:val="single" w:sz="8" w:color="auto"/>
            </w:tcBorders>
          </w:tcPr>
          <w:p>
            <w:pPr>
              <w:spacing w:after="0"/>
              <w:rPr>
                <w:sz w:val="6"/>
                <w:szCs w:val="6"/>
                <w:color w:val="auto"/>
              </w:rPr>
            </w:pPr>
          </w:p>
        </w:tc>
      </w:tr>
    </w:tbl>
    <w:p>
      <w:pPr>
        <w:spacing w:after="0" w:line="29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Approach to Targeting p53</w:t>
      </w:r>
    </w:p>
    <w:p>
      <w:pPr>
        <w:spacing w:after="0" w:line="214" w:lineRule="exact"/>
        <w:rPr>
          <w:sz w:val="20"/>
          <w:szCs w:val="20"/>
          <w:color w:val="auto"/>
        </w:rPr>
      </w:pPr>
    </w:p>
    <w:p>
      <w:pPr>
        <w:ind w:left="120" w:right="180" w:firstLine="551"/>
        <w:spacing w:after="0" w:line="243" w:lineRule="auto"/>
        <w:rPr>
          <w:sz w:val="20"/>
          <w:szCs w:val="20"/>
          <w:color w:val="auto"/>
        </w:rPr>
      </w:pPr>
      <w:r>
        <w:rPr>
          <w:rFonts w:ascii="Arial" w:cs="Arial" w:eastAsia="Arial" w:hAnsi="Arial"/>
          <w:sz w:val="18"/>
          <w:szCs w:val="18"/>
          <w:color w:val="auto"/>
        </w:rPr>
        <w:t>Our goal is to bring precision oncology therapies to a greater number of patients. Decades of research on p53 has unveiled its potential as a precision oncology target, but prior drug development efforts have been unsuccessful. Mutant p53 historically has been classified as “undruggable” due to the difficulty of restoring wild-type p53 function. Mutations in p53 can give rise to mutant p53 proteins with different conformational structures. As a result, we are designing oral small molecule therapies that selectively target a specific p53 mutation while not binding to wild-type p53. We believe our novel approach designed to reactivate p53 function through the structural correction of mutant p53 protein to wild-type p53 represents a therapeutic strategy to target p53.</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drug development efforts leverage our understanding that:</w:t>
      </w:r>
    </w:p>
    <w:p>
      <w:pPr>
        <w:spacing w:after="0" w:line="117" w:lineRule="exact"/>
        <w:rPr>
          <w:sz w:val="20"/>
          <w:szCs w:val="20"/>
          <w:color w:val="auto"/>
        </w:rPr>
      </w:pPr>
    </w:p>
    <w:p>
      <w:pPr>
        <w:ind w:left="880" w:hanging="224"/>
        <w:spacing w:after="0"/>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mutations throughout the p53 protein can drive tumor formation and growth;</w:t>
      </w:r>
    </w:p>
    <w:p>
      <w:pPr>
        <w:spacing w:after="0" w:line="117" w:lineRule="exact"/>
        <w:rPr>
          <w:rFonts w:ascii="Arial" w:cs="Arial" w:eastAsia="Arial" w:hAnsi="Arial"/>
          <w:sz w:val="18"/>
          <w:szCs w:val="18"/>
          <w:color w:val="auto"/>
        </w:rPr>
      </w:pPr>
    </w:p>
    <w:p>
      <w:pPr>
        <w:ind w:left="880" w:right="260" w:hanging="224"/>
        <w:spacing w:after="0" w:line="276" w:lineRule="auto"/>
        <w:tabs>
          <w:tab w:leader="none" w:pos="8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mutant p53 protein resulting from a specific mutation can potentially be structurally corrected by a selective small molecule, thereby reactivating wild-type p53 activity; and</w:t>
      </w:r>
    </w:p>
    <w:p>
      <w:pPr>
        <w:spacing w:after="0" w:line="7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60"/>
          </w:cols>
          <w:pgMar w:left="320" w:top="455" w:right="519" w:bottom="1440" w:gutter="0" w:footer="0" w:header="0"/>
        </w:sectPr>
      </w:pPr>
    </w:p>
    <w:bookmarkStart w:id="126" w:name="page127"/>
    <w:bookmarkEnd w:id="1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540" w:hanging="224"/>
        <w:spacing w:after="0" w:line="276"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p53 hotspot mutations comprise approximately 30% of all p53 mutations and each p53 hotspot mutation represents an individual therapeutic target for drug discovery and development.</w:t>
      </w:r>
    </w:p>
    <w:p>
      <w:pPr>
        <w:spacing w:after="0" w:line="145"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We believe we can address certain key limitations of current-generation precision oncology therapies by applying our platform to identify and generate therapies that address functional deficiencies associated with specific p53 mutations. We believe this will allow us to design and develop potential therapies for patients for whom there are currently no targeted treatment options.</w:t>
      </w:r>
    </w:p>
    <w:p>
      <w:pPr>
        <w:spacing w:after="0" w:line="27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Innovation Engine</w:t>
      </w:r>
    </w:p>
    <w:p>
      <w:pPr>
        <w:spacing w:after="0" w:line="214" w:lineRule="exact"/>
        <w:rPr>
          <w:sz w:val="20"/>
          <w:szCs w:val="20"/>
          <w:color w:val="auto"/>
        </w:rPr>
      </w:pPr>
    </w:p>
    <w:p>
      <w:pPr>
        <w:ind w:left="120" w:right="580" w:firstLine="551"/>
        <w:spacing w:after="0" w:line="276" w:lineRule="auto"/>
        <w:rPr>
          <w:sz w:val="20"/>
          <w:szCs w:val="20"/>
          <w:color w:val="auto"/>
        </w:rPr>
      </w:pPr>
      <w:r>
        <w:rPr>
          <w:rFonts w:ascii="Arial" w:cs="Arial" w:eastAsia="Arial" w:hAnsi="Arial"/>
          <w:sz w:val="18"/>
          <w:szCs w:val="18"/>
          <w:color w:val="auto"/>
        </w:rPr>
        <w:t>We have built an innovation engine that allows us to discover and develop potential targeted therapies for mutant p53-driven cancers. This engine consists of three complementary drivers:</w:t>
      </w:r>
    </w:p>
    <w:p>
      <w:pPr>
        <w:spacing w:after="0" w:line="48" w:lineRule="exact"/>
        <w:rPr>
          <w:sz w:val="20"/>
          <w:szCs w:val="20"/>
          <w:color w:val="auto"/>
        </w:rPr>
      </w:pPr>
    </w:p>
    <w:p>
      <w:pPr>
        <w:ind w:left="880" w:right="160" w:hanging="224"/>
        <w:spacing w:after="0" w:line="242"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Deep understanding of, and leadership in, p53 biology that enable unique insights into targeting individual mutations. </w:t>
      </w:r>
      <w:r>
        <w:rPr>
          <w:rFonts w:ascii="Arial" w:cs="Arial" w:eastAsia="Arial" w:hAnsi="Arial"/>
          <w:sz w:val="18"/>
          <w:szCs w:val="18"/>
          <w:color w:val="auto"/>
        </w:rPr>
        <w:t>We have leveraged more than four decades of research experience and developed unique insights into p53 biology, a field that was discovered and established by our co-founder Dr. Arnold Levine</w:t>
      </w:r>
      <w:r>
        <w:rPr>
          <w:rFonts w:ascii="Arial" w:cs="Arial" w:eastAsia="Arial" w:hAnsi="Arial"/>
          <w:sz w:val="18"/>
          <w:szCs w:val="18"/>
          <w:b w:val="1"/>
          <w:bCs w:val="1"/>
          <w:color w:val="auto"/>
        </w:rPr>
        <w:t>.</w:t>
      </w:r>
      <w:r>
        <w:rPr>
          <w:rFonts w:ascii="Arial" w:cs="Arial" w:eastAsia="Arial" w:hAnsi="Arial"/>
          <w:sz w:val="18"/>
          <w:szCs w:val="18"/>
          <w:color w:val="auto"/>
        </w:rPr>
        <w:t xml:space="preserve"> Additionally, our SAB consists of some of the most prominent thought leaders in p53 biology. p53 is a highly complex gene, and thousands of distinct p53 mutations have been identified. A blanket approach to targeting mutant p53 has significant challenges, as a “one size fits all” drug is unlikely to address all p53 mutants. Based on our experience and expertise, we are developing oral small molecules that each selectively target a specific p53 hotspot mutation.</w:t>
      </w:r>
    </w:p>
    <w:p>
      <w:pPr>
        <w:spacing w:after="0" w:line="78" w:lineRule="exact"/>
        <w:rPr>
          <w:rFonts w:ascii="Arial" w:cs="Arial" w:eastAsia="Arial" w:hAnsi="Arial"/>
          <w:sz w:val="18"/>
          <w:szCs w:val="18"/>
          <w:color w:val="auto"/>
        </w:rPr>
      </w:pPr>
    </w:p>
    <w:p>
      <w:pPr>
        <w:ind w:left="880" w:hanging="224"/>
        <w:spacing w:after="0" w:line="242"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Ability to design structure-based oral small molecule product candidates that selectively target and correct specific p53 mutants</w:t>
      </w:r>
      <w:r>
        <w:rPr>
          <w:rFonts w:ascii="Arial" w:cs="Arial" w:eastAsia="Arial" w:hAnsi="Arial"/>
          <w:sz w:val="18"/>
          <w:szCs w:val="18"/>
          <w:color w:val="auto"/>
        </w:rPr>
        <w:t>. Designing molecules for p53 mutants requires an intricate understanding of the p53 protein structure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biology. We leverage structure-based technologies to give our oral small molecule product candidates access to challenging binding sites that are generally not accessible using conventional small molecule drug discovery approaches. For each target, we take detailed data from structural and functional studies of mutated p53 proteins to design development candidates against the challenging binding sites. Our design techniques help us to identify potential product candidates that can selectively target a single p53 mutant, while sparing wild-type p53.</w:t>
      </w:r>
    </w:p>
    <w:p>
      <w:pPr>
        <w:spacing w:after="0" w:line="78" w:lineRule="exact"/>
        <w:rPr>
          <w:rFonts w:ascii="Arial" w:cs="Arial" w:eastAsia="Arial" w:hAnsi="Arial"/>
          <w:sz w:val="18"/>
          <w:szCs w:val="18"/>
          <w:color w:val="auto"/>
        </w:rPr>
      </w:pPr>
    </w:p>
    <w:p>
      <w:pPr>
        <w:ind w:left="880" w:right="20" w:hanging="224"/>
        <w:spacing w:after="0" w:line="242" w:lineRule="auto"/>
        <w:tabs>
          <w:tab w:leader="none" w:pos="880" w:val="left"/>
        </w:tabs>
        <w:numPr>
          <w:ilvl w:val="0"/>
          <w:numId w:val="82"/>
        </w:numPr>
        <w:rPr>
          <w:rFonts w:ascii="Arial" w:cs="Arial" w:eastAsia="Arial" w:hAnsi="Arial"/>
          <w:sz w:val="18"/>
          <w:szCs w:val="18"/>
          <w:color w:val="auto"/>
        </w:rPr>
      </w:pPr>
      <w:r>
        <w:rPr>
          <w:rFonts w:ascii="Arial" w:cs="Arial" w:eastAsia="Arial" w:hAnsi="Arial"/>
          <w:sz w:val="18"/>
          <w:szCs w:val="18"/>
          <w:b w:val="1"/>
          <w:bCs w:val="1"/>
          <w:color w:val="auto"/>
        </w:rPr>
        <w:t xml:space="preserve">Assays, screens, preclinical model systems and biomarkers that enable us to assess and optimize selective small molecule product candidates for specific p53 mutants. </w:t>
      </w:r>
      <w:r>
        <w:rPr>
          <w:rFonts w:ascii="Arial" w:cs="Arial" w:eastAsia="Arial" w:hAnsi="Arial"/>
          <w:sz w:val="18"/>
          <w:szCs w:val="18"/>
          <w:color w:val="auto"/>
        </w:rPr>
        <w:t>We test our product candidates across a diverse set of human cancer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cells based on research and understanding of bioinformatics and functional genomics. We also identify and monitor pharmacodynamic biomarkers and surrogates of clinical activity to help measure target engagement, including MIC-1, a serum-based biomarker. The biological insights we generate help us to better target various p53 mutants based on their structure and biology. We develop innovative preclinical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models to advance potential therapeutic programs for translation to the clinic.</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5" w:right="459" w:bottom="1440" w:gutter="0" w:footer="0" w:header="0"/>
        </w:sectPr>
      </w:pPr>
    </w:p>
    <w:bookmarkStart w:id="127" w:name="page128"/>
    <w:bookmarkEnd w:id="1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Our Product Candidate and Development Programs</w:t>
      </w:r>
    </w:p>
    <w:p>
      <w:pPr>
        <w:spacing w:after="0" w:line="214" w:lineRule="exact"/>
        <w:rPr>
          <w:sz w:val="20"/>
          <w:szCs w:val="20"/>
          <w:color w:val="auto"/>
        </w:rPr>
      </w:pPr>
    </w:p>
    <w:p>
      <w:pPr>
        <w:jc w:val="both"/>
        <w:ind w:left="120" w:firstLine="551"/>
        <w:spacing w:after="0" w:line="248" w:lineRule="auto"/>
        <w:rPr>
          <w:sz w:val="20"/>
          <w:szCs w:val="20"/>
          <w:color w:val="auto"/>
        </w:rPr>
      </w:pPr>
      <w:r>
        <w:rPr>
          <w:rFonts w:ascii="Arial" w:cs="Arial" w:eastAsia="Arial" w:hAnsi="Arial"/>
          <w:sz w:val="18"/>
          <w:szCs w:val="18"/>
          <w:color w:val="auto"/>
        </w:rPr>
        <w:t>We are leveraging our precision oncology platform to develop a pipeline of oral small molecule product candidates that structurally correct other p53 hotspot mutations to restore their wild-type function. We expect to advance our next program, targeting the p53 R273H hotspot mutation, into lead optimization in the first half of 2021. We own worldwide commercial rights to all of our programs. An overview of our development pipeline is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139700</wp:posOffset>
            </wp:positionV>
            <wp:extent cx="5186045" cy="15087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86045" cy="150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60" w:hanging="544"/>
        <w:spacing w:after="0"/>
        <w:tabs>
          <w:tab w:leader="none" w:pos="660" w:val="left"/>
        </w:tabs>
        <w:numPr>
          <w:ilvl w:val="0"/>
          <w:numId w:val="83"/>
        </w:numPr>
        <w:rPr>
          <w:rFonts w:ascii="Arial" w:cs="Arial" w:eastAsia="Arial" w:hAnsi="Arial"/>
          <w:sz w:val="24"/>
          <w:szCs w:val="24"/>
          <w:color w:val="auto"/>
          <w:vertAlign w:val="superscript"/>
        </w:rPr>
      </w:pPr>
      <w:r>
        <w:rPr>
          <w:rFonts w:ascii="Arial" w:cs="Arial" w:eastAsia="Arial" w:hAnsi="Arial"/>
          <w:sz w:val="14"/>
          <w:szCs w:val="14"/>
          <w:color w:val="auto"/>
        </w:rPr>
        <w:t>In Discovery, we screen compounds against biological assays to identify lead compounds with selective activity to our specific mutant p53 target of interest.</w:t>
      </w:r>
    </w:p>
    <w:p>
      <w:pPr>
        <w:ind w:left="660" w:right="320" w:hanging="544"/>
        <w:spacing w:after="0" w:line="182" w:lineRule="auto"/>
        <w:tabs>
          <w:tab w:leader="none" w:pos="660" w:val="left"/>
        </w:tabs>
        <w:numPr>
          <w:ilvl w:val="0"/>
          <w:numId w:val="83"/>
        </w:numPr>
        <w:rPr>
          <w:rFonts w:ascii="Arial" w:cs="Arial" w:eastAsia="Arial" w:hAnsi="Arial"/>
          <w:sz w:val="23"/>
          <w:szCs w:val="23"/>
          <w:color w:val="auto"/>
          <w:vertAlign w:val="superscript"/>
        </w:rPr>
      </w:pPr>
      <w:r>
        <w:rPr>
          <w:rFonts w:ascii="Arial" w:cs="Arial" w:eastAsia="Arial" w:hAnsi="Arial"/>
          <w:sz w:val="14"/>
          <w:szCs w:val="14"/>
          <w:color w:val="auto"/>
        </w:rPr>
        <w:t>In Lead Optimization, we modify the lead compound to improve potency, selectivity, pharmacokinetic and toxicity parameters and physical chemical properties important for clinical development.</w:t>
      </w:r>
    </w:p>
    <w:p>
      <w:pPr>
        <w:spacing w:after="0" w:line="1" w:lineRule="exact"/>
        <w:rPr>
          <w:rFonts w:ascii="Arial" w:cs="Arial" w:eastAsia="Arial" w:hAnsi="Arial"/>
          <w:sz w:val="23"/>
          <w:szCs w:val="23"/>
          <w:color w:val="auto"/>
          <w:vertAlign w:val="superscript"/>
        </w:rPr>
      </w:pPr>
    </w:p>
    <w:p>
      <w:pPr>
        <w:ind w:left="660" w:hanging="544"/>
        <w:spacing w:after="0"/>
        <w:tabs>
          <w:tab w:leader="none" w:pos="660" w:val="left"/>
        </w:tabs>
        <w:numPr>
          <w:ilvl w:val="0"/>
          <w:numId w:val="83"/>
        </w:numPr>
        <w:rPr>
          <w:rFonts w:ascii="Arial" w:cs="Arial" w:eastAsia="Arial" w:hAnsi="Arial"/>
          <w:sz w:val="24"/>
          <w:szCs w:val="24"/>
          <w:color w:val="auto"/>
          <w:vertAlign w:val="superscript"/>
        </w:rPr>
      </w:pPr>
      <w:r>
        <w:rPr>
          <w:rFonts w:ascii="Arial" w:cs="Arial" w:eastAsia="Arial" w:hAnsi="Arial"/>
          <w:sz w:val="24"/>
          <w:szCs w:val="24"/>
          <w:color w:val="auto"/>
          <w:vertAlign w:val="superscript"/>
        </w:rPr>
        <w:t>I</w:t>
      </w:r>
      <w:r>
        <w:rPr>
          <w:rFonts w:ascii="Arial" w:cs="Arial" w:eastAsia="Arial" w:hAnsi="Arial"/>
          <w:sz w:val="14"/>
          <w:szCs w:val="14"/>
          <w:color w:val="auto"/>
        </w:rPr>
        <w:t>n IND-Enabling Studies, we conduct preclinical studies, in accordance with Good Laboratory Practice, or GLP, required for an IND submission to the FDA.</w:t>
      </w:r>
    </w:p>
    <w:p>
      <w:pPr>
        <w:spacing w:after="0" w:line="7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expect to initially seek approval of our product candidates in most instances, including with PC14586, at least as a second line therapy or for the patients with no satisfactory alternative treatments or where the cancer has progressed following other treatment. Subsequently, depending on the nature of the clinical data and experience with any approved products or product candidates, if any, we may pursue approval as an earlier line therapy and potentially as a first line therapy. Cancer therapies are sometimes characterized as first line, second line or third line, and the FDA customarily approves new therapies for a second line or later lines of use. When cancer is detected early enough, first line therapy is sometimes adequate to cure the cancer or prolong life without a cure. Whenever first line therapies, usually chemotherapy, antibody drugs, tumor-targeted small molecules, hormone therapy, radiation therapy, surgery or a combination of these, proves unsuccessful, second line therapies may be administered. Second line therapies often consist of more chemotherapy, radiation, antibody drugs, tumor-targeted small molecules, or a combination of these. Third line therapies can include chemotherapy, antibody drugs and small molecule tumor-targeted therapies, more invasive forms of surgery and new technologies.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PC14586: A Selective Structural Corrector of p53 Y220C Mutations</w:t>
      </w:r>
    </w:p>
    <w:p>
      <w:pPr>
        <w:spacing w:after="0" w:line="104" w:lineRule="exact"/>
        <w:rPr>
          <w:sz w:val="20"/>
          <w:szCs w:val="20"/>
          <w:color w:val="auto"/>
        </w:rPr>
      </w:pPr>
    </w:p>
    <w:p>
      <w:pPr>
        <w:ind w:left="120" w:right="160" w:firstLine="551"/>
        <w:spacing w:after="0" w:line="245" w:lineRule="auto"/>
        <w:rPr>
          <w:sz w:val="20"/>
          <w:szCs w:val="20"/>
          <w:color w:val="auto"/>
        </w:rPr>
      </w:pPr>
      <w:r>
        <w:rPr>
          <w:rFonts w:ascii="Arial" w:cs="Arial" w:eastAsia="Arial" w:hAnsi="Arial"/>
          <w:sz w:val="18"/>
          <w:szCs w:val="18"/>
          <w:color w:val="auto"/>
        </w:rPr>
        <w:t>p53 is the most widely mutated gene in human cancers. The vast majority of these mutations occur as a result of missense mutations that are found in the DNA binding domain. p53 Y220C mutations are found in approximately 1.0-1.5% of all cancers. This particular mutation is expressed in a large variety of solid tumors, including breast, NSCLC, colorectal, pancreatic and ovarian cancers. Our lead product candidate, PC14586, is designed to be an orally available small molecule that structurally corrects a p53 protein containing the Y220C mutation and restores wild-type p53 function.</w:t>
      </w:r>
    </w:p>
    <w:p>
      <w:pPr>
        <w:spacing w:after="0" w:line="172" w:lineRule="exact"/>
        <w:rPr>
          <w:sz w:val="20"/>
          <w:szCs w:val="20"/>
          <w:color w:val="auto"/>
        </w:rPr>
      </w:pPr>
    </w:p>
    <w:p>
      <w:pPr>
        <w:ind w:left="120" w:right="660" w:firstLine="551"/>
        <w:spacing w:after="0" w:line="276" w:lineRule="auto"/>
        <w:rPr>
          <w:sz w:val="20"/>
          <w:szCs w:val="20"/>
          <w:color w:val="auto"/>
        </w:rPr>
      </w:pPr>
      <w:r>
        <w:rPr>
          <w:rFonts w:ascii="Arial" w:cs="Arial" w:eastAsia="Arial" w:hAnsi="Arial"/>
          <w:sz w:val="18"/>
          <w:szCs w:val="18"/>
          <w:color w:val="auto"/>
        </w:rPr>
        <w:t>Wild-type p53 in a normal cell is at low to undetectable levels, but an external insult such as UV radiation or exposure to a carcinogen results in activation and upregulation of the protein. In these</w:t>
      </w:r>
    </w:p>
    <w:p>
      <w:pPr>
        <w:spacing w:after="0" w:line="7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00"/>
          </w:cols>
          <w:pgMar w:left="320" w:top="455" w:right="579" w:bottom="1440" w:gutter="0" w:footer="0" w:header="0"/>
        </w:sectPr>
      </w:pPr>
    </w:p>
    <w:bookmarkStart w:id="128" w:name="page129"/>
    <w:bookmarkEnd w:id="1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20"/>
        <w:spacing w:after="0" w:line="248" w:lineRule="auto"/>
        <w:rPr>
          <w:sz w:val="20"/>
          <w:szCs w:val="20"/>
          <w:color w:val="auto"/>
        </w:rPr>
      </w:pPr>
      <w:r>
        <w:rPr>
          <w:rFonts w:ascii="Arial" w:cs="Arial" w:eastAsia="Arial" w:hAnsi="Arial"/>
          <w:sz w:val="18"/>
          <w:szCs w:val="18"/>
          <w:color w:val="auto"/>
        </w:rPr>
        <w:t>instances, wild-type p53 pauses the cell-cycle to survey the integrity of the genome, and if the damage to the genome cannot be repaired, wild-type p53 induces a potent program of cell suicide or programed cell death. Given wild-type p53’s profound ability to induce cell death, it is tightly regulated in normal biology by an auto-regulatory loop with MDM2, a downstream induced target of wild-type p53 transcriptional activation. MDM2 production results in degradation of the wild-type p53 protein and re-sets the cell to normal function.</w:t>
      </w:r>
    </w:p>
    <w:p>
      <w:pPr>
        <w:spacing w:after="0" w:line="170" w:lineRule="exact"/>
        <w:rPr>
          <w:sz w:val="20"/>
          <w:szCs w:val="20"/>
          <w:color w:val="auto"/>
        </w:rPr>
      </w:pPr>
    </w:p>
    <w:p>
      <w:pPr>
        <w:ind w:left="120" w:right="140" w:firstLine="551"/>
        <w:spacing w:after="0" w:line="248" w:lineRule="auto"/>
        <w:rPr>
          <w:sz w:val="20"/>
          <w:szCs w:val="20"/>
          <w:color w:val="auto"/>
        </w:rPr>
      </w:pPr>
      <w:r>
        <w:rPr>
          <w:rFonts w:ascii="Arial" w:cs="Arial" w:eastAsia="Arial" w:hAnsi="Arial"/>
          <w:sz w:val="18"/>
          <w:szCs w:val="18"/>
          <w:color w:val="auto"/>
        </w:rPr>
        <w:t>In the case of a mutant p53, there is a loss of p53 wild-type tumor suppression function due to a loss of downstream wild-type p53 transcriptional activation, including MDM2 induction. A consequence of this dysregulation is the inability of the cancer cell to degrade mutant forms of p53, resulting in a profound accumulation of mutant p53 protein in the cancer cell as shown below for the Y220C mutation.</w:t>
      </w:r>
    </w:p>
    <w:p>
      <w:pPr>
        <w:spacing w:after="0" w:line="276" w:lineRule="exact"/>
        <w:rPr>
          <w:sz w:val="20"/>
          <w:szCs w:val="20"/>
          <w:color w:val="auto"/>
        </w:rPr>
      </w:pPr>
    </w:p>
    <w:p>
      <w:pPr>
        <w:jc w:val="center"/>
        <w:ind w:left="460"/>
        <w:spacing w:after="0" w:line="287" w:lineRule="auto"/>
        <w:rPr>
          <w:sz w:val="20"/>
          <w:szCs w:val="20"/>
          <w:color w:val="auto"/>
        </w:rPr>
      </w:pPr>
      <w:r>
        <w:rPr>
          <w:rFonts w:ascii="Arial" w:cs="Arial" w:eastAsia="Arial" w:hAnsi="Arial"/>
          <w:sz w:val="18"/>
          <w:szCs w:val="18"/>
          <w:b w:val="1"/>
          <w:bCs w:val="1"/>
          <w:color w:val="auto"/>
        </w:rPr>
        <w:t>Y220C Mutant Cancer Cell Lines Contain Large Pools of Mutant p53 Y220C Target Protein Relative to Normal (Wild-type p53) Cell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113030</wp:posOffset>
            </wp:positionV>
            <wp:extent cx="5194935" cy="383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94935" cy="3831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20" w:right="280" w:firstLine="551"/>
        <w:spacing w:after="0" w:line="248" w:lineRule="auto"/>
        <w:rPr>
          <w:sz w:val="20"/>
          <w:szCs w:val="20"/>
          <w:color w:val="auto"/>
        </w:rPr>
      </w:pPr>
      <w:r>
        <w:rPr>
          <w:rFonts w:ascii="Arial" w:cs="Arial" w:eastAsia="Arial" w:hAnsi="Arial"/>
          <w:sz w:val="18"/>
          <w:szCs w:val="18"/>
          <w:color w:val="auto"/>
        </w:rPr>
        <w:t>While treatment options such as surgery, chemotherapy, radiotherapy and immuno-therapy are available for breast, NSCLC, colorectal, pancreatic and ovarian cancer, there are no approved precision oncology therapies for the subset of patients with the p53 Y220C mutation. The availability of an oral small molecule selective for the p53 Y220C mutation may offer a novel precision therapy for this population, which we believe could potentially change the treatment paradigm for such patients.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5" w:right="459" w:bottom="1440" w:gutter="0" w:footer="0" w:header="0"/>
        </w:sectPr>
      </w:pPr>
    </w:p>
    <w:bookmarkStart w:id="129" w:name="page130"/>
    <w:bookmarkEnd w:id="1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Mechanism of Action</w:t>
      </w:r>
    </w:p>
    <w:p>
      <w:pPr>
        <w:spacing w:after="0" w:line="10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PC14586 is an orally available small molecule candidate that is designed to selectively bind to the crevice created by the p53 Y220C mutation, and thereby restore the wild-type p53 protein structure and tumor suppressing function. In the diagram below, wild-type p53 protein is compared with a mutant p53 Y220C protein and a mutant p53 Y220C protein with PC14586 bound in the crevice created by the Y220C mutation. By docking into the crevice created by the Y220C mutation, PC14586 is designed to restore the wild-type p53 conformation and function.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140970</wp:posOffset>
            </wp:positionV>
            <wp:extent cx="5186045" cy="2948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86045" cy="2948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 xml:space="preserve">In preclinical studies, we have demonstrated that PC14586 rapidly converts the large protein pool of mutant p53 Y220C protein to wild-type structure. As seen in the graphic below, in an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study, PC14586 induced conversion of p53 protein from mutant to wild-type conformation in a dose-dependent manner as evidenced by a decrease in mutant p53 and an increase in wild-type p53, while total p53 remains relatively unchanged.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80"/>
          </w:cols>
          <w:pgMar w:left="320" w:top="455" w:right="499" w:bottom="1440" w:gutter="0" w:footer="0" w:header="0"/>
        </w:sectPr>
      </w:pPr>
    </w:p>
    <w:bookmarkStart w:id="130" w:name="page131"/>
    <w:bookmarkEnd w:id="1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880"/>
        <w:spacing w:after="0"/>
        <w:rPr>
          <w:sz w:val="20"/>
          <w:szCs w:val="20"/>
          <w:color w:val="auto"/>
        </w:rPr>
      </w:pPr>
      <w:r>
        <w:rPr>
          <w:rFonts w:ascii="Arial" w:cs="Arial" w:eastAsia="Arial" w:hAnsi="Arial"/>
          <w:sz w:val="18"/>
          <w:szCs w:val="18"/>
          <w:b w:val="1"/>
          <w:bCs w:val="1"/>
          <w:color w:val="auto"/>
        </w:rPr>
        <w:t xml:space="preserve">PC14586 Demonstrated Structural Conversion from Mutant p53 to Wild-type p53 </w:t>
      </w:r>
      <w:r>
        <w:rPr>
          <w:rFonts w:ascii="Arial" w:cs="Arial" w:eastAsia="Arial" w:hAnsi="Arial"/>
          <w:sz w:val="18"/>
          <w:szCs w:val="18"/>
          <w:b w:val="1"/>
          <w:bCs w:val="1"/>
          <w:i w:val="1"/>
          <w:iCs w:val="1"/>
          <w:color w:val="auto"/>
        </w:rPr>
        <w:t>in vitro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2696845</wp:posOffset>
            </wp:positionH>
            <wp:positionV relativeFrom="paragraph">
              <wp:posOffset>167005</wp:posOffset>
            </wp:positionV>
            <wp:extent cx="2511425" cy="19545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511425" cy="1954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PC14586 selectively binds to the crevice created by the Y220C mutation as this molecule does not bind to wild-type p53 or other p53 mutations, including R273H, R273C, R175H, G245S, R248Q and R282W, as demonstrated by the lack of activity (as measured by p21 and MDM2 gene expression seen in the below diagrams). PC14586 only binds to the crevice created by the Y220C mutation, and none of the other tested p53 hotspot mutations, as illustrated by gene expression changes in the Y220C cell line when PC14586 is added in increasing concentrations.</w:t>
      </w:r>
    </w:p>
    <w:p>
      <w:pPr>
        <w:spacing w:after="0" w:line="172" w:lineRule="exact"/>
        <w:rPr>
          <w:sz w:val="20"/>
          <w:szCs w:val="20"/>
          <w:color w:val="auto"/>
        </w:rPr>
      </w:pPr>
    </w:p>
    <w:p>
      <w:pPr>
        <w:ind w:left="120" w:right="160" w:firstLine="551"/>
        <w:spacing w:after="0" w:line="243" w:lineRule="auto"/>
        <w:rPr>
          <w:sz w:val="20"/>
          <w:szCs w:val="20"/>
          <w:color w:val="auto"/>
        </w:rPr>
      </w:pPr>
      <w:r>
        <w:rPr>
          <w:rFonts w:ascii="Arial" w:cs="Arial" w:eastAsia="Arial" w:hAnsi="Arial"/>
          <w:sz w:val="18"/>
          <w:szCs w:val="18"/>
          <w:color w:val="auto"/>
        </w:rPr>
        <w:t>Additionally, structural correction from a mutant p53 Y220C conformation to a wild-type p53 conformation by PC14586 restored p53-dependent transcription of downstream targets, which is indicative of wild-type p53 biological activity. For example, as shown in the figures below, p21 and MDM2, two of the downstream targets of p53, were selectively upregulated by PC14586 in a dose-dependent manner in cells where the p53 Y220C mutation was present. Since PC14586 is highly selective for the p53 Y220C mutation, it did not affect expression levels of p21 and MDM2 in tumor cell lines containing wild-type p53, p53 knock-out or other p53 hotspot mutations as noted in the figures below.</w:t>
      </w:r>
    </w:p>
    <w:p>
      <w:pPr>
        <w:spacing w:after="0" w:line="280" w:lineRule="exact"/>
        <w:rPr>
          <w:sz w:val="20"/>
          <w:szCs w:val="20"/>
          <w:color w:val="auto"/>
        </w:rPr>
      </w:pPr>
    </w:p>
    <w:p>
      <w:pPr>
        <w:ind w:left="1500"/>
        <w:spacing w:after="0"/>
        <w:rPr>
          <w:sz w:val="20"/>
          <w:szCs w:val="20"/>
          <w:color w:val="auto"/>
        </w:rPr>
      </w:pPr>
      <w:r>
        <w:rPr>
          <w:rFonts w:ascii="Arial" w:cs="Arial" w:eastAsia="Arial" w:hAnsi="Arial"/>
          <w:sz w:val="18"/>
          <w:szCs w:val="18"/>
          <w:b w:val="1"/>
          <w:bCs w:val="1"/>
          <w:color w:val="auto"/>
        </w:rPr>
        <w:t>PC14586 Induced Transcription of p21 and MDM2 Only in Cell Lines with the p53 Y220C Mutation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167005</wp:posOffset>
            </wp:positionV>
            <wp:extent cx="5186045" cy="19113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86045"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40"/>
          </w:cols>
          <w:pgMar w:left="320" w:top="455" w:right="539" w:bottom="1440" w:gutter="0" w:footer="0" w:header="0"/>
        </w:sectPr>
      </w:pPr>
    </w:p>
    <w:bookmarkStart w:id="131" w:name="page132"/>
    <w:bookmarkEnd w:id="1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Preclinical In Vivo Data</w:t>
      </w:r>
    </w:p>
    <w:p>
      <w:pPr>
        <w:spacing w:after="0" w:line="104" w:lineRule="exact"/>
        <w:rPr>
          <w:sz w:val="20"/>
          <w:szCs w:val="20"/>
          <w:color w:val="auto"/>
        </w:rPr>
      </w:pPr>
    </w:p>
    <w:p>
      <w:pPr>
        <w:ind w:left="120" w:right="160" w:firstLine="551"/>
        <w:spacing w:after="0" w:line="245" w:lineRule="auto"/>
        <w:rPr>
          <w:sz w:val="20"/>
          <w:szCs w:val="20"/>
          <w:color w:val="auto"/>
        </w:rPr>
      </w:pPr>
      <w:r>
        <w:rPr>
          <w:rFonts w:ascii="Arial" w:cs="Arial" w:eastAsia="Arial" w:hAnsi="Arial"/>
          <w:sz w:val="18"/>
          <w:szCs w:val="18"/>
          <w:color w:val="auto"/>
        </w:rPr>
        <w:t>PC14586 exhibited single-agent anti-tumor activity in a dose-dependent manner against mutant p53 Y220C tumors, evidenced by both potent TGI and tumor regression. Oral once-daily dosing over 21 days of PC14586 was well tolerated in nude mice (ten mice per dosing group) bearing p53 Y220C NUGC3 xenograft tumors up to 100 mg/kg, as evidenced by the lack of body weight loss, which is the generally accepted surrogate for toxicity in mice. PC14586 demonstrated dose-dependent TGI at daily doses ranging from 25 mg/kg to 50 mg/kg and robust tumor regression at 100 mg/kg daily.</w:t>
      </w:r>
    </w:p>
    <w:p>
      <w:pPr>
        <w:spacing w:after="0" w:line="27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PC14586 Single-Agent Administration in NUGC3 Xenograft Model Resulted in Tumor Regression and was Well Tolerated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167005</wp:posOffset>
            </wp:positionV>
            <wp:extent cx="5186045" cy="254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86045"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In preclinical animal studies, PC14586 exhibited fast absorption and a durable plasma exposure, which resulted in robust target engagement that correlated with compound exposure levels. Target engagement was demonstrated by the decrease in mutant p53 Y220C and the increase in the wild-type conformation.</w:t>
      </w:r>
    </w:p>
    <w:p>
      <w:pPr>
        <w:spacing w:after="0" w:line="164" w:lineRule="exact"/>
        <w:rPr>
          <w:sz w:val="20"/>
          <w:szCs w:val="20"/>
          <w:color w:val="auto"/>
        </w:rPr>
      </w:pPr>
    </w:p>
    <w:p>
      <w:pPr>
        <w:ind w:left="120" w:right="80" w:firstLine="551"/>
        <w:spacing w:after="0" w:line="255" w:lineRule="auto"/>
        <w:rPr>
          <w:sz w:val="20"/>
          <w:szCs w:val="20"/>
          <w:color w:val="auto"/>
        </w:rPr>
      </w:pPr>
      <w:r>
        <w:rPr>
          <w:rFonts w:ascii="Arial" w:cs="Arial" w:eastAsia="Arial" w:hAnsi="Arial"/>
          <w:sz w:val="18"/>
          <w:szCs w:val="18"/>
          <w:color w:val="auto"/>
        </w:rPr>
        <w:t>Along with tumor regression, in acute dose pharmacokinetic/pharmacodynamic, or PK/PD, studies, oral administration of PC14586 to xenograft mice bearing the NUGC3 (p53 Y220C) tumors resulted in conversion of mutant p53 protein to a wild-type p53 structure as illustrated in the figure below.</w:t>
      </w:r>
    </w:p>
    <w:p>
      <w:pPr>
        <w:spacing w:after="0" w:line="16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In the mutant p53 structure chart below, the amount of mutant p53 decreased at 8 hours after PC14586 administration on day 1 (QDx1), and the amount of mutant p53 rose by the 24 hour time point compared to the 8 hour time point in the QDx1 portion of the x-axis. When another dose of PC14586 was administered on day 2 (QDx2), the amount of mutant p53 decreased at the 8 hour time point and rose again by the 24 hour time point. The pattern was repeated on the fourth (QDx4) and sixth day (QDx6) of dosing. In all the PC14586 datapoints, the amount of mutant p53 was less than in the vehicle dosing.</w:t>
      </w:r>
    </w:p>
    <w:p>
      <w:pPr>
        <w:spacing w:after="0" w:line="172" w:lineRule="exact"/>
        <w:rPr>
          <w:sz w:val="20"/>
          <w:szCs w:val="20"/>
          <w:color w:val="auto"/>
        </w:rPr>
      </w:pPr>
    </w:p>
    <w:p>
      <w:pPr>
        <w:ind w:left="120" w:right="80" w:firstLine="551"/>
        <w:spacing w:after="0" w:line="276" w:lineRule="auto"/>
        <w:rPr>
          <w:sz w:val="20"/>
          <w:szCs w:val="20"/>
          <w:color w:val="auto"/>
        </w:rPr>
      </w:pPr>
      <w:r>
        <w:rPr>
          <w:rFonts w:ascii="Arial" w:cs="Arial" w:eastAsia="Arial" w:hAnsi="Arial"/>
          <w:sz w:val="18"/>
          <w:szCs w:val="18"/>
          <w:color w:val="auto"/>
        </w:rPr>
        <w:t>In the wild-type p53 structure chart below, the amount of wild-type p53 increased at 8 hours after PC14586 administration on day 1 (QDx1) and the amount of wild-type p53 decreased by the 24 hour</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20"/>
          </w:cols>
          <w:pgMar w:left="320" w:top="455" w:right="459" w:bottom="1440" w:gutter="0" w:footer="0" w:header="0"/>
        </w:sectPr>
      </w:pPr>
    </w:p>
    <w:bookmarkStart w:id="132" w:name="page133"/>
    <w:bookmarkEnd w:id="1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time point compared to the 8 hour time point in the QDx1 portion of the x-axis. The pattern was repeated over the second (QDx2), fourth (QDx4) and sixth (QDx6) days of dosing. In all the PC14586 datapoints, the amount of wild-type p53 was greater than in the vehicle dosing.</w:t>
      </w:r>
    </w:p>
    <w:p>
      <w:pPr>
        <w:spacing w:after="0" w:line="164"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When viewed together, the two charts below show an increase in wild-type p53 corresponding to a decrease in mutant p53 at each of the PC14586 administration time points, which indicate the conversion of mutant p53 to wild-type p53 with the administration of PC14586.</w:t>
      </w:r>
    </w:p>
    <w:p>
      <w:pPr>
        <w:spacing w:after="0" w:line="27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 xml:space="preserve">In </w:t>
      </w:r>
      <w:r>
        <w:rPr>
          <w:rFonts w:ascii="Arial" w:cs="Arial" w:eastAsia="Arial" w:hAnsi="Arial"/>
          <w:sz w:val="18"/>
          <w:szCs w:val="18"/>
          <w:b w:val="1"/>
          <w:bCs w:val="1"/>
          <w:i w:val="1"/>
          <w:iCs w:val="1"/>
          <w:color w:val="auto"/>
        </w:rPr>
        <w:t>in vivo</w:t>
      </w:r>
      <w:r>
        <w:rPr>
          <w:rFonts w:ascii="Arial" w:cs="Arial" w:eastAsia="Arial" w:hAnsi="Arial"/>
          <w:sz w:val="18"/>
          <w:szCs w:val="18"/>
          <w:b w:val="1"/>
          <w:bCs w:val="1"/>
          <w:color w:val="auto"/>
        </w:rPr>
        <w:t xml:space="preserve"> Studies, PC14586 Converted Mutant p53 Protein to a Wild-type p53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167005</wp:posOffset>
            </wp:positionV>
            <wp:extent cx="5186045" cy="1945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86045" cy="1945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Additionally, functional p53 activity in the tumor tissue was also demonstrated (</w:t>
      </w:r>
      <w:r>
        <w:rPr>
          <w:rFonts w:ascii="Arial" w:cs="Arial" w:eastAsia="Arial" w:hAnsi="Arial"/>
          <w:sz w:val="18"/>
          <w:szCs w:val="18"/>
          <w:i w:val="1"/>
          <w:iCs w:val="1"/>
          <w:color w:val="auto"/>
        </w:rPr>
        <w:t>i.e.</w:t>
      </w:r>
      <w:r>
        <w:rPr>
          <w:rFonts w:ascii="Arial" w:cs="Arial" w:eastAsia="Arial" w:hAnsi="Arial"/>
          <w:sz w:val="18"/>
          <w:szCs w:val="18"/>
          <w:color w:val="auto"/>
        </w:rPr>
        <w:t>, the induction of wild-type p53 downstream targets). As illustrated in the figure below, PC14586 was observed to induce the expression of the p53 downstream target MIC-1, a clinically validated secreted biomarker of wild-type p53 activity. The administration of PC14586 was associated with an increase in MIC-1 plasma concentration in comparison to the vehicle dosing.</w:t>
      </w:r>
    </w:p>
    <w:p>
      <w:pPr>
        <w:spacing w:after="0" w:line="27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PC14586 Increased Plasma Concentration of MIC-1, a Clinically Validated Secreted Biomarker of Wild-type p53 Activity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167005</wp:posOffset>
            </wp:positionV>
            <wp:extent cx="1817370" cy="21945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817370"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40"/>
          </w:cols>
          <w:pgMar w:left="320" w:top="455" w:right="539" w:bottom="1440" w:gutter="0" w:footer="0" w:header="0"/>
        </w:sectPr>
      </w:pPr>
    </w:p>
    <w:bookmarkStart w:id="133" w:name="page134"/>
    <w:bookmarkEnd w:id="1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56" w:lineRule="auto"/>
        <w:rPr>
          <w:sz w:val="20"/>
          <w:szCs w:val="20"/>
          <w:color w:val="auto"/>
        </w:rPr>
      </w:pPr>
      <w:r>
        <w:rPr>
          <w:rFonts w:ascii="Arial" w:cs="Arial" w:eastAsia="Arial" w:hAnsi="Arial"/>
          <w:sz w:val="17"/>
          <w:szCs w:val="17"/>
          <w:color w:val="auto"/>
        </w:rPr>
        <w:t>We also created a human p53 knock-in, or HUPKI, mouse that expresses a p53 protein with the human p53 DNA binding domain and the p53 Y220C mutation. The HUPKI mouse presents spontaneously with sarcomas at six to eight months of age, which we can harvest and re-implant in a wild-type mouse to create a mouse tumor model that has an intact immune system harboring a human p53 Y220C mutation. We believe this syngeneic mouse model better represents the patient population that we expect to see in the clinic, as compared to mouse xenograft models that incorporate human tumors in mice with no immune system. While some patients with cancer may have weakened immune systems, we believe that few patients have severely or fully dysfunctional immunocompromised systems, and therefore a syngeneic model may better represent the patient population than an immunocompromised mouse model. In addition, with an intact immune system, this model allows us to test anti-tumor activity of PC14586 in combination with immune checkpoint inhibitors.</w:t>
      </w:r>
    </w:p>
    <w:p>
      <w:pPr>
        <w:spacing w:after="0" w:line="168" w:lineRule="exact"/>
        <w:rPr>
          <w:sz w:val="20"/>
          <w:szCs w:val="20"/>
          <w:color w:val="auto"/>
        </w:rPr>
      </w:pPr>
    </w:p>
    <w:p>
      <w:pPr>
        <w:ind w:left="120" w:right="260" w:firstLine="551"/>
        <w:spacing w:after="0" w:line="248" w:lineRule="auto"/>
        <w:rPr>
          <w:sz w:val="20"/>
          <w:szCs w:val="20"/>
          <w:color w:val="auto"/>
        </w:rPr>
      </w:pPr>
      <w:r>
        <w:rPr>
          <w:rFonts w:ascii="Arial" w:cs="Arial" w:eastAsia="Arial" w:hAnsi="Arial"/>
          <w:sz w:val="18"/>
          <w:szCs w:val="18"/>
          <w:color w:val="auto"/>
        </w:rPr>
        <w:t>As illustrated by the table below, PC14586, administered as a single-agent at a daily oral dose of 100 mg/kg for 70 days, demonstrated regression in tumors that express the p53 Y220C mutation in the syngeneic mouse model. The durability of the response was measured by median survival, where median survival for a 100 mg/kg dose of PC14586 exceeded 156 days, even though drug treatment was discontinued on day 70. This compared with median survival of only 17 days for the vehicle.</w:t>
      </w: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PC14586 Tumor Regression and Durable Responses in Syngeneic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1188085</wp:posOffset>
            </wp:positionH>
            <wp:positionV relativeFrom="paragraph">
              <wp:posOffset>167005</wp:posOffset>
            </wp:positionV>
            <wp:extent cx="4774565" cy="180848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774565"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Note: Each line represents each mouse where each group has 10 mice</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01"/>
        </w:trPr>
        <w:tc>
          <w:tcPr>
            <w:tcW w:w="1240" w:type="dxa"/>
            <w:vAlign w:val="bottom"/>
            <w:tcBorders>
              <w:right w:val="single" w:sz="8" w:color="auto"/>
            </w:tcBorders>
          </w:tcPr>
          <w:p>
            <w:pPr>
              <w:spacing w:after="0"/>
              <w:rPr>
                <w:sz w:val="17"/>
                <w:szCs w:val="17"/>
                <w:color w:val="auto"/>
              </w:rPr>
            </w:pPr>
          </w:p>
        </w:tc>
        <w:tc>
          <w:tcPr>
            <w:tcW w:w="3800" w:type="dxa"/>
            <w:vAlign w:val="bottom"/>
            <w:tcBorders>
              <w:top w:val="single" w:sz="8" w:color="auto"/>
            </w:tcBorders>
            <w:shd w:val="clear" w:color="auto" w:fill="0C0C0C"/>
          </w:tcPr>
          <w:p>
            <w:pPr>
              <w:spacing w:after="0"/>
              <w:rPr>
                <w:sz w:val="17"/>
                <w:szCs w:val="17"/>
                <w:color w:val="auto"/>
              </w:rPr>
            </w:pPr>
          </w:p>
        </w:tc>
        <w:tc>
          <w:tcPr>
            <w:tcW w:w="3680" w:type="dxa"/>
            <w:vAlign w:val="bottom"/>
            <w:tcBorders>
              <w:top w:val="single" w:sz="8" w:color="auto"/>
              <w:right w:val="single" w:sz="8" w:color="auto"/>
            </w:tcBorders>
            <w:shd w:val="clear" w:color="auto" w:fill="0C0C0C"/>
          </w:tcPr>
          <w:p>
            <w:pPr>
              <w:jc w:val="center"/>
              <w:ind w:left="179"/>
              <w:spacing w:after="0"/>
              <w:rPr>
                <w:sz w:val="20"/>
                <w:szCs w:val="20"/>
                <w:color w:val="auto"/>
              </w:rPr>
            </w:pPr>
            <w:r>
              <w:rPr>
                <w:rFonts w:ascii="Arial" w:cs="Arial" w:eastAsia="Arial" w:hAnsi="Arial"/>
                <w:sz w:val="14"/>
                <w:szCs w:val="14"/>
                <w:b w:val="1"/>
                <w:bCs w:val="1"/>
                <w:color w:val="FFFFFF"/>
              </w:rPr>
              <w:t>Median Survival Time</w:t>
            </w:r>
          </w:p>
        </w:tc>
      </w:tr>
      <w:tr>
        <w:trPr>
          <w:trHeight w:val="211"/>
        </w:trPr>
        <w:tc>
          <w:tcPr>
            <w:tcW w:w="1240" w:type="dxa"/>
            <w:vAlign w:val="bottom"/>
            <w:tcBorders>
              <w:right w:val="single" w:sz="8" w:color="auto"/>
            </w:tcBorders>
          </w:tcPr>
          <w:p>
            <w:pPr>
              <w:spacing w:after="0"/>
              <w:rPr>
                <w:sz w:val="18"/>
                <w:szCs w:val="18"/>
                <w:color w:val="auto"/>
              </w:rPr>
            </w:pPr>
          </w:p>
        </w:tc>
        <w:tc>
          <w:tcPr>
            <w:tcW w:w="3800" w:type="dxa"/>
            <w:vAlign w:val="bottom"/>
            <w:tcBorders>
              <w:bottom w:val="single" w:sz="8" w:color="0C0C0C"/>
            </w:tcBorders>
            <w:shd w:val="clear" w:color="auto" w:fill="0C0C0C"/>
          </w:tcPr>
          <w:p>
            <w:pPr>
              <w:jc w:val="center"/>
              <w:ind w:left="56"/>
              <w:spacing w:after="0"/>
              <w:rPr>
                <w:sz w:val="20"/>
                <w:szCs w:val="20"/>
                <w:color w:val="auto"/>
              </w:rPr>
            </w:pPr>
            <w:r>
              <w:rPr>
                <w:rFonts w:ascii="Arial" w:cs="Arial" w:eastAsia="Arial" w:hAnsi="Arial"/>
                <w:sz w:val="14"/>
                <w:szCs w:val="14"/>
                <w:b w:val="1"/>
                <w:bCs w:val="1"/>
                <w:color w:val="FFFFFF"/>
                <w:w w:val="99"/>
              </w:rPr>
              <w:t>Group</w:t>
            </w:r>
          </w:p>
        </w:tc>
        <w:tc>
          <w:tcPr>
            <w:tcW w:w="3680" w:type="dxa"/>
            <w:vAlign w:val="bottom"/>
            <w:tcBorders>
              <w:bottom w:val="single" w:sz="8" w:color="0C0C0C"/>
              <w:right w:val="single" w:sz="8" w:color="auto"/>
            </w:tcBorders>
            <w:shd w:val="clear" w:color="auto" w:fill="0C0C0C"/>
          </w:tcPr>
          <w:p>
            <w:pPr>
              <w:jc w:val="center"/>
              <w:ind w:left="159"/>
              <w:spacing w:after="0"/>
              <w:rPr>
                <w:sz w:val="20"/>
                <w:szCs w:val="20"/>
                <w:color w:val="auto"/>
              </w:rPr>
            </w:pPr>
            <w:r>
              <w:rPr>
                <w:rFonts w:ascii="Arial" w:cs="Arial" w:eastAsia="Arial" w:hAnsi="Arial"/>
                <w:sz w:val="14"/>
                <w:szCs w:val="14"/>
                <w:b w:val="1"/>
                <w:bCs w:val="1"/>
                <w:color w:val="FFFFFF"/>
              </w:rPr>
              <w:t>(Days)</w:t>
            </w:r>
          </w:p>
        </w:tc>
      </w:tr>
      <w:tr>
        <w:trPr>
          <w:trHeight w:val="274"/>
        </w:trPr>
        <w:tc>
          <w:tcPr>
            <w:tcW w:w="1240" w:type="dxa"/>
            <w:vAlign w:val="bottom"/>
            <w:tcBorders>
              <w:right w:val="single" w:sz="8" w:color="auto"/>
            </w:tcBorders>
          </w:tcPr>
          <w:p>
            <w:pPr>
              <w:spacing w:after="0"/>
              <w:rPr>
                <w:sz w:val="23"/>
                <w:szCs w:val="23"/>
                <w:color w:val="auto"/>
              </w:rPr>
            </w:pPr>
          </w:p>
        </w:tc>
        <w:tc>
          <w:tcPr>
            <w:tcW w:w="3800" w:type="dxa"/>
            <w:vAlign w:val="bottom"/>
          </w:tcPr>
          <w:p>
            <w:pPr>
              <w:jc w:val="center"/>
              <w:ind w:left="56"/>
              <w:spacing w:after="0"/>
              <w:rPr>
                <w:sz w:val="20"/>
                <w:szCs w:val="20"/>
                <w:color w:val="auto"/>
              </w:rPr>
            </w:pPr>
            <w:r>
              <w:rPr>
                <w:rFonts w:ascii="Arial" w:cs="Arial" w:eastAsia="Arial" w:hAnsi="Arial"/>
                <w:sz w:val="18"/>
                <w:szCs w:val="18"/>
                <w:color w:val="auto"/>
                <w:w w:val="98"/>
              </w:rPr>
              <w:t>Vehicle</w:t>
            </w:r>
          </w:p>
        </w:tc>
        <w:tc>
          <w:tcPr>
            <w:tcW w:w="3680" w:type="dxa"/>
            <w:vAlign w:val="bottom"/>
            <w:tcBorders>
              <w:right w:val="single" w:sz="8" w:color="auto"/>
            </w:tcBorders>
          </w:tcPr>
          <w:p>
            <w:pPr>
              <w:jc w:val="right"/>
              <w:ind w:right="1539"/>
              <w:spacing w:after="0"/>
              <w:rPr>
                <w:sz w:val="20"/>
                <w:szCs w:val="20"/>
                <w:color w:val="auto"/>
              </w:rPr>
            </w:pPr>
            <w:r>
              <w:rPr>
                <w:rFonts w:ascii="Arial" w:cs="Arial" w:eastAsia="Arial" w:hAnsi="Arial"/>
                <w:sz w:val="18"/>
                <w:szCs w:val="18"/>
                <w:color w:val="auto"/>
              </w:rPr>
              <w:t>17</w:t>
            </w:r>
          </w:p>
        </w:tc>
      </w:tr>
      <w:tr>
        <w:trPr>
          <w:trHeight w:val="37"/>
        </w:trPr>
        <w:tc>
          <w:tcPr>
            <w:tcW w:w="1240" w:type="dxa"/>
            <w:vAlign w:val="bottom"/>
            <w:tcBorders>
              <w:right w:val="single" w:sz="8" w:color="auto"/>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c>
          <w:tcPr>
            <w:tcW w:w="3680" w:type="dxa"/>
            <w:vAlign w:val="bottom"/>
            <w:tcBorders>
              <w:bottom w:val="single" w:sz="8" w:color="auto"/>
              <w:right w:val="single" w:sz="8" w:color="auto"/>
            </w:tcBorders>
          </w:tcPr>
          <w:p>
            <w:pPr>
              <w:spacing w:after="0"/>
              <w:rPr>
                <w:sz w:val="3"/>
                <w:szCs w:val="3"/>
                <w:color w:val="auto"/>
              </w:rPr>
            </w:pPr>
          </w:p>
        </w:tc>
      </w:tr>
      <w:tr>
        <w:trPr>
          <w:trHeight w:val="254"/>
        </w:trPr>
        <w:tc>
          <w:tcPr>
            <w:tcW w:w="1240" w:type="dxa"/>
            <w:vAlign w:val="bottom"/>
            <w:tcBorders>
              <w:right w:val="single" w:sz="8" w:color="auto"/>
            </w:tcBorders>
          </w:tcPr>
          <w:p>
            <w:pPr>
              <w:spacing w:after="0"/>
              <w:rPr>
                <w:sz w:val="22"/>
                <w:szCs w:val="22"/>
                <w:color w:val="auto"/>
              </w:rPr>
            </w:pPr>
          </w:p>
        </w:tc>
        <w:tc>
          <w:tcPr>
            <w:tcW w:w="3800" w:type="dxa"/>
            <w:vAlign w:val="bottom"/>
          </w:tcPr>
          <w:p>
            <w:pPr>
              <w:jc w:val="center"/>
              <w:ind w:left="76"/>
              <w:spacing w:after="0"/>
              <w:rPr>
                <w:sz w:val="20"/>
                <w:szCs w:val="20"/>
                <w:color w:val="auto"/>
              </w:rPr>
            </w:pPr>
            <w:r>
              <w:rPr>
                <w:rFonts w:ascii="Arial" w:cs="Arial" w:eastAsia="Arial" w:hAnsi="Arial"/>
                <w:sz w:val="18"/>
                <w:szCs w:val="18"/>
                <w:color w:val="auto"/>
                <w:w w:val="99"/>
              </w:rPr>
              <w:t>PC14586 100 mg/kg</w:t>
            </w:r>
          </w:p>
        </w:tc>
        <w:tc>
          <w:tcPr>
            <w:tcW w:w="3680" w:type="dxa"/>
            <w:vAlign w:val="bottom"/>
            <w:tcBorders>
              <w:right w:val="single" w:sz="8" w:color="auto"/>
            </w:tcBorders>
          </w:tcPr>
          <w:p>
            <w:pPr>
              <w:jc w:val="right"/>
              <w:ind w:right="1439"/>
              <w:spacing w:after="0"/>
              <w:rPr>
                <w:sz w:val="20"/>
                <w:szCs w:val="20"/>
                <w:color w:val="auto"/>
              </w:rPr>
            </w:pPr>
            <w:r>
              <w:rPr>
                <w:rFonts w:ascii="Arial" w:cs="Arial" w:eastAsia="Arial" w:hAnsi="Arial"/>
                <w:sz w:val="18"/>
                <w:szCs w:val="18"/>
                <w:color w:val="auto"/>
              </w:rPr>
              <w:t>&gt;156</w:t>
            </w:r>
          </w:p>
        </w:tc>
      </w:tr>
      <w:tr>
        <w:trPr>
          <w:trHeight w:val="37"/>
        </w:trPr>
        <w:tc>
          <w:tcPr>
            <w:tcW w:w="1240" w:type="dxa"/>
            <w:vAlign w:val="bottom"/>
            <w:tcBorders>
              <w:right w:val="single" w:sz="8" w:color="auto"/>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c>
          <w:tcPr>
            <w:tcW w:w="3680" w:type="dxa"/>
            <w:vAlign w:val="bottom"/>
            <w:tcBorders>
              <w:bottom w:val="single" w:sz="8" w:color="auto"/>
              <w:right w:val="single" w:sz="8" w:color="auto"/>
            </w:tcBorders>
          </w:tcPr>
          <w:p>
            <w:pPr>
              <w:spacing w:after="0"/>
              <w:rPr>
                <w:sz w:val="3"/>
                <w:szCs w:val="3"/>
                <w:color w:val="auto"/>
              </w:rPr>
            </w:pPr>
          </w:p>
        </w:tc>
      </w:tr>
      <w:tr>
        <w:trPr>
          <w:trHeight w:val="429"/>
        </w:trPr>
        <w:tc>
          <w:tcPr>
            <w:tcW w:w="5040" w:type="dxa"/>
            <w:vAlign w:val="bottom"/>
            <w:gridSpan w:val="2"/>
          </w:tcPr>
          <w:p>
            <w:pPr>
              <w:spacing w:after="0"/>
              <w:rPr>
                <w:sz w:val="20"/>
                <w:szCs w:val="20"/>
                <w:color w:val="auto"/>
              </w:rPr>
            </w:pPr>
            <w:r>
              <w:rPr>
                <w:rFonts w:ascii="Arial" w:cs="Arial" w:eastAsia="Arial" w:hAnsi="Arial"/>
                <w:sz w:val="18"/>
                <w:szCs w:val="18"/>
                <w:i w:val="1"/>
                <w:iCs w:val="1"/>
                <w:color w:val="auto"/>
              </w:rPr>
              <w:t>Note: Dosing ceased on day 70 in the PC14586 arm.</w:t>
            </w:r>
          </w:p>
        </w:tc>
        <w:tc>
          <w:tcPr>
            <w:tcW w:w="3680" w:type="dxa"/>
            <w:vAlign w:val="bottom"/>
          </w:tcPr>
          <w:p>
            <w:pPr>
              <w:spacing w:after="0"/>
              <w:rPr>
                <w:sz w:val="24"/>
                <w:szCs w:val="24"/>
                <w:color w:val="auto"/>
              </w:rPr>
            </w:pPr>
          </w:p>
        </w:tc>
      </w:tr>
    </w:tbl>
    <w:p>
      <w:pPr>
        <w:spacing w:after="0" w:line="176" w:lineRule="exact"/>
        <w:rPr>
          <w:sz w:val="20"/>
          <w:szCs w:val="20"/>
          <w:color w:val="auto"/>
        </w:rPr>
      </w:pPr>
    </w:p>
    <w:p>
      <w:pPr>
        <w:ind w:left="120" w:right="80" w:firstLine="551"/>
        <w:spacing w:after="0" w:line="243" w:lineRule="auto"/>
        <w:rPr>
          <w:sz w:val="20"/>
          <w:szCs w:val="20"/>
          <w:color w:val="auto"/>
        </w:rPr>
      </w:pPr>
      <w:r>
        <w:rPr>
          <w:rFonts w:ascii="Arial" w:cs="Arial" w:eastAsia="Arial" w:hAnsi="Arial"/>
          <w:sz w:val="18"/>
          <w:szCs w:val="18"/>
          <w:color w:val="auto"/>
        </w:rPr>
        <w:t>PC14586 also exhibited anti-tumor activity in combination with anti-PD-1 therapy in syngeneic mouse models with the human p53 Y220C mutation. The scientific rationale for such a combination comes from the emerging literature suggesting an interplay between p53 and the immune system, which is the key mechanism of action of cancer immunotherapies such as anti-PD-1 antibodies. When PC14586 was administered at a sub-therapeutic daily oral dose of 50 mg/kg for 70 days in combination with a therapeutic dose of a PD-1 antibody, regression of tumors that express the p53 Y220C mutation was observed. As illustrated by the table below, median survival for a sub-therapeutic dose of</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5" w:right="459" w:bottom="1440" w:gutter="0" w:footer="0" w:header="0"/>
        </w:sectPr>
      </w:pPr>
    </w:p>
    <w:bookmarkStart w:id="134" w:name="page135"/>
    <w:bookmarkEnd w:id="1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80"/>
        <w:spacing w:after="0" w:line="276" w:lineRule="auto"/>
        <w:rPr>
          <w:sz w:val="20"/>
          <w:szCs w:val="20"/>
          <w:color w:val="auto"/>
        </w:rPr>
      </w:pPr>
      <w:r>
        <w:rPr>
          <w:rFonts w:ascii="Arial" w:cs="Arial" w:eastAsia="Arial" w:hAnsi="Arial"/>
          <w:sz w:val="18"/>
          <w:szCs w:val="18"/>
          <w:color w:val="auto"/>
        </w:rPr>
        <w:t>PC14586 combined with anti-PD-1 treatment exceeded 156 days, even though drug treatment was discontinued on day 70, compared with median survival of only 24 days for anti-PD-1 treatment alone.</w:t>
      </w:r>
    </w:p>
    <w:p>
      <w:pPr>
        <w:spacing w:after="0" w:line="251"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PC14586 + Anti-PD-1 Combination Showed Regression of Tumor Growth in Syngeneic Mouse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167005</wp:posOffset>
            </wp:positionV>
            <wp:extent cx="4749165" cy="293179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749165"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Note: Each line represents each mouse where each group has 10 mice</w:t>
      </w:r>
    </w:p>
    <w:p>
      <w:pPr>
        <w:spacing w:after="0" w:line="239" w:lineRule="exact"/>
        <w:rPr>
          <w:sz w:val="20"/>
          <w:szCs w:val="20"/>
          <w:color w:val="auto"/>
        </w:rPr>
      </w:pPr>
    </w:p>
    <w:tbl>
      <w:tblPr>
        <w:tblLayout w:type="fixed"/>
        <w:tblInd w:w="670" w:type="dxa"/>
        <w:tblCellMar>
          <w:top w:w="0" w:type="dxa"/>
          <w:left w:w="0" w:type="dxa"/>
          <w:bottom w:w="0" w:type="dxa"/>
          <w:right w:w="0" w:type="dxa"/>
        </w:tblCellMar>
      </w:tblPr>
      <w:tr>
        <w:trPr>
          <w:trHeight w:val="250"/>
        </w:trPr>
        <w:tc>
          <w:tcPr>
            <w:tcW w:w="5740" w:type="dxa"/>
            <w:vAlign w:val="bottom"/>
            <w:tcBorders>
              <w:top w:val="single" w:sz="8" w:color="auto"/>
              <w:left w:val="single" w:sz="8" w:color="auto"/>
              <w:bottom w:val="single" w:sz="8" w:color="0C0C0C"/>
            </w:tcBorders>
            <w:shd w:val="clear" w:color="auto" w:fill="0C0C0C"/>
          </w:tcPr>
          <w:p>
            <w:pPr>
              <w:jc w:val="center"/>
              <w:ind w:left="74"/>
              <w:spacing w:after="0"/>
              <w:rPr>
                <w:sz w:val="20"/>
                <w:szCs w:val="20"/>
                <w:color w:val="auto"/>
              </w:rPr>
            </w:pPr>
            <w:r>
              <w:rPr>
                <w:rFonts w:ascii="Arial" w:cs="Arial" w:eastAsia="Arial" w:hAnsi="Arial"/>
                <w:sz w:val="14"/>
                <w:szCs w:val="14"/>
                <w:b w:val="1"/>
                <w:bCs w:val="1"/>
                <w:color w:val="FFFFFF"/>
                <w:w w:val="99"/>
              </w:rPr>
              <w:t>Group</w:t>
            </w:r>
          </w:p>
        </w:tc>
        <w:tc>
          <w:tcPr>
            <w:tcW w:w="4200" w:type="dxa"/>
            <w:vAlign w:val="bottom"/>
            <w:tcBorders>
              <w:top w:val="single" w:sz="8" w:color="auto"/>
              <w:bottom w:val="single" w:sz="8" w:color="0C0C0C"/>
              <w:right w:val="single" w:sz="8" w:color="auto"/>
            </w:tcBorders>
            <w:shd w:val="clear" w:color="auto" w:fill="0C0C0C"/>
          </w:tcPr>
          <w:p>
            <w:pPr>
              <w:ind w:left="2040"/>
              <w:spacing w:after="0"/>
              <w:rPr>
                <w:sz w:val="20"/>
                <w:szCs w:val="20"/>
                <w:color w:val="auto"/>
              </w:rPr>
            </w:pPr>
            <w:r>
              <w:rPr>
                <w:rFonts w:ascii="Arial" w:cs="Arial" w:eastAsia="Arial" w:hAnsi="Arial"/>
                <w:sz w:val="14"/>
                <w:szCs w:val="14"/>
                <w:b w:val="1"/>
                <w:bCs w:val="1"/>
                <w:color w:val="FFFFFF"/>
              </w:rPr>
              <w:t>Median Survival Time (Days)</w:t>
            </w:r>
          </w:p>
        </w:tc>
      </w:tr>
      <w:tr>
        <w:trPr>
          <w:trHeight w:val="230"/>
        </w:trPr>
        <w:tc>
          <w:tcPr>
            <w:tcW w:w="5740" w:type="dxa"/>
            <w:vAlign w:val="bottom"/>
            <w:tcBorders>
              <w:left w:val="single" w:sz="8" w:color="auto"/>
              <w:bottom w:val="single" w:sz="8" w:color="auto"/>
            </w:tcBorders>
          </w:tcPr>
          <w:p>
            <w:pPr>
              <w:jc w:val="center"/>
              <w:ind w:left="74"/>
              <w:spacing w:after="0"/>
              <w:rPr>
                <w:sz w:val="20"/>
                <w:szCs w:val="20"/>
                <w:color w:val="auto"/>
              </w:rPr>
            </w:pPr>
            <w:r>
              <w:rPr>
                <w:rFonts w:ascii="Arial" w:cs="Arial" w:eastAsia="Arial" w:hAnsi="Arial"/>
                <w:sz w:val="18"/>
                <w:szCs w:val="18"/>
                <w:color w:val="auto"/>
                <w:w w:val="98"/>
              </w:rPr>
              <w:t>Vehicle</w:t>
            </w:r>
          </w:p>
        </w:tc>
        <w:tc>
          <w:tcPr>
            <w:tcW w:w="4200" w:type="dxa"/>
            <w:vAlign w:val="bottom"/>
            <w:tcBorders>
              <w:bottom w:val="single" w:sz="8" w:color="auto"/>
              <w:right w:val="single" w:sz="8" w:color="auto"/>
            </w:tcBorders>
          </w:tcPr>
          <w:p>
            <w:pPr>
              <w:jc w:val="center"/>
              <w:ind w:left="1914"/>
              <w:spacing w:after="0"/>
              <w:rPr>
                <w:sz w:val="20"/>
                <w:szCs w:val="20"/>
                <w:color w:val="auto"/>
              </w:rPr>
            </w:pPr>
            <w:r>
              <w:rPr>
                <w:rFonts w:ascii="Arial" w:cs="Arial" w:eastAsia="Arial" w:hAnsi="Arial"/>
                <w:sz w:val="18"/>
                <w:szCs w:val="18"/>
                <w:color w:val="auto"/>
                <w:w w:val="99"/>
              </w:rPr>
              <w:t>17</w:t>
            </w:r>
          </w:p>
        </w:tc>
      </w:tr>
      <w:tr>
        <w:trPr>
          <w:trHeight w:val="223"/>
        </w:trPr>
        <w:tc>
          <w:tcPr>
            <w:tcW w:w="5740" w:type="dxa"/>
            <w:vAlign w:val="bottom"/>
            <w:tcBorders>
              <w:left w:val="single" w:sz="8" w:color="auto"/>
              <w:bottom w:val="single" w:sz="8" w:color="auto"/>
            </w:tcBorders>
          </w:tcPr>
          <w:p>
            <w:pPr>
              <w:jc w:val="center"/>
              <w:ind w:left="74"/>
              <w:spacing w:after="0"/>
              <w:rPr>
                <w:sz w:val="20"/>
                <w:szCs w:val="20"/>
                <w:color w:val="auto"/>
              </w:rPr>
            </w:pPr>
            <w:r>
              <w:rPr>
                <w:rFonts w:ascii="Arial" w:cs="Arial" w:eastAsia="Arial" w:hAnsi="Arial"/>
                <w:sz w:val="18"/>
                <w:szCs w:val="18"/>
                <w:color w:val="auto"/>
                <w:w w:val="99"/>
              </w:rPr>
              <w:t>Anti-PD-1 200 mg/kg</w:t>
            </w:r>
          </w:p>
        </w:tc>
        <w:tc>
          <w:tcPr>
            <w:tcW w:w="4200" w:type="dxa"/>
            <w:vAlign w:val="bottom"/>
            <w:tcBorders>
              <w:bottom w:val="single" w:sz="8" w:color="auto"/>
              <w:right w:val="single" w:sz="8" w:color="auto"/>
            </w:tcBorders>
          </w:tcPr>
          <w:p>
            <w:pPr>
              <w:jc w:val="center"/>
              <w:ind w:left="1914"/>
              <w:spacing w:after="0"/>
              <w:rPr>
                <w:sz w:val="20"/>
                <w:szCs w:val="20"/>
                <w:color w:val="auto"/>
              </w:rPr>
            </w:pPr>
            <w:r>
              <w:rPr>
                <w:rFonts w:ascii="Arial" w:cs="Arial" w:eastAsia="Arial" w:hAnsi="Arial"/>
                <w:sz w:val="18"/>
                <w:szCs w:val="18"/>
                <w:color w:val="auto"/>
                <w:w w:val="99"/>
              </w:rPr>
              <w:t>24</w:t>
            </w:r>
          </w:p>
        </w:tc>
      </w:tr>
      <w:tr>
        <w:trPr>
          <w:trHeight w:val="223"/>
        </w:trPr>
        <w:tc>
          <w:tcPr>
            <w:tcW w:w="5740" w:type="dxa"/>
            <w:vAlign w:val="bottom"/>
            <w:tcBorders>
              <w:left w:val="single" w:sz="8" w:color="auto"/>
              <w:bottom w:val="single" w:sz="8" w:color="auto"/>
            </w:tcBorders>
          </w:tcPr>
          <w:p>
            <w:pPr>
              <w:jc w:val="center"/>
              <w:ind w:left="74"/>
              <w:spacing w:after="0"/>
              <w:rPr>
                <w:sz w:val="20"/>
                <w:szCs w:val="20"/>
                <w:color w:val="auto"/>
              </w:rPr>
            </w:pPr>
            <w:r>
              <w:rPr>
                <w:rFonts w:ascii="Arial" w:cs="Arial" w:eastAsia="Arial" w:hAnsi="Arial"/>
                <w:sz w:val="18"/>
                <w:szCs w:val="18"/>
                <w:color w:val="auto"/>
                <w:w w:val="99"/>
              </w:rPr>
              <w:t>PC14586 50 mg/kg</w:t>
            </w:r>
          </w:p>
        </w:tc>
        <w:tc>
          <w:tcPr>
            <w:tcW w:w="4200" w:type="dxa"/>
            <w:vAlign w:val="bottom"/>
            <w:tcBorders>
              <w:bottom w:val="single" w:sz="8" w:color="auto"/>
              <w:right w:val="single" w:sz="8" w:color="auto"/>
            </w:tcBorders>
          </w:tcPr>
          <w:p>
            <w:pPr>
              <w:jc w:val="center"/>
              <w:ind w:left="1914"/>
              <w:spacing w:after="0"/>
              <w:rPr>
                <w:sz w:val="20"/>
                <w:szCs w:val="20"/>
                <w:color w:val="auto"/>
              </w:rPr>
            </w:pPr>
            <w:r>
              <w:rPr>
                <w:rFonts w:ascii="Arial" w:cs="Arial" w:eastAsia="Arial" w:hAnsi="Arial"/>
                <w:sz w:val="18"/>
                <w:szCs w:val="18"/>
                <w:color w:val="auto"/>
                <w:w w:val="99"/>
              </w:rPr>
              <w:t>28</w:t>
            </w:r>
          </w:p>
        </w:tc>
      </w:tr>
      <w:tr>
        <w:trPr>
          <w:trHeight w:val="223"/>
        </w:trPr>
        <w:tc>
          <w:tcPr>
            <w:tcW w:w="5740" w:type="dxa"/>
            <w:vAlign w:val="bottom"/>
            <w:tcBorders>
              <w:left w:val="single" w:sz="8" w:color="auto"/>
              <w:bottom w:val="single" w:sz="8" w:color="auto"/>
            </w:tcBorders>
          </w:tcPr>
          <w:p>
            <w:pPr>
              <w:jc w:val="center"/>
              <w:ind w:left="74"/>
              <w:spacing w:after="0"/>
              <w:rPr>
                <w:sz w:val="20"/>
                <w:szCs w:val="20"/>
                <w:color w:val="auto"/>
              </w:rPr>
            </w:pPr>
            <w:r>
              <w:rPr>
                <w:rFonts w:ascii="Arial" w:cs="Arial" w:eastAsia="Arial" w:hAnsi="Arial"/>
                <w:sz w:val="18"/>
                <w:szCs w:val="18"/>
                <w:color w:val="auto"/>
              </w:rPr>
              <w:t>PC14586 50 mg/kg + Anti-PD-1 200 mg/kg</w:t>
            </w:r>
          </w:p>
        </w:tc>
        <w:tc>
          <w:tcPr>
            <w:tcW w:w="4200" w:type="dxa"/>
            <w:vAlign w:val="bottom"/>
            <w:tcBorders>
              <w:bottom w:val="single" w:sz="8" w:color="auto"/>
              <w:right w:val="single" w:sz="8" w:color="auto"/>
            </w:tcBorders>
          </w:tcPr>
          <w:p>
            <w:pPr>
              <w:jc w:val="center"/>
              <w:ind w:left="1914"/>
              <w:spacing w:after="0"/>
              <w:rPr>
                <w:sz w:val="20"/>
                <w:szCs w:val="20"/>
                <w:color w:val="auto"/>
              </w:rPr>
            </w:pPr>
            <w:r>
              <w:rPr>
                <w:rFonts w:ascii="Arial" w:cs="Arial" w:eastAsia="Arial" w:hAnsi="Arial"/>
                <w:sz w:val="18"/>
                <w:szCs w:val="18"/>
                <w:color w:val="auto"/>
                <w:w w:val="98"/>
              </w:rPr>
              <w:t>&gt;156</w:t>
            </w:r>
          </w:p>
        </w:tc>
      </w:tr>
    </w:tbl>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Note: Dosing ceased on day 70 in the PC14586 + Anti-PD-1 arm.</w:t>
      </w:r>
    </w:p>
    <w:p>
      <w:pPr>
        <w:spacing w:after="0" w:line="31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Clinical Development Plan</w:t>
      </w:r>
    </w:p>
    <w:p>
      <w:pPr>
        <w:spacing w:after="0" w:line="10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We submitted our IND for PC14586 on August 5, 2020 and plan to start a Phase 1/2 clinical trial in the second half of 2020. While we are in the early stages of discovery and development of our product candidates and our novel approach is unproven, we are initially pursuing a tumor-agnostic development strategy. Our strategy is to seek approval under an accelerated pathway, and we believe our Phase 1/2 clinical trial has the potential to serve as a pivotal study. We cannot guarantee that the FDA will agree with this strategy of utilizing the Phase 1/2 clinical trial as a pivotal study, which could require us to conduct additional clinical trials prior to seeking FDA approval. However, based on the pivotal studies conducted by other companies to support the approval of other products, such as studies conducted by Agios (Idhifa) and Blueprint Medicines (Ayvakit), as well as the pivotal studies</w:t>
      </w:r>
    </w:p>
    <w:p>
      <w:pPr>
        <w:spacing w:after="0" w:line="1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060"/>
          </w:cols>
          <w:pgMar w:left="320" w:top="455" w:right="519" w:bottom="1440" w:gutter="0" w:footer="0" w:header="0"/>
        </w:sectPr>
      </w:pPr>
    </w:p>
    <w:bookmarkStart w:id="135" w:name="page136"/>
    <w:bookmarkEnd w:id="1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 xml:space="preserve">announced by other companies for their product candidates, including Amgen (AMG 510), Mirati (MRTX849) and Black Diamond Therapeutics (BDTX-189), we believe our Phase 1/2 clinical trial has the potential to serve as a pivotal study. In our Phase 1/2 clinical trial, we plan to enroll patients with advanced solid tumors that harbor the p53 Y220C mutation, characterized by NGS of either a solid or blood-based (circulating tumor DNA) biopsy. The study employs an accelerated titration design, with the potential to expedite development of this product candidate by allowing dose escalation in single patients at each dose cohort until a </w:t>
      </w:r>
      <w:r>
        <w:rPr>
          <w:rFonts w:ascii="Times New Roman" w:cs="Times New Roman" w:eastAsia="Times New Roman" w:hAnsi="Times New Roman"/>
          <w:sz w:val="18"/>
          <w:szCs w:val="18"/>
          <w:color w:val="auto"/>
        </w:rPr>
        <w:t>³</w:t>
      </w:r>
      <w:r>
        <w:rPr>
          <w:rFonts w:ascii="Arial" w:cs="Arial" w:eastAsia="Arial" w:hAnsi="Arial"/>
          <w:sz w:val="18"/>
          <w:szCs w:val="18"/>
          <w:color w:val="auto"/>
        </w:rPr>
        <w:t xml:space="preserve"> Grade 2 adverse event is observed. Subsequently in the Phase 1 portion of the trial, we plan to employ a modified toxicity probability interval, or mTPI, approach to identify the MTD.</w:t>
      </w:r>
    </w:p>
    <w:p>
      <w:pPr>
        <w:spacing w:after="0" w:line="173"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 xml:space="preserve">The Phase 1 portion is designed to evaluate escalating oral doses of PC14586 to determine the MTD and recommended Phase 2 dose of PC14586 when administered orally to patients on a once daily dosing schedule, as well as to assess safety, tolerability and effects on biomarkers such as MIC-1. The Phase 1 portion is also designed to assess preliminary anti-tumor efficacy in patients with advanced solid tumors that have the p53 Y220C mutation. The Phase 1 portion involves dose escalation allowing single patient cohorts until </w:t>
      </w:r>
      <w:r>
        <w:rPr>
          <w:rFonts w:ascii="Times New Roman" w:cs="Times New Roman" w:eastAsia="Times New Roman" w:hAnsi="Times New Roman"/>
          <w:sz w:val="18"/>
          <w:szCs w:val="18"/>
          <w:color w:val="auto"/>
        </w:rPr>
        <w:t>³</w:t>
      </w:r>
      <w:r>
        <w:rPr>
          <w:rFonts w:ascii="Arial" w:cs="Arial" w:eastAsia="Arial" w:hAnsi="Arial"/>
          <w:sz w:val="18"/>
          <w:szCs w:val="18"/>
          <w:color w:val="auto"/>
        </w:rPr>
        <w:t xml:space="preserve"> grade 2 drug-related adverse events are observed. The study utilizes a mTPI approach to enroll three or more patients per cohort until the MTD is reached and the Phase 2 dose is selected. The trial is planned to primarily evaluate once daily dosing, but may also assess more frequent dosing schedules, such as twice daily, if the drug pharmacology or patient tolerability suggest this could be a more efficacious approach. In the Phase 1 portion, we plan to enroll up to 30 patients with locally advanced or metastatic solid tumors that have the p53 Y220C mutation determined using NGS, whose disease has progressed during or after prior standard of care therapy. Multiple biomarker assays will be used in the trial to assess on target and on mechanism activity, and preliminary clinical efficacy in patients will also be assessed.</w:t>
      </w:r>
    </w:p>
    <w:p>
      <w:pPr>
        <w:spacing w:after="0" w:line="179"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The Phase 2 portion of the Phase 1/2 clinical trial is expected to enroll up to 100 patients. We expect to enroll a population with a variety of locally advanced or metastatic cancers including breast, NSCLC, colorectal, pancreatic and ovarian cancer. The planned primary objective of the Phase 2 portion is to evaluate the anti-tumor efficacy of PC14586 in patients with the p53 Y220C mutation, as shown by objective response rate. Other secondary endpoints planned to be assessed include the duration of response, progression free survival, overall survival and endpoints to evaluate the safety and tolerability of PC14586.</w:t>
      </w:r>
    </w:p>
    <w:p>
      <w:pPr>
        <w:spacing w:after="0" w:line="172" w:lineRule="exact"/>
        <w:rPr>
          <w:sz w:val="20"/>
          <w:szCs w:val="20"/>
          <w:color w:val="auto"/>
        </w:rPr>
      </w:pPr>
    </w:p>
    <w:p>
      <w:pPr>
        <w:ind w:left="120" w:right="80" w:firstLine="551"/>
        <w:spacing w:after="0" w:line="255" w:lineRule="auto"/>
        <w:rPr>
          <w:sz w:val="20"/>
          <w:szCs w:val="20"/>
          <w:color w:val="auto"/>
        </w:rPr>
      </w:pPr>
      <w:r>
        <w:rPr>
          <w:rFonts w:ascii="Arial" w:cs="Arial" w:eastAsia="Arial" w:hAnsi="Arial"/>
          <w:sz w:val="18"/>
          <w:szCs w:val="18"/>
          <w:color w:val="auto"/>
        </w:rPr>
        <w:t>Patient blood and tumor samples will be collected prior to the start of study treatment for retrospective, confirmatory mutation testing using a central clinical trial assay. In addition, blood and tumor samples will be collected and stored to facilitate future development of a companion diagnostic test.</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140"/>
          </w:cols>
          <w:pgMar w:left="320" w:top="455" w:right="439" w:bottom="1440" w:gutter="0" w:footer="0" w:header="0"/>
        </w:sectPr>
      </w:pPr>
    </w:p>
    <w:bookmarkStart w:id="136" w:name="page137"/>
    <w:bookmarkEnd w:id="1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PC14586 Phase 1/2 Clinical Trial Design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167005</wp:posOffset>
            </wp:positionV>
            <wp:extent cx="5186045" cy="3454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86045" cy="3454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If the data from our Phase 1/2 clinical trial show robust activity across the tumor types, we initially intend to pursue an approval from the FDA under the accelerated approval pathway for a tumor-agnostic indication. This strategy is based on approval pathways utilized by pembrolizumab (Keytruda) in MSI-high/dMMR cancers and larotrectinib (Vitrakvi) and entrectinib (Rozlytrek) in NTRK gene fusion cancers. If we observe clinical benefit in certain tumor or cancer types but do not have sufficient data or powering to support a tumor-agnostic indication from the Phase 1/2 clinical trial, we may seek a tumor or cancer specific label and evaluate additional trials to pursue a broader labeling for PC14586. We believe that the results of the Phase 1/2 clinical trial in PC14586 with respect to the endpoints of ORR and DoR, along with the safety data from the clinical trial, have the potential to support approval of a new drug application, or NDA, subject to discussions with FDA and provided we can obtain data from a sufficient sample size across the tumor types. While accelerated approval cannot be guaranteed, if we obtain accelerated approval, we anticipate that the FDA will require the conduct of a post-approval commitment to confirm clinical benefit.</w:t>
      </w:r>
    </w:p>
    <w:p>
      <w:pPr>
        <w:spacing w:after="0" w:line="180"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We may also seek fast track, orphan drug or breakthrough therapy designation from the FDA. In addition, we may engage in health authority interactions with agencies outside the United States such as in Europe and Japan, for example. We plan to collaborate with a partner to develop a companion diagnostic test. Further, we expect to initially seek approval of our product candidates, in most instances, including with PC14586, at least as a second line therapy. Subsequently, depending on the nature of the clinical data and experience with any approved products or product candidates, if any, we may pursue approval as an earlier line therapy and potentially as a first line therapy.</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120"/>
          </w:cols>
          <w:pgMar w:left="320" w:top="455" w:right="459" w:bottom="1440" w:gutter="0" w:footer="0" w:header="0"/>
        </w:sectPr>
      </w:pPr>
    </w:p>
    <w:bookmarkStart w:id="137" w:name="page138"/>
    <w:bookmarkEnd w:id="1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R273H: Our Second Program</w:t>
      </w:r>
    </w:p>
    <w:p>
      <w:pPr>
        <w:spacing w:after="0" w:line="104"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We expect to advance our next program, targeting the p53 R273H hotspot mutation, into lead optimization in the first half of 2021. R273H is the third most frequent p53 mutation and is found in approximately 4% of all p53 mutations. The R273H mutation results from arginine being substituted by a histidine at amino acid position 273 and is considered a DNA contact mutation. DNA contact mutations affect residues involved directly in DNA-p53 binding but do not alter the p53 protein structure. R273 is one of the most frequently altered residues in human cancer (6.4% of all somatic mutations), with the alteration to a histidine (R273H) being the most common of the R273 mutations.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141605</wp:posOffset>
            </wp:positionV>
            <wp:extent cx="5143500" cy="421767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4217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The R273H mutation causes a decrease in binding between the p53 protein and DNA, resulting in its inability to activate transcription of p53 target genes. We are generating molecules designed to enhance and restore the binding of the p53 protein and DNA. Our R273H program continues to progress towards lead optimization, as we have identified potential candidates from our screening campaigns.</w:t>
      </w:r>
    </w:p>
    <w:p>
      <w:pPr>
        <w:spacing w:after="0" w:line="27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Other Pipeline Programs</w:t>
      </w:r>
    </w:p>
    <w:p>
      <w:pPr>
        <w:spacing w:after="0" w:line="214" w:lineRule="exact"/>
        <w:rPr>
          <w:sz w:val="20"/>
          <w:szCs w:val="20"/>
          <w:color w:val="auto"/>
        </w:rPr>
      </w:pPr>
    </w:p>
    <w:p>
      <w:pPr>
        <w:ind w:left="120" w:right="20" w:firstLine="551"/>
        <w:spacing w:after="0" w:line="306" w:lineRule="auto"/>
        <w:rPr>
          <w:sz w:val="20"/>
          <w:szCs w:val="20"/>
          <w:color w:val="auto"/>
        </w:rPr>
      </w:pPr>
      <w:r>
        <w:rPr>
          <w:rFonts w:ascii="Arial" w:cs="Arial" w:eastAsia="Arial" w:hAnsi="Arial"/>
          <w:sz w:val="17"/>
          <w:szCs w:val="17"/>
          <w:color w:val="auto"/>
        </w:rPr>
        <w:t>In addition to our PC14586 Y220C and R273H programs, we are focused on developing a pipeline of product candidates targeting other p53 hotspot mutations. These programs have been developed internally using our precision oncology platform and expertise.</w:t>
      </w:r>
    </w:p>
    <w:p>
      <w:pPr>
        <w:spacing w:after="0" w:line="5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20"/>
          </w:cols>
          <w:pgMar w:left="320" w:top="455" w:right="559" w:bottom="1440" w:gutter="0" w:footer="0" w:header="0"/>
        </w:sectPr>
      </w:pPr>
    </w:p>
    <w:bookmarkStart w:id="138" w:name="page139"/>
    <w:bookmarkEnd w:id="1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0" w:firstLine="551"/>
        <w:spacing w:after="0" w:line="241" w:lineRule="auto"/>
        <w:rPr>
          <w:sz w:val="20"/>
          <w:szCs w:val="20"/>
          <w:color w:val="auto"/>
        </w:rPr>
      </w:pPr>
      <w:r>
        <w:rPr>
          <w:rFonts w:ascii="Arial" w:cs="Arial" w:eastAsia="Arial" w:hAnsi="Arial"/>
          <w:sz w:val="18"/>
          <w:szCs w:val="18"/>
          <w:color w:val="auto"/>
        </w:rPr>
        <w:t>We are able to utilize the same general principles and similar drug discovery methods developed from our PC14586 Y220C program across other p53 hotspot mutations to facilitate the discovery of additional new product candidates. We study the structural and functional properties of the target. We use assays, screens, preclinical model systems and biomarkers to assess and optimize selective small molecules for specific p53 mutants. Specifically, many of the efficiencies from assays and model systems developed for our PC14586 Y220C program are being applied to other p53 hotspot mutations. In addition, the key insights gained from the medicinal chemistry campaigns are being leveraged across other p53 hotspot mutations. By leveraging our team’s depth of expertise around p53, we are positioned to accelerate our efforts to expand the pipeline of therapies that selectively target p53 hotspot mutations.</w:t>
      </w: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Competition</w:t>
      </w:r>
    </w:p>
    <w:p>
      <w:pPr>
        <w:spacing w:after="0" w:line="21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Our industry is intensely competitive and subject to rapid and significant technological change, as well as strong defense of intellectual property. While we believe that our knowledge, experience and scientific resources provide us with competitive advantages, we face substantial competition from major pharmaceutical companies and biotechnology companies worldwide. Many of our competitors have significantly greater financial, technical and human resources. Smaller and early-stage companies may also prove to be significant competitors, particularly through collaborative arrangements with large and established companies. As a result, our competitors may discover, develop, license or commercialize products before or more successfully than we do.</w:t>
      </w:r>
    </w:p>
    <w:p>
      <w:pPr>
        <w:spacing w:after="0" w:line="174"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We are a precision oncology company pioneering the discovery and development of small molecule therapies targeting p53 mutations. We are aware of other product candidates that are in clinical development as potential treatments of various cancers through the modulation of p53. There are many product candidates that may affect the p53 pathway, such as through MDM2 inhibition. We are aware of molecules in development that also are being explored for p53 upregulation/activation in various stages of preclinical or clinical development being tested by Actavalon, Aprea Therapeutics, CDG Therapeutics, Cotinga Pharmaceuticals, Innovation Pharmaceuticals and Senhwa Biosciences, among others. We are also aware of selective small molecule inhibitors that are designed to target wild-type p53 containing tumors through the p53-MDM2 interaction, which are in various stages of clinical development being tested by Aileron Therapeutics, Ascentage Pharma, Boehringer Ingelheim, Daiichi Sankyo, Kartos Therapeutics, Novartis and Roche, including testing MDM2 inhibitors in combination with a variety of other anti-cancer agents.</w:t>
      </w:r>
    </w:p>
    <w:p>
      <w:pPr>
        <w:spacing w:after="0" w:line="176"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We face competition with respect to our current product candidates and will face competition with respect to future product candidates, from segments of the pharmaceutical, biotechnology and other related markets that pursue targeted therapies for patients with genetically-defined cancers. If PC14586 or our future product candidates do not offer sustainable advantages over competing products, we may otherwise not be able to successfully compete against current and future competitors.</w:t>
      </w:r>
    </w:p>
    <w:p>
      <w:pPr>
        <w:spacing w:after="0" w:line="170"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Our competitors may obtain regulatory approval of their products more rapidly than we may or may obtain patent protection or other intellectual property rights that limit our ability to develop or commercialize our product candidates. Our competitors may also develop drugs that are more effective, more convenient, more widely used and less costly or have a better safety profile than our products and these competitors may also be more successful than us in manufacturing and marketing their products.</w:t>
      </w:r>
    </w:p>
    <w:p>
      <w:pPr>
        <w:spacing w:after="0" w:line="170" w:lineRule="exact"/>
        <w:rPr>
          <w:sz w:val="20"/>
          <w:szCs w:val="20"/>
          <w:color w:val="auto"/>
        </w:rPr>
      </w:pPr>
    </w:p>
    <w:p>
      <w:pPr>
        <w:ind w:left="120" w:right="20" w:firstLine="551"/>
        <w:spacing w:after="0" w:line="276" w:lineRule="auto"/>
        <w:rPr>
          <w:sz w:val="20"/>
          <w:szCs w:val="20"/>
          <w:color w:val="auto"/>
        </w:rPr>
      </w:pPr>
      <w:r>
        <w:rPr>
          <w:rFonts w:ascii="Arial" w:cs="Arial" w:eastAsia="Arial" w:hAnsi="Arial"/>
          <w:sz w:val="18"/>
          <w:szCs w:val="18"/>
          <w:color w:val="auto"/>
        </w:rPr>
        <w:t>In addition, we will likely need to develop our product candidates in collaboration with companion diagnostic companies, and we will face competition from other companies in establishing these</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20"/>
          </w:cols>
          <w:pgMar w:left="320" w:top="455" w:right="459" w:bottom="1440" w:gutter="0" w:footer="0" w:header="0"/>
        </w:sectPr>
      </w:pPr>
    </w:p>
    <w:bookmarkStart w:id="139" w:name="page140"/>
    <w:bookmarkEnd w:id="1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collaborations. Our competitors will also compete with us in recruiting and retaining qualified scientific, management and commercial personnel, establishing clinical trial sites and patient registration for clinical trials, as well as in acquiring technologies complementary to, or necessary for, our programs.</w:t>
      </w:r>
    </w:p>
    <w:p>
      <w:pPr>
        <w:spacing w:after="0" w:line="164"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Furthermore, we also face competition more broadly across the market for cost-effective and reimbursable cancer treatments. The most common methods of treating patients with cancer are surgery, radiation and drug therapy, including chemotherapy, hormone therapy and targeted drug therapy or a combination of such methods. There are a variety of available drug therapies marketed for cancer. In many cases, these drugs are administered in combination to enhance efficacy. While our product candidates, if any are approved, may compete with these existing drug and other therapies, to the extent they are ultimately used in combination with or as an adjunct to these therapies, our product candidates may not be competitive with them. Some of these drugs are branded and subject to patent protection, and others are available on a generic basis. Insurers and other third-party payors may also encourage the use of generic products or specific branded products. We expect that if our product candidates are approved, they will be priced at a significant premium over competitive generic, including branded generic, products. As a result, obtaining market acceptance of, and gaining significant share of the market for, any of our product candidates that we successfully introduce to the market will pose challenges. In addition, many companies are developing new therapeutics, and we cannot predict what the standard of care will be as our product candidates progress through clinical development.</w:t>
      </w: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Manufacturing</w:t>
      </w:r>
    </w:p>
    <w:p>
      <w:pPr>
        <w:spacing w:after="0" w:line="214" w:lineRule="exact"/>
        <w:rPr>
          <w:sz w:val="20"/>
          <w:szCs w:val="20"/>
          <w:color w:val="auto"/>
        </w:rPr>
      </w:pPr>
    </w:p>
    <w:p>
      <w:pPr>
        <w:ind w:left="120" w:right="200" w:firstLine="551"/>
        <w:spacing w:after="0" w:line="255" w:lineRule="auto"/>
        <w:rPr>
          <w:sz w:val="20"/>
          <w:szCs w:val="20"/>
          <w:color w:val="auto"/>
        </w:rPr>
      </w:pPr>
      <w:r>
        <w:rPr>
          <w:rFonts w:ascii="Arial" w:cs="Arial" w:eastAsia="Arial" w:hAnsi="Arial"/>
          <w:sz w:val="18"/>
          <w:szCs w:val="18"/>
          <w:color w:val="auto"/>
        </w:rPr>
        <w:t>We do not have any manufacturing facilities or personnel. We currently rely, and expect to continue to rely, on third parties for the manufacture of our product candidates undergoing preclinical testing, as well as for clinical testing and commercial manufacture if our product candidates receive marketing approval.</w:t>
      </w:r>
    </w:p>
    <w:p>
      <w:pPr>
        <w:spacing w:after="0" w:line="164"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All of our product candidates are small molecules and are manufactured in synthetic processes from available starting materials. The chemistry appears amenable to scale up and does not currently require unusual equipment in the manufacturing process. We expect to continue to develop product candidates that can be produced cost-effectively at contract manufacturing facilities.</w:t>
      </w:r>
    </w:p>
    <w:p>
      <w:pPr>
        <w:spacing w:after="0" w:line="164"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8"/>
          <w:szCs w:val="18"/>
          <w:color w:val="auto"/>
        </w:rPr>
        <w:t>We generally expect to rely on third parties for the manufacture of companion diagnostics for our products, which are assays or tests to identify an appropriate patient population. Depending on the technology solutions we choose, we may rely on multiple third parties to manufacture and sell a single test.</w:t>
      </w:r>
    </w:p>
    <w:p>
      <w:pPr>
        <w:spacing w:after="0" w:line="164"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Drug manufacturers and their subcontractors are required to register their establishments with the FDA and certain state agencies and are subject to periodic unannounced inspections by the FDA and certain state agencies for compliance with current Good Manufacturing Practice, or cGMP, requirements which impose certain production, manufacturing,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requirements and impose reporting requirements upon us and any third-party manufacturers that we may decide to use. Accordingly, manufacturers must continue to expend time, money and effort in the area of production and quality control to maintain compliance with cGMP requirements and other aspects of regulatory compliance.</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5" w:right="459" w:bottom="1440" w:gutter="0" w:footer="0" w:header="0"/>
        </w:sectPr>
      </w:pPr>
    </w:p>
    <w:bookmarkStart w:id="140" w:name="page141"/>
    <w:bookmarkEnd w:id="1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Commercialization</w:t>
      </w:r>
    </w:p>
    <w:p>
      <w:pPr>
        <w:spacing w:after="0" w:line="214" w:lineRule="exact"/>
        <w:rPr>
          <w:sz w:val="20"/>
          <w:szCs w:val="20"/>
          <w:color w:val="auto"/>
        </w:rPr>
      </w:pPr>
    </w:p>
    <w:p>
      <w:pPr>
        <w:jc w:val="both"/>
        <w:ind w:left="120" w:right="360" w:firstLine="551"/>
        <w:spacing w:after="0" w:line="255" w:lineRule="auto"/>
        <w:rPr>
          <w:sz w:val="20"/>
          <w:szCs w:val="20"/>
          <w:color w:val="auto"/>
        </w:rPr>
      </w:pPr>
      <w:r>
        <w:rPr>
          <w:rFonts w:ascii="Arial" w:cs="Arial" w:eastAsia="Arial" w:hAnsi="Arial"/>
          <w:sz w:val="18"/>
          <w:szCs w:val="18"/>
          <w:color w:val="auto"/>
        </w:rPr>
        <w:t>Subject to receiving marketing approvals, we expect to commence commercialization activities by building a focused sales and marketing organization to sell our products. We believe that such an organization will be able to address the community of oncologists who are the key specialists in treating the patient populations for which our product candidates are being developed.</w:t>
      </w:r>
    </w:p>
    <w:p>
      <w:pPr>
        <w:spacing w:after="0" w:line="164"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We also plan to build a marketing and sales management organization to create and implement marketing strategies for any products that we market through our own sales organization and to oversee and support our sales force. The responsibilities of the marketing organization would include developing educational initiatives with respect to approved products and establishing relationships with researchers and practitioners in relevant fields of medicine.</w:t>
      </w: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Intellectual Property</w:t>
      </w:r>
    </w:p>
    <w:p>
      <w:pPr>
        <w:spacing w:after="0" w:line="21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We strive to protect the proprietary technology, inventions and improvements that are commercially important to our business, including seeking, maintaining and defending patent rights. We also rely on know-how relating to our proprietary technology and product candidates and continuing innovation to develop, strengthen and maintain our proprietary position. We also plan to rely on data exclusivity, market exclusivity and patent term extensions when available. Our commercial success will depend in part on our ability to obtain and maintain patent and other proprietary protection for our technology, inventions and improvements; to defend and enforce our proprietary rights, including any patents that we may own in the future; and to operate without infringing the valid and enforceable patents and other proprietary rights of third parties. Intellectual property rights may not address all potential threats to our competitive advantage.</w:t>
      </w:r>
    </w:p>
    <w:p>
      <w:pPr>
        <w:spacing w:after="0" w:line="179"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With respect to our existing and future product candidates and processes we intend to develop and commercialize in the normal course of business, we intend to pursue further patent protection covering, when possible, compositions, methods of use, dosing and formulations. We also may pursue patent protection with respect to manufacturing and drug development processes and technologies. Obtaining and maintaining patent protection depends on compliance with various procedural, document submission, fee payment and other requirements imposed by governmental patent agencies. We may not be able to obtain patent protections for our compositions, methods of use, dosing and formulations, manufacturing and drug development processes and technologies throughout the world. Issued patents can provide protection for varying periods of time, depending upon the date of filing of the patent application, the date of patent issuance and the legal term of patents in the countries in which they are obtained. In general, patents issued for applications filed in the United States can provide exclusionary rights for 20 years from the earliest effective filing date. In addition, in certain instances, the term of an issued U.S. patent that is directed to or claims an FDA-approved product can be extended to recapture a portion of the term effectively lost as a result of the FDA regulatory review period. This process is called “patent term extension.” The restoration period cannot be longer than five years and the total patent term, including the restoration period, must not exceed 14 years following FDA approval. The term of patents outside of the United States varies in accordance with the laws of the foreign jurisdiction, but typically is also 20 years from the earliest effective filing date.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 Patent term may be inadequate to protect our competitive position on our products for an adequate amount of time.</w:t>
      </w:r>
    </w:p>
    <w:p>
      <w:pPr>
        <w:spacing w:after="0" w:line="184" w:lineRule="exact"/>
        <w:rPr>
          <w:sz w:val="20"/>
          <w:szCs w:val="20"/>
          <w:color w:val="auto"/>
        </w:rPr>
      </w:pPr>
    </w:p>
    <w:p>
      <w:pPr>
        <w:ind w:left="120" w:right="60" w:firstLine="551"/>
        <w:spacing w:after="0" w:line="276" w:lineRule="auto"/>
        <w:rPr>
          <w:sz w:val="20"/>
          <w:szCs w:val="20"/>
          <w:color w:val="auto"/>
        </w:rPr>
      </w:pPr>
      <w:r>
        <w:rPr>
          <w:rFonts w:ascii="Arial" w:cs="Arial" w:eastAsia="Arial" w:hAnsi="Arial"/>
          <w:sz w:val="18"/>
          <w:szCs w:val="18"/>
          <w:color w:val="auto"/>
        </w:rPr>
        <w:t>The patent positions of companies like ours are generally uncertain and involve complex legal and factual questions. No consistent policy regarding the scope of claims allowable in patents in the</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120"/>
          </w:cols>
          <w:pgMar w:left="320" w:top="455" w:right="459" w:bottom="1440" w:gutter="0" w:footer="0" w:header="0"/>
        </w:sectPr>
      </w:pPr>
    </w:p>
    <w:bookmarkStart w:id="141" w:name="page142"/>
    <w:bookmarkEnd w:id="1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field of biopharmaceuticals has emerged in the United States. The relevant patent laws and their interpretation outside of the United States are also uncertain. Changes in either the patent laws or their interpretation in the United States and other countries may diminish our ability to protect our technology or product candidates and could affect the value of such intellectual property. In particular, our ability to stop third parties from making, using, selling, offering to sell or importing products that infringe our intellectual property will depend in part on our success in obtaining and enforcing patent claims that cover our technology, inventions and improvements. We cannot guarantee that patents will be granted with respect to any of our pending patent applications or with respect to any patent applications we may file in the future, nor can we be sure that any patents that may be granted to us in the future will be commercially useful in protecting our products, the methods of use or manufacture of those products. Moreover, even our issued patents do not guarantee us the right to practice our technology in relation to the commercialization of our products. Patent and other intellectual property rights in the pharmaceutical and biotechnology space are evolving and involve many risks and uncertainties. For example, third parties may have, or may obtain, blocking patents of which we are currently unaware that could be used to prevent us from developing or commercializing our product candidates and practicing our proprietary technology. Further, defense of infringement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or redesign our products. Doing so may be impossible or require substantial time and monetary expenditure. We may also elect to enter into a license agreement to settle litigation or to resolve disputes prior to litigation. Furthermore, even in the absence of litigation, we may need to obtain licenses from third parties to advance our research or allow commercialization of our product candidates. Should a license to a third party patent become necessary, we cannot predict whether we would be able to obtain a license, or if a license were available, whether it would be available on commercially reasonable terms. If such a license is necessary and a license under the applicable patent is unavailable on commercially reasonable terms, or at all, our ability to commercialize our product candidates may be impaired or delayed. This scenario could materially adversely affect our business. Even if we obtain a license to third party intellectual property, we may later decide, or it may later become necessary, to terminate the license. If we do so, we may no longer be free to use the technology protected by the patents no longer under license. Also, if a competitor developed the technology protected by the patents no longer under license, we would not be able to block the competitor’s progress. If the competitor’s product was competitive with ours, then we may suffer economic harm from the competitive product.</w:t>
      </w:r>
    </w:p>
    <w:p>
      <w:pPr>
        <w:spacing w:after="0" w:line="190"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issuance of a patent is not conclusive as to its scope, validity or enforceability and our issued patents may be challenged, invalidated, deemed unenforceable or circumvented. These scenarios could limit our ability to stop competitors from marketing-related products or could limit the term of patent protection that otherwise may exist for our product candidates. In addition, the coverage claimed in a patent application can be significantly reduced before the patent is issued, and its scope can be reinterpreted after issuance. Consequently, we do not know whether any of our product candidates will be protectable or remain protected by enforceable patents. We cannot predict whether the patent applications we are currently pursuing will issue as patents in any particular jurisdiction or whether the claims of any issued patents will provide sufficient proprietary protection from competitors. Moreover, any efforts to enforce our intellectual property rights are likely to be costly and may divert the efforts of our scientific and management personnel. We may also be subject to claims that former employees, collaborators or other third parties have an ownership interest in our patents or other intellectual property. We may also be subject to ownership disputes in the future arising, for example, from conflicting obligations of consultants or others who are involved in developing our product candidates. Litigation may be necessary to defend against these claims. If we fail in defending any such claims, in addition to paying monetary damages, we may lose valuable intellectual property rights, such as exclusive ownership of, or right to use, valuable intellectual property. Such an outcome could</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5" w:right="459" w:bottom="1440" w:gutter="0" w:footer="0" w:header="0"/>
        </w:sectPr>
      </w:pPr>
    </w:p>
    <w:bookmarkStart w:id="142" w:name="page143"/>
    <w:bookmarkEnd w:id="1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520"/>
        <w:spacing w:after="0" w:line="276" w:lineRule="auto"/>
        <w:rPr>
          <w:sz w:val="20"/>
          <w:szCs w:val="20"/>
          <w:color w:val="auto"/>
        </w:rPr>
      </w:pPr>
      <w:r>
        <w:rPr>
          <w:rFonts w:ascii="Arial" w:cs="Arial" w:eastAsia="Arial" w:hAnsi="Arial"/>
          <w:sz w:val="18"/>
          <w:szCs w:val="18"/>
          <w:color w:val="auto"/>
        </w:rPr>
        <w:t>have a material adverse effect on our business. Even if we are successful in defending against these claims, litigation could result in substantial cost and be a distraction to our management and employees.</w:t>
      </w:r>
    </w:p>
    <w:p>
      <w:pPr>
        <w:spacing w:after="0" w:line="145"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In addition, the scope of the rights granted under any issued patents may not provide us with protection or competitive advantages against competitors with similar technology. Furthermore, our competitors may independently develop similar technologies that are outside the scope of the rights granted under any issued patents. For these reasons, we may face competition with respect to our product candidates. Moreover, because of the extensive time required for development, testing and regulatory review of a potential product, it is possible that, before any particular product candidate can be commercialized, any patent directed to such product may expire or remain in force for only a short period following commercialization, thereby reducing the commercial advantage the patent provides.</w:t>
      </w:r>
    </w:p>
    <w:p>
      <w:pPr>
        <w:spacing w:after="0" w:line="174"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color w:val="auto"/>
        </w:rPr>
        <w:t>We generally file a provisional patent application with the U.S. Patent and Trademark Office, or USPTO, first and then subsequently file a corresponding non-provisional patent application. This process enables us to establish an earlier effective filing date in the subsequently filed non-provisional patent application. To benefit from the earlier effective filing date, we must file a corresponding non-provisional patent application, such as a utility application in the United States or an international application under the Patent Cooperation Treaty, or PCT, within 12 months of the date of the provisional patent application filing. Based on a PCT filing, we may file national and regional patent applications in the United States or foreign jurisdictions, such as the European Union, China, Japan and possibly others. To date, we have not filed for patent protection in all national and regional jurisdictions where such protection may be available, and we may decide to abandon national and regional patent applications before a patent is granted. In addition, the patent grant proceeding for each national or regional patent application that we file is an independent proceeding. As a result, it is possible for a patent application to be granted in one jurisdiction and denied in another jurisdiction, and depending on the jurisdiction, the scope of patent protection may vary. As of June 1, 2020, we owned two issued US patents relating to methods of use and composition of matter of PMV compounds, including PC14586, and two pending US patent applications and ten pending foreign patent applications, each of which relates to methods of use and composition of matter of PMV compounds, including PC14586. The two issued US patents are expected to expire in 2037, without taking into account any possible patent term adjustment or extensions. As of June 1, 2020, we owned one pending US patent application relating to methods of use and composition of matter of other PMV compounds.</w:t>
      </w:r>
    </w:p>
    <w:p>
      <w:pPr>
        <w:spacing w:after="0" w:line="29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Government Regulation and Product Approval</w:t>
      </w:r>
    </w:p>
    <w:p>
      <w:pPr>
        <w:spacing w:after="0" w:line="214" w:lineRule="exact"/>
        <w:rPr>
          <w:sz w:val="20"/>
          <w:szCs w:val="20"/>
          <w:color w:val="auto"/>
        </w:rPr>
      </w:pPr>
    </w:p>
    <w:p>
      <w:pPr>
        <w:ind w:left="120" w:right="80" w:firstLine="551"/>
        <w:spacing w:after="0" w:line="243" w:lineRule="auto"/>
        <w:rPr>
          <w:sz w:val="20"/>
          <w:szCs w:val="20"/>
          <w:color w:val="auto"/>
        </w:rPr>
      </w:pPr>
      <w:r>
        <w:rPr>
          <w:rFonts w:ascii="Arial" w:cs="Arial" w:eastAsia="Arial" w:hAnsi="Arial"/>
          <w:sz w:val="18"/>
          <w:szCs w:val="18"/>
          <w:color w:val="auto"/>
        </w:rPr>
        <w:t>Government authorities in the United States, at the federal, state and local level, and other countries extensively regulate, among other things, the research, development, preclinical and clinical testing, manufacture, quality control, approval, labeling, packaging, storage, record-keeping, promotion, advertising, distribution, post-approval monitoring and reporting, marketing and export and import of products such as those we are developing. Generally, before a new drug can be marketed, considerable data must be generated, which demonstrates the drug’s quality, safety and efficacy. Such data must then be organized into a format specific for each regulatory authority, submitted for review and approved by the regulatory authority.</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120"/>
          </w:cols>
          <w:pgMar w:left="320" w:top="455" w:right="459" w:bottom="1440" w:gutter="0" w:footer="0" w:header="0"/>
        </w:sectPr>
      </w:pPr>
    </w:p>
    <w:bookmarkStart w:id="143" w:name="page144"/>
    <w:bookmarkEnd w:id="1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Drug Development Process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the United States, the FDA regulates drugs under the Food, Drug and Cosmetic Act, or FDCA, and its implementing regulations.</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process required by the FDA before a drug may be marketed in the United States generally involves the following:</w:t>
      </w:r>
    </w:p>
    <w:p>
      <w:pPr>
        <w:spacing w:after="0" w:line="95" w:lineRule="exact"/>
        <w:rPr>
          <w:sz w:val="20"/>
          <w:szCs w:val="20"/>
          <w:color w:val="auto"/>
        </w:rPr>
      </w:pPr>
    </w:p>
    <w:p>
      <w:pPr>
        <w:ind w:left="880" w:right="480" w:hanging="224"/>
        <w:spacing w:after="0" w:line="276" w:lineRule="auto"/>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completion of preclinical laboratory tests, animal studies and formulation studies in accordance with FDA’s good laboratory practice requirements and other applicable regulations;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human clinical trials may begin;</w:t>
      </w:r>
    </w:p>
    <w:p>
      <w:pPr>
        <w:spacing w:after="0" w:line="117"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each trial may be initiated;</w:t>
      </w:r>
    </w:p>
    <w:p>
      <w:pPr>
        <w:spacing w:after="0" w:line="50" w:lineRule="exact"/>
        <w:rPr>
          <w:rFonts w:ascii="Arial" w:cs="Arial" w:eastAsia="Arial" w:hAnsi="Arial"/>
          <w:sz w:val="18"/>
          <w:szCs w:val="18"/>
          <w:color w:val="auto"/>
        </w:rPr>
      </w:pPr>
    </w:p>
    <w:p>
      <w:pPr>
        <w:ind w:left="880" w:right="1040" w:hanging="224"/>
        <w:spacing w:after="0" w:line="276" w:lineRule="auto"/>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in accordance with good clinical practice, or GCP, requirements to establish the safety and efficacy of the proposed drug for its intended use;</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submission to the FDA of an NDA after completion of all pivotal trials;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determination by the FDA within 60 days of its receipt of an NDA to accept the filing for substantive review;</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117" w:lineRule="exact"/>
        <w:rPr>
          <w:rFonts w:ascii="Arial" w:cs="Arial" w:eastAsia="Arial" w:hAnsi="Arial"/>
          <w:sz w:val="18"/>
          <w:szCs w:val="18"/>
          <w:color w:val="auto"/>
        </w:rPr>
      </w:pPr>
    </w:p>
    <w:p>
      <w:pPr>
        <w:ind w:left="880" w:hanging="224"/>
        <w:spacing w:after="0" w:line="277" w:lineRule="auto"/>
        <w:tabs>
          <w:tab w:leader="none" w:pos="880" w:val="left"/>
        </w:tabs>
        <w:numPr>
          <w:ilvl w:val="0"/>
          <w:numId w:val="84"/>
        </w:numPr>
        <w:rPr>
          <w:rFonts w:ascii="Arial" w:cs="Arial" w:eastAsia="Arial" w:hAnsi="Arial"/>
          <w:sz w:val="17"/>
          <w:szCs w:val="17"/>
          <w:color w:val="auto"/>
        </w:rPr>
      </w:pPr>
      <w:r>
        <w:rPr>
          <w:rFonts w:ascii="Arial" w:cs="Arial" w:eastAsia="Arial" w:hAnsi="Arial"/>
          <w:sz w:val="17"/>
          <w:szCs w:val="17"/>
          <w:color w:val="auto"/>
        </w:rPr>
        <w:t>satisfactory completion of an FDA inspection of the manufacturing facility or facilities at which the drug is produced to assess compliance with cGMP requirements to assure that the facilities, methods and controls are adequate to preserve the drug’s identity, strength, quality and purity, and of selected clinical investigation sites to assess compliance with GCP requirements; and</w:t>
      </w:r>
    </w:p>
    <w:p>
      <w:pPr>
        <w:spacing w:after="0" w:line="52" w:lineRule="exact"/>
        <w:rPr>
          <w:rFonts w:ascii="Arial" w:cs="Arial" w:eastAsia="Arial" w:hAnsi="Arial"/>
          <w:sz w:val="17"/>
          <w:szCs w:val="17"/>
          <w:color w:val="auto"/>
        </w:rPr>
      </w:pPr>
    </w:p>
    <w:p>
      <w:pPr>
        <w:ind w:left="880" w:right="500" w:hanging="224"/>
        <w:spacing w:after="0" w:line="276" w:lineRule="auto"/>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FDA review and approval of the NDA to permit commercial marketing of the product for particular indications for use in the United States.</w:t>
      </w:r>
    </w:p>
    <w:p>
      <w:pPr>
        <w:spacing w:after="0" w:line="145"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 xml:space="preserve">Prior to beginning the first clinical trial with a product candidate in the United States,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studies assessing the toxicology, pharmacokinetics, pharmacology and pharmacodynamic characteristics of the product; chemistry,</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76" w:lineRule="exact"/>
        <w:rPr>
          <w:sz w:val="20"/>
          <w:szCs w:val="20"/>
          <w:color w:val="auto"/>
        </w:rPr>
      </w:pPr>
    </w:p>
    <w:p>
      <w:pPr>
        <w:ind w:left="120" w:right="220" w:firstLine="551"/>
        <w:spacing w:after="0" w:line="241" w:lineRule="auto"/>
        <w:rPr>
          <w:sz w:val="20"/>
          <w:szCs w:val="20"/>
          <w:color w:val="auto"/>
        </w:rPr>
      </w:pPr>
      <w:r>
        <w:rPr>
          <w:rFonts w:ascii="Arial" w:cs="Arial" w:eastAsia="Arial" w:hAnsi="Arial"/>
          <w:sz w:val="18"/>
          <w:szCs w:val="18"/>
          <w:color w:val="auto"/>
        </w:rPr>
        <w:t>Clinical trials involve the administration of the investigational product to human subjects under the supervision of qualified investigators in accordance with GCP requirements, which include the requirement that all research subjects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independent IRB or ethics committee for each site proposing to conduct the clinical trial must review</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080"/>
          </w:cols>
          <w:pgMar w:left="320" w:top="455" w:right="499" w:bottom="1440" w:gutter="0" w:footer="0" w:header="0"/>
        </w:sectPr>
      </w:pPr>
    </w:p>
    <w:bookmarkStart w:id="144" w:name="page145"/>
    <w:bookmarkEnd w:id="1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subjects or other grounds, such as no demonstration of efficacy. There are also requirements governing the reporting of ongoing clinical studies and clinical study results to public registries.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17" w:lineRule="exact"/>
        <w:rPr>
          <w:sz w:val="20"/>
          <w:szCs w:val="20"/>
          <w:color w:val="auto"/>
        </w:rPr>
      </w:pPr>
    </w:p>
    <w:p>
      <w:pPr>
        <w:ind w:left="880" w:right="60" w:hanging="224"/>
        <w:spacing w:after="0" w:line="263" w:lineRule="auto"/>
        <w:tabs>
          <w:tab w:leader="none" w:pos="880" w:val="left"/>
        </w:tabs>
        <w:numPr>
          <w:ilvl w:val="0"/>
          <w:numId w:val="85"/>
        </w:numPr>
        <w:rPr>
          <w:rFonts w:ascii="Arial" w:cs="Arial" w:eastAsia="Arial" w:hAnsi="Arial"/>
          <w:sz w:val="17"/>
          <w:szCs w:val="17"/>
          <w:color w:val="auto"/>
        </w:rPr>
      </w:pPr>
      <w:r>
        <w:rPr>
          <w:rFonts w:ascii="Arial" w:cs="Arial" w:eastAsia="Arial" w:hAnsi="Arial"/>
          <w:sz w:val="17"/>
          <w:szCs w:val="17"/>
          <w:color w:val="auto"/>
        </w:rPr>
        <w:t>Phase 1: The product candidate is initially introduced into healthy human subjects or patients with the target disease or condition. These studies are designed to test the safety, dosage tolerance, absorption, metabolism and distribution of the investigational product in humans, the side effects associated with increasing doses, and, if possible, to gain early evidence on effectiveness. In the case of some products for severe or life-threatening diseases, such as cancer, especially when the product may be too inherently toxic to ethically administer to healthy volunteers, the initial human testing is often conducted in patients.</w:t>
      </w:r>
    </w:p>
    <w:p>
      <w:pPr>
        <w:spacing w:after="0" w:line="62" w:lineRule="exact"/>
        <w:rPr>
          <w:rFonts w:ascii="Arial" w:cs="Arial" w:eastAsia="Arial" w:hAnsi="Arial"/>
          <w:sz w:val="17"/>
          <w:szCs w:val="17"/>
          <w:color w:val="auto"/>
        </w:rPr>
      </w:pPr>
    </w:p>
    <w:p>
      <w:pPr>
        <w:ind w:left="880" w:right="140" w:hanging="224"/>
        <w:spacing w:after="0" w:line="248"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Phase 2: The product candidate is administered to a limited patient population with a specified disease or condition to evaluate the 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75" w:lineRule="exact"/>
        <w:rPr>
          <w:rFonts w:ascii="Arial" w:cs="Arial" w:eastAsia="Arial" w:hAnsi="Arial"/>
          <w:sz w:val="18"/>
          <w:szCs w:val="18"/>
          <w:color w:val="auto"/>
        </w:rPr>
      </w:pPr>
    </w:p>
    <w:p>
      <w:pPr>
        <w:ind w:left="880" w:right="180" w:hanging="224"/>
        <w:spacing w:after="0" w:line="248"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Phase 3: The product candidate is administered to an expanded patient population to further evaluate dosage, to provide statistically 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70"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In some cases, FDA may require, or sponsors may voluntarily pursue, post-approval trials, sometimes referred to as Phase 4 studies, that are conducted after initial marketing approval. These trials are used to gain additional experience from the treatment of patients in the intended therapeutic indication. In certain instances, such as with accelerated approval drugs, the FDA may mandate the performance of post-approval clinical trials as a condition of approval of an NDA.</w:t>
      </w:r>
    </w:p>
    <w:p>
      <w:pPr>
        <w:spacing w:after="0" w:line="170"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The FDA or the sponsor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sponsor, known as a data safety monitoring board or committee. Depending on its charter, this group may determine whether a trial may move forward at designated check points based on access to certain data from the trial.</w:t>
      </w:r>
    </w:p>
    <w:p>
      <w:pPr>
        <w:spacing w:after="0" w:line="174"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During the development of a new drug, sponsors are given opportunities to meet with the FDA at certain points. These points may be prior to submission of an IND, at the end of Phase 1 and Phase 2, and before an NDA is submitted. Meetings at other times may be requested. These meetings can provide an opportunity for the sponsor to share information about the data gathered to date, for the</w:t>
      </w:r>
    </w:p>
    <w:p>
      <w:pPr>
        <w:spacing w:after="0" w:line="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080"/>
          </w:cols>
          <w:pgMar w:left="320" w:top="455" w:right="499" w:bottom="1440" w:gutter="0" w:footer="0" w:header="0"/>
        </w:sectPr>
      </w:pPr>
    </w:p>
    <w:bookmarkStart w:id="145" w:name="page146"/>
    <w:bookmarkEnd w:id="1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FDA to provide advice, and for the sponsor and the FDA to reach agreement on the next phase of development. Sponsors typically use the meetings at the end of the Phase 2 trial to discuss Phase 2 clinical results and present plans for the pivotal Phase 3 clinical trials that they believe will support approval of the new drug.</w:t>
      </w:r>
    </w:p>
    <w:p>
      <w:pPr>
        <w:spacing w:after="0" w:line="16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174"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 xml:space="preserve">While the IND is active and before approval, progress reports summarizing the results of the clinical trials and nonclinical studies performed since the last progress report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testing suggesting a significant risk to humans and any clinically important increased incidence of a serious suspected adverse reaction compared to that listed in the protocol or investigator brochure.</w:t>
      </w:r>
    </w:p>
    <w:p>
      <w:pPr>
        <w:spacing w:after="0" w:line="174"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color w:val="auto"/>
        </w:rPr>
        <w:t>If the coronavirus disease 2019, or COVID-19, pandemic continues, our clinical trial plans and future planned clinical trials may be adversely affected, delayed or interrupted. We may be required to develop and implement additional clinical trial policies and procedures designed to help protect subjects participating in clinical trials during the COVID-19 pandemic. For example, in March 2020, as amended and updated from time to time, the FDA issued a guidance on conducting clinical trials during the pandemic, which describes a number of considerations for sponsors of clinical trials impacted by the pandemic, including the requirement to include in the clinical trial report contingency measures implemented to manage the trial, and any disruption of the trial as a result of the COVID-19 pandemic; a list of all subjects affected by the COVID-19 pandemic related study disruption by unique subject identifier and by investigational site and a description of how the individual’s participation was altered; and analyses and corresponding discussions that address the impact of implemented contingency measures (</w:t>
      </w:r>
      <w:r>
        <w:rPr>
          <w:rFonts w:ascii="Arial" w:cs="Arial" w:eastAsia="Arial" w:hAnsi="Arial"/>
          <w:sz w:val="18"/>
          <w:szCs w:val="18"/>
          <w:i w:val="1"/>
          <w:iCs w:val="1"/>
          <w:color w:val="auto"/>
        </w:rPr>
        <w:t>e.g.</w:t>
      </w:r>
      <w:r>
        <w:rPr>
          <w:rFonts w:ascii="Arial" w:cs="Arial" w:eastAsia="Arial" w:hAnsi="Arial"/>
          <w:sz w:val="18"/>
          <w:szCs w:val="18"/>
          <w:color w:val="auto"/>
        </w:rPr>
        <w:t>, participant discontinuation from investigational product and/or study, alternative procedures used to collect critical safety and/or efficacy data) on the safety and efficacy results reported for the trial.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NDA Review and Approval Process</w:t>
      </w:r>
    </w:p>
    <w:p>
      <w:pPr>
        <w:spacing w:after="0" w:line="104"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Assuming successful completion of all required testing in accordance with all applicable regulatory requirements, the results of product development, preclinical and other non-clinical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a waiver of such fees may be obtained under certain limited circumstances. Additionally, no user fees are assessed on NDAs for products designated as orphan drugs, unless the product also includes a non-orphan indication.</w:t>
      </w:r>
    </w:p>
    <w:p>
      <w:pPr>
        <w:spacing w:after="0" w:line="174" w:lineRule="exact"/>
        <w:rPr>
          <w:sz w:val="20"/>
          <w:szCs w:val="20"/>
          <w:color w:val="auto"/>
        </w:rPr>
      </w:pPr>
    </w:p>
    <w:p>
      <w:pPr>
        <w:ind w:left="120" w:right="320" w:firstLine="551"/>
        <w:spacing w:after="0" w:line="277" w:lineRule="auto"/>
        <w:rPr>
          <w:sz w:val="20"/>
          <w:szCs w:val="20"/>
          <w:color w:val="auto"/>
        </w:rPr>
      </w:pPr>
      <w:r>
        <w:rPr>
          <w:rFonts w:ascii="Arial" w:cs="Arial" w:eastAsia="Arial" w:hAnsi="Arial"/>
          <w:sz w:val="17"/>
          <w:szCs w:val="17"/>
          <w:color w:val="auto"/>
        </w:rPr>
        <w:t>The FDA reviews an NDA to determine, among other things, whether a product is safe and effective for its intended use and whether its manufacturing complies with cGMP requirements to assure and preserve the product’s identity, strength, quality and purity. Under the Prescription Drug User Fee Act, or PDUFA, guidelines that are currently in effect, the FDA has a goal of ten months from</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00"/>
          </w:cols>
          <w:pgMar w:left="320" w:top="455" w:right="479" w:bottom="1440" w:gutter="0" w:footer="0" w:header="0"/>
        </w:sectPr>
      </w:pPr>
    </w:p>
    <w:bookmarkStart w:id="146" w:name="page147"/>
    <w:bookmarkEnd w:id="1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40"/>
        <w:spacing w:after="0" w:line="243" w:lineRule="auto"/>
        <w:rPr>
          <w:sz w:val="20"/>
          <w:szCs w:val="20"/>
          <w:color w:val="auto"/>
        </w:rPr>
      </w:pPr>
      <w:r>
        <w:rPr>
          <w:rFonts w:ascii="Arial" w:cs="Arial" w:eastAsia="Arial" w:hAnsi="Arial"/>
          <w:sz w:val="18"/>
          <w:szCs w:val="18"/>
          <w:color w:val="auto"/>
        </w:rPr>
        <w:t>the date of “filing” of a standard NDA for a new molecular entity to review and act on the submission. This review typically takes twelve months from the date the NDA is submitted to FDA because the FDA has approximately two months to make a “filing” decision after the application is submitted. 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NDA must be resubmitted with the additional information. The resubmitted application also is subject to review before the FDA accepts it for filing.</w:t>
      </w:r>
    </w:p>
    <w:p>
      <w:pPr>
        <w:spacing w:after="0" w:line="174"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170"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Before approving an NDA,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will typically inspect one or more clinical sites to assure compliance with GCP requirements.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79"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After the FDA evaluates an NDA, it will issue an approval letter or a Complete Response Letter. An approval letter authorizes commercial marketing of the drug with prescribing information for specific indications. A Complete Response Letter indicates that the review cycle of the application is complete, and the application will not be approved in its present form. A Complete Response Letter usually describes the specific deficiencies in the NDA identified by the FDA and may require additional clinical data, such as an additional pivotal Phase 3 trial or other significant and time-consuming requirements related to clinical trials, nonclinical studies or manufacturing. If a Complete Response Letter is issued, the sponsor must resubmit the NDA to address all of the deficiencies identified in the letter, or withdraw the application. Even if such data and information are submitted, the FDA may decide that the NDA does not satisfy the criteria for approval.</w:t>
      </w:r>
    </w:p>
    <w:p>
      <w:pPr>
        <w:spacing w:after="0" w:line="180"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If regulatory approval of a product is granted, such approval will be granted for particular indications and may entail limitations on the indicated uses for which such product may be marketed. For example, the FDA may approve the NDA with a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pre-and post-marketing requirements is not maintained or if problems occur after the product reaches the marketplace. The FDA may also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impact the timeline for regulatory approval or otherwise impact ongoing development programs.</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5" w:right="459" w:bottom="1440" w:gutter="0" w:footer="0" w:header="0"/>
        </w:sectPr>
      </w:pPr>
    </w:p>
    <w:bookmarkStart w:id="147" w:name="page148"/>
    <w:bookmarkEnd w:id="1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In addition, the Pediatric Research Equity Act, or PREA, requires a sponsor to conduct pediatric clinical trials for most drugs, for a new active ingredient, new indication, new dosage form, new dosing regimen or new route of administration. Under PREA, original NDAs and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Expedited Development and Review Programs</w:t>
      </w:r>
    </w:p>
    <w:p>
      <w:pPr>
        <w:spacing w:after="0" w:line="10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FDA has various programs, including fast track designation, breakthrough therapy designation, accelerated approval and priority review, that are intended to expedite the process for the development and FDA review of drugs that are intended for the treatment of serious or life-threatening diseases or conditions. For example, new drugs are eligible for fast track designation if they are intended to treat a serious or life- threatening disease or condition and demonstrate the potential to address unmet medical needs for the disease or condition. The sponsor of a fast track product has opportunities for frequent interactions with the review team during product development and, once a NDA is submitted, the product may be eligible for priority review. With regard to a fast track product,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176"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Any product submitted to the FDA for approval, including a product with a fast track designation, may also be eligible for other types of FDA programs intended to expedite development and review, such as priority review, accelerated approval and breakthrough therapy designation. A product is eligible for priority review if it has the potential to provide safe and effective therapy where no satisfactory alternative therapy exists or a significant improvement in the treatment, diagnosis or prevention of a disease compared to marketed products. The FDA will attempt to direct additional resources to the evaluation of an application for a new drug designated for priority review in an effort to facilitate the review. The FDA endeavors to review applications with priority review designations within six months of the filing date as compared to ten months for review of new molecular entity NDAs under its current PDUFA review goals.</w:t>
      </w:r>
    </w:p>
    <w:p>
      <w:pPr>
        <w:spacing w:after="0" w:line="179"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color w:val="auto"/>
        </w:rPr>
        <w:t>In addition, a product may be eligible for accelerated approval. Drug products intended to treat serious or life-threatening diseases or conditions may be eligible for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that a sponsor of a drug receiving accelerated approval perform adequate and well-controlled post-marketing clinical trials. In addition, the FDA currently requires pre-approval of promotional materials as a condition for accelerated approval, which could adversely impact the timing of the commercial launch of the product.</w:t>
      </w:r>
    </w:p>
    <w:p>
      <w:pPr>
        <w:spacing w:after="0" w:line="180" w:lineRule="exact"/>
        <w:rPr>
          <w:sz w:val="20"/>
          <w:szCs w:val="20"/>
          <w:color w:val="auto"/>
        </w:rPr>
      </w:pPr>
    </w:p>
    <w:p>
      <w:pPr>
        <w:ind w:left="120" w:right="760" w:firstLine="551"/>
        <w:spacing w:after="0" w:line="276" w:lineRule="auto"/>
        <w:rPr>
          <w:sz w:val="20"/>
          <w:szCs w:val="20"/>
          <w:color w:val="auto"/>
        </w:rPr>
      </w:pPr>
      <w:r>
        <w:rPr>
          <w:rFonts w:ascii="Arial" w:cs="Arial" w:eastAsia="Arial" w:hAnsi="Arial"/>
          <w:sz w:val="18"/>
          <w:szCs w:val="18"/>
          <w:color w:val="auto"/>
        </w:rPr>
        <w:t>The Food and Drug Administration Safety and Innovation Act established a category of drugs referred to as “breakthrough therapies” that may be eligible to receive breakthrough therapy</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5" w:right="459" w:bottom="1440" w:gutter="0" w:footer="0" w:header="0"/>
        </w:sectPr>
      </w:pPr>
    </w:p>
    <w:bookmarkStart w:id="148" w:name="page149"/>
    <w:bookmarkEnd w:id="1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1" w:lineRule="auto"/>
        <w:rPr>
          <w:sz w:val="20"/>
          <w:szCs w:val="20"/>
          <w:color w:val="auto"/>
        </w:rPr>
      </w:pPr>
      <w:r>
        <w:rPr>
          <w:rFonts w:ascii="Arial" w:cs="Arial" w:eastAsia="Arial" w:hAnsi="Arial"/>
          <w:sz w:val="18"/>
          <w:szCs w:val="18"/>
          <w:color w:val="auto"/>
        </w:rPr>
        <w:t>designation. A sponsor may seek FDA designation of a product candidate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The breakthrough therapy designation is a distinct status from both accelerated approval and priority review, which can also be granted to the same drug if relevant criteria are met. If a product is designated as breakthrough therapy, the FDA will work to expedite the development and review of such drug.</w:t>
      </w:r>
    </w:p>
    <w:p>
      <w:pPr>
        <w:spacing w:after="0" w:line="179" w:lineRule="exact"/>
        <w:rPr>
          <w:sz w:val="20"/>
          <w:szCs w:val="20"/>
          <w:color w:val="auto"/>
        </w:rPr>
      </w:pPr>
    </w:p>
    <w:p>
      <w:pPr>
        <w:jc w:val="both"/>
        <w:ind w:left="120" w:firstLine="551"/>
        <w:spacing w:after="0" w:line="248" w:lineRule="auto"/>
        <w:rPr>
          <w:sz w:val="20"/>
          <w:szCs w:val="20"/>
          <w:color w:val="auto"/>
        </w:rPr>
      </w:pPr>
      <w:r>
        <w:rPr>
          <w:rFonts w:ascii="Arial" w:cs="Arial" w:eastAsia="Arial" w:hAnsi="Arial"/>
          <w:sz w:val="18"/>
          <w:szCs w:val="18"/>
          <w:color w:val="auto"/>
        </w:rPr>
        <w:t>Fast track designation, priority review, accelerated approval and breakthrough therapy designation do not change the standards for approval, but may expedite the development or approval process. Even if a product qualifies for one or more of these programs, the FDA may later decide that the product no longer meets the conditions for qualification or decide that the time period for FDA review or approval will not be shortened. We may explore some of these opportunities for our product candidates as appropriate.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10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program fees for any marketed products. Drug manufacturers and their subcontractors are required to register their establishments with the FDA and certain state agencies and are subject to periodic unannounced inspections by the FDA and certain state agencies for compliance with cGMP requirements, which impose certain production, manufacturing,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w:t>
      </w:r>
    </w:p>
    <w:p>
      <w:pPr>
        <w:spacing w:after="0" w:line="183"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79" w:lineRule="exact"/>
        <w:rPr>
          <w:sz w:val="20"/>
          <w:szCs w:val="20"/>
          <w:color w:val="auto"/>
        </w:rPr>
      </w:pPr>
    </w:p>
    <w:p>
      <w:pPr>
        <w:ind w:left="880" w:right="320" w:hanging="224"/>
        <w:spacing w:after="0" w:line="276"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complete withdrawal of the product from the market or product recalls;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fines, warning letters or untitled letters;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clinical holds on clinical studies;</w:t>
      </w:r>
    </w:p>
    <w:p>
      <w:pPr>
        <w:spacing w:after="0" w:line="117" w:lineRule="exact"/>
        <w:rPr>
          <w:rFonts w:ascii="Arial" w:cs="Arial" w:eastAsia="Arial" w:hAnsi="Arial"/>
          <w:sz w:val="18"/>
          <w:szCs w:val="18"/>
          <w:color w:val="auto"/>
        </w:rPr>
      </w:pPr>
    </w:p>
    <w:p>
      <w:pPr>
        <w:ind w:left="880" w:right="360" w:hanging="224"/>
        <w:spacing w:after="0" w:line="276"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7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060"/>
          </w:cols>
          <w:pgMar w:left="320" w:top="455" w:right="519" w:bottom="1440" w:gutter="0" w:footer="0" w:header="0"/>
        </w:sectPr>
      </w:pPr>
    </w:p>
    <w:bookmarkStart w:id="149" w:name="page150"/>
    <w:bookmarkEnd w:id="1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consent decrees, corporate integrity agreements, debarment or exclusion from federal healthcare programs;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mandated modification of promotional materials and labeling and the issuance of corrective information;</w:t>
      </w:r>
    </w:p>
    <w:p>
      <w:pPr>
        <w:spacing w:after="0" w:line="117" w:lineRule="exact"/>
        <w:rPr>
          <w:rFonts w:ascii="Arial" w:cs="Arial" w:eastAsia="Arial" w:hAnsi="Arial"/>
          <w:sz w:val="18"/>
          <w:szCs w:val="18"/>
          <w:color w:val="auto"/>
        </w:rPr>
      </w:pPr>
    </w:p>
    <w:p>
      <w:pPr>
        <w:ind w:left="880" w:right="60" w:hanging="224"/>
        <w:spacing w:after="0" w:line="276" w:lineRule="auto"/>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issuance of safety alerts, Dear Healthcare Provider letters, press releases and other communications containing warnings or other safety information about the product; or</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12"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The FDA closely regulates the marketing, labeling, advertising and promotion of drug products. A company can make only those claims relating to safety and efficacy that are approved by the FDA and in accordance with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in their independent professional medical judgment, legally available products for uses that are not described in the product’s labeling and that differ from those tested by us and approved by the FDA.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 The federal government has levied large civil and criminal fines against companies for alleged improper promotion of off-label use and has enjoined companies from engaging in off-label promotion. The FDA and other regulatory agencies have also required that companies enter into consent decrees or permanent injunctions under which specified promotional conduct is changed or curtailed. However, companies may share truthful and not misleading information that is otherwise consistent with a product’s FDA-approved labelling.</w:t>
      </w:r>
    </w:p>
    <w:p>
      <w:pPr>
        <w:spacing w:after="0" w:line="183" w:lineRule="exact"/>
        <w:rPr>
          <w:sz w:val="20"/>
          <w:szCs w:val="20"/>
          <w:color w:val="auto"/>
        </w:rPr>
      </w:pPr>
    </w:p>
    <w:p>
      <w:pPr>
        <w:ind w:left="120" w:right="380" w:firstLine="551"/>
        <w:spacing w:after="0" w:line="248" w:lineRule="auto"/>
        <w:rPr>
          <w:sz w:val="20"/>
          <w:szCs w:val="20"/>
          <w:color w:val="auto"/>
        </w:rPr>
      </w:pPr>
      <w:r>
        <w:rPr>
          <w:rFonts w:ascii="Arial" w:cs="Arial" w:eastAsia="Arial" w:hAnsi="Arial"/>
          <w:sz w:val="18"/>
          <w:szCs w:val="18"/>
          <w:color w:val="auto"/>
        </w:rPr>
        <w:t>In addition, the distribution of prescription pharmaceutical products is subject to the Prescription Drug Marketing Act, or PDMA, which regulates the distribution of drugs and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Orphan Drugs</w:t>
      </w:r>
    </w:p>
    <w:p>
      <w:pPr>
        <w:spacing w:after="0" w:line="104" w:lineRule="exact"/>
        <w:rPr>
          <w:sz w:val="20"/>
          <w:szCs w:val="20"/>
          <w:color w:val="auto"/>
        </w:rPr>
      </w:pPr>
    </w:p>
    <w:p>
      <w:pPr>
        <w:ind w:left="120" w:right="160" w:firstLine="551"/>
        <w:spacing w:after="0" w:line="243" w:lineRule="auto"/>
        <w:rPr>
          <w:sz w:val="20"/>
          <w:szCs w:val="20"/>
          <w:color w:val="auto"/>
        </w:rPr>
      </w:pPr>
      <w:r>
        <w:rPr>
          <w:rFonts w:ascii="Arial" w:cs="Arial" w:eastAsia="Arial" w:hAnsi="Arial"/>
          <w:sz w:val="18"/>
          <w:szCs w:val="18"/>
          <w:color w:val="auto"/>
        </w:rPr>
        <w:t>Under the Orphan Drug Act, the FDA may grant orphan drug designation, or ODD,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of that drug or biologic. ODD must be requested before submitting an NDA. After the FDA grants ODD, the generic identity of the therapeutic agent and its potential orphan use are disclosed publicly by the FDA.</w:t>
      </w:r>
    </w:p>
    <w:p>
      <w:pPr>
        <w:spacing w:after="0" w:line="17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If a product that has received ODD and subsequently receives the first FDA approval for a particular active ingredient for the disease for which it has such designation, the product is entitled to orphan product exclusivity, which means that the FDA may not approve any other applications, including a full NDA, to market the same biologic for the same indication for seven years from the approval of the NDA,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120"/>
          </w:cols>
          <w:pgMar w:left="320" w:top="455" w:right="459" w:bottom="1440" w:gutter="0" w:footer="0" w:header="0"/>
        </w:sectPr>
      </w:pPr>
    </w:p>
    <w:bookmarkStart w:id="150" w:name="page151"/>
    <w:bookmarkEnd w:id="1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needs of patients with the disease or condition for which the drug was designated. Orphan drug exclusivity does not prevent the FDA from approving a different drug or biologic for the same disease or condition, or the same drug or biologic for a different disease or condition. Among the other benefits of ODD are tax credits for certain research and a waiver of the NDA application user fee.</w:t>
      </w:r>
    </w:p>
    <w:p>
      <w:pPr>
        <w:spacing w:after="0" w:line="164" w:lineRule="exact"/>
        <w:rPr>
          <w:sz w:val="20"/>
          <w:szCs w:val="20"/>
          <w:color w:val="auto"/>
        </w:rPr>
      </w:pPr>
    </w:p>
    <w:p>
      <w:pPr>
        <w:ind w:left="120" w:right="160" w:firstLine="551"/>
        <w:spacing w:after="0" w:line="248" w:lineRule="auto"/>
        <w:rPr>
          <w:sz w:val="20"/>
          <w:szCs w:val="20"/>
          <w:color w:val="auto"/>
        </w:rPr>
      </w:pPr>
      <w:r>
        <w:rPr>
          <w:rFonts w:ascii="Arial" w:cs="Arial" w:eastAsia="Arial" w:hAnsi="Arial"/>
          <w:sz w:val="18"/>
          <w:szCs w:val="18"/>
          <w:color w:val="auto"/>
        </w:rPr>
        <w:t>A designated orphan drug may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Marketing Exclusivity</w:t>
      </w:r>
    </w:p>
    <w:p>
      <w:pPr>
        <w:spacing w:after="0" w:line="10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Market exclusivity provisions authorized under the FDCA can delay the submission and approval of certain marketing applications for products containing the same active ingredient.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or ANDA, or an NDA submitted under Section 505(b)(2), or 505(b)(2) NDA,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180"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FDCA alternatively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accepting ANDAs or 505(b)(2) NDAs for drugs referencing the approved application for review.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180" w:lineRule="exact"/>
        <w:rPr>
          <w:sz w:val="20"/>
          <w:szCs w:val="20"/>
          <w:color w:val="auto"/>
        </w:rPr>
      </w:pPr>
    </w:p>
    <w:p>
      <w:pPr>
        <w:jc w:val="both"/>
        <w:ind w:left="120" w:right="260" w:firstLine="551"/>
        <w:spacing w:after="0" w:line="245" w:lineRule="auto"/>
        <w:rPr>
          <w:sz w:val="20"/>
          <w:szCs w:val="20"/>
          <w:color w:val="auto"/>
        </w:rPr>
      </w:pPr>
      <w:r>
        <w:rPr>
          <w:rFonts w:ascii="Arial" w:cs="Arial" w:eastAsia="Arial" w:hAnsi="Arial"/>
          <w:sz w:val="18"/>
          <w:szCs w:val="18"/>
          <w:color w:val="auto"/>
        </w:rPr>
        <w:t>Pediatric exclusivity is another type of marketing exclusivity available in the United States. Pediatric exclusivity provides for an additional six months of marketing exclusivity attached to another period of exclusivity if a sponsor conducts clinical trials in children in response to a written request from the FDA. The issuance of a written request does not require the sponsor to undertake the described clinical trials. In addition, orphan drug exclusivity, as described above, may offer a seven-year period of marketing exclusivity, except in certain circumstances.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Healthcare Laws</w:t>
      </w:r>
    </w:p>
    <w:p>
      <w:pPr>
        <w:spacing w:after="0" w:line="104" w:lineRule="exact"/>
        <w:rPr>
          <w:sz w:val="20"/>
          <w:szCs w:val="20"/>
          <w:color w:val="auto"/>
        </w:rPr>
      </w:pPr>
    </w:p>
    <w:p>
      <w:pPr>
        <w:jc w:val="both"/>
        <w:ind w:left="120" w:right="460" w:firstLine="551"/>
        <w:spacing w:after="0" w:line="248" w:lineRule="auto"/>
        <w:rPr>
          <w:sz w:val="20"/>
          <w:szCs w:val="20"/>
          <w:color w:val="auto"/>
        </w:rPr>
      </w:pPr>
      <w:r>
        <w:rPr>
          <w:rFonts w:ascii="Arial" w:cs="Arial" w:eastAsia="Arial" w:hAnsi="Arial"/>
          <w:sz w:val="18"/>
          <w:szCs w:val="18"/>
          <w:color w:val="auto"/>
        </w:rPr>
        <w:t>Pharmaceutical manufacturers are subject to additional healthcare fraud and abuse laws, regulation and enforcement by the federal government and by authorities in the states and foreign jurisdictions in which they conduct their business. Such laws include, without limitation, U.S. federal anti-kickback, false claims, civil monetary penalty, consumer fraud, pricing reporting, data privacy and security and physician payment transparency laws and regulations as well as similar foreign laws in the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080"/>
          </w:cols>
          <w:pgMar w:left="320" w:top="455" w:right="499" w:bottom="1440" w:gutter="0" w:footer="0" w:header="0"/>
        </w:sectPr>
      </w:pPr>
    </w:p>
    <w:bookmarkStart w:id="151" w:name="page152"/>
    <w:bookmarkEnd w:id="1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jurisdictions outside the U.S. Similar state and local laws and regulations may also restrict business practices in the pharmaceutical industry, such as state anti-kickback and false claims laws, which may apply to business practices, including but not limited to, research, distribution, sales and marketing arrangements and claims involving healthcare items or services reimbursed by non-governmental third-party payors, including private insurers or by patients themselves; state laws that require pharmaceutical companies to comply with the pharmaceutical industry’s voluntary compliance guidelines and the relevant compliance guidance promulgated by the federal government, or otherwise restrict payments that may be made to healthcare providers and other potential referral sources; state laws and regulations that require drug manufacturers to file reports relating to pricing and marketing information; state and local laws which require tracking gifts and other remuneration and transfer of value provided to physicians, other healthcare providers and entities; state and local laws that require the registration of pharmaceutical sales representatives; and state and local laws governing the privacy and security of health information in some circumstances, many of which differ from each other in significant ways and often are not preempted by the Health Insurance Portability and Accountability Act of 1996, thus complicating compliance efforts.</w:t>
      </w:r>
    </w:p>
    <w:p>
      <w:pPr>
        <w:spacing w:after="0" w:line="176"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The risk of our being found in violation of these or other laws and regulations is increased by the fact that many have not been fully interpreted by the regulatory authorities or the courts and their provisions are open to various interpretations. These laws and regulations are subject to change, which can increase the resources needed for compliance and delay drug approval or commercialization. Any action brought against us for violations of these laws or regulations, even successfully defended, could cause us to incur significant legal expenses and divert our management’s attention from the operation of our business. Also, we may be subject to private “qui tam” actions brought by individual whistleblowers on behalf of the federal or state governments. Violation of any of such laws or any other governmental regulations that apply may result in penalties, including, without limitation, significant administrative, civil and criminal penalties, damages, fines, additional reporting obligations and oversight if we become subject to a corporate integrity agreement or other agreement to resolve allegations of non-compliance with these laws, the curtailment or restructuring of operations, exclusion from participation in government healthcare programs and imprisonment.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0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Sales of any pharmaceutical product depend, in part, on the extent to which such product will be covered by third-party payors, such as federal, state and foreign government healthcare programs, commercial insurance and managed healthcare organizations, and the level of reimbursement for such product by third-party payors. Significant uncertainty exists as to the coverage and reimbursement status of any newly approved product. Decisions regarding the extent of coverage and amount of reimbursement to be provided are made on a plan-by-plan basis. One third-party payor’s decision to cover a particular product does not ensure that other payors will also provide coverage for the product. As a result, the coverage determination process can require manufacturers to provide scientific, cost-effectiveness and clinical support for the use of a product to each payor separately and can be a time-consuming process, with no assurance that coverage and adequate reimbursement will be applied consistently or obtained in the first instance. For products administered under the supervision of a physician, obtaining coverage and adequate reimbursement may be particularly difficult because of the higher prices often associated with such drugs. Additionally, separate reimbursement for the product itself or the treatment or procedure in which the product is used may not be available, which may impact physician utilization. In addition, companion diagnostic tests that are used with applicable pharmaceutical products require coverage and reimbursement separate and apart from the coverage and reimbursement for their companion pharmaceutical products. Similar challenges to obtaining coverage and reimbursement, applicable to pharmaceutical products, will apply to companion diagnostics.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20"/>
          </w:cols>
          <w:pgMar w:left="320" w:top="455" w:right="459" w:bottom="1440" w:gutter="0" w:footer="0" w:header="0"/>
        </w:sectPr>
      </w:pPr>
    </w:p>
    <w:bookmarkStart w:id="152" w:name="page153"/>
    <w:bookmarkEnd w:id="1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color w:val="auto"/>
        </w:rPr>
        <w:t>Moreover, third-party payors are increasingly reducing coverage and reimbursement for pharmaceutical products and related services. The U.S. government and state legislatures have continued implementing cost-containment programs, including price controls, restrictions on coverage and reimbursement and requirements for substitution of generic products. Third-party payors are increasingly challenging the prices charged, examining the medical necessity and reviewing the cost effectiveness of pharmaceutical products, in addition to questioning their safety and efficacy. Adoption of price controls and cost-containment measures, and adoption of more restrictive policies in jurisdictions with existing controls and measures, could further limit sales of any product. Furthermore, there is no assurance that a product will be considered medically reasonable and necessary for a specific indication, will be considered cost-effective by third-party payors, that an adequate level of reimbursement will be established even if coverage is available or that the third-party payors’ reimbursement policies will not adversely affect the ability for manufacturers to sell products profitably. Decreases in third-party reimbursement for any product or a decision by a third-party payor not to cover a product could reduce physician usage and patient demand for the product.</w:t>
      </w:r>
    </w:p>
    <w:p>
      <w:pPr>
        <w:spacing w:after="0" w:line="176" w:lineRule="exact"/>
        <w:rPr>
          <w:sz w:val="20"/>
          <w:szCs w:val="20"/>
          <w:color w:val="auto"/>
        </w:rPr>
      </w:pPr>
    </w:p>
    <w:p>
      <w:pPr>
        <w:ind w:left="120" w:right="60" w:firstLine="551"/>
        <w:spacing w:after="0" w:line="241" w:lineRule="auto"/>
        <w:rPr>
          <w:sz w:val="20"/>
          <w:szCs w:val="20"/>
          <w:color w:val="auto"/>
        </w:rPr>
      </w:pPr>
      <w:r>
        <w:rPr>
          <w:rFonts w:ascii="Arial" w:cs="Arial" w:eastAsia="Arial" w:hAnsi="Arial"/>
          <w:sz w:val="18"/>
          <w:szCs w:val="18"/>
          <w:color w:val="auto"/>
        </w:rPr>
        <w:t>In international markets, reimbursement and healthcare payment systems vary significantly by country, and many countries have instituted price ceilings on specific products and therapies.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Pharmaceutical products may face competition from lower-priced products in foreign countries that have placed price controls on pharmaceutical products and may also compete with imported foreign products.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10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In the United States and certain foreign jurisdictions, there have been, and we expect there will continue to be, a number of legislative and regulatory changes to the healthcare system. In March 2010, the Affordable Care Act, or ACA, was signed into law, which substantially changed the way healthcare is financed by both governmental and private insurers in the United States. By way of example, the ACA increased the minimum level of Medicaid rebates payable by manufacturers of brand name drugs from 15.1% to 23.1%; required collection of rebates for drugs paid by Medicaid managed care organizations; imposed a non-deductible annual fee on pharmaceutical manufacturers or importers who sell certain “branded prescription drugs” to specified federal government programs, implemented a new methodology by which rebates owed by manufacturers under the Medicaid Drug Rebate Program are calculated for drugs that are inhaled, infused, instilled, implanted, or injected; expanded eligibility criteria for Medicaid programs; creates a new Patient-Centered Outcomes Research Institute to oversee, identify priorities in, and conduct comparative clinical effectiveness research, along with funding for such research; and established a Center for Medicare Innovation at the Centers for Medicare &amp; Medicaid Services to test innovative payment and service delivery models to lower Medicare and Medicaid spending, potentially including prescription drug spending.</w:t>
      </w:r>
    </w:p>
    <w:p>
      <w:pPr>
        <w:spacing w:after="0" w:line="176"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Since its enactment, there have been judicial and Congressional challenges to certain aspects of the ACA, and we expect there will be additional challenges and amendments to the ACA in the future. For example, in 2017, Congress enacted the Tax Cut and JOBS Act, or Tax Act, which eliminated the tax-based shared responsibility payment imposed by the ACA on certain individuals who fail to maintain qualifying health coverage for all or part of a year that is commonly referred to as the “individual mandate.” In addition, the 2020 federal spending package permanently eliminates, effective January 1, 2020, the ACA-mandated “Cadillac” tax on high-cost employer-sponsored health coverage and medical device tax and, effective January 1, 2021, also eliminates the health insurer tax. On December 14, 2018, a Texas U.S. District Court Judge ruled that the individual mandate is a critical</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20"/>
          </w:cols>
          <w:pgMar w:left="320" w:top="455" w:right="459" w:bottom="1440" w:gutter="0" w:footer="0" w:header="0"/>
        </w:sectPr>
      </w:pPr>
    </w:p>
    <w:bookmarkStart w:id="153" w:name="page154"/>
    <w:bookmarkEnd w:id="1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3" w:lineRule="auto"/>
        <w:rPr>
          <w:sz w:val="20"/>
          <w:szCs w:val="20"/>
          <w:color w:val="auto"/>
        </w:rPr>
      </w:pPr>
      <w:r>
        <w:rPr>
          <w:rFonts w:ascii="Arial" w:cs="Arial" w:eastAsia="Arial" w:hAnsi="Arial"/>
          <w:sz w:val="18"/>
          <w:szCs w:val="18"/>
          <w:color w:val="auto"/>
        </w:rPr>
        <w:t>and inseverable feature of the ACA, and therefore, because it was repealed as part of the Tax Act, the remaining provisions of the ACA are invalid as well. On December 18, 2019, the U.S. Court of Appeals for the 5th Circuit ruled that the individual mandate was unconstitutional and remanded the case back to the District Court to determine whether the remaining provisions of the ACA are invalid as well. On March 2, 2020, the U.S. Supreme Court granted the petitions for writs of certiorari to review the case, although it is unclear when a decision will be made or how the Supreme Court will rule. In addition, there may be other efforts to challenge, repeal or replace the ACA. We are continuing to monitor any changes to the ACA that, in turn, may potentially impact our business in the future.</w:t>
      </w:r>
    </w:p>
    <w:p>
      <w:pPr>
        <w:spacing w:after="0" w:line="174"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Other legislative changes have been proposed and adopted since the ACA was enacted. These changes include aggregate reductions to Medicare payments to providers of 2% per fiscal year, effective April 1, 2013. The CARES Act, which was signed into law on March 27, 2020, and designed to provide financial support and resources to individuals and businesses affected by COVID-19 pandemic, suspended the 2% Medicare sequester from May 1, 2020, through December 31, 2020, and extended the sequester by one year, through 2030, in order to offset the 2020 suspension.</w:t>
      </w:r>
    </w:p>
    <w:p>
      <w:pPr>
        <w:spacing w:after="0" w:line="172" w:lineRule="exact"/>
        <w:rPr>
          <w:sz w:val="20"/>
          <w:szCs w:val="20"/>
          <w:color w:val="auto"/>
        </w:rPr>
      </w:pPr>
    </w:p>
    <w:p>
      <w:pPr>
        <w:ind w:left="120" w:right="20" w:firstLine="551"/>
        <w:spacing w:after="0" w:line="237" w:lineRule="auto"/>
        <w:rPr>
          <w:sz w:val="20"/>
          <w:szCs w:val="20"/>
          <w:color w:val="auto"/>
        </w:rPr>
      </w:pPr>
      <w:r>
        <w:rPr>
          <w:rFonts w:ascii="Arial" w:cs="Arial" w:eastAsia="Arial" w:hAnsi="Arial"/>
          <w:sz w:val="18"/>
          <w:szCs w:val="18"/>
          <w:color w:val="auto"/>
        </w:rPr>
        <w:t>Moreover, there has recently been heightened governmental scrutiny over the manner in which manufacturers set prices for their marketed products, which has resulted in several Congressional inquiries and proposed and enacted legislation designed, among other things, to bring more transparency to product pricing, review the relationship between pricing and manufacturer patient programs and reform government program reimbursement methodologies for pharmaceutical products. For example, at the federal level, the Trump administration released a “Blueprint” to lower drug prices and reduce out of pocket costs of drugs that contains additional proposals to increase manufacturer competition, increase the negotiating power of certain federal healthcare programs, incentivize manufacturers to lower the list price of their products and reduce the other of pocket costs of drug products paid by consumers. On March 10, 2020, the Trump administration sent “principles” for drug pricing to Congress, calling for legislation that would, among other things, cap Medicare Part D beneficiary out-of-pocket pharmacy expenses, provide an option to cap Medicare Part D beneficiary monthly out-of-pocket expenses, and place limits on pharmaceutical price increases. Additionally, the Trump administration’s budget proposal for the fiscal year 2021 includes a $135 billion allowance to support legislative proposals seeking to reduce drug prices, increase competition, lower out-of-pocket drug costs for patients, and increase patient access to lower-cost generic drugs. Although a number of these and other measures may require additional authorization to become effective, Congress and the Trump administration have each indicated that it will continue to seek new legislative and/or administrative measures to control drug costs. In addition, individual states in the United States have also become increasingly active in implementing regulations designed to control pharmaceutical product pricing, including price or patient reimbursement constraints, discounts, restrictions on certain product access and marketing cost disclosure and transparency measures and, in some cases, mechanisms to encourage importation from other countries and bulk purchasing. Furthermore, there has been increased interest by third party payors and governmental authorities in reference pricing systems and publication of discounts and list prices.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FDA Approval and Regulation of Companion Diagnostics</w:t>
      </w:r>
    </w:p>
    <w:p>
      <w:pPr>
        <w:spacing w:after="0" w:line="10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expect that our product candidates may require use of a diagnostic to identify appropriate patient populations for our products. These diagnostics, often referred to as companion diagnostics, are medical devices, often in vitro devices, which provide information that is essential for the safe and effective use of a corresponding drug. In the United States, the FDCA and its implementing regulations, and other federal and state statutes and regulations govern, among other things, medical device design and development, preclinical and clinical testing, premarket clearance or approval, registration and listing, manufacturing, labeling, storage, advertising and promotion, sales and distribution, export and import and post-market surveillance. Unless an exemption applies, diagnostic</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5" w:right="459" w:bottom="1440" w:gutter="0" w:footer="0" w:header="0"/>
        </w:sectPr>
      </w:pPr>
    </w:p>
    <w:bookmarkStart w:id="154" w:name="page155"/>
    <w:bookmarkEnd w:id="1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400"/>
        <w:spacing w:after="0" w:line="255" w:lineRule="auto"/>
        <w:rPr>
          <w:sz w:val="20"/>
          <w:szCs w:val="20"/>
          <w:color w:val="auto"/>
        </w:rPr>
      </w:pPr>
      <w:r>
        <w:rPr>
          <w:rFonts w:ascii="Arial" w:cs="Arial" w:eastAsia="Arial" w:hAnsi="Arial"/>
          <w:sz w:val="18"/>
          <w:szCs w:val="18"/>
          <w:color w:val="auto"/>
        </w:rPr>
        <w:t>tests require marketing clearance or approval from the FDA prior to commercial distribution. The two primary types of FDA marketing authorization applicable to a medical device are premarket notification, also called 510(k) clearance, and premarket approval, or PMA approval. We expect that any companion diagnostic developed for our product candidates will utilize the PMA pathway.</w:t>
      </w:r>
    </w:p>
    <w:p>
      <w:pPr>
        <w:spacing w:after="0" w:line="164" w:lineRule="exact"/>
        <w:rPr>
          <w:sz w:val="20"/>
          <w:szCs w:val="20"/>
          <w:color w:val="auto"/>
        </w:rPr>
      </w:pPr>
    </w:p>
    <w:p>
      <w:pPr>
        <w:ind w:left="120" w:right="100" w:firstLine="551"/>
        <w:spacing w:after="0"/>
        <w:rPr>
          <w:sz w:val="20"/>
          <w:szCs w:val="20"/>
          <w:color w:val="auto"/>
        </w:rPr>
      </w:pPr>
      <w:r>
        <w:rPr>
          <w:rFonts w:ascii="Arial" w:cs="Arial" w:eastAsia="Arial" w:hAnsi="Arial"/>
          <w:sz w:val="18"/>
          <w:szCs w:val="18"/>
          <w:color w:val="auto"/>
        </w:rPr>
        <w:t>The PMA process, including the gathering of clinical and preclinical data and the submission to and review by the FDA, can take several years or longer. It involves a rigorous premarket review during which the applicant must prepare and provide the FDA with reasonable assurance of the device’s safety and effectiveness and information about the device and its components regarding, among other things, device design, manufacturing and labeling. PMA applications are subject to an application fee. In addition, PMAs for certain devices must generally include the results from extensive preclinical and adequate and well-controlled clinical trials to establish the safety and effectiveness of the device for each indication for which FDA approval is sought. In particular, for a diagnostic, a PMA application typically requires data regarding analytical and clinical validation studies. As part of the PMA review, the FDA will typically inspect the manufacturer’s facilities for compliance with the Quality System Regulation, or QSR, which imposes elaborate testing, control, documentation and other quality assurance requirements.</w:t>
      </w:r>
    </w:p>
    <w:p>
      <w:pPr>
        <w:spacing w:after="0" w:line="176"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color w:val="auto"/>
        </w:rPr>
        <w:t>PMA approval is not guaranteed, and the FDA may ultimately respond to a PMA submission with a not approvable determination based on deficiencies in the application and require additional clinical trial or other data that may be expensive and time -consuming to generate and that can substantially delay approval. If the FDA’s evaluation of the PMA application is favorable, the FDA typically issues an approvable letter requiring the applicant’s agreement to specific conditions, such as changes in labeling, or specific additional information, such as submission of final labeling, in order to secure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If the FDA concludes that the applicable criteria have been met, the FDA will issue a PMA for the approved indications, which can be more limited than those originally sought by the applicant. The PMA can include post-approval conditions that the FDA believes necessary to ensure the safety and effectiveness of the device, including, among other things, restrictions on labeling, promotion, sale and distribution. Once granted, PMA approval may be withdrawn by the FDA if compliance with post approval requirements, conditions of approval or other regulatory standards are not maintained, or problems are identified following initial marketing.</w:t>
      </w:r>
    </w:p>
    <w:p>
      <w:pPr>
        <w:spacing w:after="0" w:line="177"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 xml:space="preserve">In August 2014, the FDA issued final guidance clarifying the requirements that will apply to approval of therapeutic products and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vitro </w:t>
      </w:r>
      <w:r>
        <w:rPr>
          <w:rFonts w:ascii="Arial" w:cs="Arial" w:eastAsia="Arial" w:hAnsi="Arial"/>
          <w:sz w:val="18"/>
          <w:szCs w:val="18"/>
          <w:color w:val="auto"/>
        </w:rPr>
        <w:t>companion diagnostics. According to the guidance, if FDA determines that a companion diagnostic device is essential to the safe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effective use of a novel therapeutic product or indication, FDA generally will not approve the therapeutic product or new therapeutic product indication if the companion diagnostic device is not approved or cleared for that indication at the same time. The review of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companion diagnostics in conjunction with the review of our therapeutic treatments for cancer will, therefore, likely involve coordination of review by the FDA’s Center for Drug Evaluation and Research and the FDA’s Center for Devices and Radiological Health Office of In Vitro Diagnostics. The guidance also explains that a companion diagnostic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or IDE, regulations. Thus, the sponsor of the diagnostic device will be required to comply with the IDE regulations. According to the guidance, if a diagnostic device and a drug are to be</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20"/>
          </w:cols>
          <w:pgMar w:left="320" w:top="455" w:right="459" w:bottom="1440" w:gutter="0" w:footer="0" w:header="0"/>
        </w:sectPr>
      </w:pPr>
    </w:p>
    <w:bookmarkStart w:id="155" w:name="page156"/>
    <w:bookmarkEnd w:id="1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rPr>
          <w:sz w:val="20"/>
          <w:szCs w:val="20"/>
          <w:color w:val="auto"/>
        </w:rPr>
      </w:pPr>
      <w:r>
        <w:rPr>
          <w:rFonts w:ascii="Arial" w:cs="Arial" w:eastAsia="Arial" w:hAnsi="Arial"/>
          <w:sz w:val="18"/>
          <w:szCs w:val="18"/>
          <w:color w:val="auto"/>
        </w:rPr>
        <w:t>studied together to support their respective approvals, both products can be studied in the same investigational study, if the study meets both the requirements of the IDE regulations and the IND regulations. The guidance provides that depending on the details of the study plan and subjects, a sponsor may seek to submit an IND alone, or both an IND and an IDE. After a device is placed on the market, it remains subject to significant regulatory requirements. Medical devices may be marketed only for the uses and indications for which they are cleared or approved. Device manufacturers must also establish registration and device listings with the FDA. A medical device manufacturer’s manufacturing processes and those of its suppliers are required to comply with the applicable portions of the QSR, which cover the methods and documentation of the design, testing, production, processes, controls, quality assurance, labeling, packaging and shipping of medical devices. Domestic facility records and manufacturing processes are subject to periodic unscheduled inspections by the FDA. The FDA also may inspect foreign facilities that export products to the United States.</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Employees</w:t>
      </w:r>
    </w:p>
    <w:p>
      <w:pPr>
        <w:spacing w:after="0" w:line="214" w:lineRule="exact"/>
        <w:rPr>
          <w:sz w:val="20"/>
          <w:szCs w:val="20"/>
          <w:color w:val="auto"/>
        </w:rPr>
      </w:pPr>
    </w:p>
    <w:p>
      <w:pPr>
        <w:ind w:left="120" w:right="280" w:firstLine="551"/>
        <w:spacing w:after="0" w:line="276" w:lineRule="auto"/>
        <w:rPr>
          <w:sz w:val="20"/>
          <w:szCs w:val="20"/>
          <w:color w:val="auto"/>
        </w:rPr>
      </w:pPr>
      <w:r>
        <w:rPr>
          <w:rFonts w:ascii="Arial" w:cs="Arial" w:eastAsia="Arial" w:hAnsi="Arial"/>
          <w:sz w:val="18"/>
          <w:szCs w:val="18"/>
          <w:color w:val="auto"/>
        </w:rPr>
        <w:t>As of August 31, 2020, we had 39 full-time employees, including 15 employees with Ph.D., M.D. or Pharm.D. degrees. Of these full-time employees, 32 employees are engaged in research and development activities.</w:t>
      </w:r>
    </w:p>
    <w:p>
      <w:pPr>
        <w:spacing w:after="0" w:line="145" w:lineRule="exact"/>
        <w:rPr>
          <w:sz w:val="20"/>
          <w:szCs w:val="20"/>
          <w:color w:val="auto"/>
        </w:rPr>
      </w:pPr>
    </w:p>
    <w:p>
      <w:pPr>
        <w:ind w:left="120" w:right="740" w:firstLine="551"/>
        <w:spacing w:after="0" w:line="276" w:lineRule="auto"/>
        <w:rPr>
          <w:sz w:val="20"/>
          <w:szCs w:val="20"/>
          <w:color w:val="auto"/>
        </w:rPr>
      </w:pPr>
      <w:r>
        <w:rPr>
          <w:rFonts w:ascii="Arial" w:cs="Arial" w:eastAsia="Arial" w:hAnsi="Arial"/>
          <w:sz w:val="18"/>
          <w:szCs w:val="18"/>
          <w:color w:val="auto"/>
        </w:rPr>
        <w:t>None of our employees are represented by labor unions or covered by collective bargaining agreements. We consider our relationship with our employees to be good.</w:t>
      </w:r>
    </w:p>
    <w:p>
      <w:pPr>
        <w:spacing w:after="0" w:line="25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Facilities</w:t>
      </w:r>
    </w:p>
    <w:p>
      <w:pPr>
        <w:spacing w:after="0" w:line="21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Our corporate headquarters is located at 8 Clarke Drive, Cranbury, New Jersey 08512, where we lease a facility containing 18,446 square feet of office and laboratory space pursuant to a lease agreement that expires in June 2022. We also lease 6,297 square feet of laboratory space at 3000 Eastpark, South Brunswick, New Jersey 08512 pursuant to a that expires in July 2022. Finally, we lease 3,292 square feet of office space at 420 Bedford Drive, Lexington, Massachusetts 02420 pursuant to a lease that expires in August 2023 with an option to extend for an additional three years.</w:t>
      </w:r>
    </w:p>
    <w:p>
      <w:pPr>
        <w:spacing w:after="0" w:line="172" w:lineRule="exact"/>
        <w:rPr>
          <w:sz w:val="20"/>
          <w:szCs w:val="20"/>
          <w:color w:val="auto"/>
        </w:rPr>
      </w:pPr>
    </w:p>
    <w:p>
      <w:pPr>
        <w:ind w:left="120" w:right="780" w:firstLine="551"/>
        <w:spacing w:after="0" w:line="276" w:lineRule="auto"/>
        <w:rPr>
          <w:sz w:val="20"/>
          <w:szCs w:val="20"/>
          <w:color w:val="auto"/>
        </w:rPr>
      </w:pPr>
      <w:r>
        <w:rPr>
          <w:rFonts w:ascii="Arial" w:cs="Arial" w:eastAsia="Arial" w:hAnsi="Arial"/>
          <w:sz w:val="18"/>
          <w:szCs w:val="18"/>
          <w:color w:val="auto"/>
        </w:rPr>
        <w:t>We believe that our current facilities are adequate for our current needs and that suitable additional or substitute space at commercially reasonable terms will be available as needed to accommodate any future expansion of our operations.</w:t>
      </w:r>
    </w:p>
    <w:p>
      <w:pPr>
        <w:spacing w:after="0" w:line="25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Legal Proceedings</w:t>
      </w:r>
    </w:p>
    <w:p>
      <w:pPr>
        <w:spacing w:after="0" w:line="214"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As of the date of this prospectus, we were not a party to any material legal matters or claims. In the future, we may become party to legal matters and claims in the ordinary course of business, the resolution of which we do not anticipate would have a material adverse impact on our financial position, results of operations or cash flows.</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080"/>
          </w:cols>
          <w:pgMar w:left="320" w:top="455" w:right="499" w:bottom="1440" w:gutter="0" w:footer="0" w:header="0"/>
        </w:sectPr>
      </w:pPr>
    </w:p>
    <w:bookmarkStart w:id="156" w:name="page157"/>
    <w:bookmarkEnd w:id="1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MANAGEMENT</w:t>
      </w:r>
    </w:p>
    <w:p>
      <w:pPr>
        <w:spacing w:after="0" w:line="32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Officers, Directors and Key Employees</w:t>
      </w:r>
    </w:p>
    <w:p>
      <w:pPr>
        <w:spacing w:after="0" w:line="214" w:lineRule="exact"/>
        <w:rPr>
          <w:sz w:val="20"/>
          <w:szCs w:val="20"/>
          <w:color w:val="auto"/>
        </w:rPr>
      </w:pPr>
    </w:p>
    <w:p>
      <w:pPr>
        <w:ind w:left="120" w:right="20" w:firstLine="551"/>
        <w:spacing w:after="0" w:line="276" w:lineRule="auto"/>
        <w:rPr>
          <w:sz w:val="20"/>
          <w:szCs w:val="20"/>
          <w:color w:val="auto"/>
        </w:rPr>
      </w:pPr>
      <w:r>
        <w:rPr>
          <w:rFonts w:ascii="Arial" w:cs="Arial" w:eastAsia="Arial" w:hAnsi="Arial"/>
          <w:sz w:val="18"/>
          <w:szCs w:val="18"/>
          <w:color w:val="auto"/>
        </w:rPr>
        <w:t>The following table sets forth the names, ages and positions of our executive officers, directors and key employees as of the date of this prospectus: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97"/>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9"/>
              </w:rPr>
              <w:t>Name</w:t>
            </w:r>
          </w:p>
        </w:tc>
        <w:tc>
          <w:tcPr>
            <w:tcW w:w="3400" w:type="dxa"/>
            <w:vAlign w:val="bottom"/>
          </w:tcPr>
          <w:p>
            <w:pPr>
              <w:spacing w:after="0"/>
              <w:rPr>
                <w:sz w:val="17"/>
                <w:szCs w:val="17"/>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98"/>
              </w:rPr>
              <w:t>Age</w:t>
            </w:r>
          </w:p>
        </w:tc>
        <w:tc>
          <w:tcPr>
            <w:tcW w:w="140" w:type="dxa"/>
            <w:vAlign w:val="bottom"/>
          </w:tcPr>
          <w:p>
            <w:pPr>
              <w:spacing w:after="0"/>
              <w:rPr>
                <w:sz w:val="17"/>
                <w:szCs w:val="17"/>
                <w:color w:val="auto"/>
              </w:rPr>
            </w:pPr>
          </w:p>
        </w:tc>
        <w:tc>
          <w:tcPr>
            <w:tcW w:w="6660" w:type="dxa"/>
            <w:vAlign w:val="bottom"/>
          </w:tcPr>
          <w:p>
            <w:pPr>
              <w:ind w:left="3040"/>
              <w:spacing w:after="0"/>
              <w:rPr>
                <w:sz w:val="20"/>
                <w:szCs w:val="20"/>
                <w:color w:val="auto"/>
              </w:rPr>
            </w:pPr>
            <w:r>
              <w:rPr>
                <w:rFonts w:ascii="Arial" w:cs="Arial" w:eastAsia="Arial" w:hAnsi="Arial"/>
                <w:sz w:val="14"/>
                <w:szCs w:val="14"/>
                <w:b w:val="1"/>
                <w:bCs w:val="1"/>
                <w:color w:val="auto"/>
              </w:rPr>
              <w:t>Position</w:t>
            </w:r>
          </w:p>
        </w:tc>
      </w:tr>
      <w:tr>
        <w:trPr>
          <w:trHeight w:val="176"/>
        </w:trPr>
        <w:tc>
          <w:tcPr>
            <w:tcW w:w="380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rPr>
              <w:t>Executive Officers:</w:t>
            </w:r>
          </w:p>
        </w:tc>
        <w:tc>
          <w:tcPr>
            <w:tcW w:w="2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660" w:type="dxa"/>
            <w:vAlign w:val="bottom"/>
            <w:tcBorders>
              <w:top w:val="single" w:sz="8" w:color="auto"/>
            </w:tcBorders>
            <w:shd w:val="clear" w:color="auto" w:fill="CCEEFF"/>
          </w:tcPr>
          <w:p>
            <w:pPr>
              <w:spacing w:after="0"/>
              <w:rPr>
                <w:sz w:val="15"/>
                <w:szCs w:val="15"/>
                <w:color w:val="auto"/>
              </w:rPr>
            </w:pPr>
          </w:p>
        </w:tc>
      </w:tr>
      <w:tr>
        <w:trPr>
          <w:trHeight w:val="203"/>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David H. Mack, Ph.D.</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58</w:t>
            </w:r>
          </w:p>
        </w:tc>
        <w:tc>
          <w:tcPr>
            <w:tcW w:w="68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President, Chief Executive Officer and Director</w:t>
            </w: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Winston Kung</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45</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Chief Operating Officer and Chief Financial Officer</w:t>
            </w:r>
          </w:p>
        </w:tc>
      </w:tr>
      <w:tr>
        <w:trPr>
          <w:trHeight w:val="203"/>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Leila Alland, M.D.</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58</w:t>
            </w:r>
          </w:p>
        </w:tc>
        <w:tc>
          <w:tcPr>
            <w:tcW w:w="68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Chief Medical Officer</w:t>
            </w: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Deepika Jalota, Pharm.D.</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44</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Senior Vice President, Regulatory Affairs and Quality Assurance</w:t>
            </w:r>
          </w:p>
        </w:tc>
      </w:tr>
      <w:tr>
        <w:trPr>
          <w:trHeight w:val="310"/>
        </w:trPr>
        <w:tc>
          <w:tcPr>
            <w:tcW w:w="38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60" w:type="dxa"/>
            <w:vAlign w:val="bottom"/>
          </w:tcPr>
          <w:p>
            <w:pPr>
              <w:spacing w:after="0"/>
              <w:rPr>
                <w:sz w:val="24"/>
                <w:szCs w:val="24"/>
                <w:color w:val="auto"/>
              </w:rPr>
            </w:pP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Richard Heyman, Ph.D</w:t>
            </w:r>
            <w:r>
              <w:rPr>
                <w:rFonts w:ascii="Arial" w:cs="Arial" w:eastAsia="Arial" w:hAnsi="Arial"/>
                <w:sz w:val="15"/>
                <w:szCs w:val="15"/>
                <w:color w:val="auto"/>
              </w:rPr>
              <w:t>(1)(2)(3)</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62</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Director and Chairman of the Board of Directors</w:t>
            </w:r>
          </w:p>
        </w:tc>
      </w:tr>
      <w:tr>
        <w:trPr>
          <w:trHeight w:val="203"/>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Arnold Levine, Ph.D.</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81</w:t>
            </w:r>
          </w:p>
        </w:tc>
        <w:tc>
          <w:tcPr>
            <w:tcW w:w="68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Arnold Oronsky, Ph.D.</w:t>
            </w:r>
            <w:r>
              <w:rPr>
                <w:rFonts w:ascii="Arial" w:cs="Arial" w:eastAsia="Arial" w:hAnsi="Arial"/>
                <w:sz w:val="15"/>
                <w:szCs w:val="15"/>
                <w:color w:val="auto"/>
              </w:rPr>
              <w:t>(2)</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80</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Thilo Schroeder, Ph.D.</w:t>
            </w:r>
            <w:r>
              <w:rPr>
                <w:rFonts w:ascii="Arial" w:cs="Arial" w:eastAsia="Arial" w:hAnsi="Arial"/>
                <w:sz w:val="15"/>
                <w:szCs w:val="15"/>
                <w:color w:val="auto"/>
              </w:rPr>
              <w:t>(1)(3)</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39</w:t>
            </w:r>
          </w:p>
        </w:tc>
        <w:tc>
          <w:tcPr>
            <w:tcW w:w="68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Director</w:t>
            </w: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Laurie Stelzer</w:t>
            </w:r>
            <w:r>
              <w:rPr>
                <w:rFonts w:ascii="Arial" w:cs="Arial" w:eastAsia="Arial" w:hAnsi="Arial"/>
                <w:sz w:val="15"/>
                <w:szCs w:val="15"/>
                <w:color w:val="auto"/>
              </w:rPr>
              <w:t>(1)</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53</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Director</w:t>
            </w:r>
          </w:p>
        </w:tc>
      </w:tr>
      <w:tr>
        <w:trPr>
          <w:trHeight w:val="243"/>
        </w:trPr>
        <w:tc>
          <w:tcPr>
            <w:tcW w:w="3800" w:type="dxa"/>
            <w:vAlign w:val="bottom"/>
            <w:gridSpan w:val="2"/>
          </w:tcPr>
          <w:p>
            <w:pPr>
              <w:spacing w:after="0"/>
              <w:rPr>
                <w:sz w:val="20"/>
                <w:szCs w:val="20"/>
                <w:color w:val="auto"/>
              </w:rPr>
            </w:pPr>
            <w:r>
              <w:rPr>
                <w:rFonts w:ascii="Arial" w:cs="Arial" w:eastAsia="Arial" w:hAnsi="Arial"/>
                <w:sz w:val="18"/>
                <w:szCs w:val="18"/>
                <w:color w:val="auto"/>
              </w:rPr>
              <w:t>Peter Thompson, M.D.</w:t>
            </w:r>
            <w:r>
              <w:rPr>
                <w:rFonts w:ascii="Arial" w:cs="Arial" w:eastAsia="Arial" w:hAnsi="Arial"/>
                <w:sz w:val="15"/>
                <w:szCs w:val="15"/>
                <w:color w:val="auto"/>
              </w:rPr>
              <w:t>(2)(3)</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61</w:t>
            </w:r>
          </w:p>
        </w:tc>
        <w:tc>
          <w:tcPr>
            <w:tcW w:w="6800" w:type="dxa"/>
            <w:vAlign w:val="bottom"/>
            <w:gridSpan w:val="2"/>
          </w:tcPr>
          <w:p>
            <w:pPr>
              <w:ind w:left="140"/>
              <w:spacing w:after="0"/>
              <w:rPr>
                <w:sz w:val="20"/>
                <w:szCs w:val="20"/>
                <w:color w:val="auto"/>
              </w:rPr>
            </w:pPr>
            <w:r>
              <w:rPr>
                <w:rFonts w:ascii="Arial" w:cs="Arial" w:eastAsia="Arial" w:hAnsi="Arial"/>
                <w:sz w:val="18"/>
                <w:szCs w:val="18"/>
                <w:color w:val="auto"/>
              </w:rPr>
              <w:t>Director</w:t>
            </w:r>
          </w:p>
        </w:tc>
      </w:tr>
      <w:tr>
        <w:trPr>
          <w:trHeight w:val="68"/>
        </w:trPr>
        <w:tc>
          <w:tcPr>
            <w:tcW w:w="400" w:type="dxa"/>
            <w:vAlign w:val="bottom"/>
          </w:tcPr>
          <w:p>
            <w:pPr>
              <w:spacing w:after="0"/>
              <w:rPr>
                <w:sz w:val="5"/>
                <w:szCs w:val="5"/>
                <w:color w:val="auto"/>
              </w:rPr>
            </w:pPr>
          </w:p>
        </w:tc>
        <w:tc>
          <w:tcPr>
            <w:tcW w:w="34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60" w:type="dxa"/>
            <w:vAlign w:val="bottom"/>
          </w:tcPr>
          <w:p>
            <w:pPr>
              <w:spacing w:after="0"/>
              <w:rPr>
                <w:sz w:val="5"/>
                <w:szCs w:val="5"/>
                <w:color w:val="auto"/>
              </w:rPr>
            </w:pP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i w:val="1"/>
                <w:iCs w:val="1"/>
                <w:color w:val="auto"/>
              </w:rPr>
              <w:t>Key Employees:</w:t>
            </w: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60" w:type="dxa"/>
            <w:vAlign w:val="bottom"/>
            <w:shd w:val="clear" w:color="auto" w:fill="CCEEFF"/>
          </w:tcPr>
          <w:p>
            <w:pPr>
              <w:spacing w:after="0"/>
              <w:rPr>
                <w:sz w:val="17"/>
                <w:szCs w:val="17"/>
                <w:color w:val="auto"/>
              </w:rPr>
            </w:pPr>
          </w:p>
        </w:tc>
      </w:tr>
      <w:tr>
        <w:trPr>
          <w:trHeight w:val="203"/>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Michael Carulli</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47</w:t>
            </w:r>
          </w:p>
        </w:tc>
        <w:tc>
          <w:tcPr>
            <w:tcW w:w="68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Vice President, Finance</w:t>
            </w:r>
          </w:p>
        </w:tc>
      </w:tr>
      <w:tr>
        <w:trPr>
          <w:trHeight w:val="203"/>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Melissa Dumble, Ph.D.</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45</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Vice President, Preclinical Development and Translational Science</w:t>
            </w:r>
          </w:p>
        </w:tc>
      </w:tr>
      <w:tr>
        <w:trPr>
          <w:trHeight w:val="203"/>
        </w:trPr>
        <w:tc>
          <w:tcPr>
            <w:tcW w:w="3800" w:type="dxa"/>
            <w:vAlign w:val="bottom"/>
            <w:gridSpan w:val="2"/>
          </w:tcPr>
          <w:p>
            <w:pPr>
              <w:spacing w:after="0" w:line="202" w:lineRule="exact"/>
              <w:rPr>
                <w:sz w:val="20"/>
                <w:szCs w:val="20"/>
                <w:color w:val="auto"/>
              </w:rPr>
            </w:pPr>
            <w:r>
              <w:rPr>
                <w:rFonts w:ascii="Arial" w:cs="Arial" w:eastAsia="Arial" w:hAnsi="Arial"/>
                <w:sz w:val="18"/>
                <w:szCs w:val="18"/>
                <w:color w:val="auto"/>
              </w:rPr>
              <w:t>Robert Ticktin</w:t>
            </w:r>
          </w:p>
        </w:tc>
        <w:tc>
          <w:tcPr>
            <w:tcW w:w="4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59</w:t>
            </w:r>
          </w:p>
        </w:tc>
        <w:tc>
          <w:tcPr>
            <w:tcW w:w="68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General Counsel</w:t>
            </w:r>
          </w:p>
        </w:tc>
      </w:tr>
      <w:tr>
        <w:trPr>
          <w:trHeight w:val="202"/>
        </w:trPr>
        <w:tc>
          <w:tcPr>
            <w:tcW w:w="3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Binh Vu, Ph.D.</w:t>
            </w:r>
          </w:p>
        </w:tc>
        <w:tc>
          <w:tcPr>
            <w:tcW w:w="4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52</w:t>
            </w:r>
          </w:p>
        </w:tc>
        <w:tc>
          <w:tcPr>
            <w:tcW w:w="680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Vice President, Drug Discovery and Chemistry, Manufacturing and Controls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0" w:lineRule="exact"/>
        <w:rPr>
          <w:sz w:val="20"/>
          <w:szCs w:val="20"/>
          <w:color w:val="auto"/>
        </w:rPr>
      </w:pPr>
    </w:p>
    <w:p>
      <w:pPr>
        <w:ind w:left="540" w:hanging="424"/>
        <w:spacing w:after="0"/>
        <w:tabs>
          <w:tab w:leader="none" w:pos="540" w:val="left"/>
        </w:tabs>
        <w:numPr>
          <w:ilvl w:val="0"/>
          <w:numId w:val="88"/>
        </w:numPr>
        <w:rPr>
          <w:rFonts w:ascii="Arial" w:cs="Arial" w:eastAsia="Arial" w:hAnsi="Arial"/>
          <w:sz w:val="24"/>
          <w:szCs w:val="24"/>
          <w:color w:val="auto"/>
          <w:vertAlign w:val="superscript"/>
        </w:rPr>
      </w:pPr>
      <w:r>
        <w:rPr>
          <w:rFonts w:ascii="Arial" w:cs="Arial" w:eastAsia="Arial" w:hAnsi="Arial"/>
          <w:sz w:val="14"/>
          <w:szCs w:val="14"/>
          <w:color w:val="auto"/>
        </w:rPr>
        <w:t>Member of the audit committee</w:t>
      </w:r>
    </w:p>
    <w:p>
      <w:pPr>
        <w:ind w:left="540" w:hanging="424"/>
        <w:spacing w:after="0" w:line="187" w:lineRule="auto"/>
        <w:tabs>
          <w:tab w:leader="none" w:pos="540" w:val="left"/>
        </w:tabs>
        <w:numPr>
          <w:ilvl w:val="0"/>
          <w:numId w:val="88"/>
        </w:numPr>
        <w:rPr>
          <w:rFonts w:ascii="Arial" w:cs="Arial" w:eastAsia="Arial" w:hAnsi="Arial"/>
          <w:sz w:val="18"/>
          <w:szCs w:val="18"/>
          <w:color w:val="auto"/>
          <w:vertAlign w:val="superscript"/>
        </w:rPr>
      </w:pPr>
      <w:r>
        <w:rPr>
          <w:rFonts w:ascii="Arial" w:cs="Arial" w:eastAsia="Arial" w:hAnsi="Arial"/>
          <w:sz w:val="11"/>
          <w:szCs w:val="11"/>
          <w:color w:val="auto"/>
        </w:rPr>
        <w:t>Member of the compensation committee</w:t>
      </w:r>
    </w:p>
    <w:p>
      <w:pPr>
        <w:ind w:left="540" w:hanging="424"/>
        <w:spacing w:after="0" w:line="183" w:lineRule="auto"/>
        <w:tabs>
          <w:tab w:leader="none" w:pos="540" w:val="left"/>
        </w:tabs>
        <w:numPr>
          <w:ilvl w:val="0"/>
          <w:numId w:val="88"/>
        </w:numPr>
        <w:rPr>
          <w:rFonts w:ascii="Arial" w:cs="Arial" w:eastAsia="Arial" w:hAnsi="Arial"/>
          <w:sz w:val="20"/>
          <w:szCs w:val="20"/>
          <w:color w:val="auto"/>
          <w:vertAlign w:val="superscript"/>
        </w:rPr>
      </w:pPr>
      <w:r>
        <w:rPr>
          <w:rFonts w:ascii="Arial" w:cs="Arial" w:eastAsia="Arial" w:hAnsi="Arial"/>
          <w:sz w:val="12"/>
          <w:szCs w:val="12"/>
          <w:color w:val="auto"/>
        </w:rPr>
        <w:t>Member of the corporate governance and nominating committee</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02" w:lineRule="exact"/>
        <w:rPr>
          <w:sz w:val="20"/>
          <w:szCs w:val="20"/>
          <w:color w:val="auto"/>
        </w:rPr>
      </w:pPr>
    </w:p>
    <w:p>
      <w:pPr>
        <w:ind w:left="120" w:right="80" w:firstLine="551"/>
        <w:spacing w:after="0" w:line="238" w:lineRule="auto"/>
        <w:rPr>
          <w:sz w:val="20"/>
          <w:szCs w:val="20"/>
          <w:color w:val="auto"/>
        </w:rPr>
      </w:pPr>
      <w:r>
        <w:rPr>
          <w:rFonts w:ascii="Arial" w:cs="Arial" w:eastAsia="Arial" w:hAnsi="Arial"/>
          <w:sz w:val="18"/>
          <w:szCs w:val="18"/>
          <w:b w:val="1"/>
          <w:bCs w:val="1"/>
          <w:color w:val="auto"/>
        </w:rPr>
        <w:t xml:space="preserve">David H. Mack, Ph.D. </w:t>
      </w:r>
      <w:r>
        <w:rPr>
          <w:rFonts w:ascii="Arial" w:cs="Arial" w:eastAsia="Arial" w:hAnsi="Arial"/>
          <w:sz w:val="18"/>
          <w:szCs w:val="18"/>
          <w:color w:val="auto"/>
        </w:rPr>
        <w:t>has served as a member of our board of directors since June 2013 and as our Chief Executive Officer and</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since July 2013. Previously, Dr. Mack was a general partner at Alta Partners, a venture capital firm focusing on investments in biotechnology and life sciences companies, from 2002 to 2012. Prior to working at Alta Partners, Dr. Mack served as Vice President of Genomics Research at Eos Biotechnology, which was acquired by Protein Design Labs in 2003. From 1994 to 1997, Dr. Mack served as the Head of Cancer Biology at Affymetrix, a biotechnology company that was acquired by Thermo Fisher (NYSE: TMO) in January 2016, where he oversaw the development and application of DNA array technology in the areas of oncology and inflammation. Dr. Mack is a member of the board of directors of Aduro BioTech (NASDAQ: ADRO), a biopharmaceutical company. Dr. Mack has co-authored more than 30 scientific articles and reviews, including papers published in Cell, Science, and Nature, and is an inventor on 26 issued US patents. Dr. Mack was an American Cancer Society Postdoctoral Fellow in microbiology and immunology at Stanford University School of Medicine. Dr. Mack received a B.A. in Molecular Biology from the University of California, Berkeley and a Ph.D. in Molecular Genetics and Cell Biology from the University of Chicago. We believe that Dr. Mack is qualified to serve on our board of directors because of the perspective and experience he provides as our Chief Executive Officer as well as his broad experience in the biotechnology and life sciences industries.</w:t>
      </w:r>
    </w:p>
    <w:p>
      <w:pPr>
        <w:spacing w:after="0" w:line="1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40"/>
          </w:cols>
          <w:pgMar w:left="320" w:top="455" w:right="439" w:bottom="1440" w:gutter="0" w:footer="0" w:header="0"/>
        </w:sectPr>
      </w:pPr>
    </w:p>
    <w:bookmarkStart w:id="157" w:name="page158"/>
    <w:bookmarkEnd w:id="1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120" w:right="120" w:firstLine="551"/>
        <w:spacing w:after="0" w:line="238" w:lineRule="auto"/>
        <w:rPr>
          <w:sz w:val="20"/>
          <w:szCs w:val="20"/>
          <w:color w:val="auto"/>
        </w:rPr>
      </w:pPr>
      <w:r>
        <w:rPr>
          <w:rFonts w:ascii="Arial" w:cs="Arial" w:eastAsia="Arial" w:hAnsi="Arial"/>
          <w:sz w:val="18"/>
          <w:szCs w:val="18"/>
          <w:b w:val="1"/>
          <w:bCs w:val="1"/>
          <w:color w:val="auto"/>
        </w:rPr>
        <w:t xml:space="preserve">Winston Kung </w:t>
      </w:r>
      <w:r>
        <w:rPr>
          <w:rFonts w:ascii="Arial" w:cs="Arial" w:eastAsia="Arial" w:hAnsi="Arial"/>
          <w:sz w:val="18"/>
          <w:szCs w:val="18"/>
          <w:color w:val="auto"/>
        </w:rPr>
        <w:t>has served as our Chief Operating Officer and Chief Financial Officer since December 2017. From April 2013 to</w:t>
      </w:r>
      <w:r>
        <w:rPr>
          <w:rFonts w:ascii="Arial" w:cs="Arial" w:eastAsia="Arial" w:hAnsi="Arial"/>
          <w:sz w:val="18"/>
          <w:szCs w:val="18"/>
          <w:b w:val="1"/>
          <w:bCs w:val="1"/>
          <w:color w:val="auto"/>
        </w:rPr>
        <w:t xml:space="preserve"> </w:t>
      </w:r>
      <w:r>
        <w:rPr>
          <w:rFonts w:ascii="Arial" w:cs="Arial" w:eastAsia="Arial" w:hAnsi="Arial"/>
          <w:sz w:val="18"/>
          <w:szCs w:val="18"/>
          <w:color w:val="auto"/>
        </w:rPr>
        <w:t>November 2017, Mr. Kung worked at Celgene Corporation, a global biopharmaceutical company, where he held multiple positions, including Vice President of Business Development and Global Alliances, and Chief Business Officer at Celgene Cellular Therapeutics (a wholly-owned subsidiary of Celgene Corporation). At Celgene, Mr. Kung led the formation of a strategic long-range plan for the company, along with overseeing multiple transactions and a team that managed the company’s alliance portfolio of over 100 collaborations, equity investments and company integrations. Prior to working at Celgene, Mr. Kung worked at Citigroup from June 2010 to April 2013 in its Global Healthcare Investment Banking group and at Lehman Brothers (which was subsequently acquired by Barclays) from May 2007 to June 2010 in its Global Mergers and Acquisition Group. At Citigroup and Barclays, Mr. Kung worked on various transactions including public and private financings, merger and acquisitions, spin-outs and other financial advisory engagements. From August 2004 to May 2007, Mr. Kung worked at Amgen (NASDAQ: AMGN), a global biopharmaceutical company, as a co-founder of the Alliance Management group, and served as the deal lead on multiple acquisitions as part of the Corporate Development group. Mr. Kung also worked at Genentech, a biotechnology company (acquired by Roche), from November 1999 to September 2002 as part of the Business and Corporate Development group. Mr. Kung previously served on the board of directors of Alliqua BioMedicial (NASDAQ: ALQA) and GNS Healthcare, a private, healthcare artificial intelligence company. Mr. Kung received a B.A. in Biology and International Relations from Brown University and a MBA from Harvard Business School.</w:t>
      </w:r>
    </w:p>
    <w:p>
      <w:pPr>
        <w:spacing w:after="0" w:line="175" w:lineRule="exact"/>
        <w:rPr>
          <w:sz w:val="20"/>
          <w:szCs w:val="20"/>
          <w:color w:val="auto"/>
        </w:rPr>
      </w:pPr>
    </w:p>
    <w:p>
      <w:pPr>
        <w:ind w:left="120" w:firstLine="551"/>
        <w:spacing w:after="0" w:line="253" w:lineRule="auto"/>
        <w:rPr>
          <w:sz w:val="20"/>
          <w:szCs w:val="20"/>
          <w:color w:val="auto"/>
        </w:rPr>
      </w:pPr>
      <w:r>
        <w:rPr>
          <w:rFonts w:ascii="Arial" w:cs="Arial" w:eastAsia="Arial" w:hAnsi="Arial"/>
          <w:sz w:val="17"/>
          <w:szCs w:val="17"/>
          <w:b w:val="1"/>
          <w:bCs w:val="1"/>
          <w:color w:val="auto"/>
        </w:rPr>
        <w:t xml:space="preserve">Leila Alland, M.D. </w:t>
      </w:r>
      <w:r>
        <w:rPr>
          <w:rFonts w:ascii="Arial" w:cs="Arial" w:eastAsia="Arial" w:hAnsi="Arial"/>
          <w:sz w:val="17"/>
          <w:szCs w:val="17"/>
          <w:color w:val="auto"/>
        </w:rPr>
        <w:t>has served as our Chief Medical Officer since December 2019. From March 2018 to November 2019, Dr. Alland</w:t>
      </w:r>
      <w:r>
        <w:rPr>
          <w:rFonts w:ascii="Arial" w:cs="Arial" w:eastAsia="Arial" w:hAnsi="Arial"/>
          <w:sz w:val="17"/>
          <w:szCs w:val="17"/>
          <w:b w:val="1"/>
          <w:bCs w:val="1"/>
          <w:color w:val="auto"/>
        </w:rPr>
        <w:t xml:space="preserve"> </w:t>
      </w:r>
      <w:r>
        <w:rPr>
          <w:rFonts w:ascii="Arial" w:cs="Arial" w:eastAsia="Arial" w:hAnsi="Arial"/>
          <w:sz w:val="17"/>
          <w:szCs w:val="17"/>
          <w:color w:val="auto"/>
        </w:rPr>
        <w:t>served as the Chief Medical Officer at Affimed, a clinical stage immune-oncology company. Dr. Alland served as the Chief Medical Officer at Tarveda Therapeutics, a biotechnology company, from January 2016 to March 2018. Previously, Dr. Alland served as the Vice President and Head of Oncology Early Clinical Development at AstraZeneca (NYSE: AZN) from October 2013 to December 2015. Dr. Alland has also held leadership positions at Bristol-Myers Squibb (NYSE: BMY) from April 2006 to September 2013, Novartis from November 2003 to March 2006 and Schering-Plough from June 2001 to November 2003, where she worked on a broad range of oncology products from early to late stage development and contributed to multiple successful drug approvals. From September 1994 to June 2000, Dr. Alland served as Assistant Professor of Pediatrics at Albert Einstein College of Medicine, where she was awarded the James S. McDonnell Foundation Scholar Award and pursued basic cancer research. Dr. Alland sits on the Scientific Advisory Council of Columbia University’s Center for Radiological Research and serves as a reviewer for the Cancer Prevention and Research Institute of Texas. Dr. Alland serves as a member of the board of directors of Cytovia Therapeutics. Dr. Alland received a B.A. in Biology from the University of Pennsylvania and a M.D. from New York University School of Medicine. Dr. Alland completed her residency in Pediatrics at The Children’s Hospital of Philadelphia and her fellowship in Pediatric Hematology/Oncology at The New York Hospital and Memorial Sloan-Kettering Cancer Center.</w:t>
      </w:r>
    </w:p>
    <w:p>
      <w:pPr>
        <w:spacing w:after="0" w:line="170"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b w:val="1"/>
          <w:bCs w:val="1"/>
          <w:color w:val="auto"/>
        </w:rPr>
        <w:t xml:space="preserve">Deepika Jalota, Pharm.D. </w:t>
      </w:r>
      <w:r>
        <w:rPr>
          <w:rFonts w:ascii="Arial" w:cs="Arial" w:eastAsia="Arial" w:hAnsi="Arial"/>
          <w:sz w:val="18"/>
          <w:szCs w:val="18"/>
          <w:color w:val="auto"/>
        </w:rPr>
        <w:t>has served as our Senior Vice President, Regulatory Affairs and Quality Assurance since June 2019.</w:t>
      </w:r>
      <w:r>
        <w:rPr>
          <w:rFonts w:ascii="Arial" w:cs="Arial" w:eastAsia="Arial" w:hAnsi="Arial"/>
          <w:sz w:val="18"/>
          <w:szCs w:val="18"/>
          <w:b w:val="1"/>
          <w:bCs w:val="1"/>
          <w:color w:val="auto"/>
        </w:rPr>
        <w:t xml:space="preserve"> </w:t>
      </w:r>
      <w:r>
        <w:rPr>
          <w:rFonts w:ascii="Arial" w:cs="Arial" w:eastAsia="Arial" w:hAnsi="Arial"/>
          <w:sz w:val="18"/>
          <w:szCs w:val="18"/>
          <w:color w:val="auto"/>
        </w:rPr>
        <w:t>Previously, Dr. Jalota was employed by Bayer HealthCare Pharmaceuticals from July 2007 to May 2019 and held multiple leadership positions within Global Regulatory Affairs in oncology and other therapeutic areas. She was most recently Vice President, Global Regulatory Strategy, Oncology from July 2017 to June 2019 and was responsible for overseeing global regulatory strategy development for multiple early and late stage oncology assets. Dr. Jalota also served as Senior Director, Global Regulatory Strategy, Oncology from June 2016 to July 2017 and Director and Head of Global Regulatory Strategy, Dermatology and Ophthalmology from January 2014 to June 2016. Prior to joining Bayer HealthCare Pharmaceuticals, Dr. Jalota was employed by Sanofi-Aventis, Forest Laboratories and Procter and Gamble. Dr. Jalota received a B.S. in Pharmacy from Rutgers University, Ernest Mario School of Pharmacy and a Pharm.D. from the University of Florida, College of Pharmacy.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5" w:right="459" w:bottom="1440" w:gutter="0" w:footer="0" w:header="0"/>
        </w:sectPr>
      </w:pPr>
    </w:p>
    <w:bookmarkStart w:id="158" w:name="page159"/>
    <w:bookmarkEnd w:id="1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02"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b w:val="1"/>
          <w:bCs w:val="1"/>
          <w:color w:val="auto"/>
        </w:rPr>
        <w:t xml:space="preserve">Richard Heyman, Ph.D. </w:t>
      </w:r>
      <w:r>
        <w:rPr>
          <w:rFonts w:ascii="Arial" w:cs="Arial" w:eastAsia="Arial" w:hAnsi="Arial"/>
          <w:sz w:val="18"/>
          <w:szCs w:val="18"/>
          <w:color w:val="auto"/>
        </w:rPr>
        <w:t>has served as a member of our board of directors and as our Chairman of our board of directors since</w:t>
      </w:r>
      <w:r>
        <w:rPr>
          <w:rFonts w:ascii="Arial" w:cs="Arial" w:eastAsia="Arial" w:hAnsi="Arial"/>
          <w:sz w:val="18"/>
          <w:szCs w:val="18"/>
          <w:b w:val="1"/>
          <w:bCs w:val="1"/>
          <w:color w:val="auto"/>
        </w:rPr>
        <w:t xml:space="preserve"> </w:t>
      </w:r>
      <w:r>
        <w:rPr>
          <w:rFonts w:ascii="Arial" w:cs="Arial" w:eastAsia="Arial" w:hAnsi="Arial"/>
          <w:sz w:val="18"/>
          <w:szCs w:val="18"/>
          <w:color w:val="auto"/>
        </w:rPr>
        <w:t>June 2020. Dr. Heyman has served on the board of directors of ORIC Pharmaceuticals (NASDAQ: ORIC), a clinical-stage biopharmaceutical company, since March 2015 and was appointed the chairman of the board of directors in May 2018. Dr Heyman also served as ORIC Pharmaceuticals’s President and Chief Executive Officer, from November 2015 to May 2016, and as Acting President and Chief Executive Officer, from November 2017 to May 2018. Since June 2015, he has served as the Executive Chairman and Co-Founder of Metacrine, a private biotechnology company. Since 2019, Dr. Heyman has served as a venture partner for Arch Ventures, a venture capital firm. From August 2013 to April 2015, Dr. Heyman served as President and Chief Executive Officer of Seragon Pharmaceutical, which was acquired by Roche Genentech in 2014. Prior to that, he served as Co-Founder, President and Chief Executive Officer of Aragon Pharmaceuticals, a biotechnology company that was acquired by Johnson &amp; Johnson (NYSE: JNJ), a medical device, pharmaceutical and consumer packaged goods company, in 2013. Dr. Heyman currently also serves on the board of directors of Gritstone Oncology (NASDAQ: GRTS), an oncology company. He is Vice Chair of the Board of Trustees at the Salk Institute and serves on the Board Foundation for the American Association for Cancer Research and on the executive committee at the University of California at San Diego Moores Cancer Center. Dr. Heyman received a B.S. in Chemistry from the University of Connecticut and a Ph.D. in Pharmacology from the University of Minnesota. We believe that Dr. Heyman is qualified to serve on our board of directors because of his perspective having served as both an executive and director of similar corporations, including public companies, his scientific background and his extensive career in the biotechnology industry.</w:t>
      </w:r>
    </w:p>
    <w:p>
      <w:pPr>
        <w:spacing w:after="0" w:line="186"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b w:val="1"/>
          <w:bCs w:val="1"/>
          <w:color w:val="auto"/>
        </w:rPr>
        <w:t xml:space="preserve">Arnold Levine, Ph.D. </w:t>
      </w:r>
      <w:r>
        <w:rPr>
          <w:rFonts w:ascii="Arial" w:cs="Arial" w:eastAsia="Arial" w:hAnsi="Arial"/>
          <w:sz w:val="18"/>
          <w:szCs w:val="18"/>
          <w:color w:val="auto"/>
        </w:rPr>
        <w:t>has served as a member of our board of directors since June 2013. Since 2011, Dr. Levine has served as a</w:t>
      </w:r>
      <w:r>
        <w:rPr>
          <w:rFonts w:ascii="Arial" w:cs="Arial" w:eastAsia="Arial" w:hAnsi="Arial"/>
          <w:sz w:val="18"/>
          <w:szCs w:val="18"/>
          <w:b w:val="1"/>
          <w:bCs w:val="1"/>
          <w:color w:val="auto"/>
        </w:rPr>
        <w:t xml:space="preserve"> </w:t>
      </w:r>
      <w:r>
        <w:rPr>
          <w:rFonts w:ascii="Arial" w:cs="Arial" w:eastAsia="Arial" w:hAnsi="Arial"/>
          <w:sz w:val="18"/>
          <w:szCs w:val="18"/>
          <w:color w:val="auto"/>
        </w:rPr>
        <w:t>Professor Emeritus at The Simons Center for Systems Biology at the Institute for Advanced Study in Princeton, New Jersey, an institute he helped establish. Dr. Levine trained as a Postdoctoral Fellow at California Institute of Technology in the laboratory of Robert Sinsheimer. Dr. Levine is a widely acclaimed leader in cancer research. Dr. Levine currently serves on the board of directors of Meira GTX (NASDAQ: MGTX), a clinical-stage gene therapy company, GeneCentric Therapeutics, a private biomarker producer, and Chugai Pharmabody Research, a subsidiary of Chugai Pharmaceutical focused on utilizing proprietary antibody engineering technologies.</w:t>
      </w:r>
    </w:p>
    <w:p>
      <w:pPr>
        <w:spacing w:after="0" w:line="2"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Dr. Levine previously was a member of the board of directors of Adaptive Biotechnologies (NASDAQ: ADPT), a commercial-stage biotechnology company. In 1979, Dr. Levine and others discovered the p53 tumor suppressor protein. Dr. Levine helped shape U.S. science priorities as chairman of an influential 1996 review panel on federal AIDS research funding. He also chaired the National Cancer Advisory Board, which advises the National Academy of Sciences and its Institute of Medicine on cancer policy. He was elected to the National Academy of Sciences in 1991 and to its Institute of Medicine in 1995. In April 2001, Levine received the first Albany Medical Center Prize in Medicine and Biomedical Research, the largest annual prize in science or medicine offered in the United States. In 1968, Dr. Levine joined Princeton University as an Assistant Professor, becoming a Professor of biochemistry in 1976. In 1979, he moved to the SUNY Stony Brook School of Medicine to Chair the Department of Microbiology. He returned to Princeton in 1984 and between 1984 and 1996, he presided over a major expansion of Princeton’s life sciences programs as Chairman of the Department of Molecular Biology. From 1998 to 2002, Dr. Levine was President of the Rockefeller University. Dr. Levine received a B.A. from Harpur College, State University of New York and a Ph.D. in Microbiology from the University of Pennsylvania. We believe Dr. Levine is qualified to serve on our board of directors due to his extensive academic and professional experience in cancer research and molecular biology.</w:t>
      </w:r>
    </w:p>
    <w:p>
      <w:pPr>
        <w:spacing w:after="0" w:line="180" w:lineRule="exact"/>
        <w:rPr>
          <w:sz w:val="20"/>
          <w:szCs w:val="20"/>
          <w:color w:val="auto"/>
        </w:rPr>
      </w:pPr>
    </w:p>
    <w:p>
      <w:pPr>
        <w:ind w:left="120" w:right="200" w:firstLine="551"/>
        <w:spacing w:after="0" w:line="278" w:lineRule="auto"/>
        <w:rPr>
          <w:sz w:val="20"/>
          <w:szCs w:val="20"/>
          <w:color w:val="auto"/>
        </w:rPr>
      </w:pPr>
      <w:r>
        <w:rPr>
          <w:rFonts w:ascii="Arial" w:cs="Arial" w:eastAsia="Arial" w:hAnsi="Arial"/>
          <w:sz w:val="18"/>
          <w:szCs w:val="18"/>
          <w:b w:val="1"/>
          <w:bCs w:val="1"/>
          <w:color w:val="auto"/>
        </w:rPr>
        <w:t xml:space="preserve">Arnold Oronsky, Ph.D. </w:t>
      </w:r>
      <w:r>
        <w:rPr>
          <w:rFonts w:ascii="Arial" w:cs="Arial" w:eastAsia="Arial" w:hAnsi="Arial"/>
          <w:sz w:val="18"/>
          <w:szCs w:val="18"/>
          <w:color w:val="auto"/>
        </w:rPr>
        <w:t>has served as a member of our board of directors since July 2013. Dr. Oronsky is a Managing Partner at</w:t>
      </w:r>
      <w:r>
        <w:rPr>
          <w:rFonts w:ascii="Arial" w:cs="Arial" w:eastAsia="Arial" w:hAnsi="Arial"/>
          <w:sz w:val="18"/>
          <w:szCs w:val="18"/>
          <w:b w:val="1"/>
          <w:bCs w:val="1"/>
          <w:color w:val="auto"/>
        </w:rPr>
        <w:t xml:space="preserve"> </w:t>
      </w:r>
      <w:r>
        <w:rPr>
          <w:rFonts w:ascii="Arial" w:cs="Arial" w:eastAsia="Arial" w:hAnsi="Arial"/>
          <w:sz w:val="18"/>
          <w:szCs w:val="18"/>
          <w:color w:val="auto"/>
        </w:rPr>
        <w:t>InterWest Venture Management Company, a venture capital firm</w:t>
      </w:r>
    </w:p>
    <w:p>
      <w:pPr>
        <w:spacing w:after="0" w:line="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5" w:right="459" w:bottom="1440" w:gutter="0" w:footer="0" w:header="0"/>
        </w:sectPr>
      </w:pPr>
    </w:p>
    <w:bookmarkStart w:id="159" w:name="page160"/>
    <w:bookmarkEnd w:id="1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investing primarily in information technology and healthcare companies. Dr. Oronsky has worked at InterWest Partners since 1994. In addition, Dr. Oronsky also serves as a Senior Lecturer in the Department of Medicine at Johns Hopkins Medical School. Prior to joining InterWest Partners, Dr. Oronsky served as the Vice President for discovery research of the Lederle Laboratories division of American Cyanamid Company, where he directed the research for new drugs. Dr. Oronsky has published over 125 scientific articles and has served on the board of directors of Centrexion Therapeutics since 2013, Dynavax Technologies (NASDAQ: DVAX) since 1996, Epicent Rx since 2003, KalVista Pharmaceuticals (NASDAQ: KALV) since 2016, Prothex Pharmaceuticals since 2007 and Sera Prognostics since 2015. Dr. Oronsky previously served as a director of Applied Genetic Technologies (NASDAQ: AGTC) from 2003 to 2017 and Tesaro, a biopharmaceutical company acquired by GSK, from 2011 to 2018. Dr. Oronsky received a A.B. degree in History from New York University and a Ph.D. in Immunology from Columbia University. We believe Dr. Oronsky is qualified to serve on our board of directors because of his experience in the healthcare industry as well as his prior experience on the boards of U.S. private and public companies.</w:t>
      </w:r>
    </w:p>
    <w:p>
      <w:pPr>
        <w:spacing w:after="0" w:line="178"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b w:val="1"/>
          <w:bCs w:val="1"/>
          <w:color w:val="auto"/>
        </w:rPr>
        <w:t xml:space="preserve">Thilo Schroeder, Ph.D. </w:t>
      </w:r>
      <w:r>
        <w:rPr>
          <w:rFonts w:ascii="Arial" w:cs="Arial" w:eastAsia="Arial" w:hAnsi="Arial"/>
          <w:sz w:val="18"/>
          <w:szCs w:val="18"/>
          <w:color w:val="auto"/>
        </w:rPr>
        <w:t>has served as a member of our board of directors since November 2019. Dr. Schroeder is a Partner at</w:t>
      </w:r>
      <w:r>
        <w:rPr>
          <w:rFonts w:ascii="Arial" w:cs="Arial" w:eastAsia="Arial" w:hAnsi="Arial"/>
          <w:sz w:val="18"/>
          <w:szCs w:val="18"/>
          <w:b w:val="1"/>
          <w:bCs w:val="1"/>
          <w:color w:val="auto"/>
        </w:rPr>
        <w:t xml:space="preserve"> </w:t>
      </w:r>
      <w:r>
        <w:rPr>
          <w:rFonts w:ascii="Arial" w:cs="Arial" w:eastAsia="Arial" w:hAnsi="Arial"/>
          <w:sz w:val="18"/>
          <w:szCs w:val="18"/>
          <w:color w:val="auto"/>
        </w:rPr>
        <w:t>Nextech Invest Ltd. and has worked there since July 2012. Dr. Schroeder began his career at the pioneering cancer immunology company Micromet (acquired by Amgen) while studying at Ecole Supérieure de Biotechnologie de Strasbourg (ESBS) and conducting research at the University of Sydney. Dr. Schroeder currently serves as a member of the board of directors of Revolution Medicines (NASDAQ: RVMD), IDEAYA Biosciences (NASDAQ: IDYA), Circle Pharma, Silverback Therapeutics and MOMA Therapeutics. Dr. Schroeder was previously a member of the board of directors of ImaginAb, Blueprint Medicines (NASDAQ: BPMC) and Peloton Therapeutics (acquired by Merck). Dr. Schroeder studied biotechnology, protein biochemistry and process engineering at ESBS and received a Ph.D. in Biochemistry from the University of Zurich. We believe Dr. Schroeder is qualified to serve on our board of directors due to his professional experience as well as his prior experience serving on the boards of U.S. private and public companies.</w:t>
      </w:r>
    </w:p>
    <w:p>
      <w:pPr>
        <w:spacing w:after="0" w:line="176"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b w:val="1"/>
          <w:bCs w:val="1"/>
          <w:color w:val="auto"/>
        </w:rPr>
        <w:t xml:space="preserve">Laurie Stelzer </w:t>
      </w:r>
      <w:r>
        <w:rPr>
          <w:rFonts w:ascii="Arial" w:cs="Arial" w:eastAsia="Arial" w:hAnsi="Arial"/>
          <w:sz w:val="18"/>
          <w:szCs w:val="18"/>
          <w:color w:val="auto"/>
        </w:rPr>
        <w:t>has served as a member of our board of directors since August 2020. Ms. Stelzer has served as Executive Vice</w:t>
      </w:r>
      <w:r>
        <w:rPr>
          <w:rFonts w:ascii="Arial" w:cs="Arial" w:eastAsia="Arial" w:hAnsi="Arial"/>
          <w:sz w:val="18"/>
          <w:szCs w:val="18"/>
          <w:b w:val="1"/>
          <w:bCs w:val="1"/>
          <w:color w:val="auto"/>
        </w:rPr>
        <w:t xml:space="preserve"> </w:t>
      </w:r>
      <w:r>
        <w:rPr>
          <w:rFonts w:ascii="Arial" w:cs="Arial" w:eastAsia="Arial" w:hAnsi="Arial"/>
          <w:sz w:val="18"/>
          <w:szCs w:val="18"/>
          <w:color w:val="auto"/>
        </w:rPr>
        <w:t>President and Chief Financial Officer of Arena Pharmaceuticals, Inc. (NASDAQ: ARNA), a biopharmaceutical company, since March 2020. She has also served on the board of directors of Surface Oncology, Inc. (NASDAQ: SURF), a clinical-stage immuno-oncology company, since January 2018. Prior to joining Arena Pharmaceuticals, Ms. Stelzer was the Chief Financial Officer at Halozyme Therapeutics, Inc. (NASDAQ: HALO), a biopharma technology platform company, from June 2015 to March 2020, where she led the Finance, Information Technology, Business Development, Project Management and Site Operations organizations. Prior to joining Halozyme Therapeutics, Ms. Stelzer held senior management roles at Shire Plc (acquired by Takeda), including Senior Vice President of Finance, Division Chief Financial Officer for the Regenerative Medicine Division and Head of Investor Relations. Previously, she also worked at Amgen, Inc. (NASDAQ: AMGN), a global biopharmaceutical company, for 15 years, serving in positions of increasing responsibility in the areas of Finance, Treasury, Global Accounting and International/Emerging Markets. Ms. Stelzer received her B.S. in Accounting from Arizona State University and her M.B.A. from University of California, Los Angeles, Anderson School of Management. We believe that Ms. Stelzer is qualified to serve on our board of directors because of her extensive executive and financial experience at multiple public companies in the biopharmaceutical and biotechnology industries.</w:t>
      </w:r>
    </w:p>
    <w:p>
      <w:pPr>
        <w:spacing w:after="0" w:line="180" w:lineRule="exact"/>
        <w:rPr>
          <w:sz w:val="20"/>
          <w:szCs w:val="20"/>
          <w:color w:val="auto"/>
        </w:rPr>
      </w:pPr>
    </w:p>
    <w:p>
      <w:pPr>
        <w:ind w:left="120" w:right="60" w:firstLine="551"/>
        <w:spacing w:after="0" w:line="249" w:lineRule="auto"/>
        <w:rPr>
          <w:sz w:val="20"/>
          <w:szCs w:val="20"/>
          <w:color w:val="auto"/>
        </w:rPr>
      </w:pPr>
      <w:r>
        <w:rPr>
          <w:rFonts w:ascii="Arial" w:cs="Arial" w:eastAsia="Arial" w:hAnsi="Arial"/>
          <w:sz w:val="18"/>
          <w:szCs w:val="18"/>
          <w:b w:val="1"/>
          <w:bCs w:val="1"/>
          <w:color w:val="auto"/>
        </w:rPr>
        <w:t xml:space="preserve">Peter Thompson, M.D. </w:t>
      </w:r>
      <w:r>
        <w:rPr>
          <w:rFonts w:ascii="Arial" w:cs="Arial" w:eastAsia="Arial" w:hAnsi="Arial"/>
          <w:sz w:val="18"/>
          <w:szCs w:val="18"/>
          <w:color w:val="auto"/>
        </w:rPr>
        <w:t>has served as a member of our board of directors since November 2014. Dr. Thompson is a Private Equity</w:t>
      </w:r>
      <w:r>
        <w:rPr>
          <w:rFonts w:ascii="Arial" w:cs="Arial" w:eastAsia="Arial" w:hAnsi="Arial"/>
          <w:sz w:val="18"/>
          <w:szCs w:val="18"/>
          <w:b w:val="1"/>
          <w:bCs w:val="1"/>
          <w:color w:val="auto"/>
        </w:rPr>
        <w:t xml:space="preserve"> </w:t>
      </w:r>
      <w:r>
        <w:rPr>
          <w:rFonts w:ascii="Arial" w:cs="Arial" w:eastAsia="Arial" w:hAnsi="Arial"/>
          <w:sz w:val="18"/>
          <w:szCs w:val="18"/>
          <w:color w:val="auto"/>
        </w:rPr>
        <w:t>Partner at OrbiMed Advisors LLC, an investment firm focused on the healthcare sector, where he previously served as a Venture Partner. Dr. Thompson currently serves on the board of directors of Alpine Immune Sciences (NASDAQ: ALPN), a clinical-stage immunotherapy company, Corvus Pharmaceuticals (NASDAQ: CRVS), a clinical-stage precision medicine company,</w:t>
      </w: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140"/>
          </w:cols>
          <w:pgMar w:left="320" w:top="455" w:right="439" w:bottom="1440" w:gutter="0" w:footer="0" w:header="0"/>
        </w:sectPr>
      </w:pPr>
    </w:p>
    <w:bookmarkStart w:id="160" w:name="page161"/>
    <w:bookmarkEnd w:id="1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and Prevail Therapeutics (NASDAQ: PRVL), a precision medicine company focusing on neurodegenerative disorders. Dr. Thompson also currently serves on the board of directors of several private companies. Dr. Thompson has previously served on the board of directors of Adaptimmune Therapeutics (NASDAQ: ADAP), a clinical-stage biopharmaceutical company, Principia Biopharma (NASDAQ: PRNB), a late-stage biopharmaceutical company, and Synthorx (NASDAQ: THOR), a clinical-stage biotechnology company. Dr. Thompson has cofounded numerous companies, including Edgewise Therapeutics, Silverback Therapeutics and Cleave Biosciences. Dr. Thompson also previously served in executive leadership roles at Trubion Pharmaceuticals, Chiron and Becton, Dickinson and Company. Dr. Thompson is an Affiliate Professor of Neurosurgery at the University of Washington. In addition, Dr. Thompson holds numerous patents and is a board-certified internist and oncologist. Dr. Thompson received a B.S. in Molecular Biology and Mathematics from Brown University and a M.D. from Brown University Medical School. We believe Dr. Thompson’s experience in management and venture capital in the biopharmaceutical industry provides him with the qualifications and skills to serve as a member of our board of directors.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Key Employees</w:t>
      </w:r>
    </w:p>
    <w:p>
      <w:pPr>
        <w:spacing w:after="0" w:line="102" w:lineRule="exact"/>
        <w:rPr>
          <w:sz w:val="20"/>
          <w:szCs w:val="20"/>
          <w:color w:val="auto"/>
        </w:rPr>
      </w:pPr>
    </w:p>
    <w:p>
      <w:pPr>
        <w:ind w:left="120" w:right="240" w:firstLine="551"/>
        <w:spacing w:after="0"/>
        <w:rPr>
          <w:sz w:val="20"/>
          <w:szCs w:val="20"/>
          <w:color w:val="auto"/>
        </w:rPr>
      </w:pPr>
      <w:r>
        <w:rPr>
          <w:rFonts w:ascii="Arial" w:cs="Arial" w:eastAsia="Arial" w:hAnsi="Arial"/>
          <w:sz w:val="18"/>
          <w:szCs w:val="18"/>
          <w:b w:val="1"/>
          <w:bCs w:val="1"/>
          <w:color w:val="auto"/>
        </w:rPr>
        <w:t xml:space="preserve">Michael Carulli </w:t>
      </w:r>
      <w:r>
        <w:rPr>
          <w:rFonts w:ascii="Arial" w:cs="Arial" w:eastAsia="Arial" w:hAnsi="Arial"/>
          <w:sz w:val="18"/>
          <w:szCs w:val="18"/>
          <w:color w:val="auto"/>
        </w:rPr>
        <w:t>has served as our Vice President of Finance since May 2020. Prior to joining our company, Mr. Carulli was an</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Director of R&amp;D Financial Planning and Analysis at Celgene (now Bristol Myers Squibb) where he oversaw the financial and operational plans for the entire Research and Development organization. Mr. Carulli spent over ten years at Celgene where he held multiple positions with increasing responsibility working closely on the R&amp;D strategy, long range planning and financial partnering to the Business Development and Alliance Management team. Mr. Carulli was the Chief of Staff to the President of Research &amp; Early Development for two years, as well as the R&amp;D finance lead for the Bristol Myers Squibb integration and Otezla divestiture to Amgen. Combined, Mr. Carulli has over 20 years of financial management experience and has led many process improvement initiatives and implemented several business intelligence technology solutions. He received a B.S. in Marketing and Management from Siena College and a M.B.A. from Fordham University.</w:t>
      </w:r>
    </w:p>
    <w:p>
      <w:pPr>
        <w:spacing w:after="0" w:line="176"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b w:val="1"/>
          <w:bCs w:val="1"/>
          <w:color w:val="auto"/>
        </w:rPr>
        <w:t xml:space="preserve">Melissa Dumble, Ph.D. </w:t>
      </w:r>
      <w:r>
        <w:rPr>
          <w:rFonts w:ascii="Arial" w:cs="Arial" w:eastAsia="Arial" w:hAnsi="Arial"/>
          <w:sz w:val="18"/>
          <w:szCs w:val="18"/>
          <w:color w:val="auto"/>
        </w:rPr>
        <w:t>has served as our Vice President of Preclinical Development and Translational Science since August 2020</w:t>
      </w:r>
      <w:r>
        <w:rPr>
          <w:rFonts w:ascii="Arial" w:cs="Arial" w:eastAsia="Arial" w:hAnsi="Arial"/>
          <w:sz w:val="18"/>
          <w:szCs w:val="18"/>
          <w:b w:val="1"/>
          <w:bCs w:val="1"/>
          <w:color w:val="auto"/>
        </w:rPr>
        <w:t xml:space="preserve"> </w:t>
      </w:r>
      <w:r>
        <w:rPr>
          <w:rFonts w:ascii="Arial" w:cs="Arial" w:eastAsia="Arial" w:hAnsi="Arial"/>
          <w:sz w:val="18"/>
          <w:szCs w:val="18"/>
          <w:color w:val="auto"/>
        </w:rPr>
        <w:t>and previously served as our Vice President of Pharmacology and Translational Medicine from October 2017 to August 2020. Prior to joining our company, Dr. Dumble was a Research Leader at Bristol-Myers Squibb (BMS, Lawrenceville site) developing small molecules to regulate tumor intrinsic targets that may sensitize cancers to immuno-oncology agents. Before her tenure at BMS, she worked at PTC Therapeutics and Enzon Pharmaceuticals, leading drug discovery projects in oncology, infectious disease and genetic disorders from lead optimization to clinical trials. Dr. Dumble began her career at GSK Oncology, training as a pharmacologist and working on many of the marketed kinase inhibitors (e.g. Votrient</w:t>
      </w:r>
      <w:r>
        <w:rPr>
          <w:rFonts w:ascii="Arial" w:cs="Arial" w:eastAsia="Arial" w:hAnsi="Arial"/>
          <w:sz w:val="15"/>
          <w:szCs w:val="15"/>
          <w:color w:val="auto"/>
        </w:rPr>
        <w:t>TM</w:t>
      </w:r>
      <w:r>
        <w:rPr>
          <w:rFonts w:ascii="Arial" w:cs="Arial" w:eastAsia="Arial" w:hAnsi="Arial"/>
          <w:sz w:val="18"/>
          <w:szCs w:val="18"/>
          <w:color w:val="auto"/>
        </w:rPr>
        <w:t>, Mekinist</w:t>
      </w:r>
      <w:r>
        <w:rPr>
          <w:rFonts w:ascii="Arial" w:cs="Arial" w:eastAsia="Arial" w:hAnsi="Arial"/>
          <w:sz w:val="15"/>
          <w:szCs w:val="15"/>
          <w:color w:val="auto"/>
        </w:rPr>
        <w:t>TM</w:t>
      </w:r>
      <w:r>
        <w:rPr>
          <w:rFonts w:ascii="Arial" w:cs="Arial" w:eastAsia="Arial" w:hAnsi="Arial"/>
          <w:sz w:val="18"/>
          <w:szCs w:val="18"/>
          <w:color w:val="auto"/>
        </w:rPr>
        <w:t>, Tafinlar</w:t>
      </w:r>
      <w:r>
        <w:rPr>
          <w:rFonts w:ascii="Arial" w:cs="Arial" w:eastAsia="Arial" w:hAnsi="Arial"/>
          <w:sz w:val="15"/>
          <w:szCs w:val="15"/>
          <w:color w:val="auto"/>
        </w:rPr>
        <w:t>TM</w:t>
      </w:r>
      <w:r>
        <w:rPr>
          <w:rFonts w:ascii="Arial" w:cs="Arial" w:eastAsia="Arial" w:hAnsi="Arial"/>
          <w:sz w:val="18"/>
          <w:szCs w:val="18"/>
          <w:color w:val="auto"/>
        </w:rPr>
        <w:t>). In addition, she led the team of scientists developing an oral Akt inhibitor to clinical trials. Dr. Dumble has co-authored over 20 manuscripts and is an inventor on 5 issued patents. Dr. Dumble received a B.S. in Biochemistry and Human Biology and a Ph.D. in Cell and Molecular Biology from the University of Western Australia. She also completed a Postdoctoral Fellowship at Baylor College of Medicine, Houston. Her studies were based on understanding the role of p53 in stem cell dynamics, cancer and aging.</w:t>
      </w:r>
    </w:p>
    <w:p>
      <w:pPr>
        <w:spacing w:after="0" w:line="176"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b w:val="1"/>
          <w:bCs w:val="1"/>
          <w:color w:val="auto"/>
        </w:rPr>
        <w:t xml:space="preserve">Robert Ticktin </w:t>
      </w:r>
      <w:r>
        <w:rPr>
          <w:rFonts w:ascii="Arial" w:cs="Arial" w:eastAsia="Arial" w:hAnsi="Arial"/>
          <w:sz w:val="18"/>
          <w:szCs w:val="18"/>
          <w:color w:val="auto"/>
        </w:rPr>
        <w:t>has served as our General Counsel since August 2020, and served as our part-time legal consultant from May to</w:t>
      </w:r>
      <w:r>
        <w:rPr>
          <w:rFonts w:ascii="Arial" w:cs="Arial" w:eastAsia="Arial" w:hAnsi="Arial"/>
          <w:sz w:val="18"/>
          <w:szCs w:val="18"/>
          <w:b w:val="1"/>
          <w:bCs w:val="1"/>
          <w:color w:val="auto"/>
        </w:rPr>
        <w:t xml:space="preserve"> </w:t>
      </w:r>
      <w:r>
        <w:rPr>
          <w:rFonts w:ascii="Arial" w:cs="Arial" w:eastAsia="Arial" w:hAnsi="Arial"/>
          <w:sz w:val="18"/>
          <w:szCs w:val="18"/>
          <w:color w:val="auto"/>
        </w:rPr>
        <w:t>August 2020. Prior to joining our company, Mr. Ticktin was Associate General Counsel, Corporate, at Tesaro, Inc., a development and commercial oncology company (acquired by GSK), where he spent three years leading corporate legal matters, including SEC reporting, business development and alliance management support. Prior to that, Mr. Ticktin was SVP and General Counsel for three years at Epirus Biopharmaceuticals, a biosimilar start-up. Before his tenure at Epirus, Mr. Ticktin spent ten years at Amgen Inc., where he held various leadership positions in Amgen’s legal department. Mr. Ticktin commenced his legal career in New York City at global law</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00"/>
          </w:cols>
          <w:pgMar w:left="320" w:top="455" w:right="479" w:bottom="1440" w:gutter="0" w:footer="0" w:header="0"/>
        </w:sectPr>
      </w:pPr>
    </w:p>
    <w:bookmarkStart w:id="161" w:name="page162"/>
    <w:bookmarkEnd w:id="1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780"/>
        <w:spacing w:after="0" w:line="276" w:lineRule="auto"/>
        <w:rPr>
          <w:sz w:val="20"/>
          <w:szCs w:val="20"/>
          <w:color w:val="auto"/>
        </w:rPr>
      </w:pPr>
      <w:r>
        <w:rPr>
          <w:rFonts w:ascii="Arial" w:cs="Arial" w:eastAsia="Arial" w:hAnsi="Arial"/>
          <w:sz w:val="18"/>
          <w:szCs w:val="18"/>
          <w:color w:val="auto"/>
        </w:rPr>
        <w:t>firms, Simpson Thacher &amp; Bartlett LLP and Latham &amp; Watkins LLP. Mr. Ticktin received a B.A. in Economics from The Ohio State University and a J.D. from Fordham University School of Law.</w:t>
      </w:r>
    </w:p>
    <w:p>
      <w:pPr>
        <w:spacing w:after="0" w:line="143"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b w:val="1"/>
          <w:bCs w:val="1"/>
          <w:color w:val="auto"/>
        </w:rPr>
        <w:t xml:space="preserve">Binh Vu, Ph.D. </w:t>
      </w:r>
      <w:r>
        <w:rPr>
          <w:rFonts w:ascii="Arial" w:cs="Arial" w:eastAsia="Arial" w:hAnsi="Arial"/>
          <w:sz w:val="18"/>
          <w:szCs w:val="18"/>
          <w:color w:val="auto"/>
        </w:rPr>
        <w:t>has served as our Vice President of Drug Discovery and Chemistry, Manufacturing and Controls since August 2020</w:t>
      </w:r>
      <w:r>
        <w:rPr>
          <w:rFonts w:ascii="Arial" w:cs="Arial" w:eastAsia="Arial" w:hAnsi="Arial"/>
          <w:sz w:val="18"/>
          <w:szCs w:val="18"/>
          <w:b w:val="1"/>
          <w:bCs w:val="1"/>
          <w:color w:val="auto"/>
        </w:rPr>
        <w:t xml:space="preserve"> </w:t>
      </w:r>
      <w:r>
        <w:rPr>
          <w:rFonts w:ascii="Arial" w:cs="Arial" w:eastAsia="Arial" w:hAnsi="Arial"/>
          <w:sz w:val="18"/>
          <w:szCs w:val="18"/>
          <w:color w:val="auto"/>
        </w:rPr>
        <w:t>and previously served as our Vice President of Chemistry from June 2015 to August 2020, Director of Research from September 2013 to October 2014 and our Vice President of Pre-Clinical Discovery from November 2014 to May 2015. Prior to joining our company, Dr. Vu was a Research Leader at Roche where he spent 15 years working in small molecule oncology drug discovery. While at Roche, Dr. Vu was a key contributor to the discovery and development of Nutlins, small molecule MDM2 antagonists which target the p53 pathway. He has extensively published on p53 biology and drug discovery, and is an inventor on 14 issued U.S. patents. Dr. Vu received a B.S. in Chemistry from the University of California, Irvine and a Ph.D. in Chemistry from the University of California, Los Angeles. He also completed an NIH Postdoctoral Fellowship at the University of Texas at Austin.</w:t>
      </w:r>
    </w:p>
    <w:p>
      <w:pPr>
        <w:spacing w:after="0" w:line="28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Board Composition</w:t>
      </w:r>
    </w:p>
    <w:p>
      <w:pPr>
        <w:spacing w:after="0" w:line="214" w:lineRule="exact"/>
        <w:rPr>
          <w:sz w:val="20"/>
          <w:szCs w:val="20"/>
          <w:color w:val="auto"/>
        </w:rPr>
      </w:pPr>
    </w:p>
    <w:p>
      <w:pPr>
        <w:ind w:left="120" w:right="120" w:firstLine="551"/>
        <w:spacing w:after="0" w:line="243" w:lineRule="auto"/>
        <w:rPr>
          <w:sz w:val="20"/>
          <w:szCs w:val="20"/>
          <w:color w:val="auto"/>
        </w:rPr>
      </w:pPr>
      <w:r>
        <w:rPr>
          <w:rFonts w:ascii="Arial" w:cs="Arial" w:eastAsia="Arial" w:hAnsi="Arial"/>
          <w:sz w:val="18"/>
          <w:szCs w:val="18"/>
          <w:color w:val="auto"/>
        </w:rPr>
        <w:t>Our board of directors currently consists of seven members. After the completion of this offering, the number of directors will be fixed by our board of directors, subject to the terms of our amended and restated certificate of incorporation and amended and restated bylaws. The voting agreement and the provisions of our current certificate of incorporation that govern the election and designation of our directors will terminate in connection with this offering, after which no contractual obligations will concern the election of our directors. Each of our current directors will continue to serve as a director until the election and qualification of his or her successor, or until his or her earlier death, resignation or removal.</w:t>
      </w: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Classified Board of Directors</w:t>
      </w:r>
    </w:p>
    <w:p>
      <w:pPr>
        <w:spacing w:after="0" w:line="214"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Our amended and restated certificate of incorporation, which will be effective immediately prior to the completion of this offering, will provide that our board of directors will be divided into three classes with staggered three-year terms. Only one class of directors will be elected at each annual meeting of stockholders, with the other classes continuing for the remainder of their respective three-year terms. Our directors will be divided among the three classes as follows:</w:t>
      </w:r>
    </w:p>
    <w:p>
      <w:pPr>
        <w:spacing w:after="0" w:line="76" w:lineRule="exact"/>
        <w:rPr>
          <w:sz w:val="20"/>
          <w:szCs w:val="20"/>
          <w:color w:val="auto"/>
        </w:rPr>
      </w:pPr>
    </w:p>
    <w:p>
      <w:pPr>
        <w:ind w:left="880" w:right="60" w:hanging="224"/>
        <w:spacing w:after="0" w:line="276" w:lineRule="auto"/>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Class I directors will be Thilo Schroeder, Ph.D. and Peter Thompson, M.D., and their terms will expire at the annual meeting of stockholders to be held in 2021;</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Class II directors will be Arnold Levine, Ph.D. and Arnold Oronsky, Ph.D., and their terms will expire at the annual meeting of stockholders to be held in 2022; and</w:t>
      </w:r>
    </w:p>
    <w:p>
      <w:pPr>
        <w:spacing w:after="0" w:line="50"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Class III directors will be Richard Heyman, Ph.D., Laurie Stelzer and David H. Mack, Ph.D., and their terms will expire at the annual meeting of stockholders to be held in 2023.</w:t>
      </w:r>
    </w:p>
    <w:p>
      <w:pPr>
        <w:spacing w:after="0" w:line="145"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At each annual meeting of stockholders, upon the expiration of the term of a class of directors, the successor to each such director in the class will be elected to serve from the time of election and qualification until the third annual meeting following his or her election and until his or her successor is duly elected and qualified, in accordance with our amended and restated certificate of incorporation and amended and restated bylaws. Any additional directorships resulting from an increase in the number of directors will be distributed among the three classes so that, as nearly as possible, each class will consist of one third of our directors. This classification of our board of directors may have the effect of delaying or preventing changes in control of our company.</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20"/>
          </w:cols>
          <w:pgMar w:left="320" w:top="455" w:right="459" w:bottom="1440" w:gutter="0" w:footer="0" w:header="0"/>
        </w:sectPr>
      </w:pPr>
    </w:p>
    <w:bookmarkStart w:id="162" w:name="page163"/>
    <w:bookmarkEnd w:id="1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Director Independence</w:t>
      </w:r>
    </w:p>
    <w:p>
      <w:pPr>
        <w:spacing w:after="0" w:line="21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We have applied to list our common stock on the Nasdaq Global Market. Under the rules of the Nasdaq Stock Market LLC, or Nasdaq, independent directors must comprise a majority of a listed company’s board of directors within one year of the completion of this offering. In addition, the rules of Nasdaq require that, subject to specified exceptions, each member of a listed company’s audit, compensation and corporate governance and nominating committees be independent. Audit committee members and compensation committee members must also satisfy the independence criteria set forth in Rule 10A-3 and Rule 10C-1, respectively, under the Securities Exchange Act of 1934, as amended, or Exchange Act.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80"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To be considered to be independent for purposes of Rule 10A-3 and under the rules of Nasdaq,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spacing w:after="0" w:line="170"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To be considered independent for purposes of Rule 10C-1 and under the rules of Nasdaq, the board of directors of a listed company must affirmatively determine that each member of the compensation committee is independent, including a consideration of all factors specifically relevant to determining whether the director has a relationship to the company that is material to that director’s ability to be independent from management in connection with the duties of a compensation committee member, including, but not limited to: (i) the source of compensation of such director, including any consulting, advisory or other compensatory fee paid by the company to such director and (ii) whether such director is affiliated with the company, a subsidiary of the company or an affiliate of a subsidiary of the company.</w:t>
      </w:r>
    </w:p>
    <w:p>
      <w:pPr>
        <w:spacing w:after="0" w:line="179"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Our board of directors undertook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Richard Heyman, Ph.D., Arnold Levine, Ph.D., Arnold Oronsky, Ph.D., Thilo Schroeder, Ph.D., Laurie Stelzer and Peter Thompson, M.D., representing six of our seven directors, do not have a relationship that would interfere with the exercise of independent judgment in carrying out the responsibilities of a director and that each of these directors is “independent” as that term is defined under the rules of Nasdaq. Dr. Mack is not an independent director because he is our President and Chief Executive Officer.</w:t>
      </w:r>
    </w:p>
    <w:p>
      <w:pPr>
        <w:spacing w:after="0" w:line="180"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capital stock by each non-employee director, and the transactions involving them described in the section titled “Certain Relationships and Related Party Transactions.” There are no family relationships among any of our directors or executive officers.</w:t>
      </w:r>
    </w:p>
    <w:p>
      <w:pPr>
        <w:spacing w:after="0" w:line="27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Board Leadership Structure</w:t>
      </w:r>
    </w:p>
    <w:p>
      <w:pPr>
        <w:spacing w:after="0" w:line="214" w:lineRule="exact"/>
        <w:rPr>
          <w:sz w:val="20"/>
          <w:szCs w:val="20"/>
          <w:color w:val="auto"/>
        </w:rPr>
      </w:pPr>
    </w:p>
    <w:p>
      <w:pPr>
        <w:ind w:left="120" w:right="520" w:firstLine="551"/>
        <w:spacing w:after="0" w:line="276" w:lineRule="auto"/>
        <w:rPr>
          <w:sz w:val="20"/>
          <w:szCs w:val="20"/>
          <w:color w:val="auto"/>
        </w:rPr>
      </w:pPr>
      <w:r>
        <w:rPr>
          <w:rFonts w:ascii="Arial" w:cs="Arial" w:eastAsia="Arial" w:hAnsi="Arial"/>
          <w:sz w:val="18"/>
          <w:szCs w:val="18"/>
          <w:color w:val="auto"/>
        </w:rPr>
        <w:t>Our board of directors is currently chaired by Richard Heyman, Ph.D. As a general policy, our board of directors believes that separation of the positions of chair of our board of directors and Chief</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100"/>
          </w:cols>
          <w:pgMar w:left="320" w:top="455" w:right="479" w:bottom="1440" w:gutter="0" w:footer="0" w:header="0"/>
        </w:sectPr>
      </w:pPr>
    </w:p>
    <w:bookmarkStart w:id="163" w:name="page164"/>
    <w:bookmarkEnd w:id="1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5" w:lineRule="auto"/>
        <w:rPr>
          <w:sz w:val="20"/>
          <w:szCs w:val="20"/>
          <w:color w:val="auto"/>
        </w:rPr>
      </w:pPr>
      <w:r>
        <w:rPr>
          <w:rFonts w:ascii="Arial" w:cs="Arial" w:eastAsia="Arial" w:hAnsi="Arial"/>
          <w:sz w:val="18"/>
          <w:szCs w:val="18"/>
          <w:color w:val="auto"/>
        </w:rPr>
        <w:t>Executive Officer reinforces the independence of our board of directors from management, creates an environment that encourages objective oversight of management’s performance and enhances the effectiveness of our board of directors as a whole. As such, Dr. Mack serves as our Chief Executive Officer while Dr. Heyman serves as the chair of our board of directors, but is not an officer. We currently expect and intend the positions of chair of our board of directors and Chief Executive Officer to continue to be held by two individuals in the future.</w:t>
      </w:r>
    </w:p>
    <w:p>
      <w:pPr>
        <w:spacing w:after="0" w:line="2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Role of the Board in Risk Oversight</w:t>
      </w:r>
    </w:p>
    <w:p>
      <w:pPr>
        <w:spacing w:after="0" w:line="21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Our board of directors has an active role, as a whole and also at the committee level, in overseeing the management of our risks. Our board of directors is responsible for general oversight of risks and regular review of information regarding our risks, including credit risks, liquidity risks and operational risks. The audit committee is responsible for overseeing the management of risks relating to accounting matters and financial reporting. The compensation committee is responsible for overseeing the management of risks relating to our executive compensation plans and arrangements. The corporate governance and nominating committee is responsible for overseeing the management of risks associated with the independence of our board of directors and potential conflicts of interest. Although each committee is responsible for evaluating certain risks and overseeing the management of such risks, our entire board of directors is regularly informed through discussions from committee members about such risks. Our board of directors believes its administration of its risk oversight function has not negatively affected the board of directors’ leadership structure.</w:t>
      </w: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Board Committees</w:t>
      </w:r>
    </w:p>
    <w:p>
      <w:pPr>
        <w:spacing w:after="0" w:line="214"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Our board of directors has an audit committee, a compensation committee and a corporate governance and nominating committee, each of which has the composition and the responsibilities described below. Each committee intends to adopt a written charter that satisfies the applicable rules and regulations of the Securities Exchange Commission, or SEC, and the listing standards of Nasdaq, which we will post on our website at www.pmvpharma.com upon the completion of this offering. Information contained on, or that can be accessible through, our website is not a part of this prospectus and the inclusion of our website address in this prospectus is an inactive textual reference only.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04" w:lineRule="exact"/>
        <w:rPr>
          <w:sz w:val="20"/>
          <w:szCs w:val="20"/>
          <w:color w:val="auto"/>
        </w:rPr>
      </w:pPr>
    </w:p>
    <w:p>
      <w:pPr>
        <w:ind w:left="120" w:firstLine="551"/>
        <w:spacing w:after="0" w:line="256" w:lineRule="auto"/>
        <w:rPr>
          <w:sz w:val="20"/>
          <w:szCs w:val="20"/>
          <w:color w:val="auto"/>
        </w:rPr>
      </w:pPr>
      <w:r>
        <w:rPr>
          <w:rFonts w:ascii="Arial" w:cs="Arial" w:eastAsia="Arial" w:hAnsi="Arial"/>
          <w:sz w:val="17"/>
          <w:szCs w:val="17"/>
          <w:color w:val="auto"/>
        </w:rPr>
        <w:t>Upon the effectiveness of the registration statement of which this prospectus forms a part, the members of our audit committee will be Laurie Stelzer, Richard Heyman, Ph.D. and Thilo Schroeder, Ph.D., and Ms. Stelzer will be the chair of our audit committee. Our board of directors has determined that all members are independent under the listing standards of Nasdaq and Rule 10A-3(b)(1) of the Exchange Act and that Ms. Stelzer is an audit committee financial expert, as that term is defined under the SEC rules implementing Section 407 of the Sarbanes-Oxley Act of 2012, as amended, and possesses financial sophistication, as defined under the rules of Nasdaq. Our board of directors has also determined that each member of our audit committee can read and understand fundamental financial statements, in accordance with applicable requirements. Our audit committee will oversee our corporate accounting and financial reporting process and assist our board of directors in monitoring our financial systems. Among other matters, our audit committee will also:</w:t>
      </w:r>
    </w:p>
    <w:p>
      <w:pPr>
        <w:spacing w:after="0" w:line="73" w:lineRule="exact"/>
        <w:rPr>
          <w:sz w:val="20"/>
          <w:szCs w:val="20"/>
          <w:color w:val="auto"/>
        </w:rPr>
      </w:pPr>
    </w:p>
    <w:p>
      <w:pPr>
        <w:ind w:left="880" w:hanging="224"/>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select and hire the independent registered public accounting firm to audit our financial statements;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help to ensure the independence and performance of the independent registered public accounting firm;</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approve audit and non-audit services and fees;</w:t>
      </w:r>
    </w:p>
    <w:p>
      <w:pPr>
        <w:spacing w:after="0" w:line="117" w:lineRule="exact"/>
        <w:rPr>
          <w:rFonts w:ascii="Arial" w:cs="Arial" w:eastAsia="Arial" w:hAnsi="Arial"/>
          <w:sz w:val="18"/>
          <w:szCs w:val="18"/>
          <w:color w:val="auto"/>
        </w:rPr>
      </w:pPr>
    </w:p>
    <w:p>
      <w:pPr>
        <w:ind w:left="880" w:right="380" w:hanging="224"/>
        <w:spacing w:after="0" w:line="276" w:lineRule="auto"/>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review financial statements and discuss with management and the independent registered public accounting firm our annual audited and quarterly financial statements, the results of the</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5" w:right="459" w:bottom="1440" w:gutter="0" w:footer="0" w:header="0"/>
        </w:sectPr>
      </w:pPr>
    </w:p>
    <w:bookmarkStart w:id="164" w:name="page165"/>
    <w:bookmarkEnd w:id="1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spacing w:after="0" w:line="276" w:lineRule="auto"/>
        <w:rPr>
          <w:sz w:val="20"/>
          <w:szCs w:val="20"/>
          <w:color w:val="auto"/>
        </w:rPr>
      </w:pPr>
      <w:r>
        <w:rPr>
          <w:rFonts w:ascii="Arial" w:cs="Arial" w:eastAsia="Arial" w:hAnsi="Arial"/>
          <w:sz w:val="18"/>
          <w:szCs w:val="18"/>
          <w:color w:val="auto"/>
        </w:rPr>
        <w:t>independent audit and the quarterly reviews and the reports and certifications regarding internal controls over financial reporting and disclosure controls;</w:t>
      </w:r>
    </w:p>
    <w:p>
      <w:pPr>
        <w:spacing w:after="0" w:line="50" w:lineRule="exact"/>
        <w:rPr>
          <w:sz w:val="20"/>
          <w:szCs w:val="20"/>
          <w:color w:val="auto"/>
        </w:rPr>
      </w:pPr>
    </w:p>
    <w:p>
      <w:pPr>
        <w:ind w:left="880" w:hanging="224"/>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prepare the audit committee report that the SEC requires to be included in our annual proxy statement;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 reports and communications from the independent registered public accounting firm;</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 the adequacy and effectiveness of our internal controls and disclosure controls and procedures;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 our policies on risk assessment and risk management;</w:t>
      </w:r>
    </w:p>
    <w:p>
      <w:pPr>
        <w:spacing w:after="0" w:line="117"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 and monitor conflicts of interest situations, and approve or prohibit any involvement in matters that may involve a conflict of interest or taking of a corporate opportunity;</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review related party transactions; and</w:t>
      </w:r>
    </w:p>
    <w:p>
      <w:pPr>
        <w:spacing w:after="0" w:line="117" w:lineRule="exact"/>
        <w:rPr>
          <w:rFonts w:ascii="Arial" w:cs="Arial" w:eastAsia="Arial" w:hAnsi="Arial"/>
          <w:sz w:val="18"/>
          <w:szCs w:val="18"/>
          <w:color w:val="auto"/>
        </w:rPr>
      </w:pPr>
    </w:p>
    <w:p>
      <w:pPr>
        <w:ind w:left="880" w:right="120" w:hanging="224"/>
        <w:spacing w:after="0" w:line="276" w:lineRule="auto"/>
        <w:tabs>
          <w:tab w:leader="none" w:pos="8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establish and oversee procedures for the receipt, retention and treatment of accounting related complaints and the confidential submission by our employees of concerns regarding questionable accounting or auditing matters.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04"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Upon the effectiveness of the registration statement of which this prospectus forms a part, the members of our compensation committee will be Richard Heyman, Ph.D., Arnold Oronsky, Ph.D. and Peter Thompson, M.D., and Dr. Heyman will be the chair of our compensation committee. Our board of directors has determined that all members are independent under the listing standards of Nasdaq and are “non-employee directors” as defined in Rule 16b-3 promulgated under the Exchange Act. Our compensation committee will oversee our compensation policies, plans and benefits programs. Among other matters, our compensation committee will also:</w:t>
      </w:r>
    </w:p>
    <w:p>
      <w:pPr>
        <w:spacing w:after="0" w:line="78" w:lineRule="exact"/>
        <w:rPr>
          <w:sz w:val="20"/>
          <w:szCs w:val="20"/>
          <w:color w:val="auto"/>
        </w:rPr>
      </w:pPr>
    </w:p>
    <w:p>
      <w:pPr>
        <w:ind w:left="880" w:hanging="224"/>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oversee our overall compensation philosophy and compensation policies, plans and benefit programs;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review and approve or recommend to the board of directors for approval compensation for our executive officers and directors;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prepare the compensation committee report that the SEC will require to be included in our annual proxy statement;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administer our equity compensation plans.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Corporate Governance and Nominating Committee</w:t>
      </w:r>
    </w:p>
    <w:p>
      <w:pPr>
        <w:spacing w:after="0" w:line="104" w:lineRule="exact"/>
        <w:rPr>
          <w:sz w:val="20"/>
          <w:szCs w:val="20"/>
          <w:color w:val="auto"/>
        </w:rPr>
      </w:pPr>
    </w:p>
    <w:p>
      <w:pPr>
        <w:ind w:left="120" w:right="120" w:firstLine="551"/>
        <w:spacing w:after="0" w:line="243" w:lineRule="auto"/>
        <w:rPr>
          <w:sz w:val="20"/>
          <w:szCs w:val="20"/>
          <w:color w:val="auto"/>
        </w:rPr>
      </w:pPr>
      <w:r>
        <w:rPr>
          <w:rFonts w:ascii="Arial" w:cs="Arial" w:eastAsia="Arial" w:hAnsi="Arial"/>
          <w:sz w:val="18"/>
          <w:szCs w:val="18"/>
          <w:color w:val="auto"/>
        </w:rPr>
        <w:t>Upon the effectiveness of the registration statement of which this prospectus forms a part, the members of our corporate governance and nominating committee will be Peter Thompson, M.D., Richard Heyman, Ph.D. and Thilo Schroeder, Ph.D., and Dr. Thompson will be the chair of our corporate governance and nominating committee. Our board of directors has determined that all members of the corporate governance and nominating committee are independent under the listing standards of Nasdaq. Our corporate governance and nominating committee will oversee and assist our board of directors in reviewing and recommending nominees for election as directors. Among other matters, our corporate governance and nominating committee will:</w:t>
      </w:r>
    </w:p>
    <w:p>
      <w:pPr>
        <w:spacing w:after="0" w:line="79" w:lineRule="exact"/>
        <w:rPr>
          <w:sz w:val="20"/>
          <w:szCs w:val="20"/>
          <w:color w:val="auto"/>
        </w:rPr>
      </w:pPr>
    </w:p>
    <w:p>
      <w:pPr>
        <w:ind w:left="880" w:right="20" w:hanging="224"/>
        <w:spacing w:after="0" w:line="276" w:lineRule="auto"/>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identify, evaluate and make recommendations to our board of directors regarding nominees for election to our board of directors and its committees;</w:t>
      </w:r>
    </w:p>
    <w:p>
      <w:pPr>
        <w:spacing w:after="0" w:line="7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040"/>
          </w:cols>
          <w:pgMar w:left="320" w:top="455" w:right="539" w:bottom="1440" w:gutter="0" w:footer="0" w:header="0"/>
        </w:sectPr>
      </w:pPr>
    </w:p>
    <w:bookmarkStart w:id="165" w:name="page166"/>
    <w:bookmarkEnd w:id="1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620" w:hanging="224"/>
        <w:spacing w:after="0" w:line="276" w:lineRule="auto"/>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consider and make recommendations to our board of directors regarding the composition of our board of directors and its committees;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 developments in corporate governance practices;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evaluate the adequacy of our corporate governance practices and reporting;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evaluate the performance of our board of directors and of individual directors.</w:t>
      </w:r>
    </w:p>
    <w:p>
      <w:pPr>
        <w:spacing w:after="0" w:line="3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14" w:lineRule="exact"/>
        <w:rPr>
          <w:sz w:val="20"/>
          <w:szCs w:val="20"/>
          <w:color w:val="auto"/>
        </w:rPr>
      </w:pPr>
    </w:p>
    <w:p>
      <w:pPr>
        <w:jc w:val="both"/>
        <w:ind w:left="120" w:right="20" w:firstLine="551"/>
        <w:spacing w:after="0" w:line="248" w:lineRule="auto"/>
        <w:rPr>
          <w:sz w:val="20"/>
          <w:szCs w:val="20"/>
          <w:color w:val="auto"/>
        </w:rPr>
      </w:pPr>
      <w:r>
        <w:rPr>
          <w:rFonts w:ascii="Arial" w:cs="Arial" w:eastAsia="Arial" w:hAnsi="Arial"/>
          <w:sz w:val="18"/>
          <w:szCs w:val="18"/>
          <w:color w:val="auto"/>
        </w:rPr>
        <w:t>None of the members of our compensation committee is or has been an officer or employee of our company. None of our executive officers currently serves, or in the past fiscal year has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compensation committee.</w:t>
      </w:r>
    </w:p>
    <w:p>
      <w:pPr>
        <w:spacing w:after="0" w:line="170"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Dr. Heyman and Dr. Levine have or may be deemed to have an interest in certain transactions requiring disclosure under Item 404 of Regulation S-K under the Securities Act of 1933, as amended, or Securities Act. These transactions between us and members of our compensation committee and affiliates of such members are disclosed in “Certain Relationships and Related Party Transactions,” and such disclosure is incorporated by reference herein.</w:t>
      </w: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Scientific Advisory Board</w:t>
      </w:r>
    </w:p>
    <w:p>
      <w:pPr>
        <w:spacing w:after="0" w:line="214"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 xml:space="preserve">We have established a scientific advisory board composed of leading academic and industry scientists. We seek advice and input from these scientists on an </w:t>
      </w:r>
      <w:r>
        <w:rPr>
          <w:rFonts w:ascii="Arial" w:cs="Arial" w:eastAsia="Arial" w:hAnsi="Arial"/>
          <w:sz w:val="18"/>
          <w:szCs w:val="18"/>
          <w:i w:val="1"/>
          <w:iCs w:val="1"/>
          <w:color w:val="auto"/>
        </w:rPr>
        <w:t>ad hoc</w:t>
      </w:r>
      <w:r>
        <w:rPr>
          <w:rFonts w:ascii="Arial" w:cs="Arial" w:eastAsia="Arial" w:hAnsi="Arial"/>
          <w:sz w:val="18"/>
          <w:szCs w:val="18"/>
          <w:color w:val="auto"/>
        </w:rPr>
        <w:t xml:space="preserve"> basis, individually or as a group, to provide scientific and clinical feedback and advice related to our research and development platform and programs. The members of our advisory board consist of experts across a range of key disciplines relevant to our programs. Except for Drs. Levine and Heyman, who are members of our board of directors, our advisors are not our employees or directors and have no decision-making authority over our activities. Our advisors may have commitments to, or consulting or advisory contracts with, other entities that may limit their availability to us. In addition, our advisors may have arrangements with other companies to assist those companies in developing products or technologies that may compete with ours. All of our advisors are affiliated with other entities and devote only a small portion of their time to us. Our advisors receive cash and equity compensation based upon consulting services rendered.</w:t>
      </w: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Code of Business Conduct and Ethics</w:t>
      </w:r>
    </w:p>
    <w:p>
      <w:pPr>
        <w:spacing w:after="0" w:line="21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Prior to the completion of this offering, we intend to adopt a written code of business conduct and ethics that will apply to our directors, officers and employees, including our principal executive officer, principal financial officer, principal accounting officer or controller or persons performing similar functions. Following this offering, the code of business conduct and ethics will be available on our website at www.pmvpharma.com. We intend to disclose future amendments to such code, or any waivers of its requirements, applicable to any principal executive officer, principal financial officer, principal accounting officer or controller or persons performing similar functions or our directors on our website identified above. Information contained on, or that can be accessible through, our website is not a part of this prospectus and the inclusion of our website address in this prospectus is an inactive textual reference only.</w:t>
      </w:r>
    </w:p>
    <w:p>
      <w:pPr>
        <w:spacing w:after="0" w:line="2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Director Compensation</w:t>
      </w:r>
    </w:p>
    <w:p>
      <w:pPr>
        <w:spacing w:after="0" w:line="214" w:lineRule="exact"/>
        <w:rPr>
          <w:sz w:val="20"/>
          <w:szCs w:val="20"/>
          <w:color w:val="auto"/>
        </w:rPr>
      </w:pPr>
    </w:p>
    <w:p>
      <w:pPr>
        <w:ind w:left="120" w:right="460" w:firstLine="551"/>
        <w:spacing w:after="0" w:line="276" w:lineRule="auto"/>
        <w:rPr>
          <w:sz w:val="20"/>
          <w:szCs w:val="20"/>
          <w:color w:val="auto"/>
        </w:rPr>
      </w:pPr>
      <w:r>
        <w:rPr>
          <w:rFonts w:ascii="Arial" w:cs="Arial" w:eastAsia="Arial" w:hAnsi="Arial"/>
          <w:sz w:val="18"/>
          <w:szCs w:val="18"/>
          <w:color w:val="auto"/>
        </w:rPr>
        <w:t>Prior to this offering, we did not have a formal policy with respect to compensation payable to our non-employee directors. We reimburse our directors for expenses associated with attending meetings of our board of directors and its committees.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20"/>
          </w:cols>
          <w:pgMar w:left="320" w:top="455" w:right="459" w:bottom="1440" w:gutter="0" w:footer="0" w:header="0"/>
        </w:sectPr>
      </w:pPr>
    </w:p>
    <w:bookmarkStart w:id="166" w:name="page167"/>
    <w:bookmarkEnd w:id="1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20" w:firstLine="551"/>
        <w:spacing w:after="0" w:line="248" w:lineRule="auto"/>
        <w:rPr>
          <w:sz w:val="20"/>
          <w:szCs w:val="20"/>
          <w:color w:val="auto"/>
        </w:rPr>
      </w:pPr>
      <w:r>
        <w:rPr>
          <w:rFonts w:ascii="Arial" w:cs="Arial" w:eastAsia="Arial" w:hAnsi="Arial"/>
          <w:sz w:val="18"/>
          <w:szCs w:val="18"/>
          <w:color w:val="auto"/>
        </w:rPr>
        <w:t>We adopted our Outside Director Compensation Policy, or Director Compensation Policy, in September 2020, which will become effective on the effective date of the registration statement of which this prospectus forms a part. The Director Compensation Policy sets guidelines for the compensation of our non-employee directors for their service as director. The cash and equity components of our compensation policy for non-employee directors are set forth below:</w:t>
      </w:r>
    </w:p>
    <w:p>
      <w:pPr>
        <w:spacing w:after="0" w:line="205" w:lineRule="exact"/>
        <w:rPr>
          <w:sz w:val="20"/>
          <w:szCs w:val="20"/>
          <w:color w:val="auto"/>
        </w:rPr>
      </w:pPr>
    </w:p>
    <w:tbl>
      <w:tblPr>
        <w:tblLayout w:type="fixed"/>
        <w:tblInd w:w="188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6180" w:type="dxa"/>
            <w:vAlign w:val="bottom"/>
          </w:tcPr>
          <w:p>
            <w:pPr>
              <w:spacing w:after="0"/>
              <w:rPr>
                <w:sz w:val="14"/>
                <w:szCs w:val="14"/>
                <w:color w:val="auto"/>
              </w:rPr>
            </w:pPr>
          </w:p>
        </w:tc>
        <w:tc>
          <w:tcPr>
            <w:tcW w:w="7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Annual</w:t>
            </w:r>
          </w:p>
        </w:tc>
        <w:tc>
          <w:tcPr>
            <w:tcW w:w="0" w:type="dxa"/>
            <w:vAlign w:val="bottom"/>
          </w:tcPr>
          <w:p>
            <w:pPr>
              <w:spacing w:after="0"/>
              <w:rPr>
                <w:sz w:val="1"/>
                <w:szCs w:val="1"/>
                <w:color w:val="auto"/>
              </w:rPr>
            </w:pPr>
          </w:p>
        </w:tc>
      </w:tr>
      <w:tr>
        <w:trPr>
          <w:trHeight w:val="162"/>
        </w:trPr>
        <w:tc>
          <w:tcPr>
            <w:tcW w:w="580" w:type="dxa"/>
            <w:vAlign w:val="bottom"/>
            <w:vMerge w:val="restart"/>
          </w:tcPr>
          <w:p>
            <w:pPr>
              <w:spacing w:after="0"/>
              <w:rPr>
                <w:sz w:val="20"/>
                <w:szCs w:val="20"/>
                <w:color w:val="auto"/>
              </w:rPr>
            </w:pPr>
            <w:r>
              <w:rPr>
                <w:rFonts w:ascii="Arial" w:cs="Arial" w:eastAsia="Arial" w:hAnsi="Arial"/>
                <w:sz w:val="14"/>
                <w:szCs w:val="14"/>
                <w:b w:val="1"/>
                <w:bCs w:val="1"/>
                <w:color w:val="auto"/>
              </w:rPr>
              <w:t>Position</w:t>
            </w:r>
          </w:p>
        </w:tc>
        <w:tc>
          <w:tcPr>
            <w:tcW w:w="618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Cash</w:t>
            </w:r>
          </w:p>
        </w:tc>
        <w:tc>
          <w:tcPr>
            <w:tcW w:w="0" w:type="dxa"/>
            <w:vAlign w:val="bottom"/>
          </w:tcPr>
          <w:p>
            <w:pPr>
              <w:spacing w:after="0"/>
              <w:rPr>
                <w:sz w:val="1"/>
                <w:szCs w:val="1"/>
                <w:color w:val="auto"/>
              </w:rPr>
            </w:pPr>
          </w:p>
        </w:tc>
      </w:tr>
      <w:tr>
        <w:trPr>
          <w:trHeight w:val="184"/>
        </w:trPr>
        <w:tc>
          <w:tcPr>
            <w:tcW w:w="580" w:type="dxa"/>
            <w:vAlign w:val="bottom"/>
            <w:tcBorders>
              <w:bottom w:val="single" w:sz="8" w:color="auto"/>
            </w:tcBorders>
            <w:vMerge w:val="continue"/>
          </w:tcPr>
          <w:p>
            <w:pPr>
              <w:spacing w:after="0"/>
              <w:rPr>
                <w:sz w:val="15"/>
                <w:szCs w:val="15"/>
                <w:color w:val="auto"/>
              </w:rPr>
            </w:pPr>
          </w:p>
        </w:tc>
        <w:tc>
          <w:tcPr>
            <w:tcW w:w="6180" w:type="dxa"/>
            <w:vAlign w:val="bottom"/>
            <w:vMerge w:val="continue"/>
          </w:tcPr>
          <w:p>
            <w:pPr>
              <w:spacing w:after="0"/>
              <w:rPr>
                <w:sz w:val="15"/>
                <w:szCs w:val="15"/>
                <w:color w:val="auto"/>
              </w:rPr>
            </w:pPr>
          </w:p>
        </w:tc>
        <w:tc>
          <w:tcPr>
            <w:tcW w:w="72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9"/>
              </w:rPr>
              <w:t>Retainer</w:t>
            </w:r>
          </w:p>
        </w:tc>
        <w:tc>
          <w:tcPr>
            <w:tcW w:w="0" w:type="dxa"/>
            <w:vAlign w:val="bottom"/>
          </w:tcPr>
          <w:p>
            <w:pPr>
              <w:spacing w:after="0"/>
              <w:rPr>
                <w:sz w:val="1"/>
                <w:szCs w:val="1"/>
                <w:color w:val="auto"/>
              </w:rPr>
            </w:pPr>
          </w:p>
        </w:tc>
      </w:tr>
      <w:tr>
        <w:trPr>
          <w:trHeight w:val="190"/>
        </w:trPr>
        <w:tc>
          <w:tcPr>
            <w:tcW w:w="67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i w:val="1"/>
                <w:iCs w:val="1"/>
                <w:color w:val="auto"/>
              </w:rPr>
              <w:t>Base Director Fee</w:t>
            </w:r>
          </w:p>
        </w:tc>
        <w:tc>
          <w:tcPr>
            <w:tcW w:w="1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94"/>
              </w:rPr>
              <w:t>40,000</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60" w:type="dxa"/>
            <w:vAlign w:val="bottom"/>
            <w:gridSpan w:val="2"/>
          </w:tcPr>
          <w:p>
            <w:pPr>
              <w:spacing w:after="0" w:line="202" w:lineRule="exact"/>
              <w:rPr>
                <w:sz w:val="20"/>
                <w:szCs w:val="20"/>
                <w:color w:val="auto"/>
              </w:rPr>
            </w:pPr>
            <w:r>
              <w:rPr>
                <w:rFonts w:ascii="Arial" w:cs="Arial" w:eastAsia="Arial" w:hAnsi="Arial"/>
                <w:sz w:val="18"/>
                <w:szCs w:val="18"/>
                <w:i w:val="1"/>
                <w:iCs w:val="1"/>
                <w:color w:val="auto"/>
              </w:rPr>
              <w:t>Additional Chairperson Fee</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Chair of the Board</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4"/>
              </w:rPr>
              <w:t>35,000</w:t>
            </w:r>
          </w:p>
        </w:tc>
        <w:tc>
          <w:tcPr>
            <w:tcW w:w="0" w:type="dxa"/>
            <w:vAlign w:val="bottom"/>
          </w:tcPr>
          <w:p>
            <w:pPr>
              <w:spacing w:after="0"/>
              <w:rPr>
                <w:sz w:val="1"/>
                <w:szCs w:val="1"/>
                <w:color w:val="auto"/>
              </w:rPr>
            </w:pPr>
          </w:p>
        </w:tc>
      </w:tr>
      <w:tr>
        <w:trPr>
          <w:trHeight w:val="203"/>
        </w:trPr>
        <w:tc>
          <w:tcPr>
            <w:tcW w:w="6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Chair of the Audit Committee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4"/>
              </w:rPr>
              <w:t>15,000</w:t>
            </w:r>
          </w:p>
        </w:tc>
        <w:tc>
          <w:tcPr>
            <w:tcW w:w="0" w:type="dxa"/>
            <w:vAlign w:val="bottom"/>
          </w:tcPr>
          <w:p>
            <w:pPr>
              <w:spacing w:after="0"/>
              <w:rPr>
                <w:sz w:val="1"/>
                <w:szCs w:val="1"/>
                <w:color w:val="auto"/>
              </w:rPr>
            </w:pPr>
          </w:p>
        </w:tc>
      </w:tr>
      <w:tr>
        <w:trPr>
          <w:trHeight w:val="203"/>
        </w:trPr>
        <w:tc>
          <w:tcPr>
            <w:tcW w:w="67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Chair of the Compensation Committee</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4"/>
              </w:rPr>
              <w:t>10,000</w:t>
            </w:r>
          </w:p>
        </w:tc>
        <w:tc>
          <w:tcPr>
            <w:tcW w:w="0" w:type="dxa"/>
            <w:vAlign w:val="bottom"/>
          </w:tcPr>
          <w:p>
            <w:pPr>
              <w:spacing w:after="0"/>
              <w:rPr>
                <w:sz w:val="1"/>
                <w:szCs w:val="1"/>
                <w:color w:val="auto"/>
              </w:rPr>
            </w:pPr>
          </w:p>
        </w:tc>
      </w:tr>
      <w:tr>
        <w:trPr>
          <w:trHeight w:val="203"/>
        </w:trPr>
        <w:tc>
          <w:tcPr>
            <w:tcW w:w="6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Chair of the Nominating and Corporate Governance Committee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8,000</w:t>
            </w:r>
          </w:p>
        </w:tc>
        <w:tc>
          <w:tcPr>
            <w:tcW w:w="0" w:type="dxa"/>
            <w:vAlign w:val="bottom"/>
          </w:tcPr>
          <w:p>
            <w:pPr>
              <w:spacing w:after="0"/>
              <w:rPr>
                <w:sz w:val="1"/>
                <w:szCs w:val="1"/>
                <w:color w:val="auto"/>
              </w:rPr>
            </w:pPr>
          </w:p>
        </w:tc>
      </w:tr>
      <w:tr>
        <w:trPr>
          <w:trHeight w:val="203"/>
        </w:trPr>
        <w:tc>
          <w:tcPr>
            <w:tcW w:w="6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i w:val="1"/>
                <w:iCs w:val="1"/>
                <w:color w:val="auto"/>
              </w:rPr>
              <w:t>Additional Committee Member Fee (excluding chairpersons)</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gridSpan w:val="2"/>
          </w:tcPr>
          <w:p>
            <w:pPr>
              <w:ind w:left="360"/>
              <w:spacing w:after="0" w:line="202" w:lineRule="exact"/>
              <w:rPr>
                <w:sz w:val="20"/>
                <w:szCs w:val="20"/>
                <w:color w:val="auto"/>
              </w:rPr>
            </w:pPr>
            <w:r>
              <w:rPr>
                <w:rFonts w:ascii="Arial" w:cs="Arial" w:eastAsia="Arial" w:hAnsi="Arial"/>
                <w:sz w:val="18"/>
                <w:szCs w:val="18"/>
                <w:color w:val="auto"/>
              </w:rPr>
              <w:t>Audit Committee</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03"/>
        </w:trPr>
        <w:tc>
          <w:tcPr>
            <w:tcW w:w="676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Compensation Committee</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43"/>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Nominating and Corporate Governance Committee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Under our Director Compensation Policy, each non-employee director upon first becoming a non-employee director automatically receives an initial option to purchase 172,000 shares of common stock. The initial option vests in 36 equal, monthly installments after the grant date, subject to continued service through the vesting date. Additionally, each non-employee director automatically receives an annual option to purchase 86,000 shares, effective on the date of each annual meeting of the stockholders. The annual option vests on the earlier of one year following the grant date or the next annual meeting of stockholders, subject to continued service through the vesting date. All awards under the Director Compensation Policy accelerate and vest upon a change in control. The exercise price of all options under the Director Compensation Policy is the fair market value on the date of grant.</w:t>
      </w:r>
    </w:p>
    <w:p>
      <w:pPr>
        <w:spacing w:after="0" w:line="179" w:lineRule="exact"/>
        <w:rPr>
          <w:sz w:val="20"/>
          <w:szCs w:val="20"/>
          <w:color w:val="auto"/>
        </w:rPr>
      </w:pPr>
    </w:p>
    <w:p>
      <w:pPr>
        <w:ind w:left="120" w:right="220" w:firstLine="551"/>
        <w:spacing w:after="0" w:line="276" w:lineRule="auto"/>
        <w:rPr>
          <w:sz w:val="20"/>
          <w:szCs w:val="20"/>
          <w:color w:val="auto"/>
        </w:rPr>
      </w:pPr>
      <w:r>
        <w:rPr>
          <w:rFonts w:ascii="Arial" w:cs="Arial" w:eastAsia="Arial" w:hAnsi="Arial"/>
          <w:sz w:val="18"/>
          <w:szCs w:val="18"/>
          <w:color w:val="auto"/>
        </w:rPr>
        <w:t>The following table presents the total compensation that each of our then non-employee directors received during the year ended December 31, 2019.</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344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Fees Earned or</w:t>
            </w: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60" w:type="dxa"/>
            <w:vAlign w:val="bottom"/>
            <w:gridSpan w:val="2"/>
          </w:tcPr>
          <w:p>
            <w:pPr>
              <w:jc w:val="center"/>
              <w:ind w:right="784"/>
              <w:spacing w:after="0"/>
              <w:rPr>
                <w:sz w:val="20"/>
                <w:szCs w:val="20"/>
                <w:color w:val="auto"/>
              </w:rPr>
            </w:pPr>
            <w:r>
              <w:rPr>
                <w:rFonts w:ascii="Arial" w:cs="Arial" w:eastAsia="Arial" w:hAnsi="Arial"/>
                <w:sz w:val="14"/>
                <w:szCs w:val="14"/>
                <w:b w:val="1"/>
                <w:bCs w:val="1"/>
                <w:color w:val="auto"/>
              </w:rPr>
              <w:t>All Other</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2"/>
        </w:trPr>
        <w:tc>
          <w:tcPr>
            <w:tcW w:w="35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Paid in Cash</w:t>
            </w:r>
          </w:p>
        </w:tc>
        <w:tc>
          <w:tcPr>
            <w:tcW w:w="1400" w:type="dxa"/>
            <w:vAlign w:val="bottom"/>
            <w:gridSpan w:val="2"/>
          </w:tcPr>
          <w:p>
            <w:pPr>
              <w:ind w:left="140"/>
              <w:spacing w:after="0"/>
              <w:rPr>
                <w:sz w:val="20"/>
                <w:szCs w:val="20"/>
                <w:color w:val="auto"/>
              </w:rPr>
            </w:pPr>
            <w:r>
              <w:rPr>
                <w:rFonts w:ascii="Arial" w:cs="Arial" w:eastAsia="Arial" w:hAnsi="Arial"/>
                <w:sz w:val="14"/>
                <w:szCs w:val="14"/>
                <w:b w:val="1"/>
                <w:bCs w:val="1"/>
                <w:color w:val="auto"/>
              </w:rPr>
              <w:t>Option</w:t>
            </w:r>
          </w:p>
        </w:tc>
        <w:tc>
          <w:tcPr>
            <w:tcW w:w="1860" w:type="dxa"/>
            <w:vAlign w:val="bottom"/>
            <w:gridSpan w:val="2"/>
          </w:tcPr>
          <w:p>
            <w:pPr>
              <w:jc w:val="center"/>
              <w:ind w:right="784"/>
              <w:spacing w:after="0"/>
              <w:rPr>
                <w:sz w:val="20"/>
                <w:szCs w:val="20"/>
                <w:color w:val="auto"/>
              </w:rPr>
            </w:pPr>
            <w:r>
              <w:rPr>
                <w:rFonts w:ascii="Arial" w:cs="Arial" w:eastAsia="Arial" w:hAnsi="Arial"/>
                <w:sz w:val="14"/>
                <w:szCs w:val="14"/>
                <w:b w:val="1"/>
                <w:bCs w:val="1"/>
                <w:color w:val="auto"/>
              </w:rPr>
              <w:t>Compensation</w:t>
            </w: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7"/>
        </w:trPr>
        <w:tc>
          <w:tcPr>
            <w:tcW w:w="3540" w:type="dxa"/>
            <w:vAlign w:val="bottom"/>
          </w:tcPr>
          <w:p>
            <w:pPr>
              <w:spacing w:after="0"/>
              <w:rPr>
                <w:sz w:val="15"/>
                <w:szCs w:val="15"/>
                <w:color w:val="auto"/>
              </w:rPr>
            </w:pPr>
          </w:p>
        </w:tc>
        <w:tc>
          <w:tcPr>
            <w:tcW w:w="2780" w:type="dxa"/>
            <w:vAlign w:val="bottom"/>
            <w:gridSpan w:val="2"/>
          </w:tcPr>
          <w:p>
            <w:pPr>
              <w:jc w:val="right"/>
              <w:ind w:right="353"/>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5"/>
                <w:szCs w:val="15"/>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 ($)</w:t>
            </w:r>
          </w:p>
        </w:tc>
      </w:tr>
      <w:tr>
        <w:trPr>
          <w:trHeight w:val="196"/>
        </w:trPr>
        <w:tc>
          <w:tcPr>
            <w:tcW w:w="3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Arnold Levine, Ph.D.</w:t>
            </w:r>
          </w:p>
        </w:tc>
        <w:tc>
          <w:tcPr>
            <w:tcW w:w="17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100,000</w:t>
            </w:r>
          </w:p>
        </w:tc>
        <w:tc>
          <w:tcPr>
            <w:tcW w:w="840" w:type="dxa"/>
            <w:vAlign w:val="bottom"/>
            <w:tcBorders>
              <w:top w:val="single" w:sz="8" w:color="CCEEFF"/>
            </w:tcBorders>
            <w:shd w:val="clear" w:color="auto" w:fill="CCEEFF"/>
          </w:tcPr>
          <w:p>
            <w:pPr>
              <w:jc w:val="right"/>
              <w:ind w:right="584"/>
              <w:spacing w:after="0"/>
              <w:rPr>
                <w:sz w:val="20"/>
                <w:szCs w:val="20"/>
                <w:color w:val="auto"/>
              </w:rPr>
            </w:pPr>
            <w:r>
              <w:rPr>
                <w:rFonts w:ascii="Arial" w:cs="Arial" w:eastAsia="Arial" w:hAnsi="Arial"/>
                <w:sz w:val="15"/>
                <w:szCs w:val="15"/>
                <w:color w:val="auto"/>
                <w:w w:val="87"/>
              </w:rPr>
              <w:t>(1)</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100,000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Arnold Oronsky, Ph.D.</w:t>
            </w:r>
          </w:p>
        </w:tc>
        <w:tc>
          <w:tcPr>
            <w:tcW w:w="1740" w:type="dxa"/>
            <w:vAlign w:val="bottom"/>
          </w:tcPr>
          <w:p>
            <w:pPr>
              <w:spacing w:after="0"/>
              <w:rPr>
                <w:sz w:val="17"/>
                <w:szCs w:val="17"/>
                <w:color w:val="auto"/>
              </w:rPr>
            </w:pPr>
          </w:p>
        </w:tc>
        <w:tc>
          <w:tcPr>
            <w:tcW w:w="170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764"/>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Thilo Schroeder, Ph.D.</w:t>
            </w:r>
          </w:p>
        </w:tc>
        <w:tc>
          <w:tcPr>
            <w:tcW w:w="17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764"/>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3540" w:type="dxa"/>
            <w:vAlign w:val="bottom"/>
          </w:tcPr>
          <w:p>
            <w:pPr>
              <w:spacing w:after="0" w:line="202" w:lineRule="exact"/>
              <w:rPr>
                <w:sz w:val="20"/>
                <w:szCs w:val="20"/>
                <w:color w:val="auto"/>
              </w:rPr>
            </w:pPr>
            <w:r>
              <w:rPr>
                <w:rFonts w:ascii="Arial" w:cs="Arial" w:eastAsia="Arial" w:hAnsi="Arial"/>
                <w:sz w:val="18"/>
                <w:szCs w:val="18"/>
                <w:color w:val="auto"/>
              </w:rPr>
              <w:t>Peter Thompson, M.D.</w:t>
            </w:r>
          </w:p>
        </w:tc>
        <w:tc>
          <w:tcPr>
            <w:tcW w:w="1740" w:type="dxa"/>
            <w:vAlign w:val="bottom"/>
          </w:tcPr>
          <w:p>
            <w:pPr>
              <w:spacing w:after="0"/>
              <w:rPr>
                <w:sz w:val="17"/>
                <w:szCs w:val="17"/>
                <w:color w:val="auto"/>
              </w:rPr>
            </w:pPr>
          </w:p>
        </w:tc>
        <w:tc>
          <w:tcPr>
            <w:tcW w:w="170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764"/>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3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Steve Winick, J.D.</w:t>
            </w:r>
            <w:r>
              <w:rPr>
                <w:rFonts w:ascii="Arial" w:cs="Arial" w:eastAsia="Arial" w:hAnsi="Arial"/>
                <w:sz w:val="15"/>
                <w:szCs w:val="15"/>
                <w:color w:val="auto"/>
              </w:rPr>
              <w:t>(2)</w:t>
            </w:r>
          </w:p>
        </w:tc>
        <w:tc>
          <w:tcPr>
            <w:tcW w:w="174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660"/>
              <w:spacing w:after="0" w:line="202" w:lineRule="exact"/>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764"/>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6" w:lineRule="exact"/>
        <w:rPr>
          <w:sz w:val="20"/>
          <w:szCs w:val="20"/>
          <w:color w:val="auto"/>
        </w:rPr>
      </w:pPr>
    </w:p>
    <w:p>
      <w:pPr>
        <w:ind w:left="540" w:right="120" w:hanging="424"/>
        <w:spacing w:after="0" w:line="187" w:lineRule="auto"/>
        <w:tabs>
          <w:tab w:leader="none" w:pos="540" w:val="left"/>
        </w:tabs>
        <w:numPr>
          <w:ilvl w:val="0"/>
          <w:numId w:val="95"/>
        </w:numPr>
        <w:rPr>
          <w:rFonts w:ascii="Arial" w:cs="Arial" w:eastAsia="Arial" w:hAnsi="Arial"/>
          <w:sz w:val="24"/>
          <w:szCs w:val="24"/>
          <w:color w:val="auto"/>
          <w:vertAlign w:val="superscript"/>
        </w:rPr>
      </w:pPr>
      <w:r>
        <w:rPr>
          <w:rFonts w:ascii="Arial" w:cs="Arial" w:eastAsia="Arial" w:hAnsi="Arial"/>
          <w:sz w:val="14"/>
          <w:szCs w:val="14"/>
          <w:color w:val="auto"/>
        </w:rPr>
        <w:t>Dr. Levine received an annual compensation of $100,000 pursuant to a consulting agreement. For additional information regarding our consulting agreement with Dr. Levine, see “Certain Relationships and Related Party Transactions—Consulting Agreement with Arnold Levine, Ph.D.”</w:t>
      </w:r>
    </w:p>
    <w:p>
      <w:pPr>
        <w:spacing w:after="0" w:line="1" w:lineRule="exact"/>
        <w:rPr>
          <w:rFonts w:ascii="Arial" w:cs="Arial" w:eastAsia="Arial" w:hAnsi="Arial"/>
          <w:sz w:val="24"/>
          <w:szCs w:val="24"/>
          <w:color w:val="auto"/>
          <w:vertAlign w:val="superscript"/>
        </w:rPr>
      </w:pPr>
    </w:p>
    <w:p>
      <w:pPr>
        <w:ind w:left="540" w:hanging="424"/>
        <w:spacing w:after="0" w:line="183" w:lineRule="auto"/>
        <w:tabs>
          <w:tab w:leader="none" w:pos="540" w:val="left"/>
        </w:tabs>
        <w:numPr>
          <w:ilvl w:val="0"/>
          <w:numId w:val="95"/>
        </w:numPr>
        <w:rPr>
          <w:rFonts w:ascii="Arial" w:cs="Arial" w:eastAsia="Arial" w:hAnsi="Arial"/>
          <w:sz w:val="20"/>
          <w:szCs w:val="20"/>
          <w:color w:val="auto"/>
          <w:vertAlign w:val="superscript"/>
        </w:rPr>
      </w:pPr>
      <w:r>
        <w:rPr>
          <w:rFonts w:ascii="Arial" w:cs="Arial" w:eastAsia="Arial" w:hAnsi="Arial"/>
          <w:sz w:val="12"/>
          <w:szCs w:val="12"/>
          <w:color w:val="auto"/>
        </w:rPr>
        <w:t>Mr. Winick resigned from our board of directors effective September 4, 2020.</w:t>
      </w:r>
    </w:p>
    <w:p>
      <w:pPr>
        <w:spacing w:after="0" w:line="175" w:lineRule="exact"/>
        <w:rPr>
          <w:sz w:val="20"/>
          <w:szCs w:val="20"/>
          <w:color w:val="auto"/>
        </w:rPr>
      </w:pPr>
    </w:p>
    <w:p>
      <w:pPr>
        <w:ind w:left="120" w:right="60" w:firstLine="551"/>
        <w:spacing w:after="0" w:line="306" w:lineRule="auto"/>
        <w:rPr>
          <w:sz w:val="20"/>
          <w:szCs w:val="20"/>
          <w:color w:val="auto"/>
        </w:rPr>
      </w:pPr>
      <w:r>
        <w:rPr>
          <w:rFonts w:ascii="Arial" w:cs="Arial" w:eastAsia="Arial" w:hAnsi="Arial"/>
          <w:sz w:val="17"/>
          <w:szCs w:val="17"/>
          <w:color w:val="auto"/>
        </w:rPr>
        <w:t>Directors who are also our employees receive no additional compensation for their service as directors. Dr. Mack was an employee director during 2019. See the section titled “Executive Compensation” for additional information about Dr. Mack’s compensation.</w:t>
      </w:r>
    </w:p>
    <w:p>
      <w:pPr>
        <w:spacing w:after="0" w:line="5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140"/>
          </w:cols>
          <w:pgMar w:left="320" w:top="455" w:right="439" w:bottom="1440" w:gutter="0" w:footer="0" w:header="0"/>
        </w:sectPr>
      </w:pPr>
    </w:p>
    <w:bookmarkStart w:id="167" w:name="page168"/>
    <w:bookmarkEnd w:id="1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14" w:lineRule="exact"/>
        <w:rPr>
          <w:sz w:val="20"/>
          <w:szCs w:val="20"/>
          <w:color w:val="auto"/>
        </w:rPr>
      </w:pPr>
    </w:p>
    <w:p>
      <w:pPr>
        <w:ind w:left="120" w:right="340" w:firstLine="551"/>
        <w:spacing w:after="0" w:line="276" w:lineRule="auto"/>
        <w:rPr>
          <w:sz w:val="20"/>
          <w:szCs w:val="20"/>
          <w:color w:val="auto"/>
        </w:rPr>
      </w:pPr>
      <w:r>
        <w:rPr>
          <w:rFonts w:ascii="Arial" w:cs="Arial" w:eastAsia="Arial" w:hAnsi="Arial"/>
          <w:sz w:val="18"/>
          <w:szCs w:val="18"/>
          <w:color w:val="auto"/>
        </w:rPr>
        <w:t>Our named executive officers for 2019, who consist of our principal executive officer and the next two most highly compensated executive officers, are:</w:t>
      </w:r>
    </w:p>
    <w:p>
      <w:pPr>
        <w:spacing w:after="0" w:line="50" w:lineRule="exact"/>
        <w:rPr>
          <w:sz w:val="20"/>
          <w:szCs w:val="20"/>
          <w:color w:val="auto"/>
        </w:rPr>
      </w:pPr>
    </w:p>
    <w:p>
      <w:pPr>
        <w:ind w:left="880" w:hanging="224"/>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David H. Mack, Ph.D., our President and Chief Executive Officer;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Winston Kung, our Chief Operating Officer and Chief Financial Officer;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Deepika Jalota, our Senior Vice President, Regulatory Affairs and Quality Assurance.</w:t>
      </w:r>
    </w:p>
    <w:p>
      <w:pPr>
        <w:spacing w:after="0" w:line="31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Compensation Table</w:t>
      </w:r>
    </w:p>
    <w:p>
      <w:pPr>
        <w:spacing w:after="0" w:line="214" w:lineRule="exact"/>
        <w:rPr>
          <w:sz w:val="20"/>
          <w:szCs w:val="20"/>
          <w:color w:val="auto"/>
        </w:rPr>
      </w:pPr>
    </w:p>
    <w:p>
      <w:pPr>
        <w:ind w:left="120" w:right="900" w:firstLine="551"/>
        <w:spacing w:after="0" w:line="276" w:lineRule="auto"/>
        <w:rPr>
          <w:sz w:val="20"/>
          <w:szCs w:val="20"/>
          <w:color w:val="auto"/>
        </w:rPr>
      </w:pPr>
      <w:r>
        <w:rPr>
          <w:rFonts w:ascii="Arial" w:cs="Arial" w:eastAsia="Arial" w:hAnsi="Arial"/>
          <w:sz w:val="18"/>
          <w:szCs w:val="18"/>
          <w:color w:val="auto"/>
        </w:rPr>
        <w:t>The following table sets forth information regarding the compensation of our named executive officers for the year ended December 31, 2019.</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Nonequity</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Option</w:t>
            </w: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Incentive Plan</w:t>
            </w: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194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30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rPr>
              <w:t>Bonus</w:t>
            </w:r>
          </w:p>
        </w:tc>
        <w:tc>
          <w:tcPr>
            <w:tcW w:w="1180" w:type="dxa"/>
            <w:vAlign w:val="bottom"/>
            <w:gridSpan w:val="2"/>
          </w:tcPr>
          <w:p>
            <w:pPr>
              <w:jc w:val="center"/>
              <w:ind w:right="460"/>
              <w:spacing w:after="0" w:line="159" w:lineRule="exact"/>
              <w:rPr>
                <w:sz w:val="20"/>
                <w:szCs w:val="20"/>
                <w:color w:val="auto"/>
              </w:rPr>
            </w:pPr>
            <w:r>
              <w:rPr>
                <w:rFonts w:ascii="Arial" w:cs="Arial" w:eastAsia="Arial" w:hAnsi="Arial"/>
                <w:sz w:val="14"/>
                <w:szCs w:val="14"/>
                <w:b w:val="1"/>
                <w:bCs w:val="1"/>
                <w:color w:val="auto"/>
              </w:rPr>
              <w:t>Awards</w:t>
            </w:r>
          </w:p>
        </w:tc>
        <w:tc>
          <w:tcPr>
            <w:tcW w:w="1280" w:type="dxa"/>
            <w:vAlign w:val="bottom"/>
            <w:gridSpan w:val="2"/>
          </w:tcPr>
          <w:p>
            <w:pPr>
              <w:jc w:val="center"/>
              <w:ind w:right="280"/>
              <w:spacing w:after="0" w:line="159" w:lineRule="exact"/>
              <w:rPr>
                <w:sz w:val="20"/>
                <w:szCs w:val="20"/>
                <w:color w:val="auto"/>
              </w:rPr>
            </w:pPr>
            <w:r>
              <w:rPr>
                <w:rFonts w:ascii="Arial" w:cs="Arial" w:eastAsia="Arial" w:hAnsi="Arial"/>
                <w:sz w:val="14"/>
                <w:szCs w:val="14"/>
                <w:b w:val="1"/>
                <w:bCs w:val="1"/>
                <w:color w:val="auto"/>
              </w:rPr>
              <w:t>Compensation</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940" w:type="dxa"/>
            <w:vAlign w:val="bottom"/>
            <w:tcBorders>
              <w:bottom w:val="single" w:sz="8" w:color="auto"/>
            </w:tcBorders>
            <w:vMerge w:val="continue"/>
          </w:tcPr>
          <w:p>
            <w:pPr>
              <w:spacing w:after="0"/>
              <w:rPr>
                <w:sz w:val="16"/>
                <w:szCs w:val="16"/>
                <w:color w:val="auto"/>
              </w:rPr>
            </w:pPr>
          </w:p>
        </w:tc>
        <w:tc>
          <w:tcPr>
            <w:tcW w:w="30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w:t>
            </w: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600" w:type="dxa"/>
            <w:vAlign w:val="bottom"/>
          </w:tcPr>
          <w:p>
            <w:pPr>
              <w:jc w:val="center"/>
              <w:ind w:right="41"/>
              <w:spacing w:after="0" w:line="167"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(1)</w:t>
            </w:r>
          </w:p>
        </w:tc>
        <w:tc>
          <w:tcPr>
            <w:tcW w:w="280" w:type="dxa"/>
            <w:vAlign w:val="bottom"/>
          </w:tcPr>
          <w:p>
            <w:pPr>
              <w:spacing w:after="0"/>
              <w:rPr>
                <w:sz w:val="16"/>
                <w:szCs w:val="16"/>
                <w:color w:val="auto"/>
              </w:rPr>
            </w:pPr>
          </w:p>
        </w:tc>
        <w:tc>
          <w:tcPr>
            <w:tcW w:w="720" w:type="dxa"/>
            <w:vAlign w:val="bottom"/>
          </w:tcPr>
          <w:p>
            <w:pPr>
              <w:jc w:val="center"/>
              <w:spacing w:after="0" w:line="167"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(2)</w:t>
            </w:r>
          </w:p>
        </w:tc>
        <w:tc>
          <w:tcPr>
            <w:tcW w:w="460" w:type="dxa"/>
            <w:vAlign w:val="bottom"/>
          </w:tcPr>
          <w:p>
            <w:pPr>
              <w:spacing w:after="0"/>
              <w:rPr>
                <w:sz w:val="16"/>
                <w:szCs w:val="16"/>
                <w:color w:val="auto"/>
              </w:rPr>
            </w:pPr>
          </w:p>
        </w:tc>
        <w:tc>
          <w:tcPr>
            <w:tcW w:w="1020" w:type="dxa"/>
            <w:vAlign w:val="bottom"/>
          </w:tcPr>
          <w:p>
            <w:pPr>
              <w:jc w:val="center"/>
              <w:spacing w:after="0" w:line="167"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(3)</w:t>
            </w:r>
          </w:p>
        </w:tc>
        <w:tc>
          <w:tcPr>
            <w:tcW w:w="2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55"/>
        </w:trPr>
        <w:tc>
          <w:tcPr>
            <w:tcW w:w="4960" w:type="dxa"/>
            <w:vAlign w:val="bottom"/>
            <w:tcBorders>
              <w:top w:val="single" w:sz="8" w:color="CCEEFF"/>
            </w:tcBorders>
            <w:gridSpan w:val="2"/>
            <w:shd w:val="clear" w:color="auto" w:fill="CCEEFF"/>
          </w:tcPr>
          <w:p>
            <w:pPr>
              <w:spacing w:after="0" w:line="155" w:lineRule="exact"/>
              <w:rPr>
                <w:sz w:val="20"/>
                <w:szCs w:val="20"/>
                <w:color w:val="auto"/>
              </w:rPr>
            </w:pPr>
            <w:r>
              <w:rPr>
                <w:rFonts w:ascii="Arial" w:cs="Arial" w:eastAsia="Arial" w:hAnsi="Arial"/>
                <w:sz w:val="17"/>
                <w:szCs w:val="17"/>
                <w:color w:val="auto"/>
              </w:rPr>
              <w:t>David H. Mack, Ph.D.</w:t>
            </w:r>
          </w:p>
        </w:tc>
        <w:tc>
          <w:tcPr>
            <w:tcW w:w="200" w:type="dxa"/>
            <w:vAlign w:val="bottom"/>
            <w:tcBorders>
              <w:top w:val="single" w:sz="8" w:color="CCEEFF"/>
            </w:tcBorders>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ind w:left="60"/>
              <w:spacing w:after="0" w:line="155" w:lineRule="exact"/>
              <w:rPr>
                <w:sz w:val="20"/>
                <w:szCs w:val="20"/>
                <w:color w:val="auto"/>
              </w:rPr>
            </w:pPr>
            <w:r>
              <w:rPr>
                <w:rFonts w:ascii="Arial" w:cs="Arial" w:eastAsia="Arial" w:hAnsi="Arial"/>
                <w:sz w:val="17"/>
                <w:szCs w:val="17"/>
                <w:color w:val="auto"/>
              </w:rPr>
              <w:t>2019</w:t>
            </w:r>
          </w:p>
        </w:tc>
        <w:tc>
          <w:tcPr>
            <w:tcW w:w="2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7"/>
                <w:szCs w:val="17"/>
                <w:color w:val="auto"/>
              </w:rPr>
              <w:t>461,250</w:t>
            </w:r>
          </w:p>
        </w:tc>
        <w:tc>
          <w:tcPr>
            <w:tcW w:w="26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ind w:left="420"/>
              <w:spacing w:after="0" w:line="155" w:lineRule="exact"/>
              <w:rPr>
                <w:sz w:val="20"/>
                <w:szCs w:val="20"/>
                <w:color w:val="auto"/>
              </w:rPr>
            </w:pPr>
            <w:r>
              <w:rPr>
                <w:rFonts w:ascii="Arial" w:cs="Arial" w:eastAsia="Arial" w:hAnsi="Arial"/>
                <w:sz w:val="17"/>
                <w:szCs w:val="17"/>
                <w:color w:val="auto"/>
                <w:w w:val="93"/>
              </w:rPr>
              <w:t>—</w:t>
            </w:r>
          </w:p>
        </w:tc>
        <w:tc>
          <w:tcPr>
            <w:tcW w:w="28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7"/>
                <w:szCs w:val="17"/>
                <w:color w:val="auto"/>
              </w:rPr>
              <w:t>—</w:t>
            </w:r>
          </w:p>
        </w:tc>
        <w:tc>
          <w:tcPr>
            <w:tcW w:w="460" w:type="dxa"/>
            <w:vAlign w:val="bottom"/>
            <w:tcBorders>
              <w:top w:val="single" w:sz="8" w:color="CCEEFF"/>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7"/>
                <w:szCs w:val="17"/>
                <w:color w:val="auto"/>
              </w:rPr>
              <w:t>166,860</w:t>
            </w:r>
          </w:p>
        </w:tc>
        <w:tc>
          <w:tcPr>
            <w:tcW w:w="2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7"/>
                <w:szCs w:val="17"/>
                <w:color w:val="auto"/>
              </w:rPr>
              <w:t>628,110</w:t>
            </w:r>
          </w:p>
        </w:tc>
        <w:tc>
          <w:tcPr>
            <w:tcW w:w="8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49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President and Chief Executive Officer</w:t>
            </w: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4960" w:type="dxa"/>
            <w:vAlign w:val="bottom"/>
            <w:gridSpan w:val="2"/>
          </w:tcPr>
          <w:p>
            <w:pPr>
              <w:spacing w:after="0"/>
              <w:rPr>
                <w:sz w:val="20"/>
                <w:szCs w:val="20"/>
                <w:color w:val="auto"/>
              </w:rPr>
            </w:pPr>
            <w:r>
              <w:rPr>
                <w:rFonts w:ascii="Arial" w:cs="Arial" w:eastAsia="Arial" w:hAnsi="Arial"/>
                <w:sz w:val="18"/>
                <w:szCs w:val="18"/>
                <w:color w:val="auto"/>
              </w:rPr>
              <w:t>Winston Kung</w:t>
            </w:r>
          </w:p>
        </w:tc>
        <w:tc>
          <w:tcPr>
            <w:tcW w:w="940" w:type="dxa"/>
            <w:vAlign w:val="bottom"/>
            <w:gridSpan w:val="3"/>
          </w:tcPr>
          <w:p>
            <w:pPr>
              <w:ind w:left="260"/>
              <w:spacing w:after="0"/>
              <w:rPr>
                <w:sz w:val="20"/>
                <w:szCs w:val="20"/>
                <w:color w:val="auto"/>
              </w:rPr>
            </w:pPr>
            <w:r>
              <w:rPr>
                <w:rFonts w:ascii="Arial" w:cs="Arial" w:eastAsia="Arial" w:hAnsi="Arial"/>
                <w:sz w:val="18"/>
                <w:szCs w:val="18"/>
                <w:color w:val="auto"/>
              </w:rPr>
              <w:t>2019</w:t>
            </w:r>
          </w:p>
        </w:tc>
        <w:tc>
          <w:tcPr>
            <w:tcW w:w="980" w:type="dxa"/>
            <w:vAlign w:val="bottom"/>
            <w:gridSpan w:val="2"/>
          </w:tcPr>
          <w:p>
            <w:pPr>
              <w:jc w:val="right"/>
              <w:ind w:right="260"/>
              <w:spacing w:after="0"/>
              <w:rPr>
                <w:sz w:val="20"/>
                <w:szCs w:val="20"/>
                <w:color w:val="auto"/>
              </w:rPr>
            </w:pPr>
            <w:r>
              <w:rPr>
                <w:rFonts w:ascii="Arial" w:cs="Arial" w:eastAsia="Arial" w:hAnsi="Arial"/>
                <w:sz w:val="18"/>
                <w:szCs w:val="18"/>
                <w:color w:val="auto"/>
              </w:rPr>
              <w:t>410,000</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152,440</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562,440</w:t>
            </w:r>
          </w:p>
        </w:tc>
        <w:tc>
          <w:tcPr>
            <w:tcW w:w="0" w:type="dxa"/>
            <w:vAlign w:val="bottom"/>
          </w:tcPr>
          <w:p>
            <w:pPr>
              <w:spacing w:after="0"/>
              <w:rPr>
                <w:sz w:val="1"/>
                <w:szCs w:val="1"/>
                <w:color w:val="auto"/>
              </w:rPr>
            </w:pPr>
          </w:p>
        </w:tc>
      </w:tr>
      <w:tr>
        <w:trPr>
          <w:trHeight w:val="241"/>
        </w:trPr>
        <w:tc>
          <w:tcPr>
            <w:tcW w:w="496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Operating Officer and Chief Financial Officer</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1940" w:type="dxa"/>
            <w:vAlign w:val="bottom"/>
          </w:tcPr>
          <w:p>
            <w:pPr>
              <w:spacing w:after="0"/>
              <w:rPr>
                <w:sz w:val="7"/>
                <w:szCs w:val="7"/>
                <w:color w:val="auto"/>
              </w:rPr>
            </w:pPr>
          </w:p>
        </w:tc>
        <w:tc>
          <w:tcPr>
            <w:tcW w:w="3020" w:type="dxa"/>
            <w:vAlign w:val="bottom"/>
          </w:tcPr>
          <w:p>
            <w:pPr>
              <w:spacing w:after="0"/>
              <w:rPr>
                <w:sz w:val="7"/>
                <w:szCs w:val="7"/>
                <w:color w:val="auto"/>
              </w:rPr>
            </w:pPr>
          </w:p>
        </w:tc>
        <w:tc>
          <w:tcPr>
            <w:tcW w:w="660" w:type="dxa"/>
            <w:vAlign w:val="bottom"/>
            <w:gridSpan w:val="2"/>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496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Deepika Jalota, Pharm.D</w:t>
            </w:r>
          </w:p>
        </w:tc>
        <w:tc>
          <w:tcPr>
            <w:tcW w:w="940" w:type="dxa"/>
            <w:vAlign w:val="bottom"/>
            <w:gridSpan w:val="3"/>
            <w:shd w:val="clear" w:color="auto" w:fill="CCEEFF"/>
          </w:tcPr>
          <w:p>
            <w:pPr>
              <w:ind w:left="260"/>
              <w:spacing w:after="0" w:line="182" w:lineRule="exact"/>
              <w:rPr>
                <w:sz w:val="20"/>
                <w:szCs w:val="20"/>
                <w:color w:val="auto"/>
              </w:rPr>
            </w:pPr>
            <w:r>
              <w:rPr>
                <w:rFonts w:ascii="Arial" w:cs="Arial" w:eastAsia="Arial" w:hAnsi="Arial"/>
                <w:sz w:val="18"/>
                <w:szCs w:val="18"/>
                <w:color w:val="auto"/>
              </w:rPr>
              <w:t>2019</w:t>
            </w:r>
          </w:p>
        </w:tc>
        <w:tc>
          <w:tcPr>
            <w:tcW w:w="98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196,875</w:t>
            </w:r>
          </w:p>
        </w:tc>
        <w:tc>
          <w:tcPr>
            <w:tcW w:w="880" w:type="dxa"/>
            <w:vAlign w:val="bottom"/>
            <w:gridSpan w:val="2"/>
            <w:shd w:val="clear" w:color="auto" w:fill="CCEEFF"/>
          </w:tcPr>
          <w:p>
            <w:pPr>
              <w:jc w:val="right"/>
              <w:ind w:right="280"/>
              <w:spacing w:after="0" w:line="182" w:lineRule="exact"/>
              <w:rPr>
                <w:sz w:val="20"/>
                <w:szCs w:val="20"/>
                <w:color w:val="auto"/>
              </w:rPr>
            </w:pPr>
            <w:r>
              <w:rPr>
                <w:rFonts w:ascii="Arial" w:cs="Arial" w:eastAsia="Arial" w:hAnsi="Arial"/>
                <w:sz w:val="18"/>
                <w:szCs w:val="18"/>
                <w:color w:val="auto"/>
              </w:rPr>
              <w:t>75,000</w:t>
            </w:r>
          </w:p>
        </w:tc>
        <w:tc>
          <w:tcPr>
            <w:tcW w:w="1180" w:type="dxa"/>
            <w:vAlign w:val="bottom"/>
            <w:gridSpan w:val="2"/>
            <w:shd w:val="clear" w:color="auto" w:fill="CCEEFF"/>
          </w:tcPr>
          <w:p>
            <w:pPr>
              <w:jc w:val="right"/>
              <w:ind w:right="280"/>
              <w:spacing w:after="0" w:line="182" w:lineRule="exact"/>
              <w:rPr>
                <w:sz w:val="20"/>
                <w:szCs w:val="20"/>
                <w:color w:val="auto"/>
              </w:rPr>
            </w:pPr>
            <w:r>
              <w:rPr>
                <w:rFonts w:ascii="Arial" w:cs="Arial" w:eastAsia="Arial" w:hAnsi="Arial"/>
                <w:sz w:val="18"/>
                <w:szCs w:val="18"/>
                <w:color w:val="auto"/>
              </w:rPr>
              <w:t>177,341</w:t>
            </w:r>
            <w:r>
              <w:rPr>
                <w:rFonts w:ascii="Arial" w:cs="Arial" w:eastAsia="Arial" w:hAnsi="Arial"/>
                <w:sz w:val="15"/>
                <w:szCs w:val="15"/>
                <w:color w:val="auto"/>
              </w:rPr>
              <w:t>(4)</w:t>
            </w:r>
          </w:p>
        </w:tc>
        <w:tc>
          <w:tcPr>
            <w:tcW w:w="128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8"/>
                <w:szCs w:val="18"/>
                <w:color w:val="auto"/>
              </w:rPr>
              <w:t>116,375</w:t>
            </w:r>
          </w:p>
        </w:tc>
        <w:tc>
          <w:tcPr>
            <w:tcW w:w="80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8"/>
                <w:szCs w:val="18"/>
                <w:color w:val="auto"/>
              </w:rPr>
              <w:t>565,591</w:t>
            </w:r>
          </w:p>
        </w:tc>
        <w:tc>
          <w:tcPr>
            <w:tcW w:w="0" w:type="dxa"/>
            <w:vAlign w:val="bottom"/>
          </w:tcPr>
          <w:p>
            <w:pPr>
              <w:spacing w:after="0"/>
              <w:rPr>
                <w:sz w:val="1"/>
                <w:szCs w:val="1"/>
                <w:color w:val="auto"/>
              </w:rPr>
            </w:pPr>
          </w:p>
        </w:tc>
      </w:tr>
      <w:tr>
        <w:trPr>
          <w:trHeight w:val="203"/>
        </w:trPr>
        <w:tc>
          <w:tcPr>
            <w:tcW w:w="49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i w:val="1"/>
                <w:iCs w:val="1"/>
                <w:color w:val="auto"/>
              </w:rPr>
              <w:t>Senior Vice President, Regulatory Affairs and Quality</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96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Assurance</w:t>
            </w:r>
          </w:p>
        </w:tc>
        <w:tc>
          <w:tcPr>
            <w:tcW w:w="2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0" w:lineRule="exact"/>
        <w:rPr>
          <w:sz w:val="20"/>
          <w:szCs w:val="20"/>
          <w:color w:val="auto"/>
        </w:rPr>
      </w:pPr>
    </w:p>
    <w:p>
      <w:pPr>
        <w:ind w:left="660" w:hanging="544"/>
        <w:spacing w:after="0"/>
        <w:tabs>
          <w:tab w:leader="none" w:pos="660" w:val="left"/>
        </w:tabs>
        <w:numPr>
          <w:ilvl w:val="0"/>
          <w:numId w:val="97"/>
        </w:numPr>
        <w:rPr>
          <w:rFonts w:ascii="Arial" w:cs="Arial" w:eastAsia="Arial" w:hAnsi="Arial"/>
          <w:sz w:val="24"/>
          <w:szCs w:val="24"/>
          <w:color w:val="auto"/>
          <w:vertAlign w:val="superscript"/>
        </w:rPr>
      </w:pPr>
      <w:r>
        <w:rPr>
          <w:rFonts w:ascii="Arial" w:cs="Arial" w:eastAsia="Arial" w:hAnsi="Arial"/>
          <w:sz w:val="14"/>
          <w:szCs w:val="14"/>
          <w:color w:val="auto"/>
        </w:rPr>
        <w:t>The amounts reported represent one-time sign on bonuses paid following the named executive officer’s commencement of employment.</w:t>
      </w:r>
    </w:p>
    <w:p>
      <w:pPr>
        <w:ind w:left="660" w:right="100" w:hanging="544"/>
        <w:spacing w:after="0" w:line="204" w:lineRule="auto"/>
        <w:tabs>
          <w:tab w:leader="none" w:pos="660" w:val="left"/>
        </w:tabs>
        <w:numPr>
          <w:ilvl w:val="0"/>
          <w:numId w:val="97"/>
        </w:numPr>
        <w:rPr>
          <w:rFonts w:ascii="Arial" w:cs="Arial" w:eastAsia="Arial" w:hAnsi="Arial"/>
          <w:sz w:val="24"/>
          <w:szCs w:val="24"/>
          <w:color w:val="auto"/>
          <w:vertAlign w:val="superscript"/>
        </w:rPr>
      </w:pPr>
      <w:r>
        <w:rPr>
          <w:rFonts w:ascii="Arial" w:cs="Arial" w:eastAsia="Arial" w:hAnsi="Arial"/>
          <w:sz w:val="14"/>
          <w:szCs w:val="14"/>
          <w:color w:val="auto"/>
        </w:rPr>
        <w:t>The amounts reported represent the aggregate grant-date fair value of the options calculated in accordance with ASC 718. Such grant-date fair value does not take into account any estimated forfeitures related to performance or service vesting conditions. The assumptions used in calculating the grant-date fair value of the option reported in this column are set forth in the section captioned “Management’s Discussion and Analysis of Financial Condition and Results of Operations— Critical Accounting Policies and Estimates.” These amounts do not reflect the actual economic value that may be realized by the named executive officer.</w:t>
      </w:r>
    </w:p>
    <w:p>
      <w:pPr>
        <w:spacing w:after="0" w:line="2" w:lineRule="exact"/>
        <w:rPr>
          <w:rFonts w:ascii="Arial" w:cs="Arial" w:eastAsia="Arial" w:hAnsi="Arial"/>
          <w:sz w:val="24"/>
          <w:szCs w:val="24"/>
          <w:color w:val="auto"/>
          <w:vertAlign w:val="superscript"/>
        </w:rPr>
      </w:pPr>
    </w:p>
    <w:p>
      <w:pPr>
        <w:ind w:left="660" w:right="320" w:hanging="544"/>
        <w:spacing w:after="0" w:line="182" w:lineRule="auto"/>
        <w:tabs>
          <w:tab w:leader="none" w:pos="660" w:val="left"/>
        </w:tabs>
        <w:numPr>
          <w:ilvl w:val="0"/>
          <w:numId w:val="97"/>
        </w:numPr>
        <w:rPr>
          <w:rFonts w:ascii="Arial" w:cs="Arial" w:eastAsia="Arial" w:hAnsi="Arial"/>
          <w:sz w:val="23"/>
          <w:szCs w:val="23"/>
          <w:color w:val="auto"/>
          <w:vertAlign w:val="superscript"/>
        </w:rPr>
      </w:pPr>
      <w:r>
        <w:rPr>
          <w:rFonts w:ascii="Arial" w:cs="Arial" w:eastAsia="Arial" w:hAnsi="Arial"/>
          <w:sz w:val="14"/>
          <w:szCs w:val="14"/>
          <w:color w:val="auto"/>
        </w:rPr>
        <w:t>The 2019 amounts reported represent cash bonuses earned under our 2019 bonus plan based upon the achievement of company objectives for the year ended December 31, 2019, which were paid in 2019. Our bonus plans are more fully described below under the section titled “—Management Bonus Plan.”</w:t>
      </w:r>
    </w:p>
    <w:p>
      <w:pPr>
        <w:spacing w:after="0" w:line="1" w:lineRule="exact"/>
        <w:rPr>
          <w:rFonts w:ascii="Arial" w:cs="Arial" w:eastAsia="Arial" w:hAnsi="Arial"/>
          <w:sz w:val="23"/>
          <w:szCs w:val="23"/>
          <w:color w:val="auto"/>
          <w:vertAlign w:val="superscript"/>
        </w:rPr>
      </w:pPr>
    </w:p>
    <w:p>
      <w:pPr>
        <w:ind w:left="660" w:right="160" w:hanging="544"/>
        <w:spacing w:after="0" w:line="185" w:lineRule="auto"/>
        <w:tabs>
          <w:tab w:leader="none" w:pos="660" w:val="left"/>
        </w:tabs>
        <w:numPr>
          <w:ilvl w:val="0"/>
          <w:numId w:val="97"/>
        </w:numPr>
        <w:rPr>
          <w:rFonts w:ascii="Arial" w:cs="Arial" w:eastAsia="Arial" w:hAnsi="Arial"/>
          <w:sz w:val="24"/>
          <w:szCs w:val="24"/>
          <w:color w:val="auto"/>
          <w:vertAlign w:val="superscript"/>
        </w:rPr>
      </w:pPr>
      <w:r>
        <w:rPr>
          <w:rFonts w:ascii="Arial" w:cs="Arial" w:eastAsia="Arial" w:hAnsi="Arial"/>
          <w:sz w:val="14"/>
          <w:szCs w:val="14"/>
          <w:color w:val="auto"/>
        </w:rPr>
        <w:t>Represents an August 21, 2019, grant of 475,000 options to Dr. Jalota pursuant to our 2013 Equity Incentive Plan, as amended, or 2013 Plan, as described further in the table of outstanding equity awards below.</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140"/>
          </w:cols>
          <w:pgMar w:left="320" w:top="455" w:right="439" w:bottom="1440" w:gutter="0" w:footer="0" w:header="0"/>
        </w:sectPr>
      </w:pPr>
    </w:p>
    <w:bookmarkStart w:id="168" w:name="page169"/>
    <w:bookmarkEnd w:id="1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concerning outstanding equity awards held by each of our named executive officers as of</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2019:</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00" w:type="dxa"/>
            <w:vAlign w:val="bottom"/>
          </w:tcPr>
          <w:p>
            <w:pPr>
              <w:spacing w:after="0"/>
              <w:rPr>
                <w:sz w:val="15"/>
                <w:szCs w:val="15"/>
                <w:color w:val="auto"/>
              </w:rPr>
            </w:pPr>
          </w:p>
        </w:tc>
        <w:tc>
          <w:tcPr>
            <w:tcW w:w="4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ind w:left="520"/>
              <w:spacing w:after="0"/>
              <w:rPr>
                <w:sz w:val="20"/>
                <w:szCs w:val="20"/>
                <w:color w:val="auto"/>
              </w:rPr>
            </w:pPr>
            <w:r>
              <w:rPr>
                <w:rFonts w:ascii="Arial" w:cs="Arial" w:eastAsia="Arial" w:hAnsi="Arial"/>
                <w:sz w:val="14"/>
                <w:szCs w:val="14"/>
                <w:b w:val="1"/>
                <w:bCs w:val="1"/>
                <w:color w:val="auto"/>
              </w:rPr>
              <w:t>Option Awards</w:t>
            </w:r>
          </w:p>
        </w:tc>
        <w:tc>
          <w:tcPr>
            <w:tcW w:w="8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0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40" w:type="dxa"/>
            <w:vAlign w:val="bottom"/>
            <w:gridSpan w:val="2"/>
          </w:tcPr>
          <w:p>
            <w:pPr>
              <w:jc w:val="center"/>
              <w:ind w:right="360"/>
              <w:spacing w:after="0" w:line="141" w:lineRule="exact"/>
              <w:rPr>
                <w:sz w:val="20"/>
                <w:szCs w:val="20"/>
                <w:color w:val="auto"/>
              </w:rPr>
            </w:pPr>
            <w:r>
              <w:rPr>
                <w:rFonts w:ascii="Arial" w:cs="Arial" w:eastAsia="Arial" w:hAnsi="Arial"/>
                <w:sz w:val="14"/>
                <w:szCs w:val="14"/>
                <w:b w:val="1"/>
                <w:bCs w:val="1"/>
                <w:color w:val="auto"/>
              </w:rPr>
              <w:t>Number of</w:t>
            </w:r>
          </w:p>
        </w:tc>
        <w:tc>
          <w:tcPr>
            <w:tcW w:w="1340" w:type="dxa"/>
            <w:vAlign w:val="bottom"/>
            <w:gridSpan w:val="2"/>
          </w:tcPr>
          <w:p>
            <w:pPr>
              <w:jc w:val="center"/>
              <w:ind w:right="380"/>
              <w:spacing w:after="0" w:line="141" w:lineRule="exact"/>
              <w:rPr>
                <w:sz w:val="20"/>
                <w:szCs w:val="20"/>
                <w:color w:val="auto"/>
              </w:rPr>
            </w:pPr>
            <w:r>
              <w:rPr>
                <w:rFonts w:ascii="Arial" w:cs="Arial" w:eastAsia="Arial" w:hAnsi="Arial"/>
                <w:sz w:val="14"/>
                <w:szCs w:val="14"/>
                <w:b w:val="1"/>
                <w:bCs w:val="1"/>
                <w:color w:val="auto"/>
              </w:rPr>
              <w:t>Number of</w:t>
            </w:r>
          </w:p>
        </w:tc>
        <w:tc>
          <w:tcPr>
            <w:tcW w:w="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Securities</w:t>
            </w: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Securities</w:t>
            </w: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Underlying</w:t>
            </w: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Underlying</w:t>
            </w:r>
          </w:p>
        </w:tc>
        <w:tc>
          <w:tcPr>
            <w:tcW w:w="7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Unexercised</w:t>
            </w: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Unexercised</w:t>
            </w: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Option</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Option</w:t>
            </w:r>
          </w:p>
        </w:tc>
        <w:tc>
          <w:tcPr>
            <w:tcW w:w="0" w:type="dxa"/>
            <w:vAlign w:val="bottom"/>
          </w:tcPr>
          <w:p>
            <w:pPr>
              <w:spacing w:after="0"/>
              <w:rPr>
                <w:sz w:val="1"/>
                <w:szCs w:val="1"/>
                <w:color w:val="auto"/>
              </w:rPr>
            </w:pPr>
          </w:p>
        </w:tc>
      </w:tr>
      <w:tr>
        <w:trPr>
          <w:trHeight w:val="159"/>
        </w:trPr>
        <w:tc>
          <w:tcPr>
            <w:tcW w:w="400" w:type="dxa"/>
            <w:vAlign w:val="bottom"/>
            <w:vMerge w:val="restart"/>
          </w:tcPr>
          <w:p>
            <w:pPr>
              <w:spacing w:after="0"/>
              <w:rPr>
                <w:sz w:val="20"/>
                <w:szCs w:val="20"/>
                <w:color w:val="auto"/>
              </w:rPr>
            </w:pPr>
            <w:r>
              <w:rPr>
                <w:rFonts w:ascii="Arial" w:cs="Arial" w:eastAsia="Arial" w:hAnsi="Arial"/>
                <w:sz w:val="14"/>
                <w:szCs w:val="14"/>
                <w:b w:val="1"/>
                <w:bCs w:val="1"/>
                <w:color w:val="auto"/>
                <w:w w:val="99"/>
              </w:rPr>
              <w:t>Name</w:t>
            </w:r>
          </w:p>
        </w:tc>
        <w:tc>
          <w:tcPr>
            <w:tcW w:w="4320" w:type="dxa"/>
            <w:vAlign w:val="bottom"/>
            <w:vMerge w:val="restart"/>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jc w:val="right"/>
              <w:ind w:right="691"/>
              <w:spacing w:after="0" w:line="159" w:lineRule="exact"/>
              <w:rPr>
                <w:sz w:val="20"/>
                <w:szCs w:val="20"/>
                <w:color w:val="auto"/>
              </w:rPr>
            </w:pPr>
            <w:r>
              <w:rPr>
                <w:rFonts w:ascii="Arial" w:cs="Arial" w:eastAsia="Arial" w:hAnsi="Arial"/>
                <w:sz w:val="14"/>
                <w:szCs w:val="14"/>
                <w:b w:val="1"/>
                <w:bCs w:val="1"/>
                <w:color w:val="auto"/>
              </w:rPr>
              <w:t>Grant</w:t>
            </w:r>
          </w:p>
        </w:tc>
        <w:tc>
          <w:tcPr>
            <w:tcW w:w="1240" w:type="dxa"/>
            <w:vAlign w:val="bottom"/>
            <w:gridSpan w:val="2"/>
          </w:tcPr>
          <w:p>
            <w:pPr>
              <w:jc w:val="center"/>
              <w:ind w:right="360"/>
              <w:spacing w:after="0" w:line="159" w:lineRule="exact"/>
              <w:rPr>
                <w:sz w:val="20"/>
                <w:szCs w:val="20"/>
                <w:color w:val="auto"/>
              </w:rPr>
            </w:pPr>
            <w:r>
              <w:rPr>
                <w:rFonts w:ascii="Arial" w:cs="Arial" w:eastAsia="Arial" w:hAnsi="Arial"/>
                <w:sz w:val="14"/>
                <w:szCs w:val="14"/>
                <w:b w:val="1"/>
                <w:bCs w:val="1"/>
                <w:color w:val="auto"/>
              </w:rPr>
              <w:t>Options (#)</w:t>
            </w:r>
          </w:p>
        </w:tc>
        <w:tc>
          <w:tcPr>
            <w:tcW w:w="1340" w:type="dxa"/>
            <w:vAlign w:val="bottom"/>
            <w:gridSpan w:val="2"/>
          </w:tcPr>
          <w:p>
            <w:pPr>
              <w:jc w:val="center"/>
              <w:ind w:right="380"/>
              <w:spacing w:after="0" w:line="159" w:lineRule="exact"/>
              <w:rPr>
                <w:sz w:val="20"/>
                <w:szCs w:val="20"/>
                <w:color w:val="auto"/>
              </w:rPr>
            </w:pPr>
            <w:r>
              <w:rPr>
                <w:rFonts w:ascii="Arial" w:cs="Arial" w:eastAsia="Arial" w:hAnsi="Arial"/>
                <w:sz w:val="14"/>
                <w:szCs w:val="14"/>
                <w:b w:val="1"/>
                <w:bCs w:val="1"/>
                <w:color w:val="auto"/>
              </w:rPr>
              <w:t>Options (#)</w:t>
            </w:r>
          </w:p>
        </w:tc>
        <w:tc>
          <w:tcPr>
            <w:tcW w:w="1100" w:type="dxa"/>
            <w:vAlign w:val="bottom"/>
            <w:gridSpan w:val="2"/>
          </w:tcPr>
          <w:p>
            <w:pPr>
              <w:jc w:val="center"/>
              <w:ind w:right="380"/>
              <w:spacing w:after="0" w:line="159" w:lineRule="exact"/>
              <w:rPr>
                <w:sz w:val="20"/>
                <w:szCs w:val="20"/>
                <w:color w:val="auto"/>
              </w:rPr>
            </w:pPr>
            <w:r>
              <w:rPr>
                <w:rFonts w:ascii="Arial" w:cs="Arial" w:eastAsia="Arial" w:hAnsi="Arial"/>
                <w:sz w:val="14"/>
                <w:szCs w:val="14"/>
                <w:b w:val="1"/>
                <w:bCs w:val="1"/>
                <w:color w:val="auto"/>
              </w:rPr>
              <w:t>Exercise</w:t>
            </w:r>
          </w:p>
        </w:tc>
        <w:tc>
          <w:tcPr>
            <w:tcW w:w="920" w:type="dxa"/>
            <w:vAlign w:val="bottom"/>
            <w:gridSpan w:val="2"/>
          </w:tcPr>
          <w:p>
            <w:pPr>
              <w:jc w:val="center"/>
              <w:ind w:right="60"/>
              <w:spacing w:after="0" w:line="159" w:lineRule="exact"/>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87"/>
        </w:trPr>
        <w:tc>
          <w:tcPr>
            <w:tcW w:w="400" w:type="dxa"/>
            <w:vAlign w:val="bottom"/>
            <w:tcBorders>
              <w:bottom w:val="single" w:sz="8" w:color="auto"/>
            </w:tcBorders>
            <w:vMerge w:val="continue"/>
          </w:tcPr>
          <w:p>
            <w:pPr>
              <w:spacing w:after="0"/>
              <w:rPr>
                <w:sz w:val="16"/>
                <w:szCs w:val="16"/>
                <w:color w:val="auto"/>
              </w:rPr>
            </w:pPr>
          </w:p>
        </w:tc>
        <w:tc>
          <w:tcPr>
            <w:tcW w:w="43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380" w:type="dxa"/>
            <w:vAlign w:val="bottom"/>
            <w:gridSpan w:val="2"/>
          </w:tcPr>
          <w:p>
            <w:pPr>
              <w:jc w:val="right"/>
              <w:ind w:right="651"/>
              <w:spacing w:after="0" w:line="167" w:lineRule="exact"/>
              <w:rPr>
                <w:sz w:val="20"/>
                <w:szCs w:val="20"/>
                <w:color w:val="auto"/>
              </w:rPr>
            </w:pPr>
            <w:r>
              <w:rPr>
                <w:rFonts w:ascii="Arial" w:cs="Arial" w:eastAsia="Arial" w:hAnsi="Arial"/>
                <w:sz w:val="12"/>
                <w:szCs w:val="12"/>
                <w:b w:val="1"/>
                <w:bCs w:val="1"/>
                <w:color w:val="auto"/>
              </w:rPr>
              <w:t>Date</w:t>
            </w:r>
            <w:r>
              <w:rPr>
                <w:rFonts w:ascii="Arial" w:cs="Arial" w:eastAsia="Arial" w:hAnsi="Arial"/>
                <w:sz w:val="19"/>
                <w:szCs w:val="19"/>
                <w:b w:val="1"/>
                <w:bCs w:val="1"/>
                <w:color w:val="auto"/>
                <w:vertAlign w:val="superscript"/>
              </w:rPr>
              <w:t>(1)</w:t>
            </w: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Exercisable</w:t>
            </w: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Unexercisable</w:t>
            </w:r>
          </w:p>
        </w:tc>
        <w:tc>
          <w:tcPr>
            <w:tcW w:w="1100" w:type="dxa"/>
            <w:vAlign w:val="bottom"/>
            <w:gridSpan w:val="2"/>
          </w:tcPr>
          <w:p>
            <w:pPr>
              <w:jc w:val="center"/>
              <w:ind w:right="380"/>
              <w:spacing w:after="0" w:line="167" w:lineRule="exact"/>
              <w:rPr>
                <w:sz w:val="20"/>
                <w:szCs w:val="20"/>
                <w:color w:val="auto"/>
              </w:rPr>
            </w:pPr>
            <w:r>
              <w:rPr>
                <w:rFonts w:ascii="Arial" w:cs="Arial" w:eastAsia="Arial" w:hAnsi="Arial"/>
                <w:sz w:val="12"/>
                <w:szCs w:val="12"/>
                <w:b w:val="1"/>
                <w:bCs w:val="1"/>
                <w:color w:val="auto"/>
              </w:rPr>
              <w:t xml:space="preserve">Price </w:t>
            </w:r>
            <w:r>
              <w:rPr>
                <w:rFonts w:ascii="Arial" w:cs="Arial" w:eastAsia="Arial" w:hAnsi="Arial"/>
                <w:sz w:val="12"/>
                <w:szCs w:val="12"/>
                <w:b w:val="1"/>
                <w:bCs w:val="1"/>
                <w:u w:val="single" w:color="auto"/>
                <w:color w:val="auto"/>
              </w:rPr>
              <w:t>($</w:t>
            </w:r>
            <w:r>
              <w:rPr>
                <w:rFonts w:ascii="Arial" w:cs="Arial" w:eastAsia="Arial" w:hAnsi="Arial"/>
                <w:sz w:val="12"/>
                <w:szCs w:val="12"/>
                <w:b w:val="1"/>
                <w:bCs w:val="1"/>
                <w:color w:val="auto"/>
              </w:rPr>
              <w:t>)</w:t>
            </w:r>
            <w:r>
              <w:rPr>
                <w:rFonts w:ascii="Arial" w:cs="Arial" w:eastAsia="Arial" w:hAnsi="Arial"/>
                <w:sz w:val="19"/>
                <w:szCs w:val="19"/>
                <w:b w:val="1"/>
                <w:bCs w:val="1"/>
                <w:color w:val="auto"/>
                <w:vertAlign w:val="superscript"/>
              </w:rPr>
              <w:t>(2)</w:t>
            </w:r>
          </w:p>
        </w:tc>
        <w:tc>
          <w:tcPr>
            <w:tcW w:w="9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155"/>
        </w:trPr>
        <w:tc>
          <w:tcPr>
            <w:tcW w:w="4720" w:type="dxa"/>
            <w:vAlign w:val="bottom"/>
            <w:tcBorders>
              <w:top w:val="single" w:sz="8" w:color="CCEEFF"/>
            </w:tcBorders>
            <w:gridSpan w:val="2"/>
            <w:shd w:val="clear" w:color="auto" w:fill="CCEEFF"/>
          </w:tcPr>
          <w:p>
            <w:pPr>
              <w:spacing w:after="0" w:line="155" w:lineRule="exact"/>
              <w:rPr>
                <w:sz w:val="20"/>
                <w:szCs w:val="20"/>
                <w:color w:val="auto"/>
              </w:rPr>
            </w:pPr>
            <w:r>
              <w:rPr>
                <w:rFonts w:ascii="Arial" w:cs="Arial" w:eastAsia="Arial" w:hAnsi="Arial"/>
                <w:sz w:val="16"/>
                <w:szCs w:val="16"/>
                <w:color w:val="auto"/>
              </w:rPr>
              <w:t>David H. Mack, Ph.D.</w:t>
            </w:r>
          </w:p>
        </w:tc>
        <w:tc>
          <w:tcPr>
            <w:tcW w:w="32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5/12/2015</w:t>
            </w:r>
          </w:p>
        </w:tc>
        <w:tc>
          <w:tcPr>
            <w:tcW w:w="520" w:type="dxa"/>
            <w:vAlign w:val="bottom"/>
            <w:tcBorders>
              <w:top w:val="single" w:sz="8" w:color="CCEEFF"/>
            </w:tcBorders>
            <w:shd w:val="clear" w:color="auto" w:fill="CCEEFF"/>
          </w:tcPr>
          <w:p>
            <w:pPr>
              <w:jc w:val="right"/>
              <w:ind w:right="291"/>
              <w:spacing w:after="0" w:line="155" w:lineRule="exact"/>
              <w:rPr>
                <w:sz w:val="20"/>
                <w:szCs w:val="20"/>
                <w:color w:val="auto"/>
              </w:rPr>
            </w:pPr>
            <w:r>
              <w:rPr>
                <w:rFonts w:ascii="Arial" w:cs="Arial" w:eastAsia="Arial" w:hAnsi="Arial"/>
                <w:sz w:val="14"/>
                <w:szCs w:val="14"/>
                <w:color w:val="auto"/>
                <w:w w:val="81"/>
              </w:rPr>
              <w:t>(3)</w:t>
            </w: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2,608,000</w:t>
            </w:r>
          </w:p>
        </w:tc>
        <w:tc>
          <w:tcPr>
            <w:tcW w:w="38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w:t>
            </w:r>
          </w:p>
        </w:tc>
        <w:tc>
          <w:tcPr>
            <w:tcW w:w="3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ind w:left="420"/>
              <w:spacing w:after="0" w:line="155" w:lineRule="exact"/>
              <w:rPr>
                <w:sz w:val="20"/>
                <w:szCs w:val="20"/>
                <w:color w:val="auto"/>
              </w:rPr>
            </w:pPr>
            <w:r>
              <w:rPr>
                <w:rFonts w:ascii="Arial" w:cs="Arial" w:eastAsia="Arial" w:hAnsi="Arial"/>
                <w:sz w:val="16"/>
                <w:szCs w:val="16"/>
                <w:color w:val="auto"/>
                <w:w w:val="89"/>
              </w:rPr>
              <w:t>0.10</w:t>
            </w:r>
          </w:p>
        </w:tc>
        <w:tc>
          <w:tcPr>
            <w:tcW w:w="38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5/12/2025</w:t>
            </w:r>
          </w:p>
        </w:tc>
        <w:tc>
          <w:tcPr>
            <w:tcW w:w="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00" w:type="dxa"/>
            <w:vAlign w:val="bottom"/>
            <w:shd w:val="clear" w:color="auto" w:fill="CCEEFF"/>
          </w:tcPr>
          <w:p>
            <w:pPr>
              <w:spacing w:after="0"/>
              <w:rPr>
                <w:sz w:val="16"/>
                <w:szCs w:val="16"/>
                <w:color w:val="auto"/>
              </w:rPr>
            </w:pPr>
          </w:p>
        </w:tc>
        <w:tc>
          <w:tcPr>
            <w:tcW w:w="43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91"/>
              <w:spacing w:after="0" w:line="189" w:lineRule="exact"/>
              <w:rPr>
                <w:sz w:val="20"/>
                <w:szCs w:val="20"/>
                <w:color w:val="auto"/>
              </w:rPr>
            </w:pPr>
            <w:r>
              <w:rPr>
                <w:rFonts w:ascii="Arial" w:cs="Arial" w:eastAsia="Arial" w:hAnsi="Arial"/>
                <w:sz w:val="13"/>
                <w:szCs w:val="13"/>
                <w:color w:val="auto"/>
              </w:rPr>
              <w:t>11/16/2016</w:t>
            </w:r>
            <w:r>
              <w:rPr>
                <w:rFonts w:ascii="Arial" w:cs="Arial" w:eastAsia="Arial" w:hAnsi="Arial"/>
                <w:sz w:val="21"/>
                <w:szCs w:val="21"/>
                <w:color w:val="auto"/>
                <w:vertAlign w:val="superscript"/>
              </w:rPr>
              <w:t>(4)</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1,267,017</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0.26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11/16/2026</w:t>
            </w:r>
          </w:p>
        </w:tc>
        <w:tc>
          <w:tcPr>
            <w:tcW w:w="0" w:type="dxa"/>
            <w:vAlign w:val="bottom"/>
          </w:tcPr>
          <w:p>
            <w:pPr>
              <w:spacing w:after="0"/>
              <w:rPr>
                <w:sz w:val="1"/>
                <w:szCs w:val="1"/>
                <w:color w:val="auto"/>
              </w:rPr>
            </w:pPr>
          </w:p>
        </w:tc>
      </w:tr>
      <w:tr>
        <w:trPr>
          <w:trHeight w:val="210"/>
        </w:trPr>
        <w:tc>
          <w:tcPr>
            <w:tcW w:w="400" w:type="dxa"/>
            <w:vAlign w:val="bottom"/>
            <w:shd w:val="clear" w:color="auto" w:fill="CCEEFF"/>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91"/>
              <w:spacing w:after="0" w:line="210" w:lineRule="exact"/>
              <w:rPr>
                <w:sz w:val="20"/>
                <w:szCs w:val="20"/>
                <w:color w:val="auto"/>
              </w:rPr>
            </w:pPr>
            <w:r>
              <w:rPr>
                <w:rFonts w:ascii="Arial" w:cs="Arial" w:eastAsia="Arial" w:hAnsi="Arial"/>
                <w:sz w:val="15"/>
                <w:szCs w:val="15"/>
                <w:color w:val="auto"/>
              </w:rPr>
              <w:t>5/16/2017</w:t>
            </w:r>
            <w:r>
              <w:rPr>
                <w:rFonts w:ascii="Arial" w:cs="Arial" w:eastAsia="Arial" w:hAnsi="Arial"/>
                <w:sz w:val="24"/>
                <w:szCs w:val="24"/>
                <w:color w:val="auto"/>
                <w:vertAlign w:val="superscript"/>
              </w:rPr>
              <w:t>(5)</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1,566,791</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859,209</w:t>
            </w:r>
          </w:p>
        </w:tc>
        <w:tc>
          <w:tcPr>
            <w:tcW w:w="11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0.56</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5/16/2027</w:t>
            </w:r>
          </w:p>
        </w:tc>
        <w:tc>
          <w:tcPr>
            <w:tcW w:w="0" w:type="dxa"/>
            <w:vAlign w:val="bottom"/>
          </w:tcPr>
          <w:p>
            <w:pPr>
              <w:spacing w:after="0"/>
              <w:rPr>
                <w:sz w:val="1"/>
                <w:szCs w:val="1"/>
                <w:color w:val="auto"/>
              </w:rPr>
            </w:pPr>
          </w:p>
        </w:tc>
      </w:tr>
      <w:tr>
        <w:trPr>
          <w:trHeight w:val="189"/>
        </w:trPr>
        <w:tc>
          <w:tcPr>
            <w:tcW w:w="4720" w:type="dxa"/>
            <w:vAlign w:val="bottom"/>
            <w:gridSpan w:val="2"/>
          </w:tcPr>
          <w:p>
            <w:pPr>
              <w:spacing w:after="0"/>
              <w:rPr>
                <w:sz w:val="20"/>
                <w:szCs w:val="20"/>
                <w:color w:val="auto"/>
              </w:rPr>
            </w:pPr>
            <w:r>
              <w:rPr>
                <w:rFonts w:ascii="Arial" w:cs="Arial" w:eastAsia="Arial" w:hAnsi="Arial"/>
                <w:sz w:val="16"/>
                <w:szCs w:val="16"/>
                <w:color w:val="auto"/>
              </w:rPr>
              <w:t>Winston Kung</w:t>
            </w:r>
          </w:p>
        </w:tc>
        <w:tc>
          <w:tcPr>
            <w:tcW w:w="320" w:type="dxa"/>
            <w:vAlign w:val="bottom"/>
          </w:tcPr>
          <w:p>
            <w:pPr>
              <w:spacing w:after="0"/>
              <w:rPr>
                <w:sz w:val="16"/>
                <w:szCs w:val="16"/>
                <w:color w:val="auto"/>
              </w:rPr>
            </w:pPr>
          </w:p>
        </w:tc>
        <w:tc>
          <w:tcPr>
            <w:tcW w:w="1380" w:type="dxa"/>
            <w:vAlign w:val="bottom"/>
            <w:gridSpan w:val="2"/>
          </w:tcPr>
          <w:p>
            <w:pPr>
              <w:jc w:val="right"/>
              <w:ind w:right="291"/>
              <w:spacing w:after="0" w:line="189" w:lineRule="exact"/>
              <w:rPr>
                <w:sz w:val="20"/>
                <w:szCs w:val="20"/>
                <w:color w:val="auto"/>
              </w:rPr>
            </w:pPr>
            <w:r>
              <w:rPr>
                <w:rFonts w:ascii="Arial" w:cs="Arial" w:eastAsia="Arial" w:hAnsi="Arial"/>
                <w:sz w:val="13"/>
                <w:szCs w:val="13"/>
                <w:color w:val="auto"/>
              </w:rPr>
              <w:t>2/22/2018</w:t>
            </w:r>
            <w:r>
              <w:rPr>
                <w:rFonts w:ascii="Arial" w:cs="Arial" w:eastAsia="Arial" w:hAnsi="Arial"/>
                <w:sz w:val="21"/>
                <w:szCs w:val="21"/>
                <w:color w:val="auto"/>
                <w:vertAlign w:val="superscript"/>
              </w:rPr>
              <w:t>(6)</w:t>
            </w:r>
          </w:p>
        </w:tc>
        <w:tc>
          <w:tcPr>
            <w:tcW w:w="1240" w:type="dxa"/>
            <w:vAlign w:val="bottom"/>
            <w:gridSpan w:val="2"/>
          </w:tcPr>
          <w:p>
            <w:pPr>
              <w:jc w:val="right"/>
              <w:ind w:right="380"/>
              <w:spacing w:after="0"/>
              <w:rPr>
                <w:sz w:val="20"/>
                <w:szCs w:val="20"/>
                <w:color w:val="auto"/>
              </w:rPr>
            </w:pPr>
            <w:r>
              <w:rPr>
                <w:rFonts w:ascii="Arial" w:cs="Arial" w:eastAsia="Arial" w:hAnsi="Arial"/>
                <w:sz w:val="16"/>
                <w:szCs w:val="16"/>
                <w:color w:val="auto"/>
              </w:rPr>
              <w:t>2,506,440</w:t>
            </w:r>
          </w:p>
        </w:tc>
        <w:tc>
          <w:tcPr>
            <w:tcW w:w="134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100" w:type="dxa"/>
            <w:vAlign w:val="bottom"/>
            <w:gridSpan w:val="2"/>
          </w:tcPr>
          <w:p>
            <w:pPr>
              <w:ind w:left="420"/>
              <w:spacing w:after="0"/>
              <w:rPr>
                <w:sz w:val="20"/>
                <w:szCs w:val="20"/>
                <w:color w:val="auto"/>
              </w:rPr>
            </w:pPr>
            <w:r>
              <w:rPr>
                <w:rFonts w:ascii="Arial" w:cs="Arial" w:eastAsia="Arial" w:hAnsi="Arial"/>
                <w:sz w:val="16"/>
                <w:szCs w:val="16"/>
                <w:color w:val="auto"/>
              </w:rPr>
              <w:t>0.61</w:t>
            </w:r>
          </w:p>
        </w:tc>
        <w:tc>
          <w:tcPr>
            <w:tcW w:w="920" w:type="dxa"/>
            <w:vAlign w:val="bottom"/>
            <w:gridSpan w:val="2"/>
          </w:tcPr>
          <w:p>
            <w:pPr>
              <w:jc w:val="right"/>
              <w:ind w:right="60"/>
              <w:spacing w:after="0"/>
              <w:rPr>
                <w:sz w:val="20"/>
                <w:szCs w:val="20"/>
                <w:color w:val="auto"/>
              </w:rPr>
            </w:pPr>
            <w:r>
              <w:rPr>
                <w:rFonts w:ascii="Arial" w:cs="Arial" w:eastAsia="Arial" w:hAnsi="Arial"/>
                <w:sz w:val="16"/>
                <w:szCs w:val="16"/>
                <w:color w:val="auto"/>
              </w:rPr>
              <w:t>2/22/2028</w:t>
            </w:r>
          </w:p>
        </w:tc>
        <w:tc>
          <w:tcPr>
            <w:tcW w:w="0" w:type="dxa"/>
            <w:vAlign w:val="bottom"/>
          </w:tcPr>
          <w:p>
            <w:pPr>
              <w:spacing w:after="0"/>
              <w:rPr>
                <w:sz w:val="1"/>
                <w:szCs w:val="1"/>
                <w:color w:val="auto"/>
              </w:rPr>
            </w:pPr>
          </w:p>
        </w:tc>
      </w:tr>
      <w:tr>
        <w:trPr>
          <w:trHeight w:val="189"/>
        </w:trPr>
        <w:tc>
          <w:tcPr>
            <w:tcW w:w="472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Deepika Jalota, Pharm.D.</w:t>
            </w:r>
          </w:p>
        </w:tc>
        <w:tc>
          <w:tcPr>
            <w:tcW w:w="1700" w:type="dxa"/>
            <w:vAlign w:val="bottom"/>
            <w:gridSpan w:val="3"/>
            <w:shd w:val="clear" w:color="auto" w:fill="CCEEFF"/>
          </w:tcPr>
          <w:p>
            <w:pPr>
              <w:jc w:val="right"/>
              <w:ind w:right="291"/>
              <w:spacing w:after="0" w:line="189" w:lineRule="exact"/>
              <w:rPr>
                <w:sz w:val="20"/>
                <w:szCs w:val="20"/>
                <w:color w:val="auto"/>
              </w:rPr>
            </w:pPr>
            <w:r>
              <w:rPr>
                <w:rFonts w:ascii="Arial" w:cs="Arial" w:eastAsia="Arial" w:hAnsi="Arial"/>
                <w:sz w:val="13"/>
                <w:szCs w:val="13"/>
                <w:color w:val="auto"/>
              </w:rPr>
              <w:t>8/21/2019</w:t>
            </w:r>
            <w:r>
              <w:rPr>
                <w:rFonts w:ascii="Arial" w:cs="Arial" w:eastAsia="Arial" w:hAnsi="Arial"/>
                <w:sz w:val="21"/>
                <w:szCs w:val="21"/>
                <w:color w:val="auto"/>
                <w:vertAlign w:val="superscript"/>
              </w:rPr>
              <w:t>(7)</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134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475,000</w:t>
            </w:r>
          </w:p>
        </w:tc>
        <w:tc>
          <w:tcPr>
            <w:tcW w:w="1100" w:type="dxa"/>
            <w:vAlign w:val="bottom"/>
            <w:gridSpan w:val="2"/>
            <w:shd w:val="clear" w:color="auto" w:fill="CCEEFF"/>
          </w:tcPr>
          <w:p>
            <w:pPr>
              <w:ind w:left="420"/>
              <w:spacing w:after="0"/>
              <w:rPr>
                <w:sz w:val="20"/>
                <w:szCs w:val="20"/>
                <w:color w:val="auto"/>
              </w:rPr>
            </w:pPr>
            <w:r>
              <w:rPr>
                <w:rFonts w:ascii="Arial" w:cs="Arial" w:eastAsia="Arial" w:hAnsi="Arial"/>
                <w:sz w:val="16"/>
                <w:szCs w:val="16"/>
                <w:color w:val="auto"/>
              </w:rPr>
              <w:t>0.67</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8/21/2029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60" w:lineRule="exact"/>
        <w:rPr>
          <w:sz w:val="20"/>
          <w:szCs w:val="20"/>
          <w:color w:val="auto"/>
        </w:rPr>
      </w:pPr>
    </w:p>
    <w:p>
      <w:pPr>
        <w:ind w:left="660" w:hanging="544"/>
        <w:spacing w:after="0"/>
        <w:tabs>
          <w:tab w:leader="none" w:pos="660" w:val="left"/>
        </w:tabs>
        <w:numPr>
          <w:ilvl w:val="0"/>
          <w:numId w:val="98"/>
        </w:numPr>
        <w:rPr>
          <w:rFonts w:ascii="Arial" w:cs="Arial" w:eastAsia="Arial" w:hAnsi="Arial"/>
          <w:sz w:val="24"/>
          <w:szCs w:val="24"/>
          <w:color w:val="auto"/>
          <w:vertAlign w:val="superscript"/>
        </w:rPr>
      </w:pPr>
      <w:r>
        <w:rPr>
          <w:rFonts w:ascii="Arial" w:cs="Arial" w:eastAsia="Arial" w:hAnsi="Arial"/>
          <w:sz w:val="14"/>
          <w:szCs w:val="14"/>
          <w:color w:val="auto"/>
        </w:rPr>
        <w:t>Each of the outstanding options to purchase shares of our common stock was granted pursuant to our 2013 Plan.</w:t>
      </w:r>
    </w:p>
    <w:p>
      <w:pPr>
        <w:ind w:left="660" w:hanging="544"/>
        <w:spacing w:after="0" w:line="187" w:lineRule="auto"/>
        <w:tabs>
          <w:tab w:leader="none" w:pos="660" w:val="left"/>
        </w:tabs>
        <w:numPr>
          <w:ilvl w:val="0"/>
          <w:numId w:val="98"/>
        </w:numPr>
        <w:rPr>
          <w:rFonts w:ascii="Arial" w:cs="Arial" w:eastAsia="Arial" w:hAnsi="Arial"/>
          <w:sz w:val="18"/>
          <w:szCs w:val="18"/>
          <w:color w:val="auto"/>
          <w:vertAlign w:val="superscript"/>
        </w:rPr>
      </w:pPr>
      <w:r>
        <w:rPr>
          <w:rFonts w:ascii="Arial" w:cs="Arial" w:eastAsia="Arial" w:hAnsi="Arial"/>
          <w:sz w:val="11"/>
          <w:szCs w:val="11"/>
          <w:color w:val="auto"/>
        </w:rPr>
        <w:t>This column represents the fair market value of a share of our common stock on the date of grant, as determined by our board of directors.</w:t>
      </w:r>
    </w:p>
    <w:p>
      <w:pPr>
        <w:ind w:left="660" w:right="140" w:hanging="544"/>
        <w:spacing w:after="0" w:line="182" w:lineRule="auto"/>
        <w:tabs>
          <w:tab w:leader="none" w:pos="660" w:val="left"/>
        </w:tabs>
        <w:numPr>
          <w:ilvl w:val="0"/>
          <w:numId w:val="98"/>
        </w:numPr>
        <w:rPr>
          <w:rFonts w:ascii="Arial" w:cs="Arial" w:eastAsia="Arial" w:hAnsi="Arial"/>
          <w:sz w:val="23"/>
          <w:szCs w:val="23"/>
          <w:color w:val="auto"/>
          <w:vertAlign w:val="superscript"/>
        </w:rPr>
      </w:pPr>
      <w:r>
        <w:rPr>
          <w:rFonts w:ascii="Arial" w:cs="Arial" w:eastAsia="Arial" w:hAnsi="Arial"/>
          <w:sz w:val="14"/>
          <w:szCs w:val="14"/>
          <w:color w:val="auto"/>
        </w:rPr>
        <w:t>The option vests as to 1/4th of the shares of our common stock underlying it on May 12, 2016, and as to 1/60th in monthly installments after the initial vesting date, subject to the named executive officer’s continued service through each vesting date.</w:t>
      </w:r>
    </w:p>
    <w:p>
      <w:pPr>
        <w:spacing w:after="0" w:line="1" w:lineRule="exact"/>
        <w:rPr>
          <w:rFonts w:ascii="Arial" w:cs="Arial" w:eastAsia="Arial" w:hAnsi="Arial"/>
          <w:sz w:val="23"/>
          <w:szCs w:val="23"/>
          <w:color w:val="auto"/>
          <w:vertAlign w:val="superscript"/>
        </w:rPr>
      </w:pPr>
    </w:p>
    <w:p>
      <w:pPr>
        <w:ind w:left="660" w:right="380" w:hanging="544"/>
        <w:spacing w:after="0" w:line="182" w:lineRule="auto"/>
        <w:tabs>
          <w:tab w:leader="none" w:pos="660" w:val="left"/>
        </w:tabs>
        <w:numPr>
          <w:ilvl w:val="0"/>
          <w:numId w:val="98"/>
        </w:numPr>
        <w:rPr>
          <w:rFonts w:ascii="Arial" w:cs="Arial" w:eastAsia="Arial" w:hAnsi="Arial"/>
          <w:sz w:val="23"/>
          <w:szCs w:val="23"/>
          <w:color w:val="auto"/>
          <w:vertAlign w:val="superscript"/>
        </w:rPr>
      </w:pPr>
      <w:r>
        <w:rPr>
          <w:rFonts w:ascii="Arial" w:cs="Arial" w:eastAsia="Arial" w:hAnsi="Arial"/>
          <w:sz w:val="14"/>
          <w:szCs w:val="14"/>
          <w:color w:val="auto"/>
        </w:rPr>
        <w:t>The option vests as to 1/48th of the shares of our common stock underlying it in monthly installments after November 16, 2016, subject to the named executive officer’s continued service through each vesting date.</w:t>
      </w:r>
    </w:p>
    <w:p>
      <w:pPr>
        <w:spacing w:after="0" w:line="1" w:lineRule="exact"/>
        <w:rPr>
          <w:rFonts w:ascii="Arial" w:cs="Arial" w:eastAsia="Arial" w:hAnsi="Arial"/>
          <w:sz w:val="23"/>
          <w:szCs w:val="23"/>
          <w:color w:val="auto"/>
          <w:vertAlign w:val="superscript"/>
        </w:rPr>
      </w:pPr>
    </w:p>
    <w:p>
      <w:pPr>
        <w:ind w:left="660" w:right="240" w:hanging="544"/>
        <w:spacing w:after="0" w:line="182" w:lineRule="auto"/>
        <w:tabs>
          <w:tab w:leader="none" w:pos="660" w:val="left"/>
        </w:tabs>
        <w:numPr>
          <w:ilvl w:val="0"/>
          <w:numId w:val="98"/>
        </w:numPr>
        <w:rPr>
          <w:rFonts w:ascii="Arial" w:cs="Arial" w:eastAsia="Arial" w:hAnsi="Arial"/>
          <w:sz w:val="23"/>
          <w:szCs w:val="23"/>
          <w:color w:val="auto"/>
          <w:vertAlign w:val="superscript"/>
        </w:rPr>
      </w:pPr>
      <w:r>
        <w:rPr>
          <w:rFonts w:ascii="Arial" w:cs="Arial" w:eastAsia="Arial" w:hAnsi="Arial"/>
          <w:sz w:val="14"/>
          <w:szCs w:val="14"/>
          <w:color w:val="auto"/>
        </w:rPr>
        <w:t>The option vests as to 1/48th of the shares of our common stock underlying it in monthly installments after May 16, 2017, subject to the named executive officer’s continued service through each vesting date.</w:t>
      </w:r>
    </w:p>
    <w:p>
      <w:pPr>
        <w:spacing w:after="0" w:line="1" w:lineRule="exact"/>
        <w:rPr>
          <w:rFonts w:ascii="Arial" w:cs="Arial" w:eastAsia="Arial" w:hAnsi="Arial"/>
          <w:sz w:val="23"/>
          <w:szCs w:val="23"/>
          <w:color w:val="auto"/>
          <w:vertAlign w:val="superscript"/>
        </w:rPr>
      </w:pPr>
    </w:p>
    <w:p>
      <w:pPr>
        <w:ind w:left="660" w:right="120" w:hanging="544"/>
        <w:spacing w:after="0" w:line="215" w:lineRule="auto"/>
        <w:tabs>
          <w:tab w:leader="none" w:pos="660" w:val="left"/>
        </w:tabs>
        <w:numPr>
          <w:ilvl w:val="0"/>
          <w:numId w:val="98"/>
        </w:numPr>
        <w:rPr>
          <w:rFonts w:ascii="Arial" w:cs="Arial" w:eastAsia="Arial" w:hAnsi="Arial"/>
          <w:sz w:val="24"/>
          <w:szCs w:val="24"/>
          <w:color w:val="auto"/>
          <w:vertAlign w:val="superscript"/>
        </w:rPr>
      </w:pPr>
      <w:r>
        <w:rPr>
          <w:rFonts w:ascii="Arial" w:cs="Arial" w:eastAsia="Arial" w:hAnsi="Arial"/>
          <w:sz w:val="14"/>
          <w:szCs w:val="14"/>
          <w:color w:val="auto"/>
        </w:rPr>
        <w:t>The option includes two tranches. The first tranche (covering 75% of the shares of our common stock underlying the option) vests as to 1/4th of the shares of our common stock underlying it on November 27, 2018, and as to an additional 1/48th of the shares of our common stock underlying it in monthly installments after the initial vesting date, subject to the named executive officer’s continued service through each vesting date. The second tranche (covering 25% of the total number of shares of our common stock underlying the option) vests as to 1/48th of the shares of our common stock underlying it in monthly installments, subject to the named executive officer’s continued service through each vesting date, following achievement of the performance vesting condition, which is the first to occur of (i) the first day of our initial public offering or (ii) an alliance transaction entered into by us with the approval of our board which is valued at $100,000,000 or more.</w:t>
      </w:r>
    </w:p>
    <w:p>
      <w:pPr>
        <w:spacing w:after="0" w:line="3" w:lineRule="exact"/>
        <w:rPr>
          <w:rFonts w:ascii="Arial" w:cs="Arial" w:eastAsia="Arial" w:hAnsi="Arial"/>
          <w:sz w:val="24"/>
          <w:szCs w:val="24"/>
          <w:color w:val="auto"/>
          <w:vertAlign w:val="superscript"/>
        </w:rPr>
      </w:pPr>
    </w:p>
    <w:p>
      <w:pPr>
        <w:ind w:left="660" w:right="280" w:hanging="544"/>
        <w:spacing w:after="0" w:line="185" w:lineRule="auto"/>
        <w:tabs>
          <w:tab w:leader="none" w:pos="660" w:val="left"/>
        </w:tabs>
        <w:numPr>
          <w:ilvl w:val="0"/>
          <w:numId w:val="98"/>
        </w:numPr>
        <w:rPr>
          <w:rFonts w:ascii="Arial" w:cs="Arial" w:eastAsia="Arial" w:hAnsi="Arial"/>
          <w:sz w:val="24"/>
          <w:szCs w:val="24"/>
          <w:color w:val="auto"/>
          <w:vertAlign w:val="superscript"/>
        </w:rPr>
      </w:pPr>
      <w:r>
        <w:rPr>
          <w:rFonts w:ascii="Arial" w:cs="Arial" w:eastAsia="Arial" w:hAnsi="Arial"/>
          <w:sz w:val="14"/>
          <w:szCs w:val="14"/>
          <w:color w:val="auto"/>
        </w:rPr>
        <w:t>The option vests as to 1/4th of the shares of our common stock underlying it on June 10, 2020, and as to an additional 1/48th of the shares of our common stock underlying it in monthly installments after the initial vesting date, subject to the named executive officer’s continued service through each vesting date.</w:t>
      </w:r>
    </w:p>
    <w:p>
      <w:pPr>
        <w:spacing w:after="0" w:line="28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Employment Arrangements with Our Named Executive Officers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David H. Mack, Ph.D.</w:t>
      </w:r>
    </w:p>
    <w:p>
      <w:pPr>
        <w:spacing w:after="0" w:line="104" w:lineRule="exact"/>
        <w:rPr>
          <w:sz w:val="20"/>
          <w:szCs w:val="20"/>
          <w:color w:val="auto"/>
        </w:rPr>
      </w:pPr>
    </w:p>
    <w:p>
      <w:pPr>
        <w:jc w:val="both"/>
        <w:ind w:left="120" w:right="180" w:firstLine="551"/>
        <w:spacing w:after="0" w:line="255" w:lineRule="auto"/>
        <w:rPr>
          <w:sz w:val="20"/>
          <w:szCs w:val="20"/>
          <w:color w:val="auto"/>
        </w:rPr>
      </w:pPr>
      <w:r>
        <w:rPr>
          <w:rFonts w:ascii="Arial" w:cs="Arial" w:eastAsia="Arial" w:hAnsi="Arial"/>
          <w:sz w:val="18"/>
          <w:szCs w:val="18"/>
          <w:color w:val="auto"/>
        </w:rPr>
        <w:t>We have enterd into a confirmatory employment letter with Dr. Mack, our President and Chief Executive Officer. The confirmatory employment letter currently has no specific term and provides for at-will employment. Dr. Mack’s current annual base salary is $525,100, and Dr. Mack’s annual target bonus is 50% of his annual base salary.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Winston Kung</w:t>
      </w:r>
    </w:p>
    <w:p>
      <w:pPr>
        <w:spacing w:after="0" w:line="104" w:lineRule="exact"/>
        <w:rPr>
          <w:sz w:val="20"/>
          <w:szCs w:val="20"/>
          <w:color w:val="auto"/>
        </w:rPr>
      </w:pPr>
    </w:p>
    <w:p>
      <w:pPr>
        <w:jc w:val="both"/>
        <w:ind w:left="120" w:right="140" w:firstLine="551"/>
        <w:spacing w:after="0" w:line="255" w:lineRule="auto"/>
        <w:rPr>
          <w:sz w:val="20"/>
          <w:szCs w:val="20"/>
          <w:color w:val="auto"/>
        </w:rPr>
      </w:pPr>
      <w:r>
        <w:rPr>
          <w:rFonts w:ascii="Arial" w:cs="Arial" w:eastAsia="Arial" w:hAnsi="Arial"/>
          <w:sz w:val="18"/>
          <w:szCs w:val="18"/>
          <w:color w:val="auto"/>
        </w:rPr>
        <w:t>We have entered into a confirmatory employment letter with Mr. Kung, our Chief Operating Officer and Chief Financial Officer. The confirmatory employment letter currently has no specific term and provides for at-will employment. Mr. Kung’s current annual base salary is $437,100, and Mr. Kung’s annual target bonus is 40% of his annual base salary.</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140"/>
          </w:cols>
          <w:pgMar w:left="320" w:top="455" w:right="439" w:bottom="1440" w:gutter="0" w:footer="0" w:header="0"/>
        </w:sectPr>
      </w:pPr>
    </w:p>
    <w:bookmarkStart w:id="169" w:name="page170"/>
    <w:bookmarkEnd w:id="1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Deepika Jalota, Pharm.D.</w:t>
      </w:r>
    </w:p>
    <w:p>
      <w:pPr>
        <w:spacing w:after="0" w:line="104"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We have entered into a confirmatory employment letter with Dr. Jalota, our Senior Vice President, Regulatory Affairs and Quality Assurance. The confirmatory employment letter has no specific term and provides for at-will employment. Dr. Jalota’s current annual base salary is $362,300, and Dr. Jalota’s annual target bonus is 35% of her annual base salary.</w:t>
      </w:r>
    </w:p>
    <w:p>
      <w:pPr>
        <w:spacing w:after="0" w:line="27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Management Bonus Plan</w:t>
      </w:r>
    </w:p>
    <w:p>
      <w:pPr>
        <w:spacing w:after="0" w:line="214" w:lineRule="exact"/>
        <w:rPr>
          <w:sz w:val="20"/>
          <w:szCs w:val="20"/>
          <w:color w:val="auto"/>
        </w:rPr>
      </w:pPr>
    </w:p>
    <w:p>
      <w:pPr>
        <w:ind w:left="120" w:right="320" w:firstLine="551"/>
        <w:spacing w:after="0" w:line="248" w:lineRule="auto"/>
        <w:rPr>
          <w:sz w:val="20"/>
          <w:szCs w:val="20"/>
          <w:color w:val="auto"/>
        </w:rPr>
      </w:pPr>
      <w:r>
        <w:rPr>
          <w:rFonts w:ascii="Arial" w:cs="Arial" w:eastAsia="Arial" w:hAnsi="Arial"/>
          <w:sz w:val="18"/>
          <w:szCs w:val="18"/>
          <w:color w:val="auto"/>
        </w:rPr>
        <w:t>Each of our executive officers is eligible for an annual bonus under our management bonus plan and has an established target bonus amount as set forth in the section titled “Executive Compensation—Employment Arrangements with Our Named Executive Officers.” For 2019, our board determined each eligible executive officer’s actual bonus based upon an assessment of achievement of corporate goals, which included specified study, pipeline and financial goals.</w:t>
      </w:r>
    </w:p>
    <w:p>
      <w:pPr>
        <w:spacing w:after="0" w:line="27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Employee Incentive Compensation Plan</w:t>
      </w:r>
    </w:p>
    <w:p>
      <w:pPr>
        <w:spacing w:after="0" w:line="106"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Our board of directors adopted an Employee Incentive Compensation Plan, or Incentive Compensation Plan. Our Incentive Compensation Plan allows our compensation committee to provide cash incentive awards to employees selected by our compensation committee, including our named executive officers, based upon performance goals established by our compensation committee. Pursuant to the Incentive Compensation Plan, our compensation committee, in its sole discretion, establishes a target award for each participant and a bonus pool, with actual awards payable from such bonus pool, with respect to the applicable performance period.</w:t>
      </w:r>
    </w:p>
    <w:p>
      <w:pPr>
        <w:spacing w:after="0" w:line="172" w:lineRule="exact"/>
        <w:rPr>
          <w:sz w:val="20"/>
          <w:szCs w:val="20"/>
          <w:color w:val="auto"/>
        </w:rPr>
      </w:pPr>
    </w:p>
    <w:p>
      <w:pPr>
        <w:ind w:left="120" w:right="40" w:firstLine="551"/>
        <w:spacing w:after="0" w:line="238" w:lineRule="auto"/>
        <w:rPr>
          <w:sz w:val="20"/>
          <w:szCs w:val="20"/>
          <w:color w:val="auto"/>
        </w:rPr>
      </w:pPr>
      <w:r>
        <w:rPr>
          <w:rFonts w:ascii="Arial" w:cs="Arial" w:eastAsia="Arial" w:hAnsi="Arial"/>
          <w:sz w:val="18"/>
          <w:szCs w:val="18"/>
          <w:color w:val="auto"/>
        </w:rPr>
        <w:t>Under our Incentive Compensation Plan, our compensation committee determines the performance goals applicable to any award, which goals may include, without limitation, attainment of research and development and/or clinical development milestones, bookings, business divestitures and acquisitions, capital raising, cash flow, cash position, contract awards or backlog, customer renewals, customer retention rates from an acquired company, subsidiary, business unit or division, earnings (which may include earnings before interest and taxes, earnings before taxes, and net taxes), earnings per share, expenses, financial milestones, gross margin, growth in stockholder value relative to the moving average of the S&amp;P 500 Index or another index, internal rate of return, internal structure, leadership development, license or research collaboration agreements, market share, net income, net profit, net sales, new product development, new product or business invention or innovation, number of customers, operating cash flow, operating expenses, operating income, operating margin, overhead or other expense reduction, patentability, publications, procurement, product defect measures, product release timelines or other product release milestones, productivity, profit, project, function or portfolio-specific milestones,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and individual objectives such as peer reviews or other subjective or objective criteria. The performance goals may differ from participant to participant and from award to award.</w:t>
      </w:r>
    </w:p>
    <w:p>
      <w:pPr>
        <w:spacing w:after="0" w:line="177"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Our compensation committee administers our Incentive Compensation Plan. The administrator of our Incentive Compensation Plan may, in its sole discretion and at any time, increase, reduce or eliminate a participant’s actual award, and/or increase, reduce or eliminate the amount allocated to the bonus pool for a particular performance period. The actual award may be below, at or above a participant’s target award, in the discretion of the administrator. The administrator may determine the amount of any increase, reduction or elimination on the basis of such factors as it deems relevant, and it is not required to establish any allocation or weighting with respect to the factors it considers.</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080"/>
          </w:cols>
          <w:pgMar w:left="320" w:top="455" w:right="499" w:bottom="1440" w:gutter="0" w:footer="0" w:header="0"/>
        </w:sectPr>
      </w:pPr>
    </w:p>
    <w:bookmarkStart w:id="170" w:name="page171"/>
    <w:bookmarkEnd w:id="1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Actual awards will be paid in cash (or its equivalent) in a single lump sum only after they are earned, which usually requires continued employment through the date the actual award is paid. The compensation committee reserves the right to settle an actual award with a grant of an equity award under the Company’s then-current equity compensation plan, which equity award may have such terms and conditions, as the compensation committee determines. Payment of awards occurs as soon as administratively practicable after they are earned, but no later than the dates set forth in our Incentive Compensation Plan.</w:t>
      </w:r>
    </w:p>
    <w:p>
      <w:pPr>
        <w:spacing w:after="0" w:line="172" w:lineRule="exact"/>
        <w:rPr>
          <w:sz w:val="20"/>
          <w:szCs w:val="20"/>
          <w:color w:val="auto"/>
        </w:rPr>
      </w:pPr>
    </w:p>
    <w:p>
      <w:pPr>
        <w:ind w:left="120" w:right="400" w:firstLine="551"/>
        <w:spacing w:after="0" w:line="306" w:lineRule="auto"/>
        <w:rPr>
          <w:sz w:val="20"/>
          <w:szCs w:val="20"/>
          <w:color w:val="auto"/>
        </w:rPr>
      </w:pPr>
      <w:r>
        <w:rPr>
          <w:rFonts w:ascii="Arial" w:cs="Arial" w:eastAsia="Arial" w:hAnsi="Arial"/>
          <w:sz w:val="17"/>
          <w:szCs w:val="17"/>
          <w:color w:val="auto"/>
        </w:rPr>
        <w:t>Our board of directors and our compensation committee have the authority to amend, alter, suspend or terminate our Incentive Compensation Plan, provided such action does not impair the existing rights of any participant with respect to any earned awards.</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14"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8"/>
          <w:szCs w:val="18"/>
          <w:color w:val="auto"/>
        </w:rPr>
        <w:t>We currently have a Change in Control and Severance Policy, or Severance Policy, and have entered into participation agreements under the Severance Policy with certain employees, including Dr. Mack, Mr. Kung and Dr. Jalota. The form of participation agreement to the Change in Control and Severance Policy was amended in August 2020.</w:t>
      </w:r>
    </w:p>
    <w:p>
      <w:pPr>
        <w:spacing w:after="0" w:line="16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The Severance Policy and related participation agreements provide that if we (or any of our subsidiaries) terminate a participant’s employment during the period beginning three months prior to and ending 12 months after a “change in control” (as defined in the Severance Policy) (such period, the “change in control period”) other than for “cause” (as defined in the Severance Policy), death or disability, and, in the case of Dr. Mack and Mr. Kung, the termination of employment by the participant for “good reason” (as defined in the Severance Policy), the participant will receive the following:</w:t>
      </w:r>
    </w:p>
    <w:p>
      <w:pPr>
        <w:spacing w:after="0" w:line="78" w:lineRule="exact"/>
        <w:rPr>
          <w:sz w:val="20"/>
          <w:szCs w:val="20"/>
          <w:color w:val="auto"/>
        </w:rPr>
      </w:pPr>
    </w:p>
    <w:p>
      <w:pPr>
        <w:ind w:left="880" w:right="40" w:hanging="224"/>
        <w:spacing w:after="0" w:line="255" w:lineRule="auto"/>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100% acceleration of unvested equity awards (in the case of performance-based equity awards, unless otherwise determined by us and set forth in the equity award agreement, all performance goals and other vesting criteria will be deemed achieved at 100% of target levels);</w:t>
      </w:r>
    </w:p>
    <w:p>
      <w:pPr>
        <w:spacing w:after="0" w:line="69" w:lineRule="exact"/>
        <w:rPr>
          <w:rFonts w:ascii="Arial" w:cs="Arial" w:eastAsia="Arial" w:hAnsi="Arial"/>
          <w:sz w:val="18"/>
          <w:szCs w:val="18"/>
          <w:color w:val="auto"/>
        </w:rPr>
      </w:pPr>
    </w:p>
    <w:p>
      <w:pPr>
        <w:ind w:left="880" w:right="520" w:hanging="224"/>
        <w:spacing w:after="0" w:line="276" w:lineRule="auto"/>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lump sum payment equal to the amount specified in the participant’s participation agreement (18 months’ base salary for Dr. Mack, 12 months’ base salary for Mr. Kung and nine months for Dr. Jalota);</w:t>
      </w:r>
    </w:p>
    <w:p>
      <w:pPr>
        <w:spacing w:after="0" w:line="50" w:lineRule="exact"/>
        <w:rPr>
          <w:rFonts w:ascii="Arial" w:cs="Arial" w:eastAsia="Arial" w:hAnsi="Arial"/>
          <w:sz w:val="18"/>
          <w:szCs w:val="18"/>
          <w:color w:val="auto"/>
        </w:rPr>
      </w:pPr>
    </w:p>
    <w:p>
      <w:pPr>
        <w:ind w:left="880" w:right="720" w:hanging="224"/>
        <w:spacing w:after="0" w:line="276" w:lineRule="auto"/>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target annual bonus for the year of termination equal to the amount specified in the participant’s participation agreement ($393,825 for Dr. Mack, $174,840 for Mr. Kung and the greater of 75% or pro-rata for Dr. Jalota); and</w:t>
      </w:r>
    </w:p>
    <w:p>
      <w:pPr>
        <w:spacing w:after="0" w:line="50" w:lineRule="exact"/>
        <w:rPr>
          <w:rFonts w:ascii="Arial" w:cs="Arial" w:eastAsia="Arial" w:hAnsi="Arial"/>
          <w:sz w:val="18"/>
          <w:szCs w:val="18"/>
          <w:color w:val="auto"/>
        </w:rPr>
      </w:pPr>
    </w:p>
    <w:p>
      <w:pPr>
        <w:ind w:left="880" w:right="260" w:hanging="224"/>
        <w:spacing w:after="0" w:line="276" w:lineRule="auto"/>
        <w:tabs>
          <w:tab w:leader="none" w:pos="8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payment or reimbursement of the participant’s COBRA premiums, as applicable, for a time period specified in the participant’s participation agreement (18 months for Dr. Mack, 12 months for Mr. Kung and six months for Dr. Jalota).</w:t>
      </w:r>
    </w:p>
    <w:p>
      <w:pPr>
        <w:spacing w:after="0" w:line="145" w:lineRule="exact"/>
        <w:rPr>
          <w:sz w:val="20"/>
          <w:szCs w:val="20"/>
          <w:color w:val="auto"/>
        </w:rPr>
      </w:pPr>
    </w:p>
    <w:p>
      <w:pPr>
        <w:ind w:left="120" w:right="520" w:firstLine="551"/>
        <w:spacing w:after="0" w:line="255" w:lineRule="auto"/>
        <w:rPr>
          <w:sz w:val="20"/>
          <w:szCs w:val="20"/>
          <w:color w:val="auto"/>
        </w:rPr>
      </w:pPr>
      <w:r>
        <w:rPr>
          <w:rFonts w:ascii="Arial" w:cs="Arial" w:eastAsia="Arial" w:hAnsi="Arial"/>
          <w:sz w:val="18"/>
          <w:szCs w:val="18"/>
          <w:color w:val="auto"/>
        </w:rPr>
        <w:t>The Severance Policy and related participation agreements also provide that if we (or one of our subsidiaries) terminate a participant’s employment outside the change in control period other than for cause, death or disability, the participant will receive the following:</w:t>
      </w:r>
    </w:p>
    <w:p>
      <w:pPr>
        <w:spacing w:after="0" w:line="69" w:lineRule="exact"/>
        <w:rPr>
          <w:sz w:val="20"/>
          <w:szCs w:val="20"/>
          <w:color w:val="auto"/>
        </w:rPr>
      </w:pPr>
    </w:p>
    <w:p>
      <w:pPr>
        <w:ind w:left="880" w:right="140" w:hanging="224"/>
        <w:spacing w:after="0" w:line="248" w:lineRule="auto"/>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acceleration of vesting of time-based unvested equity awards granted prior to the effectiveness of this offering equal to the amount specified in the participant’s participation agreement (equal to the number of shares otherwise scheduled to vest during the 12 month period following the date of termination for Dr. Mack and the six month period following the date of termination for Mr. Kung and Dr. Jalota);</w:t>
      </w:r>
    </w:p>
    <w:p>
      <w:pPr>
        <w:spacing w:after="0" w:line="75" w:lineRule="exact"/>
        <w:rPr>
          <w:rFonts w:ascii="Arial" w:cs="Arial" w:eastAsia="Arial" w:hAnsi="Arial"/>
          <w:sz w:val="18"/>
          <w:szCs w:val="18"/>
          <w:color w:val="auto"/>
        </w:rPr>
      </w:pPr>
    </w:p>
    <w:p>
      <w:pPr>
        <w:ind w:left="880" w:right="20" w:hanging="224"/>
        <w:spacing w:after="0" w:line="276" w:lineRule="auto"/>
        <w:tabs>
          <w:tab w:leader="none" w:pos="8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 lump sum payment equal to amount specified in the participant’s participation agreement (12 months’ base salary for Dr. Mack, nine months’ base salary for Mr. Kung and six months’ base salary for Dr. Jalota); and</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5" w:right="459" w:bottom="1440" w:gutter="0" w:footer="0" w:header="0"/>
        </w:sectPr>
      </w:pPr>
    </w:p>
    <w:bookmarkStart w:id="171" w:name="page172"/>
    <w:bookmarkEnd w:id="1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880" w:right="260" w:hanging="224"/>
        <w:spacing w:after="0" w:line="276" w:lineRule="auto"/>
        <w:tabs>
          <w:tab w:leader="none" w:pos="8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payment or reimbursement of the participant’s COBRA premiums, as applicable, for a time period specified in the participant’s participation agreement (12 months for Dr. Mack, nine months for Mr. Kung and six months for Dr. Jalota).</w:t>
      </w:r>
    </w:p>
    <w:p>
      <w:pPr>
        <w:spacing w:after="0" w:line="145" w:lineRule="exact"/>
        <w:rPr>
          <w:sz w:val="20"/>
          <w:szCs w:val="20"/>
          <w:color w:val="auto"/>
        </w:rPr>
      </w:pPr>
    </w:p>
    <w:p>
      <w:pPr>
        <w:ind w:left="120" w:right="100" w:firstLine="551"/>
        <w:spacing w:after="0" w:line="245" w:lineRule="auto"/>
        <w:rPr>
          <w:sz w:val="20"/>
          <w:szCs w:val="20"/>
          <w:color w:val="auto"/>
        </w:rPr>
      </w:pPr>
      <w:r>
        <w:rPr>
          <w:rFonts w:ascii="Arial" w:cs="Arial" w:eastAsia="Arial" w:hAnsi="Arial"/>
          <w:sz w:val="18"/>
          <w:szCs w:val="18"/>
          <w:color w:val="auto"/>
        </w:rPr>
        <w:t>In addition, the Severance Policy provides that if any payments or benefits received by a participant under the Severance Policy or otherwise would constitute “parachute payments” within the meaning of Section 280G of the U.S. Internal Revenue Code of 1986, as amended, or Code, and may be subject to excise taxes imposed by Section 4999 of the Code, such amount will either be delivered in full or reduced so as not to be subject to excise taxation, whichever amount is higher, taking into account applicable taxes. The Severance Policy does not require us to provide any tax gross-ups.</w:t>
      </w:r>
    </w:p>
    <w:p>
      <w:pPr>
        <w:spacing w:after="0" w:line="172" w:lineRule="exact"/>
        <w:rPr>
          <w:sz w:val="20"/>
          <w:szCs w:val="20"/>
          <w:color w:val="auto"/>
        </w:rPr>
      </w:pPr>
    </w:p>
    <w:p>
      <w:pPr>
        <w:ind w:left="120" w:right="580" w:firstLine="551"/>
        <w:spacing w:after="0" w:line="276" w:lineRule="auto"/>
        <w:rPr>
          <w:sz w:val="20"/>
          <w:szCs w:val="20"/>
          <w:color w:val="auto"/>
        </w:rPr>
      </w:pPr>
      <w:r>
        <w:rPr>
          <w:rFonts w:ascii="Arial" w:cs="Arial" w:eastAsia="Arial" w:hAnsi="Arial"/>
          <w:sz w:val="18"/>
          <w:szCs w:val="18"/>
          <w:color w:val="auto"/>
        </w:rPr>
        <w:t>To receive the severance described above, the participant must sign and not revoke our standard separation agreement and release of claims within the timeframe that is set forth in the Severance Policy.</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Employee Benefit and Stock Plans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Equity Incentive Plan</w:t>
      </w:r>
    </w:p>
    <w:p>
      <w:pPr>
        <w:spacing w:after="0" w:line="10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Our board of directors adopted, and our stockholders will approve, our 2020 Equity Incentive Plan, or 2020 Plan. The 2020 Plan will be effective on the business day immediately prior to the effective date of the registration statement of which this prospectus forms a part. Our 2020 Plan will provide for the grant of incentive stock options, within the meaning of Section 422 of the Code, to our employees and any of our parent and subsidiary corporations’ employees, and for the grant of nonstatutory stock options, restricted stock, restricted stock units, stock appreciation rights, performance units and performance shares to our employees, directors and consultants and any of our future subsidiary corporations’ employees and consultants.</w:t>
      </w:r>
    </w:p>
    <w:p>
      <w:pPr>
        <w:spacing w:after="0" w:line="174" w:lineRule="exact"/>
        <w:rPr>
          <w:sz w:val="20"/>
          <w:szCs w:val="20"/>
          <w:color w:val="auto"/>
        </w:rPr>
      </w:pPr>
    </w:p>
    <w:p>
      <w:pPr>
        <w:ind w:left="120" w:right="100" w:firstLine="551"/>
        <w:spacing w:after="0" w:line="243" w:lineRule="auto"/>
        <w:rPr>
          <w:sz w:val="20"/>
          <w:szCs w:val="20"/>
          <w:color w:val="auto"/>
        </w:rPr>
      </w:pPr>
      <w:r>
        <w:rPr>
          <w:rFonts w:ascii="Arial" w:cs="Arial" w:eastAsia="Arial" w:hAnsi="Arial"/>
          <w:sz w:val="18"/>
          <w:szCs w:val="18"/>
          <w:i w:val="1"/>
          <w:iCs w:val="1"/>
          <w:color w:val="auto"/>
        </w:rPr>
        <w:t>Authorized Shares</w:t>
      </w:r>
      <w:r>
        <w:rPr>
          <w:rFonts w:ascii="Arial" w:cs="Arial" w:eastAsia="Arial" w:hAnsi="Arial"/>
          <w:sz w:val="18"/>
          <w:szCs w:val="18"/>
          <w:color w:val="auto"/>
        </w:rPr>
        <w:t>. A total of 23,200,000 shares of our common stock are reserved for issuance pursuant to our 2020 Plan. 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 the shares reserved for issuance under our 2020 Plan will also include shares of our common stock subject to awards granted under our 2013 Plan that, after the effectiveness of this offering, expire or otherwise terminate without having been exercised in full or are forfeited to or repurchased by us (provided that the maximum number of shares that may be added to the 2020 Plan is 20,825,000 shares). The number of shares available for issuance under our 2020 Plan will also include an annual increase on the first day of each fiscal year beginning with our 2021 fiscal year, equal to the lesser of:</w:t>
      </w:r>
    </w:p>
    <w:p>
      <w:pPr>
        <w:spacing w:after="0" w:line="79" w:lineRule="exact"/>
        <w:rPr>
          <w:sz w:val="20"/>
          <w:szCs w:val="20"/>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23,200,000 shares;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5% of the outstanding shares of our common stock as of the last day of the immediately preceding fiscal year; or</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such other amount as our board of directors may determine.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automatic share increase will lapse following the increase of the first day of 2030.</w:t>
      </w:r>
    </w:p>
    <w:p>
      <w:pPr>
        <w:spacing w:after="0" w:line="212"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If an award expires or becomes unexercisable without having been exercised in full, is surrendered pursuant to an exchange program, or, with respect to restricted stock, restricted stock units, performance units or performance shares, is forfeited to or repurchased by us due to failure to vest, the unpurchased shares (or for awards other than stock options or stock appreciation rights, the forfeited or repurchased shares) will become available for future grant or sale under the 2020 Plan (unless the 2020 Plan has terminated). With respect to stock appreciation rights, only the net shares actually issued will cease to be available under the 2020 Plan and all remaining shares under stock</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5" w:right="459" w:bottom="1440" w:gutter="0" w:footer="0" w:header="0"/>
        </w:sectPr>
      </w:pPr>
    </w:p>
    <w:bookmarkStart w:id="172" w:name="page173"/>
    <w:bookmarkEnd w:id="1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40"/>
        <w:spacing w:after="0" w:line="241" w:lineRule="auto"/>
        <w:rPr>
          <w:sz w:val="20"/>
          <w:szCs w:val="20"/>
          <w:color w:val="auto"/>
        </w:rPr>
      </w:pPr>
      <w:r>
        <w:rPr>
          <w:rFonts w:ascii="Arial" w:cs="Arial" w:eastAsia="Arial" w:hAnsi="Arial"/>
          <w:sz w:val="18"/>
          <w:szCs w:val="18"/>
          <w:color w:val="auto"/>
        </w:rPr>
        <w:t>appreciation rights will remain available for future grant or sale under the 2020 Plan (unless the 2020 Plan has terminated). Shares that have actually been issued under the 2020 Plan will not be returned to the 2020 Plan except if shares issued pursuant to awards of restricted stock, restricted stock units, performance shares, or performance units are repurchased by or forfeited to us, such shares will become available for future grant under the 2020 Plan. Shares used to pay the exercise price of an award or satisfy the tax withholding obligations related to an award will become available for future grant or sale under the 2020 Plan. To the extent an award is paid out in cash rather than shares, such cash payment will not result in a reduction in the number of shares available for issuance under the 2020 Plan.</w:t>
      </w:r>
    </w:p>
    <w:p>
      <w:pPr>
        <w:spacing w:after="0" w:line="179" w:lineRule="exact"/>
        <w:rPr>
          <w:sz w:val="20"/>
          <w:szCs w:val="20"/>
          <w:color w:val="auto"/>
        </w:rPr>
      </w:pPr>
    </w:p>
    <w:p>
      <w:pPr>
        <w:ind w:left="120" w:firstLine="551"/>
        <w:spacing w:after="0" w:line="237"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board of directors or one or more committees appointed by our board of directors will administer our</w:t>
      </w:r>
      <w:r>
        <w:rPr>
          <w:rFonts w:ascii="Arial" w:cs="Arial" w:eastAsia="Arial" w:hAnsi="Arial"/>
          <w:sz w:val="18"/>
          <w:szCs w:val="18"/>
          <w:i w:val="1"/>
          <w:iCs w:val="1"/>
          <w:color w:val="auto"/>
        </w:rPr>
        <w:t xml:space="preserve"> </w:t>
      </w:r>
      <w:r>
        <w:rPr>
          <w:rFonts w:ascii="Arial" w:cs="Arial" w:eastAsia="Arial" w:hAnsi="Arial"/>
          <w:sz w:val="18"/>
          <w:szCs w:val="18"/>
          <w:color w:val="auto"/>
        </w:rPr>
        <w:t>2020 Plan. The compensation committee of our board of directors will initially administer our 2020 Plan. In addition, if we determine it is desirable to qualify transactions under our 2020 Plan as exempt under Rule 16b-3 of the Securities Exchange Act of 1934, as amended, or Exchange Act, such transactions will be structured to satisfy the requirements for exemption under Rule 16b-3. Subject to the provisions of our 2020 Plan, the administrator has the power to administer our 2020 Plan and make all determinations deemed necessary or advisable for administering the 2020 Plan, including but not limited to, the power to determine the fair market value of our common stock, select the service providers to whom awards may be granted, determine the number of shares covered by each award, approve forms of award agreements for use under the 2020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our 2020 Plan and awards granted under it, prescribe, amend and rescind rules relating to our 2020 Plan, including creating sub-plans, modify or amend each award, including but not limited to the discretionary authority to extend the post-termination exercisability period of awards (except no option or stock appreciation right will be extended past its original maximum term), and allow a participant to defer the receipt of payment of cash or the delivery of shares that would otherwise be due to such participant under an award. The administrator also has the authority to allow participants the opportunity to transfer outstanding awards to a financial institution or other person or entity selected by the administrator and to institute an exchange program by which outstanding awards may be surrendered or cancelled in exchange for awards of the same type, which may have a higher or lower exercise price and/or different terms, awards of a different type, and/or cash or by which the exercise price of an outstanding award is increased or reduced. The administrator’s decisions, interpretations and other actions are final and binding on all participants.</w:t>
      </w:r>
    </w:p>
    <w:p>
      <w:pPr>
        <w:spacing w:after="0" w:line="180"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Stock options may be granted under our 2020 Plan. The exercise price of options granted under our 2020 Plan</w:t>
      </w:r>
      <w:r>
        <w:rPr>
          <w:rFonts w:ascii="Arial" w:cs="Arial" w:eastAsia="Arial" w:hAnsi="Arial"/>
          <w:sz w:val="18"/>
          <w:szCs w:val="18"/>
          <w:i w:val="1"/>
          <w:iCs w:val="1"/>
          <w:color w:val="auto"/>
        </w:rPr>
        <w:t xml:space="preserve"> </w:t>
      </w:r>
      <w:r>
        <w:rPr>
          <w:rFonts w:ascii="Arial" w:cs="Arial" w:eastAsia="Arial" w:hAnsi="Arial"/>
          <w:sz w:val="18"/>
          <w:szCs w:val="18"/>
          <w:color w:val="auto"/>
        </w:rPr>
        <w:t>must at least be equal to the fair market value of our common stock on the date of grant. The term of an option may not exceed ten years. With respect to any participant who owns more than 10% of the voting power of all classes of our (or any parent or subsidiary of ours) outstanding stock, the term of an incentive stock option granted to such participant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After the termination of service of an employee, director, or consultant, he or she may exercise his or her option for the period of time stated in his or her option agreement. In the absence of a specified time in an award agreement, if termination is due to death or disability, the option will remain exercisable for twelve months following the termination of service. In all other cases, in the absence of a specified time in an award agreement, the option will remain exercisable for three months following the termination of service. An option, however, may not be exercised later than the expiration of its term. Subject to the provisions of our 2020 Plan, the administrator determines the other terms of options.</w:t>
      </w:r>
    </w:p>
    <w:p>
      <w:pPr>
        <w:spacing w:after="0" w:line="1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00"/>
          </w:cols>
          <w:pgMar w:left="320" w:top="455" w:right="479" w:bottom="1440" w:gutter="0" w:footer="0" w:header="0"/>
        </w:sectPr>
      </w:pPr>
    </w:p>
    <w:bookmarkStart w:id="173" w:name="page174"/>
    <w:bookmarkEnd w:id="1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line="238" w:lineRule="auto"/>
        <w:rPr>
          <w:sz w:val="20"/>
          <w:szCs w:val="20"/>
          <w:color w:val="auto"/>
        </w:rPr>
      </w:pPr>
      <w:r>
        <w:rPr>
          <w:rFonts w:ascii="Arial" w:cs="Arial" w:eastAsia="Arial" w:hAnsi="Arial"/>
          <w:sz w:val="18"/>
          <w:szCs w:val="18"/>
          <w:i w:val="1"/>
          <w:iCs w:val="1"/>
          <w:color w:val="auto"/>
        </w:rPr>
        <w:t>Stock Appreciation Rights</w:t>
      </w:r>
      <w:r>
        <w:rPr>
          <w:rFonts w:ascii="Arial" w:cs="Arial" w:eastAsia="Arial" w:hAnsi="Arial"/>
          <w:sz w:val="18"/>
          <w:szCs w:val="18"/>
          <w:color w:val="auto"/>
        </w:rPr>
        <w:t>. Stock appreciation rights may be granted under our 2020 Plan. Stock appreciation rights allow the</w:t>
      </w:r>
      <w:r>
        <w:rPr>
          <w:rFonts w:ascii="Arial" w:cs="Arial" w:eastAsia="Arial" w:hAnsi="Arial"/>
          <w:sz w:val="18"/>
          <w:szCs w:val="18"/>
          <w:i w:val="1"/>
          <w:iCs w:val="1"/>
          <w:color w:val="auto"/>
        </w:rPr>
        <w:t xml:space="preserve"> </w:t>
      </w:r>
      <w:r>
        <w:rPr>
          <w:rFonts w:ascii="Arial" w:cs="Arial" w:eastAsia="Arial" w:hAnsi="Arial"/>
          <w:sz w:val="18"/>
          <w:szCs w:val="18"/>
          <w:color w:val="auto"/>
        </w:rPr>
        <w:t>recipient to receive the appreciation in the fair market value of our common stock between the exercise date and the date of grant. Stock appreciation rights may not have a term exceeding ten years. After the termination of service of an employee, director or consultant, he or she may exercise his or her stock appreciation right for the period of time stated in his or her stock appreciation rights agreement. In the absence of a specified time in an award agreement, if termination is due to death or disability, the stock appreciation rights will remain exercisable for twelve months following the termination of service. In all other cases, in the absence of a specified time in an award agreement, the stock appreciation rights will remain exercisable for three months following the termination of service. However, in no event may a stock appreciation right be exercised later than the expiration of its term. Subject to the provisions of our 2020 Plan, the administrator determines the other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83" w:lineRule="exact"/>
        <w:rPr>
          <w:sz w:val="20"/>
          <w:szCs w:val="20"/>
          <w:color w:val="auto"/>
        </w:rPr>
      </w:pPr>
    </w:p>
    <w:p>
      <w:pPr>
        <w:ind w:left="120" w:right="60" w:firstLine="551"/>
        <w:spacing w:after="0"/>
        <w:rPr>
          <w:sz w:val="20"/>
          <w:szCs w:val="20"/>
          <w:color w:val="auto"/>
        </w:rPr>
      </w:pPr>
      <w:r>
        <w:rPr>
          <w:rFonts w:ascii="Arial" w:cs="Arial" w:eastAsia="Arial" w:hAnsi="Arial"/>
          <w:sz w:val="18"/>
          <w:szCs w:val="18"/>
          <w:i w:val="1"/>
          <w:iCs w:val="1"/>
          <w:color w:val="auto"/>
        </w:rPr>
        <w:t>Restricted Stock</w:t>
      </w:r>
      <w:r>
        <w:rPr>
          <w:rFonts w:ascii="Arial" w:cs="Arial" w:eastAsia="Arial" w:hAnsi="Arial"/>
          <w:sz w:val="18"/>
          <w:szCs w:val="18"/>
          <w:color w:val="auto"/>
        </w:rPr>
        <w:t>. Restricted stock may be granted under our 2020 Plan. Restricted stock awards are grants of shares of our</w:t>
      </w:r>
      <w:r>
        <w:rPr>
          <w:rFonts w:ascii="Arial" w:cs="Arial" w:eastAsia="Arial" w:hAnsi="Arial"/>
          <w:sz w:val="18"/>
          <w:szCs w:val="18"/>
          <w:i w:val="1"/>
          <w:iCs w:val="1"/>
          <w:color w:val="auto"/>
        </w:rPr>
        <w:t xml:space="preserve"> </w:t>
      </w:r>
      <w:r>
        <w:rPr>
          <w:rFonts w:ascii="Arial" w:cs="Arial" w:eastAsia="Arial" w:hAnsi="Arial"/>
          <w:sz w:val="18"/>
          <w:szCs w:val="18"/>
          <w:color w:val="auto"/>
        </w:rPr>
        <w:t>common stock that vest in accordance with terms and conditions established by the administrator. The administrator will determine the number of shares of restricted stock granted to any employee, director, or consultant and, subject to the provisions of our 2020 Plan, will determine the terms and conditions of such awards. The administrator may impose whatever vesting conditions it determines to be appropriate (for example, the administrator may set restrictions based on the achievement of specific performance goals or continued service to us), except the administrator, in its sole discretion, may accelerate the time at which any restrictions will lapse or be removed. Recipients of restricted stock awards generally will have voting and dividend rights with respect to such shares upon grant without regard to vesting, unless the administrator provides otherwise. Shares of restricted stock that do not vest are subject to our right of repurchase or forfeiture.</w:t>
      </w:r>
    </w:p>
    <w:p>
      <w:pPr>
        <w:spacing w:after="0" w:line="176"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i w:val="1"/>
          <w:iCs w:val="1"/>
          <w:color w:val="auto"/>
        </w:rPr>
        <w:t>Restricted Stock Units</w:t>
      </w:r>
      <w:r>
        <w:rPr>
          <w:rFonts w:ascii="Arial" w:cs="Arial" w:eastAsia="Arial" w:hAnsi="Arial"/>
          <w:sz w:val="18"/>
          <w:szCs w:val="18"/>
          <w:color w:val="auto"/>
        </w:rPr>
        <w:t>. Restricted stock units may be granted under our 2020 Plan. Restricted stock units are bookkeeping</w:t>
      </w:r>
      <w:r>
        <w:rPr>
          <w:rFonts w:ascii="Arial" w:cs="Arial" w:eastAsia="Arial" w:hAnsi="Arial"/>
          <w:sz w:val="18"/>
          <w:szCs w:val="18"/>
          <w:i w:val="1"/>
          <w:iCs w:val="1"/>
          <w:color w:val="auto"/>
        </w:rPr>
        <w:t xml:space="preserve"> </w:t>
      </w:r>
      <w:r>
        <w:rPr>
          <w:rFonts w:ascii="Arial" w:cs="Arial" w:eastAsia="Arial" w:hAnsi="Arial"/>
          <w:sz w:val="18"/>
          <w:szCs w:val="18"/>
          <w:color w:val="auto"/>
        </w:rPr>
        <w:t>entries representing an amount equal to the fair market value of one share of our common stock. Subject to the provisions of our 2020 Plan, the administrator determines the terms and conditions of restricted stock units, including the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in shares or in some combination thereof. In addition, the administrator, in its sole discretion, may accelerate the time at which any restrictions will lapse or be removed.</w:t>
      </w:r>
    </w:p>
    <w:p>
      <w:pPr>
        <w:spacing w:after="0" w:line="180"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i w:val="1"/>
          <w:iCs w:val="1"/>
          <w:color w:val="auto"/>
        </w:rPr>
        <w:t>Performance Units and Performance Shares</w:t>
      </w:r>
      <w:r>
        <w:rPr>
          <w:rFonts w:ascii="Arial" w:cs="Arial" w:eastAsia="Arial" w:hAnsi="Arial"/>
          <w:sz w:val="18"/>
          <w:szCs w:val="18"/>
          <w:color w:val="auto"/>
        </w:rPr>
        <w:t>. Performance units and performance shares may be granted under our 2020 Plan.</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units and performance shares are awards that will result in a payment to a participant only if performance objectives established by the administrator are achieved or the awards otherwise vest. The administrator will establish performance objectives or other vesting criteria in its discretion, which, depending on the extent to which they are met, will determine the number or the value of performance units and performance shares to be paid out to participants. The administrator may set performance objectives based on the achievement of company-wide, divisional, business unit or individual goals (including, but not limited to, continued employment or service), applicable federal or state securities laws or any other basis determined by the administrator in its discretion. After the grant of a performance unit or performance share, the administrator, in its sole discretion, may reduce or waive any performance objectives or other vesting provisions for such performance units or performance shares. Performance units will have an initial value established by the administrator on or prior to the grant date. Performance shares will have an initial value equal to the fair</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5" w:right="459" w:bottom="1440" w:gutter="0" w:footer="0" w:header="0"/>
        </w:sectPr>
      </w:pPr>
    </w:p>
    <w:bookmarkStart w:id="174" w:name="page175"/>
    <w:bookmarkEnd w:id="1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80"/>
        <w:spacing w:after="0" w:line="276" w:lineRule="auto"/>
        <w:rPr>
          <w:sz w:val="20"/>
          <w:szCs w:val="20"/>
          <w:color w:val="auto"/>
        </w:rPr>
      </w:pPr>
      <w:r>
        <w:rPr>
          <w:rFonts w:ascii="Arial" w:cs="Arial" w:eastAsia="Arial" w:hAnsi="Arial"/>
          <w:sz w:val="18"/>
          <w:szCs w:val="18"/>
          <w:color w:val="auto"/>
        </w:rPr>
        <w:t>market value of our common stock on the grant date. The administrator, in its sole discretion, may pay out earned performance units or performance shares in cash, shares or in some combination thereof.</w:t>
      </w:r>
    </w:p>
    <w:p>
      <w:pPr>
        <w:spacing w:after="0" w:line="145"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i w:val="1"/>
          <w:iCs w:val="1"/>
          <w:color w:val="auto"/>
        </w:rPr>
        <w:t>Outside Directors</w:t>
      </w:r>
      <w:r>
        <w:rPr>
          <w:rFonts w:ascii="Arial" w:cs="Arial" w:eastAsia="Arial" w:hAnsi="Arial"/>
          <w:sz w:val="18"/>
          <w:szCs w:val="18"/>
          <w:color w:val="auto"/>
        </w:rPr>
        <w:t>. All outside (non-employee) directors will be eligible to receive all types of awards (except for incentive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under our 2020 Plan. To provide a maximum limit on the cash compensation and equity awards that can be made to our outside directors, our 2020 Plan provides that in any given fiscal year, an outside director will not be granted equity awards with an aggregate value greater than $750,000 (increased to $1,000,000 in the fiscal year of his or her initial service as an outside director), with the value of each equity award based on its grant date fair value as determined according to GAAP for purposes of this limit. Any cash compensation paid or awards granted to an individual for his or her services as an employee or consultant (other than as an outside director) will not count toward this limit.</w:t>
      </w:r>
    </w:p>
    <w:p>
      <w:pPr>
        <w:spacing w:after="0" w:line="179" w:lineRule="exact"/>
        <w:rPr>
          <w:sz w:val="20"/>
          <w:szCs w:val="20"/>
          <w:color w:val="auto"/>
        </w:rPr>
      </w:pPr>
    </w:p>
    <w:p>
      <w:pPr>
        <w:jc w:val="both"/>
        <w:ind w:left="120" w:right="500" w:firstLine="551"/>
        <w:spacing w:after="0" w:line="255" w:lineRule="auto"/>
        <w:rPr>
          <w:sz w:val="20"/>
          <w:szCs w:val="20"/>
          <w:color w:val="auto"/>
        </w:rPr>
      </w:pPr>
      <w:r>
        <w:rPr>
          <w:rFonts w:ascii="Arial" w:cs="Arial" w:eastAsia="Arial" w:hAnsi="Arial"/>
          <w:sz w:val="18"/>
          <w:szCs w:val="18"/>
          <w:i w:val="1"/>
          <w:iCs w:val="1"/>
          <w:color w:val="auto"/>
        </w:rPr>
        <w:t>Non-Transferability of Awards</w:t>
      </w:r>
      <w:r>
        <w:rPr>
          <w:rFonts w:ascii="Arial" w:cs="Arial" w:eastAsia="Arial" w:hAnsi="Arial"/>
          <w:sz w:val="18"/>
          <w:szCs w:val="18"/>
          <w:color w:val="auto"/>
        </w:rPr>
        <w:t>. Unless the administrator provides otherwise, our 2020 Plan generally does not allow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of awards and only the recipient of an award may exercise an award during his or her lifetime. If the administrator makes an award transferrable, such award will contain such additional terms and conditions as the administrator deems appropriate.</w:t>
      </w:r>
    </w:p>
    <w:p>
      <w:pPr>
        <w:spacing w:after="0" w:line="164" w:lineRule="exact"/>
        <w:rPr>
          <w:sz w:val="20"/>
          <w:szCs w:val="20"/>
          <w:color w:val="auto"/>
        </w:rPr>
      </w:pPr>
    </w:p>
    <w:p>
      <w:pPr>
        <w:jc w:val="both"/>
        <w:ind w:left="120" w:right="40" w:firstLine="551"/>
        <w:spacing w:after="0" w:line="248" w:lineRule="auto"/>
        <w:rPr>
          <w:sz w:val="20"/>
          <w:szCs w:val="20"/>
          <w:color w:val="auto"/>
        </w:rPr>
      </w:pPr>
      <w:r>
        <w:rPr>
          <w:rFonts w:ascii="Arial" w:cs="Arial" w:eastAsia="Arial" w:hAnsi="Arial"/>
          <w:sz w:val="18"/>
          <w:szCs w:val="18"/>
          <w:i w:val="1"/>
          <w:iCs w:val="1"/>
          <w:color w:val="auto"/>
        </w:rPr>
        <w:t>Certain Adjustments</w:t>
      </w:r>
      <w:r>
        <w:rPr>
          <w:rFonts w:ascii="Arial" w:cs="Arial" w:eastAsia="Arial" w:hAnsi="Arial"/>
          <w:sz w:val="18"/>
          <w:szCs w:val="18"/>
          <w:color w:val="auto"/>
        </w:rPr>
        <w:t>. In the event of certain changes in our capitalization, to prevent diminution or enlargement of the benefits or</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benefits available under our 2020 Plan, the administrator will adjust the number and class of shares that may be delivered under our 2020 Plan and/or the number, class and price of shares covered by each outstanding award and the numerical share limits set forth in our 2020 Plan.</w:t>
      </w:r>
    </w:p>
    <w:p>
      <w:pPr>
        <w:spacing w:after="0" w:line="170" w:lineRule="exact"/>
        <w:rPr>
          <w:sz w:val="20"/>
          <w:szCs w:val="20"/>
          <w:color w:val="auto"/>
        </w:rPr>
      </w:pPr>
    </w:p>
    <w:p>
      <w:pPr>
        <w:ind w:left="120" w:right="80" w:firstLine="551"/>
        <w:spacing w:after="0" w:line="255" w:lineRule="auto"/>
        <w:rPr>
          <w:sz w:val="20"/>
          <w:szCs w:val="20"/>
          <w:color w:val="auto"/>
        </w:rPr>
      </w:pPr>
      <w:r>
        <w:rPr>
          <w:rFonts w:ascii="Arial" w:cs="Arial" w:eastAsia="Arial" w:hAnsi="Arial"/>
          <w:sz w:val="18"/>
          <w:szCs w:val="18"/>
          <w:i w:val="1"/>
          <w:iCs w:val="1"/>
          <w:color w:val="auto"/>
        </w:rPr>
        <w:t>Dissolution or Liquidation</w:t>
      </w:r>
      <w:r>
        <w:rPr>
          <w:rFonts w:ascii="Arial" w:cs="Arial" w:eastAsia="Arial" w:hAnsi="Arial"/>
          <w:sz w:val="18"/>
          <w:szCs w:val="18"/>
          <w:color w:val="auto"/>
        </w:rPr>
        <w:t>. In the event of our proposed liquidation or dissolution, the administrator will notify participants as soon</w:t>
      </w:r>
      <w:r>
        <w:rPr>
          <w:rFonts w:ascii="Arial" w:cs="Arial" w:eastAsia="Arial" w:hAnsi="Arial"/>
          <w:sz w:val="18"/>
          <w:szCs w:val="18"/>
          <w:i w:val="1"/>
          <w:iCs w:val="1"/>
          <w:color w:val="auto"/>
        </w:rPr>
        <w:t xml:space="preserve"> </w:t>
      </w:r>
      <w:r>
        <w:rPr>
          <w:rFonts w:ascii="Arial" w:cs="Arial" w:eastAsia="Arial" w:hAnsi="Arial"/>
          <w:sz w:val="18"/>
          <w:szCs w:val="18"/>
          <w:color w:val="auto"/>
        </w:rPr>
        <w:t>as practicable and, to the extent not exercised, all awards will terminate immediately prior to the consummation of such proposed transaction.</w:t>
      </w:r>
    </w:p>
    <w:p>
      <w:pPr>
        <w:spacing w:after="0" w:line="164" w:lineRule="exact"/>
        <w:rPr>
          <w:sz w:val="20"/>
          <w:szCs w:val="20"/>
          <w:color w:val="auto"/>
        </w:rPr>
      </w:pPr>
    </w:p>
    <w:p>
      <w:pPr>
        <w:jc w:val="both"/>
        <w:ind w:left="120" w:right="240" w:firstLine="551"/>
        <w:spacing w:after="0" w:line="255" w:lineRule="auto"/>
        <w:rPr>
          <w:sz w:val="20"/>
          <w:szCs w:val="20"/>
          <w:color w:val="auto"/>
        </w:rPr>
      </w:pPr>
      <w:r>
        <w:rPr>
          <w:rFonts w:ascii="Arial" w:cs="Arial" w:eastAsia="Arial" w:hAnsi="Arial"/>
          <w:sz w:val="18"/>
          <w:szCs w:val="18"/>
          <w:i w:val="1"/>
          <w:iCs w:val="1"/>
          <w:color w:val="auto"/>
        </w:rPr>
        <w:t>Merger or Change in Control</w:t>
      </w:r>
      <w:r>
        <w:rPr>
          <w:rFonts w:ascii="Arial" w:cs="Arial" w:eastAsia="Arial" w:hAnsi="Arial"/>
          <w:sz w:val="18"/>
          <w:szCs w:val="18"/>
          <w:color w:val="auto"/>
        </w:rPr>
        <w:t>. Our 2020 Plan provides that in the event of a merger or change in control, as defined under our</w:t>
      </w:r>
      <w:r>
        <w:rPr>
          <w:rFonts w:ascii="Arial" w:cs="Arial" w:eastAsia="Arial" w:hAnsi="Arial"/>
          <w:sz w:val="18"/>
          <w:szCs w:val="18"/>
          <w:i w:val="1"/>
          <w:iCs w:val="1"/>
          <w:color w:val="auto"/>
        </w:rPr>
        <w:t xml:space="preserve"> </w:t>
      </w:r>
      <w:r>
        <w:rPr>
          <w:rFonts w:ascii="Arial" w:cs="Arial" w:eastAsia="Arial" w:hAnsi="Arial"/>
          <w:sz w:val="18"/>
          <w:szCs w:val="18"/>
          <w:color w:val="auto"/>
        </w:rPr>
        <w:t>2020 Plan, each outstanding award will be treated as the administrator determines, without a participant’s consent. The administrator is not required to treat all awards, all awards held by a participant or all awards of the same type similarly.</w:t>
      </w:r>
    </w:p>
    <w:p>
      <w:pPr>
        <w:spacing w:after="0" w:line="16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If a successor corporation does not assume or substitute for any outstanding award, then the participant will fully vest in and have the right to exercise all of his or her outstanding options and stock appreciation rights, all restrictions on restricted stock and restricted stock units will lapse, and for awards with performance-based vesting, unless specifically provided for otherwise under the applicable award agreement or other agreement or policy applicable to the participant, all performance goals or other vesting criteria will be deemed achieved at 100% of target levels and all other terms and conditions met. If an option or stock appreciation right is not assumed or substituted in the event of a change in control, the administrator will notify the participant in writing or electronically that such option or stock appreciation right will be exercisable for a period of time determined by the administrator in its sole discretion and the option or stock appreciation right will terminate upon the expiration of such period.</w:t>
      </w:r>
    </w:p>
    <w:p>
      <w:pPr>
        <w:spacing w:after="0" w:line="180"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For awards granted to an outside director, in the event of a change in control, the outside director will fully vest in and have the right to exercise all of his or her outstanding options and stock appreciation rights, all restrictions on restricted stock and restricted stock units will lapse and, for awards with performance-based vesting, unless specifically provided for otherwise under the applicable award agreement or other agreement or policy applicable to the participant, all performance goals or other vesting criteria will be deemed achieved at 100% of target levels and all other terms and conditions met.</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00"/>
          </w:cols>
          <w:pgMar w:left="320" w:top="455" w:right="479" w:bottom="1440" w:gutter="0" w:footer="0" w:header="0"/>
        </w:sectPr>
      </w:pPr>
    </w:p>
    <w:bookmarkStart w:id="175" w:name="page176"/>
    <w:bookmarkEnd w:id="1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551"/>
        <w:spacing w:after="0" w:line="263" w:lineRule="auto"/>
        <w:rPr>
          <w:sz w:val="20"/>
          <w:szCs w:val="20"/>
          <w:color w:val="auto"/>
        </w:rPr>
      </w:pPr>
      <w:r>
        <w:rPr>
          <w:rFonts w:ascii="Arial" w:cs="Arial" w:eastAsia="Arial" w:hAnsi="Arial"/>
          <w:sz w:val="17"/>
          <w:szCs w:val="17"/>
          <w:i w:val="1"/>
          <w:iCs w:val="1"/>
          <w:color w:val="auto"/>
        </w:rPr>
        <w:t>Clawback</w:t>
      </w:r>
      <w:r>
        <w:rPr>
          <w:rFonts w:ascii="Arial" w:cs="Arial" w:eastAsia="Arial" w:hAnsi="Arial"/>
          <w:sz w:val="17"/>
          <w:szCs w:val="17"/>
          <w:color w:val="auto"/>
        </w:rPr>
        <w:t>. Awards will be subject to any clawback policy of ours, and the administrator also may specify in an award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that the participant’s rights, payments and/or benefits with respect to an award will be subject to reduction, cancellation, forfeiture and/or recoupment upon the occurrence of certain specified events. Our board of directors may require a participant to forfeit, return or reimburse us all or a portion of the award and/or shares issued under the award, any amounts paid under the award, and any payments or proceeds paid or provided upon disposition of the shares issued under the award in order to comply with such clawback policy or applicable laws.</w:t>
      </w:r>
    </w:p>
    <w:p>
      <w:pPr>
        <w:spacing w:after="0" w:line="157"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i w:val="1"/>
          <w:iCs w:val="1"/>
          <w:color w:val="auto"/>
        </w:rPr>
        <w:t>Amendment; Termination</w:t>
      </w:r>
      <w:r>
        <w:rPr>
          <w:rFonts w:ascii="Arial" w:cs="Arial" w:eastAsia="Arial" w:hAnsi="Arial"/>
          <w:sz w:val="18"/>
          <w:szCs w:val="18"/>
          <w:color w:val="auto"/>
        </w:rPr>
        <w:t>. The administrator has the authority to amend, alter, suspend or terminate our 2020 Plan, provided such</w:t>
      </w:r>
      <w:r>
        <w:rPr>
          <w:rFonts w:ascii="Arial" w:cs="Arial" w:eastAsia="Arial" w:hAnsi="Arial"/>
          <w:sz w:val="18"/>
          <w:szCs w:val="18"/>
          <w:i w:val="1"/>
          <w:iCs w:val="1"/>
          <w:color w:val="auto"/>
        </w:rPr>
        <w:t xml:space="preserve"> </w:t>
      </w:r>
      <w:r>
        <w:rPr>
          <w:rFonts w:ascii="Arial" w:cs="Arial" w:eastAsia="Arial" w:hAnsi="Arial"/>
          <w:sz w:val="18"/>
          <w:szCs w:val="18"/>
          <w:color w:val="auto"/>
        </w:rPr>
        <w:t>action does not materially impair the rights of any participant. Our 2020 Plan continues unless we terminate it. No incentive stock options may be granted after the ten year anniversary of the date of the 2020 Plan was adopted.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04" w:lineRule="exact"/>
        <w:rPr>
          <w:sz w:val="20"/>
          <w:szCs w:val="20"/>
          <w:color w:val="auto"/>
        </w:rPr>
      </w:pPr>
    </w:p>
    <w:p>
      <w:pPr>
        <w:jc w:val="both"/>
        <w:ind w:left="120" w:right="20" w:firstLine="551"/>
        <w:spacing w:after="0" w:line="306" w:lineRule="auto"/>
        <w:rPr>
          <w:sz w:val="20"/>
          <w:szCs w:val="20"/>
          <w:color w:val="auto"/>
        </w:rPr>
      </w:pPr>
      <w:r>
        <w:rPr>
          <w:rFonts w:ascii="Arial" w:cs="Arial" w:eastAsia="Arial" w:hAnsi="Arial"/>
          <w:sz w:val="17"/>
          <w:szCs w:val="17"/>
          <w:color w:val="auto"/>
        </w:rPr>
        <w:t>Our board of directors adopted, and our stockholders will approve, a 2020 Employee Stock Purchase Plan, or the ESPP. Our ESPP will be effective one business day immediately before the effective date of the registration statement of which this prospectus forms a part.</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Authorized Shares</w:t>
      </w:r>
    </w:p>
    <w:p>
      <w:pPr>
        <w:spacing w:after="0" w:line="102"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8"/>
          <w:szCs w:val="18"/>
          <w:color w:val="auto"/>
        </w:rPr>
        <w:t>The maximum number of shares of our common stock that will be available for issuance under our ESPP will be equal to the greater of 2,110,000 shares of our common stock. In addition, our ESPP will provide for annual increases in the number of shares of our common stock available for issuance under our ESPP on the first day of each of our fiscal years beginning with our fiscal year 2021, in an amount equal to the least of:</w:t>
      </w:r>
    </w:p>
    <w:p>
      <w:pPr>
        <w:spacing w:after="0" w:line="197" w:lineRule="exact"/>
        <w:rPr>
          <w:sz w:val="20"/>
          <w:szCs w:val="20"/>
          <w:color w:val="auto"/>
        </w:rPr>
      </w:pPr>
    </w:p>
    <w:p>
      <w:pPr>
        <w:ind w:left="880" w:hanging="224"/>
        <w:spacing w:after="0"/>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4,220,000 shares;</w:t>
      </w:r>
    </w:p>
    <w:p>
      <w:pPr>
        <w:spacing w:after="0" w:line="117" w:lineRule="exact"/>
        <w:rPr>
          <w:rFonts w:ascii="Arial" w:cs="Arial" w:eastAsia="Arial" w:hAnsi="Arial"/>
          <w:sz w:val="18"/>
          <w:szCs w:val="18"/>
          <w:color w:val="auto"/>
        </w:rPr>
      </w:pPr>
    </w:p>
    <w:p>
      <w:pPr>
        <w:ind w:left="880" w:right="420" w:hanging="224"/>
        <w:spacing w:after="0" w:line="276" w:lineRule="auto"/>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one percent (1%) of the outstanding shares of all classes of our common stock on the last day of our immediately preceding fiscal year; and</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such other amount determined as our board of directors may determine.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Shares issuable under the ESPP will be authorized, but unissued, or reacquired shares of our common stock.</w:t>
      </w:r>
    </w:p>
    <w:p>
      <w:pPr>
        <w:spacing w:after="0" w:line="32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Plan Administration</w:t>
      </w:r>
    </w:p>
    <w:p>
      <w:pPr>
        <w:spacing w:after="0" w:line="102"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Our board of directors or a committee appointed by our board of directors may administer the ESPP. We anticipate that our compensation committee will administer our ESPP. The administrator will have full and exclusive discretionary authority to construe, interpret, and apply the terms of the ESPP, delegate ministerial duties to any of our employees, designate separate offerings under the ESPP, designate our subsidiaries as participating in the ESPP, determine eligibility, adjudicate all disputed claims filed under the ESPP and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non-U.S. nationals or employed outside the U.S. The administrator’s findings, decisions, and determinations are final and binding on all participants to the maximum extent permitted by law.</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20"/>
          </w:cols>
          <w:pgMar w:left="320" w:top="455" w:right="459" w:bottom="1440" w:gutter="0" w:footer="0" w:header="0"/>
        </w:sectPr>
      </w:pPr>
    </w:p>
    <w:bookmarkStart w:id="176" w:name="page177"/>
    <w:bookmarkEnd w:id="1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Eligibility</w:t>
      </w:r>
    </w:p>
    <w:p>
      <w:pPr>
        <w:spacing w:after="0" w:line="102" w:lineRule="exact"/>
        <w:rPr>
          <w:sz w:val="20"/>
          <w:szCs w:val="20"/>
          <w:color w:val="auto"/>
        </w:rPr>
      </w:pPr>
    </w:p>
    <w:p>
      <w:pPr>
        <w:ind w:left="120" w:right="120" w:firstLine="551"/>
        <w:spacing w:after="0" w:line="257" w:lineRule="auto"/>
        <w:rPr>
          <w:sz w:val="20"/>
          <w:szCs w:val="20"/>
          <w:color w:val="auto"/>
        </w:rPr>
      </w:pPr>
      <w:r>
        <w:rPr>
          <w:rFonts w:ascii="Arial" w:cs="Arial" w:eastAsia="Arial" w:hAnsi="Arial"/>
          <w:sz w:val="17"/>
          <w:szCs w:val="17"/>
          <w:color w:val="auto"/>
        </w:rPr>
        <w:t>Generally, any of our employees are eligible to participate in our ESPP if they are customarily employed by us or any of our participating subsidiaries for at least 20 hours per week and more than five months in any calendar year. The administrator, in its discretion, before an enrollment date for all options granted on such enrollment date in an offering, may determine that an employee who</w:t>
      </w:r>
    </w:p>
    <w:p>
      <w:pPr>
        <w:spacing w:after="0" w:line="2" w:lineRule="exact"/>
        <w:rPr>
          <w:sz w:val="20"/>
          <w:szCs w:val="20"/>
          <w:color w:val="auto"/>
        </w:rPr>
      </w:pPr>
    </w:p>
    <w:p>
      <w:pPr>
        <w:ind w:left="120" w:right="180" w:hanging="4"/>
        <w:spacing w:after="0" w:line="234" w:lineRule="auto"/>
        <w:tabs>
          <w:tab w:leader="none" w:pos="39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has not completed at least two years of service (or a lesser period of time determined by the administrator) since the employee’s last hire date, (2) customarily works not more than 20 hours per week (or a lesser period of time determined by the administrator),</w:t>
      </w:r>
    </w:p>
    <w:p>
      <w:pPr>
        <w:spacing w:after="0" w:line="1" w:lineRule="exact"/>
        <w:rPr>
          <w:rFonts w:ascii="Arial" w:cs="Arial" w:eastAsia="Arial" w:hAnsi="Arial"/>
          <w:sz w:val="18"/>
          <w:szCs w:val="18"/>
          <w:color w:val="auto"/>
        </w:rPr>
      </w:pPr>
    </w:p>
    <w:p>
      <w:pPr>
        <w:ind w:left="120" w:right="20" w:hanging="4"/>
        <w:spacing w:after="0" w:line="234" w:lineRule="auto"/>
        <w:tabs>
          <w:tab w:leader="none" w:pos="39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customarily works not more than five months per calendar year (or a lesser period of time determined by the administrator), (4) is a highly compensated employee within the meaning of Code Section 414(q), or (5) is a highly compensated employee within the meaning of Code Section 414(q) with compensation above a certain level or who is an officer or subject to disclosure requirements under</w:t>
      </w:r>
    </w:p>
    <w:p>
      <w:pPr>
        <w:spacing w:after="0" w:line="2" w:lineRule="exact"/>
        <w:rPr>
          <w:rFonts w:ascii="Arial" w:cs="Arial" w:eastAsia="Arial" w:hAnsi="Arial"/>
          <w:sz w:val="18"/>
          <w:szCs w:val="18"/>
          <w:color w:val="auto"/>
        </w:rPr>
      </w:pPr>
    </w:p>
    <w:p>
      <w:pPr>
        <w:ind w:left="120" w:right="40"/>
        <w:spacing w:after="0" w:line="239" w:lineRule="auto"/>
        <w:rPr>
          <w:rFonts w:ascii="Arial" w:cs="Arial" w:eastAsia="Arial" w:hAnsi="Arial"/>
          <w:sz w:val="18"/>
          <w:szCs w:val="18"/>
          <w:color w:val="auto"/>
        </w:rPr>
      </w:pPr>
      <w:r>
        <w:rPr>
          <w:rFonts w:ascii="Arial" w:cs="Arial" w:eastAsia="Arial" w:hAnsi="Arial"/>
          <w:sz w:val="18"/>
          <w:szCs w:val="18"/>
          <w:color w:val="auto"/>
        </w:rPr>
        <w:t>Section 16(a) of the Exchange Act, is or is not eligible to participate in an offering. However, an employee may not be granted an option to purchase stock under our ESPP if the employee (1) immediately after the grant, would own stock and/or hold outstanding options to purchase such stock possessing 5% or more of the total combined voting power or value of all classes of our (or any of our parent’s or subsidiary’s) capital stock, or (2) holds rights to purchase stock under all of our employee stock purchase plans that accrue at a rate that exceeds $25,000 worth of stock for each calendar year.</w:t>
      </w:r>
    </w:p>
    <w:p>
      <w:pPr>
        <w:spacing w:after="0" w:line="176" w:lineRule="exact"/>
        <w:rPr>
          <w:sz w:val="20"/>
          <w:szCs w:val="20"/>
          <w:color w:val="auto"/>
        </w:rPr>
      </w:pPr>
    </w:p>
    <w:p>
      <w:pPr>
        <w:ind w:left="120" w:right="160" w:firstLine="551"/>
        <w:spacing w:after="0" w:line="306" w:lineRule="auto"/>
        <w:rPr>
          <w:sz w:val="20"/>
          <w:szCs w:val="20"/>
          <w:color w:val="auto"/>
        </w:rPr>
      </w:pPr>
      <w:r>
        <w:rPr>
          <w:rFonts w:ascii="Arial" w:cs="Arial" w:eastAsia="Arial" w:hAnsi="Arial"/>
          <w:sz w:val="17"/>
          <w:szCs w:val="17"/>
          <w:color w:val="auto"/>
        </w:rPr>
        <w:t>Participants may end their participation at any time during an offering period and will be paid their accrued contributions that have not yet been used to purchase shares of our common stock. Participation ends automatically upon termination of employment with us.</w:t>
      </w:r>
    </w:p>
    <w:p>
      <w:pPr>
        <w:spacing w:after="0" w:line="2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Offering Periods and Purchase Periods</w:t>
      </w:r>
    </w:p>
    <w:p>
      <w:pPr>
        <w:spacing w:after="0" w:line="10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Our ESPP includes a component, or the 423 Component, that is intended to qualify as an “employee stock purchase plan” under Code Section 423, and a component that does not comply with Code Section 423, or the Non-423 Component. For purposes of this summary, a reference to our ESPP generally will mean the terms and operations of the 423 Component. Our ESPP will provide for consecutive six-month offering periods. Each offering period will have one purchase period with the same duration as the offering period. The offering periods will be scheduled to begin on the first trading day on or after May 20</w:t>
      </w:r>
      <w:r>
        <w:rPr>
          <w:rFonts w:ascii="Arial" w:cs="Arial" w:eastAsia="Arial" w:hAnsi="Arial"/>
          <w:sz w:val="15"/>
          <w:szCs w:val="15"/>
          <w:color w:val="auto"/>
        </w:rPr>
        <w:t>th</w:t>
      </w:r>
      <w:r>
        <w:rPr>
          <w:rFonts w:ascii="Arial" w:cs="Arial" w:eastAsia="Arial" w:hAnsi="Arial"/>
          <w:sz w:val="18"/>
          <w:szCs w:val="18"/>
          <w:color w:val="auto"/>
        </w:rPr>
        <w:t xml:space="preserve"> and November 20</w:t>
      </w:r>
      <w:r>
        <w:rPr>
          <w:rFonts w:ascii="Arial" w:cs="Arial" w:eastAsia="Arial" w:hAnsi="Arial"/>
          <w:sz w:val="15"/>
          <w:szCs w:val="15"/>
          <w:color w:val="auto"/>
        </w:rPr>
        <w:t>th</w:t>
      </w:r>
      <w:r>
        <w:rPr>
          <w:rFonts w:ascii="Arial" w:cs="Arial" w:eastAsia="Arial" w:hAnsi="Arial"/>
          <w:sz w:val="18"/>
          <w:szCs w:val="18"/>
          <w:color w:val="auto"/>
        </w:rPr>
        <w:t xml:space="preserve"> of each year, except for the first offering period, which will begin on the first trading day on or after the effective date of the registration statement of which this prospectus forms a part and end on the first trading day on or after May 20, 2021. The administrator is authorized to change the duration of future offering periods and purchase periods under our ESPP, including the starting and ending dates of offering periods and purchase periods and the number of purchase periods in any offering periods, provided that no offering period will have a duration exceeding 27 months.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Contributions</w:t>
      </w:r>
    </w:p>
    <w:p>
      <w:pPr>
        <w:spacing w:after="0" w:line="102" w:lineRule="exact"/>
        <w:rPr>
          <w:sz w:val="20"/>
          <w:szCs w:val="20"/>
          <w:color w:val="auto"/>
        </w:rPr>
      </w:pPr>
    </w:p>
    <w:p>
      <w:pPr>
        <w:ind w:left="120" w:right="320" w:firstLine="551"/>
        <w:spacing w:after="0" w:line="255" w:lineRule="auto"/>
        <w:rPr>
          <w:sz w:val="20"/>
          <w:szCs w:val="20"/>
          <w:color w:val="auto"/>
        </w:rPr>
      </w:pPr>
      <w:r>
        <w:rPr>
          <w:rFonts w:ascii="Arial" w:cs="Arial" w:eastAsia="Arial" w:hAnsi="Arial"/>
          <w:sz w:val="18"/>
          <w:szCs w:val="18"/>
          <w:color w:val="auto"/>
        </w:rPr>
        <w:t>Our ESPP permits participants to purchase shares of our common stock through payroll deductions of up 15% of their eligible compensation, which includes a participant’s base straight time gross earnings but excludes payments for overtime and shift premium, incentive compensation, bonuses, commissions, equity compensation, and other similar compensation.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Exercise of Purchase Right</w:t>
      </w:r>
    </w:p>
    <w:p>
      <w:pPr>
        <w:spacing w:after="0" w:line="102"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Amounts deducted and accumulated by a participant under our ESPP are used to purchase shares of our common stock at the end of each purchase period. The purchase price of the shares will be 85% of the lower of (1) the fair market value of a share of our common stock on the first trading day of the</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00"/>
          </w:cols>
          <w:pgMar w:left="320" w:top="455" w:right="479" w:bottom="1440" w:gutter="0" w:footer="0" w:header="0"/>
        </w:sectPr>
      </w:pPr>
    </w:p>
    <w:bookmarkStart w:id="177" w:name="page178"/>
    <w:bookmarkEnd w:id="1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80"/>
        <w:spacing w:after="0" w:line="276" w:lineRule="auto"/>
        <w:rPr>
          <w:sz w:val="20"/>
          <w:szCs w:val="20"/>
          <w:color w:val="auto"/>
        </w:rPr>
      </w:pPr>
      <w:r>
        <w:rPr>
          <w:rFonts w:ascii="Arial" w:cs="Arial" w:eastAsia="Arial" w:hAnsi="Arial"/>
          <w:sz w:val="18"/>
          <w:szCs w:val="18"/>
          <w:color w:val="auto"/>
        </w:rPr>
        <w:t>offering period and (2) the fair market value of a share of our common stock on the exercise date. A participant will be permitted to purchase a maximum of 4,000 shares during each offering period.</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Non-transferability</w:t>
      </w:r>
    </w:p>
    <w:p>
      <w:pPr>
        <w:spacing w:after="0" w:line="102"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A participant may not transfer the contributions credited to his or her ESPP account or rights granted under our ESPP, other than by will or the laws of descent and distribution.</w:t>
      </w:r>
    </w:p>
    <w:p>
      <w:pPr>
        <w:spacing w:after="0" w:line="25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Certain Adjustments</w:t>
      </w:r>
    </w:p>
    <w:p>
      <w:pPr>
        <w:spacing w:after="0" w:line="102"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Our ESPP provides that if any dividend or other distribution (whether in the form of cash, our common stock, other securities, or other property), recapitalization, stock split, reverse stock split, reorganization, merger, consolidation, split-up, spin-off, combination, reclassification, repurchase, or exchange of our common stock or other securities of ours, or other change in our corporate structure affecting our common stock occurs (other than any ordinary dividends or other ordinary distributions), the administrator will make adjustments to the number and class of shares that may be delivered under our ESPP and/or the purchase price per share and number of shares covered by each option granted under our ESPP that has not yet been exercised, and the numerical share limits under our ESPP. In the event of our proposed dissolution or liquidation, any offering period in progress will be shortened by setting a new purchase date and will terminate immediately before the completion of such proposed transaction, unless determined otherwise by the administrator.</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Merger or Change in Control</w:t>
      </w:r>
    </w:p>
    <w:p>
      <w:pPr>
        <w:spacing w:after="0" w:line="102"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In the event of our merger or change in control, as defined in our ESPP, a successor corporation may assume or substitute for each outstanding option. If the successor corporation does not assume or substitute for the options, the offering period then in progress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Amendment and Termination</w:t>
      </w:r>
    </w:p>
    <w:p>
      <w:pPr>
        <w:spacing w:after="0" w:line="102" w:lineRule="exact"/>
        <w:rPr>
          <w:sz w:val="20"/>
          <w:szCs w:val="20"/>
          <w:color w:val="auto"/>
        </w:rPr>
      </w:pPr>
    </w:p>
    <w:p>
      <w:pPr>
        <w:ind w:left="120" w:right="260" w:firstLine="551"/>
        <w:spacing w:after="0" w:line="245" w:lineRule="auto"/>
        <w:rPr>
          <w:sz w:val="20"/>
          <w:szCs w:val="20"/>
          <w:color w:val="auto"/>
        </w:rPr>
      </w:pPr>
      <w:r>
        <w:rPr>
          <w:rFonts w:ascii="Arial" w:cs="Arial" w:eastAsia="Arial" w:hAnsi="Arial"/>
          <w:sz w:val="18"/>
          <w:szCs w:val="18"/>
          <w:color w:val="auto"/>
        </w:rPr>
        <w:t>The administrator has the authority to modify, amend, suspend, or terminate our ESPP except that, subject to certain exceptions described in our ESPP, no such action may adversely affect any outstanding rights to purchase shares of our common stock under our ESPP. Our ESPP will terminate automatically 20 years after the later of the date of the ESPP’s adoption by our board of directors or the business day immediately prior to the effective date of our registration statement of which this prospectus forms a part, unless we terminate it earlier.</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2013 Equity Incentive Plan</w:t>
      </w:r>
    </w:p>
    <w:p>
      <w:pPr>
        <w:spacing w:after="0" w:line="104" w:lineRule="exact"/>
        <w:rPr>
          <w:sz w:val="20"/>
          <w:szCs w:val="20"/>
          <w:color w:val="auto"/>
        </w:rPr>
      </w:pPr>
    </w:p>
    <w:p>
      <w:pPr>
        <w:ind w:left="120" w:right="180" w:firstLine="551"/>
        <w:spacing w:after="0" w:line="255" w:lineRule="auto"/>
        <w:rPr>
          <w:sz w:val="20"/>
          <w:szCs w:val="20"/>
          <w:color w:val="auto"/>
        </w:rPr>
      </w:pPr>
      <w:r>
        <w:rPr>
          <w:rFonts w:ascii="Arial" w:cs="Arial" w:eastAsia="Arial" w:hAnsi="Arial"/>
          <w:sz w:val="18"/>
          <w:szCs w:val="18"/>
          <w:color w:val="auto"/>
        </w:rPr>
        <w:t>Our 2013 Equity Incentive Plan, as amended, or 2013 Plan, was originally adopted by our board of directors and approved by our stockholders in July 2013. Our 2013 Plan was most recently amended in November 2019 and approved by stockholders in November 2019.</w:t>
      </w:r>
    </w:p>
    <w:p>
      <w:pPr>
        <w:spacing w:after="0" w:line="164"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Our 2013 Plan allows us to provide incentive stock options, within the meaning of Section 422 of the Code, nonstatutory stock options, stock appreciation rights, restricted stock awards and restricted stock units (each, an “award” and the recipient of such award, a “participant”) to eligible employees, directors, and consultants of ours and any parent or subsidiary of ours. It is expected that as of one business day prior to the effectiveness of the registration statement of which this prospectus forms a</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5" w:right="459" w:bottom="1440" w:gutter="0" w:footer="0" w:header="0"/>
        </w:sectPr>
      </w:pPr>
    </w:p>
    <w:bookmarkStart w:id="178" w:name="page179"/>
    <w:bookmarkEnd w:id="1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76" w:lineRule="auto"/>
        <w:rPr>
          <w:sz w:val="20"/>
          <w:szCs w:val="20"/>
          <w:color w:val="auto"/>
        </w:rPr>
      </w:pPr>
      <w:r>
        <w:rPr>
          <w:rFonts w:ascii="Arial" w:cs="Arial" w:eastAsia="Arial" w:hAnsi="Arial"/>
          <w:sz w:val="18"/>
          <w:szCs w:val="18"/>
          <w:color w:val="auto"/>
        </w:rPr>
        <w:t>part, our 2013 Plan will be terminated and we will not grant any additional awards under our 2013 Plan thereafter. However, our 2013 Plan will continue to govern the terms and conditions of the outstanding awards previously granted under our 2013 Plan.</w:t>
      </w:r>
    </w:p>
    <w:p>
      <w:pPr>
        <w:spacing w:after="0" w:line="145" w:lineRule="exact"/>
        <w:rPr>
          <w:sz w:val="20"/>
          <w:szCs w:val="20"/>
          <w:color w:val="auto"/>
        </w:rPr>
      </w:pPr>
    </w:p>
    <w:p>
      <w:pPr>
        <w:ind w:left="120" w:right="120" w:firstLine="551"/>
        <w:spacing w:after="0" w:line="276" w:lineRule="auto"/>
        <w:rPr>
          <w:sz w:val="20"/>
          <w:szCs w:val="20"/>
          <w:color w:val="auto"/>
        </w:rPr>
      </w:pPr>
      <w:r>
        <w:rPr>
          <w:rFonts w:ascii="Arial" w:cs="Arial" w:eastAsia="Arial" w:hAnsi="Arial"/>
          <w:sz w:val="18"/>
          <w:szCs w:val="18"/>
          <w:color w:val="auto"/>
        </w:rPr>
        <w:t>As of June 30, 2020, the following awards were outstanding under our 2013 Plan: stock options covering 20,653,300 shares of our common stock.</w:t>
      </w:r>
    </w:p>
    <w:p>
      <w:pPr>
        <w:spacing w:after="0" w:line="145"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i w:val="1"/>
          <w:iCs w:val="1"/>
          <w:color w:val="auto"/>
        </w:rPr>
        <w:t>Plan Administration</w:t>
      </w:r>
      <w:r>
        <w:rPr>
          <w:rFonts w:ascii="Arial" w:cs="Arial" w:eastAsia="Arial" w:hAnsi="Arial"/>
          <w:sz w:val="18"/>
          <w:szCs w:val="18"/>
          <w:color w:val="auto"/>
        </w:rPr>
        <w:t>. Our 2013 Plan is administered by our board of directors or one or more committees appointed by our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Different committees may administer our 2013 Plan with respect to different service providers. The administrator has all authority and discretion necessary or appropriate to administer our 2013 Plan and to control its operation, including the authority to construe and interpret the terms of our 2013 Plan and the awards granted under our 2013 Plan. The administrator’s decisions are final and binding on all participants and any other persons holding awards.</w:t>
      </w:r>
    </w:p>
    <w:p>
      <w:pPr>
        <w:spacing w:after="0" w:line="172"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The administrator’s powers include the power to institute an exchange program under which (i) outstanding awards are surrendered or cancelled in exchange for awards of the same type (which may have higher or lower exercise prices and different terms), awards of a different type or cash, (ii) participants would have the opportunity to transfer any outstanding awards to a financial institution or other person or entity selected by the administrator or (iii) the exercise price of an outstanding award is increased or reduced. The administrator’s powers also include the power to prescribe, amend and rescind rules and regulations relating to our 2013 Plan, to modify or amend each award and to make all other determinations deemed necessary or advisable for administering our 2013 Plan.</w:t>
      </w:r>
    </w:p>
    <w:p>
      <w:pPr>
        <w:spacing w:after="0" w:line="174" w:lineRule="exact"/>
        <w:rPr>
          <w:sz w:val="20"/>
          <w:szCs w:val="20"/>
          <w:color w:val="auto"/>
        </w:rPr>
      </w:pPr>
    </w:p>
    <w:p>
      <w:pPr>
        <w:ind w:left="120" w:right="220" w:firstLine="551"/>
        <w:spacing w:after="0" w:line="248"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Employees, directors and consultants of ours or our parent or subsidiary companies are eligible to receive awards,</w:t>
      </w:r>
      <w:r>
        <w:rPr>
          <w:rFonts w:ascii="Arial" w:cs="Arial" w:eastAsia="Arial" w:hAnsi="Arial"/>
          <w:sz w:val="18"/>
          <w:szCs w:val="18"/>
          <w:i w:val="1"/>
          <w:iCs w:val="1"/>
          <w:color w:val="auto"/>
        </w:rPr>
        <w:t xml:space="preserve"> </w:t>
      </w:r>
      <w:r>
        <w:rPr>
          <w:rFonts w:ascii="Arial" w:cs="Arial" w:eastAsia="Arial" w:hAnsi="Arial"/>
          <w:sz w:val="18"/>
          <w:szCs w:val="18"/>
          <w:color w:val="auto"/>
        </w:rPr>
        <w:t>provided such consultants render bona fide services not in connection with the offer and sale of securities in a capital-raising transaction and do not directly promote or maintain a market for our securities. Only our employees or employees of our parent or subsidiary companies are eligible to receive incentive stock options.</w:t>
      </w:r>
    </w:p>
    <w:p>
      <w:pPr>
        <w:spacing w:after="0" w:line="170" w:lineRule="exact"/>
        <w:rPr>
          <w:sz w:val="20"/>
          <w:szCs w:val="20"/>
          <w:color w:val="auto"/>
        </w:rPr>
      </w:pPr>
    </w:p>
    <w:p>
      <w:pPr>
        <w:ind w:left="120" w:right="220" w:firstLine="551"/>
        <w:spacing w:after="0" w:line="255" w:lineRule="auto"/>
        <w:rPr>
          <w:sz w:val="20"/>
          <w:szCs w:val="20"/>
          <w:color w:val="auto"/>
        </w:rPr>
      </w:pPr>
      <w:r>
        <w:rPr>
          <w:rFonts w:ascii="Arial" w:cs="Arial" w:eastAsia="Arial" w:hAnsi="Arial"/>
          <w:sz w:val="18"/>
          <w:szCs w:val="18"/>
          <w:i w:val="1"/>
          <w:iCs w:val="1"/>
          <w:color w:val="auto"/>
        </w:rPr>
        <w:t>Stock Options</w:t>
      </w:r>
      <w:r>
        <w:rPr>
          <w:rFonts w:ascii="Arial" w:cs="Arial" w:eastAsia="Arial" w:hAnsi="Arial"/>
          <w:sz w:val="18"/>
          <w:szCs w:val="18"/>
          <w:color w:val="auto"/>
        </w:rPr>
        <w:t>. Stock options have been granted under our 2013 Plan. Subject to the provisions of our 2013 Plan,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determines the term of an option, the number of shares subject to an option and the time period in which an option may be exercised.</w:t>
      </w:r>
    </w:p>
    <w:p>
      <w:pPr>
        <w:spacing w:after="0" w:line="164"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The term of an option is stated in the applicable award agreement, but the term of an option may not exceed ten years from the grant date. The administrator determines the exercise price of options, which generally may not be less than 100% of the fair market value of our common stock on the grant date, unless expressly determined in writing by the administrator on the option’s grant date. However, an incentive stock option granted to an individual who directly or by attribution owns more than 10% of the total combined voting power of all of our classes of stock or of any our parent or subsidiary may have a term of no longer than 5 years from the grant date and will have an exercise price of at least 110% of the fair market value of our common stock on the grant date. In addition, to the extent that the aggregate fair market value of the shares with respect to which incentive stock options are exercisable for the first time by an employee during any calendar year (under all our plans and any parent or subsidiary) exceeds $100,000, such options will be treated as nonstatutory stock options. Certain of the company’s outstanding options under our 2013 Plan have an early exercise provisions pursuant to which the participate may exercise the option prior to the shares being fully vested.</w:t>
      </w:r>
    </w:p>
    <w:p>
      <w:pPr>
        <w:spacing w:after="0" w:line="180" w:lineRule="exact"/>
        <w:rPr>
          <w:sz w:val="20"/>
          <w:szCs w:val="20"/>
          <w:color w:val="auto"/>
        </w:rPr>
      </w:pPr>
    </w:p>
    <w:p>
      <w:pPr>
        <w:ind w:left="120" w:right="60" w:firstLine="551"/>
        <w:spacing w:after="0" w:line="277" w:lineRule="auto"/>
        <w:rPr>
          <w:sz w:val="20"/>
          <w:szCs w:val="20"/>
          <w:color w:val="auto"/>
        </w:rPr>
      </w:pPr>
      <w:r>
        <w:rPr>
          <w:rFonts w:ascii="Arial" w:cs="Arial" w:eastAsia="Arial" w:hAnsi="Arial"/>
          <w:sz w:val="17"/>
          <w:szCs w:val="17"/>
          <w:color w:val="auto"/>
        </w:rPr>
        <w:t>The administrator determines how a participant may pay the exercise price of an option, and the permissible methods are generally set forth in the applicable award agreement. If a participant’s status as a “service provider” (as defined in our 2013 Plan) terminates, that participant may exercise the vested portion of his or her option for the period of time stated in the applicable award agreement.</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40"/>
          </w:cols>
          <w:pgMar w:left="320" w:top="455" w:right="439" w:bottom="1440" w:gutter="0" w:footer="0" w:header="0"/>
        </w:sectPr>
      </w:pPr>
    </w:p>
    <w:bookmarkStart w:id="179" w:name="page180"/>
    <w:bookmarkEnd w:id="1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41" w:lineRule="auto"/>
        <w:rPr>
          <w:sz w:val="20"/>
          <w:szCs w:val="20"/>
          <w:color w:val="auto"/>
        </w:rPr>
      </w:pPr>
      <w:r>
        <w:rPr>
          <w:rFonts w:ascii="Arial" w:cs="Arial" w:eastAsia="Arial" w:hAnsi="Arial"/>
          <w:sz w:val="18"/>
          <w:szCs w:val="18"/>
          <w:color w:val="auto"/>
        </w:rPr>
        <w:t>Vested options generally will remain exercisable for three months or such longer period of time as set forth in the applicable award agreement if a participant’s status as a service provider terminates for a reason other than death or disability. If a participant’s status as a service provider terminates due to death or disability, vested options generally will remain exercisable for twelve months from the date of termination (or such other longer period as set forth in the applicable award agreement). In no event will an option remain exercisable beyond its original term. If a participant does not exercise his or her option within the time specified in the award agreement, the option will terminate. Except as described above, the administrator has the discretion to determine the post-termination exercisability periods for an option.</w:t>
      </w:r>
    </w:p>
    <w:p>
      <w:pPr>
        <w:spacing w:after="0" w:line="179" w:lineRule="exact"/>
        <w:rPr>
          <w:sz w:val="20"/>
          <w:szCs w:val="20"/>
          <w:color w:val="auto"/>
        </w:rPr>
      </w:pPr>
    </w:p>
    <w:p>
      <w:pPr>
        <w:ind w:left="120" w:right="300" w:firstLine="551"/>
        <w:spacing w:after="0" w:line="245" w:lineRule="auto"/>
        <w:rPr>
          <w:sz w:val="20"/>
          <w:szCs w:val="20"/>
          <w:color w:val="auto"/>
        </w:rPr>
      </w:pPr>
      <w:r>
        <w:rPr>
          <w:rFonts w:ascii="Arial" w:cs="Arial" w:eastAsia="Arial" w:hAnsi="Arial"/>
          <w:sz w:val="18"/>
          <w:szCs w:val="18"/>
          <w:i w:val="1"/>
          <w:iCs w:val="1"/>
          <w:color w:val="auto"/>
        </w:rPr>
        <w:t>Non-transferability of Awards</w:t>
      </w:r>
      <w:r>
        <w:rPr>
          <w:rFonts w:ascii="Arial" w:cs="Arial" w:eastAsia="Arial" w:hAnsi="Arial"/>
          <w:sz w:val="18"/>
          <w:szCs w:val="18"/>
          <w:color w:val="auto"/>
        </w:rPr>
        <w:t>. Unless determined otherwise by the administrator, awards may not be sold, pledged, assigned,</w:t>
      </w:r>
      <w:r>
        <w:rPr>
          <w:rFonts w:ascii="Arial" w:cs="Arial" w:eastAsia="Arial" w:hAnsi="Arial"/>
          <w:sz w:val="18"/>
          <w:szCs w:val="18"/>
          <w:i w:val="1"/>
          <w:iCs w:val="1"/>
          <w:color w:val="auto"/>
        </w:rPr>
        <w:t xml:space="preserve"> </w:t>
      </w:r>
      <w:r>
        <w:rPr>
          <w:rFonts w:ascii="Arial" w:cs="Arial" w:eastAsia="Arial" w:hAnsi="Arial"/>
          <w:sz w:val="18"/>
          <w:szCs w:val="18"/>
          <w:color w:val="auto"/>
        </w:rPr>
        <w:t>hypothecated or otherwise transferred in any manner other than by will or by the laws of descent and distribution. In addition, during an applicable participant’s lifetime, only that participant may exercise their award. If the administrator makes an award transferable, such award may only be transferred (i) by will, (ii) by the laws of descent and distribution of cash, or (iii) as permitted by Rule 701 of the Securities Act of 1933, as amended, or Securities Act.</w:t>
      </w:r>
    </w:p>
    <w:p>
      <w:pPr>
        <w:spacing w:after="0" w:line="172"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i w:val="1"/>
          <w:iCs w:val="1"/>
          <w:color w:val="auto"/>
        </w:rPr>
        <w:t>Certain Adjustments</w:t>
      </w:r>
      <w:r>
        <w:rPr>
          <w:rFonts w:ascii="Arial" w:cs="Arial" w:eastAsia="Arial" w:hAnsi="Arial"/>
          <w:sz w:val="18"/>
          <w:szCs w:val="18"/>
          <w:color w:val="auto"/>
        </w:rPr>
        <w:t>. If there is a dividend or other distribution (whether in the form of cash, shares, other securities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recapitalization, stock split, reverse stock split, reorganization, merger, consolidation, split-up, spin-off, combination, repurchase, exchange of shares or our other securities or other change in our corporate structure affecting the shares, the administrator will make proportionate adjustments to the number and type of shares that may be delivered under our 2013 Plan or the number, type and price of shares covered by each outstanding award. The administrator’s determination regarding such adjustments will be final, binding and conclusive.</w:t>
      </w:r>
    </w:p>
    <w:p>
      <w:pPr>
        <w:spacing w:after="0" w:line="174" w:lineRule="exact"/>
        <w:rPr>
          <w:sz w:val="20"/>
          <w:szCs w:val="20"/>
          <w:color w:val="auto"/>
        </w:rPr>
      </w:pPr>
    </w:p>
    <w:p>
      <w:pPr>
        <w:jc w:val="both"/>
        <w:ind w:left="120" w:right="180" w:firstLine="551"/>
        <w:spacing w:after="0" w:line="255" w:lineRule="auto"/>
        <w:rPr>
          <w:sz w:val="20"/>
          <w:szCs w:val="20"/>
          <w:color w:val="auto"/>
        </w:rPr>
      </w:pPr>
      <w:r>
        <w:rPr>
          <w:rFonts w:ascii="Arial" w:cs="Arial" w:eastAsia="Arial" w:hAnsi="Arial"/>
          <w:sz w:val="18"/>
          <w:szCs w:val="18"/>
          <w:i w:val="1"/>
          <w:iCs w:val="1"/>
          <w:color w:val="auto"/>
        </w:rPr>
        <w:t>Dissolution or Liquidation</w:t>
      </w:r>
      <w:r>
        <w:rPr>
          <w:rFonts w:ascii="Arial" w:cs="Arial" w:eastAsia="Arial" w:hAnsi="Arial"/>
          <w:sz w:val="18"/>
          <w:szCs w:val="18"/>
          <w:color w:val="auto"/>
        </w:rPr>
        <w:t>. In the event of our proposed dissolution or liquidation, the administrator will notify each participant as</w:t>
      </w:r>
      <w:r>
        <w:rPr>
          <w:rFonts w:ascii="Arial" w:cs="Arial" w:eastAsia="Arial" w:hAnsi="Arial"/>
          <w:sz w:val="18"/>
          <w:szCs w:val="18"/>
          <w:i w:val="1"/>
          <w:iCs w:val="1"/>
          <w:color w:val="auto"/>
        </w:rPr>
        <w:t xml:space="preserve"> </w:t>
      </w:r>
      <w:r>
        <w:rPr>
          <w:rFonts w:ascii="Arial" w:cs="Arial" w:eastAsia="Arial" w:hAnsi="Arial"/>
          <w:sz w:val="18"/>
          <w:szCs w:val="18"/>
          <w:color w:val="auto"/>
        </w:rPr>
        <w:t>soon as practicable prior to the effective date of such proposed transaction. To the extent it has not been previously exercised, an award will terminate immediately prior to the consummation of such proposed action.</w:t>
      </w:r>
    </w:p>
    <w:p>
      <w:pPr>
        <w:spacing w:after="0" w:line="164" w:lineRule="exact"/>
        <w:rPr>
          <w:sz w:val="20"/>
          <w:szCs w:val="20"/>
          <w:color w:val="auto"/>
        </w:rPr>
      </w:pPr>
    </w:p>
    <w:p>
      <w:pPr>
        <w:ind w:left="120" w:right="280" w:firstLine="551"/>
        <w:spacing w:after="0" w:line="247" w:lineRule="auto"/>
        <w:rPr>
          <w:sz w:val="20"/>
          <w:szCs w:val="20"/>
          <w:color w:val="auto"/>
        </w:rPr>
      </w:pPr>
      <w:r>
        <w:rPr>
          <w:rFonts w:ascii="Arial" w:cs="Arial" w:eastAsia="Arial" w:hAnsi="Arial"/>
          <w:sz w:val="18"/>
          <w:szCs w:val="18"/>
          <w:i w:val="1"/>
          <w:iCs w:val="1"/>
          <w:color w:val="auto"/>
        </w:rPr>
        <w:t>Merger and Change of Control</w:t>
      </w:r>
      <w:r>
        <w:rPr>
          <w:rFonts w:ascii="Arial" w:cs="Arial" w:eastAsia="Arial" w:hAnsi="Arial"/>
          <w:sz w:val="18"/>
          <w:szCs w:val="18"/>
          <w:color w:val="auto"/>
        </w:rPr>
        <w:t>. In the event of our merger with or into another corporation or entity or a “change in control” (as</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in our 2013 Plan), each outstanding award will be treated as the administrator determines, including, without limitation, that</w:t>
      </w:r>
    </w:p>
    <w:p>
      <w:pPr>
        <w:spacing w:after="0" w:line="1" w:lineRule="exact"/>
        <w:rPr>
          <w:sz w:val="20"/>
          <w:szCs w:val="20"/>
          <w:color w:val="auto"/>
        </w:rPr>
      </w:pPr>
    </w:p>
    <w:p>
      <w:pPr>
        <w:ind w:left="120" w:hanging="4"/>
        <w:spacing w:after="0" w:line="236" w:lineRule="auto"/>
        <w:tabs>
          <w:tab w:leader="none" w:pos="33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awards will be assumed, or substantially equivalent awards will be substituted, by the acquiring or succeeding corporation (or an affiliate thereof) with appropriate adjustments as to the number and kind of shares and prices; (ii) upon written notice to a participant,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us without payment) or (B) the replacement of such award with other rights or property selected by the administrator in its sole discretion or (v) any combination of the foregoing. The administrator will not be obligated to treat all awards, all awards a participant holds or all awards of the same type, similarly.</w:t>
      </w:r>
    </w:p>
    <w:p>
      <w:pPr>
        <w:spacing w:after="0" w:line="182" w:lineRule="exact"/>
        <w:rPr>
          <w:sz w:val="20"/>
          <w:szCs w:val="20"/>
          <w:color w:val="auto"/>
        </w:rPr>
      </w:pPr>
    </w:p>
    <w:p>
      <w:pPr>
        <w:ind w:left="120" w:right="320" w:firstLine="551"/>
        <w:spacing w:after="0" w:line="276" w:lineRule="auto"/>
        <w:rPr>
          <w:sz w:val="20"/>
          <w:szCs w:val="20"/>
          <w:color w:val="auto"/>
        </w:rPr>
      </w:pPr>
      <w:r>
        <w:rPr>
          <w:rFonts w:ascii="Arial" w:cs="Arial" w:eastAsia="Arial" w:hAnsi="Arial"/>
          <w:sz w:val="18"/>
          <w:szCs w:val="18"/>
          <w:color w:val="auto"/>
        </w:rPr>
        <w:t>In the event that (i) a participant is terminated for reasons other than cause, death or disability (as such terms are defined in our 2013 Plan), or terminates employment following a resignation for good</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5" w:right="459" w:bottom="1440" w:gutter="0" w:footer="0" w:header="0"/>
        </w:sectPr>
      </w:pPr>
    </w:p>
    <w:bookmarkStart w:id="180" w:name="page181"/>
    <w:bookmarkEnd w:id="1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53" w:lineRule="auto"/>
        <w:rPr>
          <w:sz w:val="20"/>
          <w:szCs w:val="20"/>
          <w:color w:val="auto"/>
        </w:rPr>
      </w:pPr>
      <w:r>
        <w:rPr>
          <w:rFonts w:ascii="Arial" w:cs="Arial" w:eastAsia="Arial" w:hAnsi="Arial"/>
          <w:sz w:val="17"/>
          <w:szCs w:val="17"/>
          <w:color w:val="auto"/>
        </w:rPr>
        <w:t>reason (as such term is defined in our 2013 Plan), or terminates employment due to not being offered employment reasonably commensurate with their position prior to the merger or change in control with any successor entity, in each case in connection with the merger or change in control (which may include, without limitation, termination within thirty (30) days prior to the effective date of a change of control), or (ii) the successor entity assumes or substitutes the awards of a participant, and within twelve (12) months after the merger or change in control such participant is terminated by the successor entity for reasons other than cause, death or disability, or such participant resigns for good reason, then, in each case,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fully vests upon the termination of a participant in connection with a merger or change in control pursuant to the immediately preceding sentence, the administrator will notify such participant in writing or electronically that the option or stock appreciation right will be exercisable for a period of time determined by the administrator in its sole discretion (of at least three (3) days), and the option or stock appreciation right will terminate upon the expiration of such period.</w:t>
      </w:r>
    </w:p>
    <w:p>
      <w:pPr>
        <w:spacing w:after="0" w:line="170" w:lineRule="exact"/>
        <w:rPr>
          <w:sz w:val="20"/>
          <w:szCs w:val="20"/>
          <w:color w:val="auto"/>
        </w:rPr>
      </w:pPr>
    </w:p>
    <w:p>
      <w:pPr>
        <w:ind w:left="120" w:right="140" w:firstLine="551"/>
        <w:spacing w:after="0" w:line="241" w:lineRule="auto"/>
        <w:rPr>
          <w:sz w:val="20"/>
          <w:szCs w:val="20"/>
          <w:color w:val="auto"/>
        </w:rPr>
      </w:pPr>
      <w:r>
        <w:rPr>
          <w:rFonts w:ascii="Arial" w:cs="Arial" w:eastAsia="Arial" w:hAnsi="Arial"/>
          <w:sz w:val="18"/>
          <w:szCs w:val="18"/>
          <w:i w:val="1"/>
          <w:iCs w:val="1"/>
          <w:color w:val="auto"/>
        </w:rPr>
        <w:t>Amendment and Termination</w:t>
      </w:r>
      <w:r>
        <w:rPr>
          <w:rFonts w:ascii="Arial" w:cs="Arial" w:eastAsia="Arial" w:hAnsi="Arial"/>
          <w:sz w:val="18"/>
          <w:szCs w:val="18"/>
          <w:color w:val="auto"/>
        </w:rPr>
        <w:t>. Our board of directors may, at any time, terminate or amend our 2013 Plan in any respect,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without limitation, amendment of any form of award agreement or instrument to be executed pursuant to our 2013 Plan. To the extent necessary and desirable to comply with applicable laws, we will obtain stockholder approval of any amendment to our 2013 Plan. No amendment or alteration of our 2013 Plan will impair the rights of a participant, unless mutually agreed otherwise between the participant and the administrator in writing. As noted above, it is expected that as of one business day prior to the effectiveness of the registration statement of which this prospectus forms a part, our 2013 Plan will be terminated and we will not grant any additional awards under our 2013 Plan thereafter.</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401(k) Plan</w:t>
      </w:r>
    </w:p>
    <w:p>
      <w:pPr>
        <w:spacing w:after="0" w:line="104"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We maintain a 401(k) retirement savings plan for the benefit of our employees, including our named executive officers, who satisfy certain eligibility requirements. Under the 401(k) plan, eligible employees may elect to defer a portion of their compensation, within the limits prescribed by the Code. The 401(k) plan is intended to qualify under Sections 401(a) and 501(a) of the Code. We do not provide for any matching contributions under the 401(k) plan.</w:t>
      </w:r>
    </w:p>
    <w:p>
      <w:pPr>
        <w:spacing w:after="0" w:line="2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Limitation of Liability and Indemnification Matters</w:t>
      </w:r>
    </w:p>
    <w:p>
      <w:pPr>
        <w:spacing w:after="0" w:line="214"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Our amended and restated certificate of incorporation and amended and restated bylaws, each to be effective immediately prior to the completion of this offering, will provide that we will indemnify our directors and officers, and may indemnify our employees and other agents, to the fullest extent permitted by Delaware law. Delaware law prohibits our amended and restated certificate of incorporation from limiting the liability of our directors for the following:</w:t>
      </w:r>
    </w:p>
    <w:p>
      <w:pPr>
        <w:spacing w:after="0" w:line="76" w:lineRule="exact"/>
        <w:rPr>
          <w:sz w:val="20"/>
          <w:szCs w:val="20"/>
          <w:color w:val="auto"/>
        </w:rPr>
      </w:pPr>
    </w:p>
    <w:p>
      <w:pPr>
        <w:ind w:left="880" w:hanging="224"/>
        <w:spacing w:after="0"/>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breach of the director’s duty of loyalty to us or to our stockholders;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acts or omissions not in good faith or that involve intentional misconduct or a knowing violation of law;</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unlawful payment of dividends or unlawful stock repurchases or redemptions;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5" w:right="459" w:bottom="1440" w:gutter="0" w:footer="0" w:header="0"/>
        </w:sectPr>
      </w:pPr>
    </w:p>
    <w:bookmarkStart w:id="181" w:name="page182"/>
    <w:bookmarkEnd w:id="1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firstLine="551"/>
        <w:spacing w:after="0" w:line="241" w:lineRule="auto"/>
        <w:rPr>
          <w:sz w:val="20"/>
          <w:szCs w:val="20"/>
          <w:color w:val="auto"/>
        </w:rPr>
      </w:pPr>
      <w:r>
        <w:rPr>
          <w:rFonts w:ascii="Arial" w:cs="Arial" w:eastAsia="Arial" w:hAnsi="Arial"/>
          <w:sz w:val="18"/>
          <w:szCs w:val="18"/>
          <w:color w:val="auto"/>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amended and restated bylaws, we will also be empowered to purchase insurance on behalf of any person whom we are required or permitted to indemnify.</w:t>
      </w:r>
    </w:p>
    <w:p>
      <w:pPr>
        <w:spacing w:after="0" w:line="179"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In addition to the indemnification required in our amended and restated certificate of incorporation and amended and restated bylaws, we have entered, and intend to continue to enter, into an indemnification agreement with each member of our board of directors and each of our officers prior to the completion of the offering. These agreements provide for the indemnification of our directors and officers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charter and bylaw provisions and indemnification agreements are necessary to attract and retain qualified persons as directors and officers.</w:t>
      </w:r>
    </w:p>
    <w:p>
      <w:pPr>
        <w:spacing w:after="0" w:line="176"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Moreover, a stockholder’s investment may be harmed to the extent we pay the costs of settlement and damage awards against directors and officers pursuant to these indemnification provisions. 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00"/>
          </w:cols>
          <w:pgMar w:left="320" w:top="455" w:right="479" w:bottom="1440" w:gutter="0" w:footer="0" w:header="0"/>
        </w:sectPr>
      </w:pPr>
    </w:p>
    <w:bookmarkStart w:id="182" w:name="page183"/>
    <w:bookmarkEnd w:id="1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14"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Other than compensation arrangements, including employment, termination of employment and change in control arrangements, with our directors and executive officers, including those discussed in the sections titled “Management” and “Executive Compensation,” and the registration rights described in the section titled “Description of Capital Stock—Registration Rights,” the following is a description of each transaction since January 1, 2017 and each currently proposed transaction in which:</w:t>
      </w:r>
    </w:p>
    <w:p>
      <w:pPr>
        <w:spacing w:after="0" w:line="76" w:lineRule="exact"/>
        <w:rPr>
          <w:sz w:val="20"/>
          <w:szCs w:val="20"/>
          <w:color w:val="auto"/>
        </w:rPr>
      </w:pPr>
    </w:p>
    <w:p>
      <w:pPr>
        <w:ind w:left="880" w:hanging="224"/>
        <w:spacing w:after="0"/>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we have been or are to be a participant;</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amount involved exceeded or will exceed $120,000; and</w:t>
      </w:r>
    </w:p>
    <w:p>
      <w:pPr>
        <w:spacing w:after="0" w:line="117" w:lineRule="exact"/>
        <w:rPr>
          <w:rFonts w:ascii="Arial" w:cs="Arial" w:eastAsia="Arial" w:hAnsi="Arial"/>
          <w:sz w:val="18"/>
          <w:szCs w:val="18"/>
          <w:color w:val="auto"/>
        </w:rPr>
      </w:pPr>
    </w:p>
    <w:p>
      <w:pPr>
        <w:ind w:left="880" w:right="180" w:hanging="224"/>
        <w:spacing w:after="0" w:line="255" w:lineRule="auto"/>
        <w:tabs>
          <w:tab w:leader="none" w:pos="8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any of our directors, executive officers or holders of more than 5% of our outstanding capital stock, or any affiliate or immediate family member of, or person sharing a household with, any of these individuals or entities, had or will have a direct or indirect material interest.</w:t>
      </w:r>
    </w:p>
    <w:p>
      <w:pPr>
        <w:spacing w:after="0" w:line="27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Sales of Securities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D Preferred Stock Financing</w:t>
      </w:r>
    </w:p>
    <w:p>
      <w:pPr>
        <w:spacing w:after="0" w:line="104"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In July 2020, we issued and sold an aggregate of 28,020,172 shares of our Series D convertible preferred stock, or Series D Preferred Stock, at a purchase price of $2.4982 per share for an aggregate purchase price of approximately $70.0 million. These shares of Series D Preferred Stock will convert into an aggregate of 28,020,172 shares of common stock immediately prior to the completion of this offering. The table below sets forth the number of shares of Series D Preferred Stock sold to our directors, executive officers and holders of more than 5% of our capital stock:</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 of</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Series 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99"/>
              </w:rPr>
              <w:t>Investor</w:t>
            </w:r>
          </w:p>
        </w:tc>
        <w:tc>
          <w:tcPr>
            <w:tcW w:w="5480" w:type="dxa"/>
            <w:vAlign w:val="bottom"/>
            <w:vMerge w:val="restart"/>
          </w:tcPr>
          <w:p>
            <w:pPr>
              <w:spacing w:after="0"/>
              <w:rPr>
                <w:sz w:val="14"/>
                <w:szCs w:val="14"/>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Affiliated Director(s) or</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Preferred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84"/>
        </w:trPr>
        <w:tc>
          <w:tcPr>
            <w:tcW w:w="560" w:type="dxa"/>
            <w:vAlign w:val="bottom"/>
            <w:tcBorders>
              <w:bottom w:val="single" w:sz="8" w:color="auto"/>
            </w:tcBorders>
            <w:vMerge w:val="continue"/>
          </w:tcPr>
          <w:p>
            <w:pPr>
              <w:spacing w:after="0"/>
              <w:rPr>
                <w:sz w:val="15"/>
                <w:szCs w:val="15"/>
                <w:color w:val="auto"/>
              </w:rPr>
            </w:pPr>
          </w:p>
        </w:tc>
        <w:tc>
          <w:tcPr>
            <w:tcW w:w="5480" w:type="dxa"/>
            <w:vAlign w:val="bottom"/>
            <w:vMerge w:val="continue"/>
          </w:tcPr>
          <w:p>
            <w:pPr>
              <w:spacing w:after="0"/>
              <w:rPr>
                <w:sz w:val="15"/>
                <w:szCs w:val="15"/>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Officer(s)</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0"/>
        </w:trPr>
        <w:tc>
          <w:tcPr>
            <w:tcW w:w="60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Nextech V Oncology S.C.S., SICAV-SIF</w:t>
            </w:r>
          </w:p>
        </w:tc>
        <w:tc>
          <w:tcPr>
            <w:tcW w:w="22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8"/>
              </w:rPr>
              <w:t>Thilo Schroeder, Ph.D.</w:t>
            </w: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4,002,882</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10,000,000</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040" w:type="dxa"/>
            <w:vAlign w:val="bottom"/>
            <w:gridSpan w:val="2"/>
          </w:tcPr>
          <w:p>
            <w:pPr>
              <w:spacing w:after="0" w:line="202" w:lineRule="exact"/>
              <w:rPr>
                <w:sz w:val="20"/>
                <w:szCs w:val="20"/>
                <w:color w:val="auto"/>
              </w:rPr>
            </w:pPr>
            <w:r>
              <w:rPr>
                <w:rFonts w:ascii="Arial" w:cs="Arial" w:eastAsia="Arial" w:hAnsi="Arial"/>
                <w:sz w:val="18"/>
                <w:szCs w:val="18"/>
                <w:color w:val="auto"/>
              </w:rPr>
              <w:t>Viking Global Opportunities Illiquid Investments Sub-master LP</w:t>
            </w:r>
          </w:p>
        </w:tc>
        <w:tc>
          <w:tcPr>
            <w:tcW w:w="238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4,002,882</w:t>
            </w: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203"/>
        </w:trPr>
        <w:tc>
          <w:tcPr>
            <w:tcW w:w="60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OrbiMed Advisors</w:t>
            </w:r>
          </w:p>
        </w:tc>
        <w:tc>
          <w:tcPr>
            <w:tcW w:w="2380" w:type="dxa"/>
            <w:vAlign w:val="bottom"/>
            <w:gridSpan w:val="2"/>
            <w:shd w:val="clear" w:color="auto" w:fill="CCEEFF"/>
          </w:tcPr>
          <w:p>
            <w:pPr>
              <w:jc w:val="center"/>
              <w:ind w:right="100"/>
              <w:spacing w:after="0" w:line="202" w:lineRule="exact"/>
              <w:rPr>
                <w:sz w:val="20"/>
                <w:szCs w:val="20"/>
                <w:color w:val="auto"/>
              </w:rPr>
            </w:pPr>
            <w:r>
              <w:rPr>
                <w:rFonts w:ascii="Arial" w:cs="Arial" w:eastAsia="Arial" w:hAnsi="Arial"/>
                <w:sz w:val="18"/>
                <w:szCs w:val="18"/>
                <w:color w:val="auto"/>
                <w:w w:val="99"/>
              </w:rPr>
              <w:t>Peter Thompson, M.D.</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4,002,881</w:t>
            </w:r>
          </w:p>
        </w:tc>
        <w:tc>
          <w:tcPr>
            <w:tcW w:w="30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C Preferred Stock Financing</w:t>
      </w:r>
    </w:p>
    <w:p>
      <w:pPr>
        <w:spacing w:after="0" w:line="104"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In November 2019, we issued and sold an aggregate of 28,798,050 shares of our Series C convertible preferred stock, or Series C Preferred Stock, at a purchase price of $2.1485 per share for an aggregate purchase price of approximately $61.9 million. These shares of Series C Preferred Stock will convert into an aggregate of 28,798,050 shares of common stock immediately prior to the completion of this offering. The table below sets forth the number of shares of Series C Preferred Stock sold to our directors, executive officers and holders of more than 5% of our capital stock:</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Shares of</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Series C</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99"/>
              </w:rPr>
              <w:t>Investor</w:t>
            </w:r>
          </w:p>
        </w:tc>
        <w:tc>
          <w:tcPr>
            <w:tcW w:w="4620" w:type="dxa"/>
            <w:vAlign w:val="bottom"/>
            <w:vMerge w:val="restart"/>
          </w:tcPr>
          <w:p>
            <w:pPr>
              <w:spacing w:after="0"/>
              <w:rPr>
                <w:sz w:val="14"/>
                <w:szCs w:val="14"/>
                <w:color w:val="auto"/>
              </w:rPr>
            </w:pPr>
          </w:p>
        </w:tc>
        <w:tc>
          <w:tcPr>
            <w:tcW w:w="860" w:type="dxa"/>
            <w:vAlign w:val="bottom"/>
          </w:tcPr>
          <w:p>
            <w:pPr>
              <w:spacing w:after="0"/>
              <w:rPr>
                <w:sz w:val="14"/>
                <w:szCs w:val="14"/>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Affiliated Director(s) or</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Preferred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84"/>
        </w:trPr>
        <w:tc>
          <w:tcPr>
            <w:tcW w:w="560" w:type="dxa"/>
            <w:vAlign w:val="bottom"/>
            <w:tcBorders>
              <w:bottom w:val="single" w:sz="8" w:color="auto"/>
            </w:tcBorders>
            <w:vMerge w:val="continue"/>
          </w:tcPr>
          <w:p>
            <w:pPr>
              <w:spacing w:after="0"/>
              <w:rPr>
                <w:sz w:val="15"/>
                <w:szCs w:val="15"/>
                <w:color w:val="auto"/>
              </w:rPr>
            </w:pPr>
          </w:p>
        </w:tc>
        <w:tc>
          <w:tcPr>
            <w:tcW w:w="4620" w:type="dxa"/>
            <w:vAlign w:val="bottom"/>
            <w:vMerge w:val="continue"/>
          </w:tcPr>
          <w:p>
            <w:pPr>
              <w:spacing w:after="0"/>
              <w:rPr>
                <w:sz w:val="15"/>
                <w:szCs w:val="15"/>
                <w:color w:val="auto"/>
              </w:rPr>
            </w:pPr>
          </w:p>
        </w:tc>
        <w:tc>
          <w:tcPr>
            <w:tcW w:w="860" w:type="dxa"/>
            <w:vAlign w:val="bottom"/>
          </w:tcPr>
          <w:p>
            <w:pPr>
              <w:spacing w:after="0"/>
              <w:rPr>
                <w:sz w:val="15"/>
                <w:szCs w:val="15"/>
                <w:color w:val="auto"/>
              </w:rPr>
            </w:pP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Officer(s)</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Stock</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90"/>
        </w:trPr>
        <w:tc>
          <w:tcPr>
            <w:tcW w:w="51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Nextech V Oncology S.C.S., SICAV-SIF</w:t>
            </w:r>
          </w:p>
        </w:tc>
        <w:tc>
          <w:tcPr>
            <w:tcW w:w="860" w:type="dxa"/>
            <w:vAlign w:val="bottom"/>
            <w:tcBorders>
              <w:top w:val="single" w:sz="8" w:color="CCEEFF"/>
            </w:tcBorders>
            <w:shd w:val="clear" w:color="auto" w:fill="CCEEFF"/>
          </w:tcPr>
          <w:p>
            <w:pPr>
              <w:spacing w:after="0"/>
              <w:rPr>
                <w:sz w:val="16"/>
                <w:szCs w:val="16"/>
                <w:color w:val="auto"/>
              </w:rPr>
            </w:pPr>
          </w:p>
        </w:tc>
        <w:tc>
          <w:tcPr>
            <w:tcW w:w="228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8"/>
              </w:rPr>
              <w:t>Thilo Schroeder, Ph.D.</w:t>
            </w:r>
          </w:p>
        </w:tc>
        <w:tc>
          <w:tcPr>
            <w:tcW w:w="10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9,308,820</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19,999,999</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Viking Global Opportunities Illiquid Investments Sub-master LP</w:t>
            </w:r>
          </w:p>
        </w:tc>
        <w:tc>
          <w:tcPr>
            <w:tcW w:w="860" w:type="dxa"/>
            <w:vAlign w:val="bottom"/>
          </w:tcPr>
          <w:p>
            <w:pPr>
              <w:spacing w:after="0"/>
              <w:rPr>
                <w:sz w:val="17"/>
                <w:szCs w:val="17"/>
                <w:color w:val="auto"/>
              </w:rPr>
            </w:pPr>
          </w:p>
        </w:tc>
        <w:tc>
          <w:tcPr>
            <w:tcW w:w="238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6,981,615</w:t>
            </w: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14,999,999</w:t>
            </w:r>
          </w:p>
        </w:tc>
        <w:tc>
          <w:tcPr>
            <w:tcW w:w="0" w:type="dxa"/>
            <w:vAlign w:val="bottom"/>
          </w:tcPr>
          <w:p>
            <w:pPr>
              <w:spacing w:after="0"/>
              <w:rPr>
                <w:sz w:val="1"/>
                <w:szCs w:val="1"/>
                <w:color w:val="auto"/>
              </w:rPr>
            </w:pPr>
          </w:p>
        </w:tc>
      </w:tr>
      <w:tr>
        <w:trPr>
          <w:trHeight w:val="203"/>
        </w:trPr>
        <w:tc>
          <w:tcPr>
            <w:tcW w:w="5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Entities affiliated with Euclidean Capital LLC</w:t>
            </w:r>
          </w:p>
        </w:tc>
        <w:tc>
          <w:tcPr>
            <w:tcW w:w="86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jc w:val="center"/>
              <w:ind w:right="120"/>
              <w:spacing w:after="0" w:line="202" w:lineRule="exact"/>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4,654,409</w:t>
            </w:r>
          </w:p>
        </w:tc>
        <w:tc>
          <w:tcPr>
            <w:tcW w:w="30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9,999,997</w:t>
            </w:r>
          </w:p>
        </w:tc>
        <w:tc>
          <w:tcPr>
            <w:tcW w:w="0" w:type="dxa"/>
            <w:vAlign w:val="bottom"/>
          </w:tcPr>
          <w:p>
            <w:pPr>
              <w:spacing w:after="0"/>
              <w:rPr>
                <w:sz w:val="1"/>
                <w:szCs w:val="1"/>
                <w:color w:val="auto"/>
              </w:rPr>
            </w:pPr>
          </w:p>
        </w:tc>
      </w:tr>
      <w:tr>
        <w:trPr>
          <w:trHeight w:val="203"/>
        </w:trPr>
        <w:tc>
          <w:tcPr>
            <w:tcW w:w="5180" w:type="dxa"/>
            <w:vAlign w:val="bottom"/>
            <w:gridSpan w:val="2"/>
          </w:tcPr>
          <w:p>
            <w:pPr>
              <w:spacing w:after="0" w:line="202" w:lineRule="exact"/>
              <w:rPr>
                <w:sz w:val="20"/>
                <w:szCs w:val="20"/>
                <w:color w:val="auto"/>
              </w:rPr>
            </w:pPr>
            <w:r>
              <w:rPr>
                <w:rFonts w:ascii="Arial" w:cs="Arial" w:eastAsia="Arial" w:hAnsi="Arial"/>
                <w:sz w:val="18"/>
                <w:szCs w:val="18"/>
                <w:color w:val="auto"/>
              </w:rPr>
              <w:t>OrbiMed Private Investments V LP</w:t>
            </w:r>
          </w:p>
        </w:tc>
        <w:tc>
          <w:tcPr>
            <w:tcW w:w="860" w:type="dxa"/>
            <w:vAlign w:val="bottom"/>
          </w:tcPr>
          <w:p>
            <w:pPr>
              <w:spacing w:after="0"/>
              <w:rPr>
                <w:sz w:val="17"/>
                <w:szCs w:val="17"/>
                <w:color w:val="auto"/>
              </w:rPr>
            </w:pPr>
          </w:p>
        </w:tc>
        <w:tc>
          <w:tcPr>
            <w:tcW w:w="2380" w:type="dxa"/>
            <w:vAlign w:val="bottom"/>
            <w:gridSpan w:val="2"/>
          </w:tcPr>
          <w:p>
            <w:pPr>
              <w:jc w:val="center"/>
              <w:ind w:right="100"/>
              <w:spacing w:after="0" w:line="202" w:lineRule="exact"/>
              <w:rPr>
                <w:sz w:val="20"/>
                <w:szCs w:val="20"/>
                <w:color w:val="auto"/>
              </w:rPr>
            </w:pPr>
            <w:r>
              <w:rPr>
                <w:rFonts w:ascii="Arial" w:cs="Arial" w:eastAsia="Arial" w:hAnsi="Arial"/>
                <w:sz w:val="18"/>
                <w:szCs w:val="18"/>
                <w:color w:val="auto"/>
                <w:w w:val="99"/>
              </w:rPr>
              <w:t>Peter Thompson, M.D.</w:t>
            </w: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2,728,331</w:t>
            </w:r>
          </w:p>
        </w:tc>
        <w:tc>
          <w:tcPr>
            <w:tcW w:w="30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5,861,819</w:t>
            </w:r>
          </w:p>
        </w:tc>
        <w:tc>
          <w:tcPr>
            <w:tcW w:w="0" w:type="dxa"/>
            <w:vAlign w:val="bottom"/>
          </w:tcPr>
          <w:p>
            <w:pPr>
              <w:spacing w:after="0"/>
              <w:rPr>
                <w:sz w:val="1"/>
                <w:szCs w:val="1"/>
                <w:color w:val="auto"/>
              </w:rPr>
            </w:pPr>
          </w:p>
        </w:tc>
      </w:tr>
      <w:tr>
        <w:trPr>
          <w:trHeight w:val="203"/>
        </w:trPr>
        <w:tc>
          <w:tcPr>
            <w:tcW w:w="51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InterWest Partners X, L.P.</w:t>
            </w:r>
          </w:p>
        </w:tc>
        <w:tc>
          <w:tcPr>
            <w:tcW w:w="860" w:type="dxa"/>
            <w:vAlign w:val="bottom"/>
            <w:shd w:val="clear" w:color="auto" w:fill="CCEEFF"/>
          </w:tcPr>
          <w:p>
            <w:pPr>
              <w:spacing w:after="0"/>
              <w:rPr>
                <w:sz w:val="17"/>
                <w:szCs w:val="17"/>
                <w:color w:val="auto"/>
              </w:rPr>
            </w:pPr>
          </w:p>
        </w:tc>
        <w:tc>
          <w:tcPr>
            <w:tcW w:w="2380" w:type="dxa"/>
            <w:vAlign w:val="bottom"/>
            <w:gridSpan w:val="2"/>
            <w:shd w:val="clear" w:color="auto" w:fill="CCEEFF"/>
          </w:tcPr>
          <w:p>
            <w:pPr>
              <w:jc w:val="center"/>
              <w:ind w:right="120"/>
              <w:spacing w:after="0" w:line="202" w:lineRule="exact"/>
              <w:rPr>
                <w:sz w:val="20"/>
                <w:szCs w:val="20"/>
                <w:color w:val="auto"/>
              </w:rPr>
            </w:pPr>
            <w:r>
              <w:rPr>
                <w:rFonts w:ascii="Arial" w:cs="Arial" w:eastAsia="Arial" w:hAnsi="Arial"/>
                <w:sz w:val="18"/>
                <w:szCs w:val="18"/>
                <w:color w:val="auto"/>
                <w:w w:val="99"/>
              </w:rPr>
              <w:t>Arnold Oronsky, Ph.D.</w:t>
            </w: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1,396,323</w:t>
            </w:r>
          </w:p>
        </w:tc>
        <w:tc>
          <w:tcPr>
            <w:tcW w:w="30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2,999,999</w:t>
            </w:r>
          </w:p>
        </w:tc>
        <w:tc>
          <w:tcPr>
            <w:tcW w:w="0" w:type="dxa"/>
            <w:vAlign w:val="bottom"/>
          </w:tcPr>
          <w:p>
            <w:pPr>
              <w:spacing w:after="0"/>
              <w:rPr>
                <w:sz w:val="1"/>
                <w:szCs w:val="1"/>
                <w:color w:val="auto"/>
              </w:rPr>
            </w:pPr>
          </w:p>
        </w:tc>
      </w:tr>
      <w:tr>
        <w:trPr>
          <w:trHeight w:val="368"/>
        </w:trPr>
        <w:tc>
          <w:tcPr>
            <w:tcW w:w="56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179</w:t>
            </w: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183" w:name="page184"/>
    <w:bookmarkEnd w:id="1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Series B Preferred Stock Financing</w:t>
      </w:r>
    </w:p>
    <w:p>
      <w:pPr>
        <w:spacing w:after="0" w:line="104"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In February 2017, we issued and sold an aggregate of 40,396,799 shares of our Series B convertible preferred stock, or Series B Preferred Stock, at a purchase price of $1.8251 per share for an aggregate purchase price of approximately $73.7 million. These shares of Series B Preferred Stock will convert into an aggregate of 40,396,799 shares of common stock immediately prior to the completion of this offering. The table below sets forth the number of shares of Series B Preferred Stock sold to our directors, executive officers and holders of more than 5% of our capital stock:</w:t>
      </w:r>
    </w:p>
    <w:p>
      <w:pPr>
        <w:spacing w:after="0" w:line="207"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Shares of</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Series B</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99"/>
              </w:rPr>
              <w:t>Investor</w:t>
            </w:r>
          </w:p>
        </w:tc>
        <w:tc>
          <w:tcPr>
            <w:tcW w:w="5260" w:type="dxa"/>
            <w:vAlign w:val="bottom"/>
            <w:vMerge w:val="restart"/>
          </w:tcPr>
          <w:p>
            <w:pPr>
              <w:spacing w:after="0"/>
              <w:rPr>
                <w:sz w:val="14"/>
                <w:szCs w:val="14"/>
                <w:color w:val="auto"/>
              </w:rPr>
            </w:pPr>
          </w:p>
        </w:tc>
        <w:tc>
          <w:tcPr>
            <w:tcW w:w="24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Affiliated Director(s) or</w:t>
            </w: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Preferred</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84"/>
        </w:trPr>
        <w:tc>
          <w:tcPr>
            <w:tcW w:w="560" w:type="dxa"/>
            <w:vAlign w:val="bottom"/>
            <w:tcBorders>
              <w:bottom w:val="single" w:sz="8" w:color="auto"/>
            </w:tcBorders>
            <w:vMerge w:val="continue"/>
          </w:tcPr>
          <w:p>
            <w:pPr>
              <w:spacing w:after="0"/>
              <w:rPr>
                <w:sz w:val="15"/>
                <w:szCs w:val="15"/>
                <w:color w:val="auto"/>
              </w:rPr>
            </w:pPr>
          </w:p>
        </w:tc>
        <w:tc>
          <w:tcPr>
            <w:tcW w:w="5260" w:type="dxa"/>
            <w:vAlign w:val="bottom"/>
            <w:vMerge w:val="continue"/>
          </w:tcPr>
          <w:p>
            <w:pPr>
              <w:spacing w:after="0"/>
              <w:rPr>
                <w:sz w:val="15"/>
                <w:szCs w:val="15"/>
                <w:color w:val="auto"/>
              </w:rPr>
            </w:pPr>
          </w:p>
        </w:tc>
        <w:tc>
          <w:tcPr>
            <w:tcW w:w="24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Officer(s)</w:t>
            </w:r>
          </w:p>
        </w:tc>
        <w:tc>
          <w:tcPr>
            <w:tcW w:w="13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89"/>
        </w:trPr>
        <w:tc>
          <w:tcPr>
            <w:tcW w:w="582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Entities affiliated with Euclidean Capital LLC</w:t>
            </w:r>
          </w:p>
        </w:tc>
        <w:tc>
          <w:tcPr>
            <w:tcW w:w="2200" w:type="dxa"/>
            <w:vAlign w:val="bottom"/>
            <w:tcBorders>
              <w:top w:val="single" w:sz="8" w:color="auto"/>
            </w:tcBorders>
            <w:shd w:val="clear" w:color="auto" w:fill="CCEEFF"/>
          </w:tcPr>
          <w:p>
            <w:pPr>
              <w:jc w:val="center"/>
              <w:spacing w:after="0" w:line="189" w:lineRule="exact"/>
              <w:rPr>
                <w:sz w:val="20"/>
                <w:szCs w:val="20"/>
                <w:color w:val="auto"/>
              </w:rPr>
            </w:pPr>
            <w:r>
              <w:rPr>
                <w:rFonts w:ascii="Arial" w:cs="Arial" w:eastAsia="Arial" w:hAnsi="Arial"/>
                <w:sz w:val="18"/>
                <w:szCs w:val="18"/>
                <w:color w:val="auto"/>
                <w:w w:val="99"/>
              </w:rPr>
              <w:t>—</w:t>
            </w:r>
          </w:p>
        </w:tc>
        <w:tc>
          <w:tcPr>
            <w:tcW w:w="220" w:type="dxa"/>
            <w:vAlign w:val="bottom"/>
            <w:tcBorders>
              <w:top w:val="single" w:sz="8" w:color="CCEEFF"/>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21,916,604</w:t>
            </w:r>
          </w:p>
        </w:tc>
        <w:tc>
          <w:tcPr>
            <w:tcW w:w="1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39,999,993</w:t>
            </w: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820" w:type="dxa"/>
            <w:vAlign w:val="bottom"/>
            <w:gridSpan w:val="2"/>
          </w:tcPr>
          <w:p>
            <w:pPr>
              <w:spacing w:after="0" w:line="202" w:lineRule="exact"/>
              <w:rPr>
                <w:sz w:val="20"/>
                <w:szCs w:val="20"/>
                <w:color w:val="auto"/>
              </w:rPr>
            </w:pPr>
            <w:r>
              <w:rPr>
                <w:rFonts w:ascii="Arial" w:cs="Arial" w:eastAsia="Arial" w:hAnsi="Arial"/>
                <w:sz w:val="18"/>
                <w:szCs w:val="18"/>
                <w:color w:val="auto"/>
              </w:rPr>
              <w:t>OrbiMed Private Investments V LP</w:t>
            </w:r>
          </w:p>
        </w:tc>
        <w:tc>
          <w:tcPr>
            <w:tcW w:w="242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rPr>
              <w:t>Peter Thompson, M.D.</w:t>
            </w:r>
          </w:p>
        </w:tc>
        <w:tc>
          <w:tcPr>
            <w:tcW w:w="13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5,669,940</w:t>
            </w:r>
          </w:p>
        </w:tc>
        <w:tc>
          <w:tcPr>
            <w:tcW w:w="3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10,348,207</w:t>
            </w:r>
          </w:p>
        </w:tc>
        <w:tc>
          <w:tcPr>
            <w:tcW w:w="0" w:type="dxa"/>
            <w:vAlign w:val="bottom"/>
          </w:tcPr>
          <w:p>
            <w:pPr>
              <w:spacing w:after="0"/>
              <w:rPr>
                <w:sz w:val="1"/>
                <w:szCs w:val="1"/>
                <w:color w:val="auto"/>
              </w:rPr>
            </w:pPr>
          </w:p>
        </w:tc>
      </w:tr>
      <w:tr>
        <w:trPr>
          <w:trHeight w:val="203"/>
        </w:trPr>
        <w:tc>
          <w:tcPr>
            <w:tcW w:w="58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InterWest Partners X, L.P.</w:t>
            </w:r>
          </w:p>
        </w:tc>
        <w:tc>
          <w:tcPr>
            <w:tcW w:w="242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9"/>
              </w:rPr>
              <w:t>Arnold Oronsky, Ph.D.</w:t>
            </w:r>
          </w:p>
        </w:tc>
        <w:tc>
          <w:tcPr>
            <w:tcW w:w="13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5,479,151</w:t>
            </w:r>
          </w:p>
        </w:tc>
        <w:tc>
          <w:tcPr>
            <w:tcW w:w="34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9,999,998</w:t>
            </w:r>
          </w:p>
        </w:tc>
        <w:tc>
          <w:tcPr>
            <w:tcW w:w="0" w:type="dxa"/>
            <w:vAlign w:val="bottom"/>
          </w:tcPr>
          <w:p>
            <w:pPr>
              <w:spacing w:after="0"/>
              <w:rPr>
                <w:sz w:val="1"/>
                <w:szCs w:val="1"/>
                <w:color w:val="auto"/>
              </w:rPr>
            </w:pPr>
          </w:p>
        </w:tc>
      </w:tr>
      <w:tr>
        <w:trPr>
          <w:trHeight w:val="243"/>
        </w:trPr>
        <w:tc>
          <w:tcPr>
            <w:tcW w:w="5820" w:type="dxa"/>
            <w:vAlign w:val="bottom"/>
            <w:gridSpan w:val="2"/>
          </w:tcPr>
          <w:p>
            <w:pPr>
              <w:spacing w:after="0"/>
              <w:rPr>
                <w:sz w:val="20"/>
                <w:szCs w:val="20"/>
                <w:color w:val="auto"/>
              </w:rPr>
            </w:pPr>
            <w:r>
              <w:rPr>
                <w:rFonts w:ascii="Arial" w:cs="Arial" w:eastAsia="Arial" w:hAnsi="Arial"/>
                <w:sz w:val="18"/>
                <w:szCs w:val="18"/>
                <w:color w:val="auto"/>
              </w:rPr>
              <w:t>TopSpin Biotech Fund II, L.P.</w:t>
            </w:r>
          </w:p>
        </w:tc>
        <w:tc>
          <w:tcPr>
            <w:tcW w:w="2420" w:type="dxa"/>
            <w:vAlign w:val="bottom"/>
            <w:gridSpan w:val="2"/>
          </w:tcPr>
          <w:p>
            <w:pPr>
              <w:jc w:val="center"/>
              <w:ind w:right="200"/>
              <w:spacing w:after="0"/>
              <w:rPr>
                <w:sz w:val="20"/>
                <w:szCs w:val="20"/>
                <w:color w:val="auto"/>
              </w:rPr>
            </w:pPr>
            <w:r>
              <w:rPr>
                <w:rFonts w:ascii="Arial" w:cs="Arial" w:eastAsia="Arial" w:hAnsi="Arial"/>
                <w:sz w:val="18"/>
                <w:szCs w:val="18"/>
                <w:color w:val="auto"/>
              </w:rPr>
              <w:t>Steve Winick, J.D.</w:t>
            </w:r>
            <w:r>
              <w:rPr>
                <w:rFonts w:ascii="Arial" w:cs="Arial" w:eastAsia="Arial" w:hAnsi="Arial"/>
                <w:sz w:val="15"/>
                <w:szCs w:val="15"/>
                <w:color w:val="auto"/>
              </w:rPr>
              <w:t>(1)</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5,479,151</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9,999,998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7715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4" w:lineRule="exact"/>
        <w:rPr>
          <w:sz w:val="20"/>
          <w:szCs w:val="20"/>
          <w:color w:val="auto"/>
        </w:rPr>
      </w:pPr>
    </w:p>
    <w:p>
      <w:pPr>
        <w:ind w:left="660" w:hanging="544"/>
        <w:spacing w:after="0"/>
        <w:tabs>
          <w:tab w:leader="none" w:pos="660" w:val="left"/>
        </w:tabs>
        <w:numPr>
          <w:ilvl w:val="0"/>
          <w:numId w:val="109"/>
        </w:numPr>
        <w:rPr>
          <w:rFonts w:ascii="Arial" w:cs="Arial" w:eastAsia="Arial" w:hAnsi="Arial"/>
          <w:sz w:val="24"/>
          <w:szCs w:val="24"/>
          <w:color w:val="auto"/>
          <w:vertAlign w:val="superscript"/>
        </w:rPr>
      </w:pPr>
      <w:r>
        <w:rPr>
          <w:rFonts w:ascii="Arial" w:cs="Arial" w:eastAsia="Arial" w:hAnsi="Arial"/>
          <w:sz w:val="14"/>
          <w:szCs w:val="14"/>
          <w:color w:val="auto"/>
        </w:rPr>
        <w:t>Mr. Winick resigned from our board of directors effective September 4, 2020.</w:t>
      </w: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Investors’ Rights Agreement</w:t>
      </w:r>
    </w:p>
    <w:p>
      <w:pPr>
        <w:spacing w:after="0" w:line="214"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We are party to an amended and restated investors’ rights agreement with certain holders of our capital stock, including entities affiliated with Euclidean Capital LLC, InterWest Partners X, L.P., Nextech V Oncology S.C.S., SICAV-SIF, OrbiMed Private Investments V LP, Viking Global Opportunities Illiquid Investments Sub-master LP and TopSpin Biotech Fund II, L.P. Under our investors’ rights agreement, certain holders of our capital stock have the right to demand that we file a registration statement or request that their shares of our capital stock be covered by a registration statement that we are otherwise filing. See the section titled “Description of Capital Stock— Registration Rights” for additional information regarding these registration rights.</w:t>
      </w:r>
    </w:p>
    <w:p>
      <w:pPr>
        <w:spacing w:after="0" w:line="2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Voting Agreement</w:t>
      </w:r>
    </w:p>
    <w:p>
      <w:pPr>
        <w:spacing w:after="0" w:line="214"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We are party to an amended and restated voting agreement, as amended, with certain holders of our capital stock, including entities affiliated with Euclidean Capital LLC, InterWest Partners X, L.P., Nextech V Oncology S.C.S., SICAV-SIF, OrbiMed Private Investments V LP, Viking Global Opportunities Illiquid Investments Sub-master LP and TopSpin Biotech Fund II, L.P. Upon the consummation of this offering, the obligations of the parties to the voting agreement to vote their shares so as to elect these nominees, as well as the other rights and obligations under this agreement, will terminate and none of our stockholders will have any special rights regarding the nomination, election or designation of members of our board of directors. Our existing certificate of incorporation contains provisions regarding election of members of the board of directors that correspond to the voting agreement; however, such provisions will be removed in the amended and restated certificate of incorporation that will be effective immediately prior to the completion of this offering.</w:t>
      </w:r>
    </w:p>
    <w:p>
      <w:pPr>
        <w:spacing w:after="0" w:line="282"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Right of First Refusal</w:t>
      </w:r>
    </w:p>
    <w:p>
      <w:pPr>
        <w:spacing w:after="0" w:line="214" w:lineRule="exact"/>
        <w:rPr>
          <w:sz w:val="20"/>
          <w:szCs w:val="20"/>
          <w:color w:val="auto"/>
        </w:rPr>
      </w:pPr>
    </w:p>
    <w:p>
      <w:pPr>
        <w:ind w:left="120" w:right="280" w:firstLine="551"/>
        <w:spacing w:after="0" w:line="248" w:lineRule="auto"/>
        <w:rPr>
          <w:sz w:val="20"/>
          <w:szCs w:val="20"/>
          <w:color w:val="auto"/>
        </w:rPr>
      </w:pPr>
      <w:r>
        <w:rPr>
          <w:rFonts w:ascii="Arial" w:cs="Arial" w:eastAsia="Arial" w:hAnsi="Arial"/>
          <w:sz w:val="18"/>
          <w:szCs w:val="18"/>
          <w:color w:val="auto"/>
        </w:rPr>
        <w:t>Pursuant to certain of our equity compensation plans and certain agreements with our stockholders, including an amended and restated right of first refusal and co-sale agreement, we or our assignees have a right to purchase shares of our capital stock which stockholders propose to sell to other parties. Certain holders of our capital stock, including entities affiliated with Euclidean Capital LLC, InterWest Partners X, L.P., Nextech V Oncology S.C.S., SICAV-SIF, OrbiMed Private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140"/>
          </w:cols>
          <w:pgMar w:left="320" w:top="455" w:right="439" w:bottom="1440" w:gutter="0" w:footer="0" w:header="0"/>
        </w:sectPr>
      </w:pPr>
    </w:p>
    <w:bookmarkStart w:id="184" w:name="page185"/>
    <w:bookmarkEnd w:id="1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80"/>
        <w:spacing w:after="0" w:line="255" w:lineRule="auto"/>
        <w:rPr>
          <w:sz w:val="20"/>
          <w:szCs w:val="20"/>
          <w:color w:val="auto"/>
        </w:rPr>
      </w:pPr>
      <w:r>
        <w:rPr>
          <w:rFonts w:ascii="Arial" w:cs="Arial" w:eastAsia="Arial" w:hAnsi="Arial"/>
          <w:sz w:val="18"/>
          <w:szCs w:val="18"/>
          <w:color w:val="auto"/>
        </w:rPr>
        <w:t>Investments V LP, Viking Global Opportunities Illiquid Investments Sub-master LP and TopSpin Biotech Fund II, L.P., are party to the right of first refusal and co-sale agreement with a secondary right to purchase shares of our capital stock when certain stockholders propose to sell to other parties. These rights will terminate upon completion of this offering.</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Consulting Agreement with Arnold Levine, Ph.D.</w:t>
      </w:r>
    </w:p>
    <w:p>
      <w:pPr>
        <w:spacing w:after="0" w:line="214" w:lineRule="exact"/>
        <w:rPr>
          <w:sz w:val="20"/>
          <w:szCs w:val="20"/>
          <w:color w:val="auto"/>
        </w:rPr>
      </w:pPr>
    </w:p>
    <w:p>
      <w:pPr>
        <w:jc w:val="both"/>
        <w:ind w:left="120" w:right="440" w:firstLine="551"/>
        <w:spacing w:after="0" w:line="255" w:lineRule="auto"/>
        <w:rPr>
          <w:sz w:val="20"/>
          <w:szCs w:val="20"/>
          <w:color w:val="auto"/>
        </w:rPr>
      </w:pPr>
      <w:r>
        <w:rPr>
          <w:rFonts w:ascii="Arial" w:cs="Arial" w:eastAsia="Arial" w:hAnsi="Arial"/>
          <w:sz w:val="18"/>
          <w:szCs w:val="18"/>
          <w:color w:val="auto"/>
        </w:rPr>
        <w:t>We are party to a consulting agreement with Arnold Levine, Ph.D., a co-founder of our company and one of our non-employee directors, pursuant to which Dr. Levine provides us with consulting and advisory services in exchange for an annual compensation of $100,000.</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Consulting Agreement with Richard Heyman, Ph.D.</w:t>
      </w:r>
    </w:p>
    <w:p>
      <w:pPr>
        <w:spacing w:after="0" w:line="214" w:lineRule="exact"/>
        <w:rPr>
          <w:sz w:val="20"/>
          <w:szCs w:val="20"/>
          <w:color w:val="auto"/>
        </w:rPr>
      </w:pPr>
    </w:p>
    <w:p>
      <w:pPr>
        <w:ind w:left="120" w:right="640" w:firstLine="551"/>
        <w:spacing w:after="0" w:line="276" w:lineRule="auto"/>
        <w:rPr>
          <w:sz w:val="20"/>
          <w:szCs w:val="20"/>
          <w:color w:val="auto"/>
        </w:rPr>
      </w:pPr>
      <w:r>
        <w:rPr>
          <w:rFonts w:ascii="Arial" w:cs="Arial" w:eastAsia="Arial" w:hAnsi="Arial"/>
          <w:sz w:val="18"/>
          <w:szCs w:val="18"/>
          <w:color w:val="auto"/>
        </w:rPr>
        <w:t>We are party to a consulting agreement with Richard Heyman, Ph.D., one of our non-employee directors, pursuant to which Dr. Heyman provides us with consulting and advisory services in exchange for an annual cash compensation of $12,500.</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Director and Chairman Option Grants</w:t>
      </w:r>
    </w:p>
    <w:p>
      <w:pPr>
        <w:spacing w:after="0" w:line="214" w:lineRule="exact"/>
        <w:rPr>
          <w:sz w:val="20"/>
          <w:szCs w:val="20"/>
          <w:color w:val="auto"/>
        </w:rPr>
      </w:pPr>
    </w:p>
    <w:p>
      <w:pPr>
        <w:ind w:left="120" w:right="160" w:firstLine="551"/>
        <w:spacing w:after="0" w:line="276" w:lineRule="auto"/>
        <w:rPr>
          <w:sz w:val="20"/>
          <w:szCs w:val="20"/>
          <w:color w:val="auto"/>
        </w:rPr>
      </w:pPr>
      <w:r>
        <w:rPr>
          <w:rFonts w:ascii="Arial" w:cs="Arial" w:eastAsia="Arial" w:hAnsi="Arial"/>
          <w:sz w:val="18"/>
          <w:szCs w:val="18"/>
          <w:color w:val="auto"/>
        </w:rPr>
        <w:t>On June 23, 2020, our board of directors approved two stock option grants for 238,680 and 795,600 shares of our common stock, each with an exercise price of $0.80, to newly-appointed director and Chairman of the board of directors Richard Heyman, Ph.D.</w:t>
      </w:r>
    </w:p>
    <w:p>
      <w:pPr>
        <w:spacing w:after="0" w:line="145" w:lineRule="exact"/>
        <w:rPr>
          <w:sz w:val="20"/>
          <w:szCs w:val="20"/>
          <w:color w:val="auto"/>
        </w:rPr>
      </w:pPr>
    </w:p>
    <w:p>
      <w:pPr>
        <w:ind w:left="120" w:right="700" w:firstLine="551"/>
        <w:spacing w:after="0" w:line="276" w:lineRule="auto"/>
        <w:rPr>
          <w:sz w:val="20"/>
          <w:szCs w:val="20"/>
          <w:color w:val="auto"/>
        </w:rPr>
      </w:pPr>
      <w:r>
        <w:rPr>
          <w:rFonts w:ascii="Arial" w:cs="Arial" w:eastAsia="Arial" w:hAnsi="Arial"/>
          <w:sz w:val="18"/>
          <w:szCs w:val="18"/>
          <w:color w:val="auto"/>
        </w:rPr>
        <w:t>On August 12, 2020, our board of directors approved a stock option grant for 172,000 shares of our common stock, with an exercise price of $1.62, to newly-appointed director Laurie Stelzer.</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Indemnification Agreements</w:t>
      </w:r>
    </w:p>
    <w:p>
      <w:pPr>
        <w:spacing w:after="0" w:line="21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We have entered, and intend to continue to enter, into separate indemnification agreements with each of our directors and executive officers, in addition to the indemnification provided for in our amended and restated certificate of incorporation and bylaws. The indemnification agreements and our amended restated certificate of incorporation and amended and restated bylaws that will be in effect immediately prior to the completion of this offering require us to indemnify our directors, executive officers and certain controlling persons to the fullest extent permitted by Delaware law. See the section titled “Executive Compensation—Limitation of Liability and Indemnification” for additional information.</w:t>
      </w: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Related Party Transaction Policy</w:t>
      </w:r>
    </w:p>
    <w:p>
      <w:pPr>
        <w:spacing w:after="0" w:line="214" w:lineRule="exact"/>
        <w:rPr>
          <w:sz w:val="20"/>
          <w:szCs w:val="20"/>
          <w:color w:val="auto"/>
        </w:rPr>
      </w:pPr>
    </w:p>
    <w:p>
      <w:pPr>
        <w:ind w:left="120" w:right="60" w:firstLine="551"/>
        <w:spacing w:after="0" w:line="239" w:lineRule="auto"/>
        <w:rPr>
          <w:sz w:val="20"/>
          <w:szCs w:val="20"/>
          <w:color w:val="auto"/>
        </w:rPr>
      </w:pPr>
      <w:r>
        <w:rPr>
          <w:rFonts w:ascii="Arial" w:cs="Arial" w:eastAsia="Arial" w:hAnsi="Arial"/>
          <w:sz w:val="18"/>
          <w:szCs w:val="18"/>
          <w:color w:val="auto"/>
        </w:rPr>
        <w:t>Prior to the completion of this offering, we intend to adopt a formal written policy providing that we are not permitted to enter into any transaction that exceeds $120,000 and in which any related person has a direct or indirect material interest without the consent of our audit committee. Our audit committee will have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 The charter of our audit committee will provide that our audit committee shall review and approve in advance any related party transaction. In approving or rejecting any such transaction, our audit committee is to consider the relevant facts and circumstances available and deemed relevant to our audit committee, including whether the transaction is on terms no less favorable than terms generally available to an unaffiliated third party under the same or similar circumstances and the extent of the related person’s interest in the transaction. All of the transactions described in this section occurred prior to the adoption of this policy.</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120"/>
          </w:cols>
          <w:pgMar w:left="320" w:top="455" w:right="459" w:bottom="1440" w:gutter="0" w:footer="0" w:header="0"/>
        </w:sectPr>
      </w:pPr>
    </w:p>
    <w:bookmarkStart w:id="185" w:name="page186"/>
    <w:bookmarkEnd w:id="1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PRINCIPAL STOCKHOLDERS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beneficial ownership of our common stock as of August 31, 2020 by:</w:t>
      </w:r>
    </w:p>
    <w:p>
      <w:pPr>
        <w:spacing w:after="0" w:line="117" w:lineRule="exact"/>
        <w:rPr>
          <w:sz w:val="20"/>
          <w:szCs w:val="20"/>
          <w:color w:val="auto"/>
        </w:rPr>
      </w:pPr>
    </w:p>
    <w:p>
      <w:pPr>
        <w:ind w:left="880" w:hanging="224"/>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all of our current executive officers and directors as a group.</w:t>
      </w:r>
    </w:p>
    <w:p>
      <w:pPr>
        <w:spacing w:after="0" w:line="212" w:lineRule="exact"/>
        <w:rPr>
          <w:sz w:val="20"/>
          <w:szCs w:val="20"/>
          <w:color w:val="auto"/>
        </w:rPr>
      </w:pPr>
    </w:p>
    <w:p>
      <w:pPr>
        <w:ind w:left="120" w:right="140" w:firstLine="551"/>
        <w:spacing w:after="0" w:line="245" w:lineRule="auto"/>
        <w:rPr>
          <w:sz w:val="20"/>
          <w:szCs w:val="20"/>
          <w:color w:val="auto"/>
        </w:rPr>
      </w:pPr>
      <w:r>
        <w:rPr>
          <w:rFonts w:ascii="Arial" w:cs="Arial" w:eastAsia="Arial" w:hAnsi="Arial"/>
          <w:sz w:val="18"/>
          <w:szCs w:val="18"/>
          <w:color w:val="auto"/>
        </w:rPr>
        <w:t>We have determined beneficial ownership in accordance with the rules of the SEC, and thus it represents sole or shared voting or investment power with respect to our securities. Unless otherwise indicated below, to our knowledge, the persons and entities named in the table have sole voting and sole investment power with respect to all shares that they beneficially owned, subject to community property laws where applicable. The information does not necessarily indicate beneficial ownership for any other purpose, including for purposes of Sections 13(d) and 13(g) of the Securities Exchange Act of 1934, as amended, or Exchange Act.</w:t>
      </w:r>
    </w:p>
    <w:p>
      <w:pPr>
        <w:spacing w:after="0" w:line="172"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have based our calculation of the percentage of beneficial ownership prior to this offering on 164,451,912 shares of our common stock outstanding as of August 31, 2020, which includes 148,413,322 shares of our common stock resulting from the conversion of all 148,413,322 outstanding shares of our convertible preferred stock into our common stock, including the shares issuable upon the conversion of our Series D convertible preferred stock issued and sold in July 2020, which will occur immediately prior to the completion of this offering, as if this conversion had occurred as of August 31, 2020. We have based our calculation of the percentage of beneficial</w:t>
      </w:r>
    </w:p>
    <w:p>
      <w:pPr>
        <w:spacing w:after="0" w:line="4"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ownership after this offering on shares of our common stock outstanding immediately after the completion of this offering, assuming no exercise by the underwriters of their option to purchase additional shares. We have deemed shares of our common stock subject to stock options that are currently exercisable or exercisable within 60 days of August 31, 2020, to be outstanding and to be beneficially owned by the person holding the stock option for the purpose of computing the percentage ownership of that person. We did not deem these shares outstanding, however, for the purpose of computing the percentage ownership of any other person.</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100"/>
          </w:cols>
          <w:pgMar w:left="320" w:top="455" w:right="479" w:bottom="1440" w:gutter="0" w:footer="0" w:header="0"/>
        </w:sectPr>
      </w:pPr>
    </w:p>
    <w:bookmarkStart w:id="186" w:name="page187"/>
    <w:bookmarkEnd w:id="1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60" w:firstLine="551"/>
        <w:spacing w:after="0" w:line="276" w:lineRule="auto"/>
        <w:rPr>
          <w:sz w:val="20"/>
          <w:szCs w:val="20"/>
          <w:color w:val="auto"/>
        </w:rPr>
      </w:pPr>
      <w:r>
        <w:rPr>
          <w:rFonts w:ascii="Arial" w:cs="Arial" w:eastAsia="Arial" w:hAnsi="Arial"/>
          <w:sz w:val="18"/>
          <w:szCs w:val="18"/>
          <w:color w:val="auto"/>
        </w:rPr>
        <w:t>Unless otherwise indicated, the address of each beneficial owner listed in the table below is c/o PMV Pharmaceuticals, Inc., 8 Clarke Drive, Suite 3, Cranbury, New Jersey 08512.</w:t>
      </w:r>
    </w:p>
    <w:p>
      <w:pPr>
        <w:sectPr>
          <w:pgSz w:w="11900" w:h="16838" w:orient="portrait"/>
          <w:cols w:equalWidth="0" w:num="1">
            <w:col w:w="11100"/>
          </w:cols>
          <w:pgMar w:left="320" w:top="45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20"/>
        <w:spacing w:after="0"/>
        <w:rPr>
          <w:sz w:val="20"/>
          <w:szCs w:val="20"/>
          <w:color w:val="auto"/>
        </w:rPr>
      </w:pPr>
      <w:r>
        <w:rPr>
          <w:rFonts w:ascii="Arial" w:cs="Arial" w:eastAsia="Arial" w:hAnsi="Arial"/>
          <w:sz w:val="14"/>
          <w:szCs w:val="14"/>
          <w:b w:val="1"/>
          <w:bCs w:val="1"/>
          <w:u w:val="single" w:color="auto"/>
          <w:color w:val="auto"/>
        </w:rPr>
        <w:t>Name of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wp:posOffset>
            </wp:positionV>
            <wp:extent cx="6995160" cy="12890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spacing w:after="0" w:line="12"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5% or Greater Stockholders:</w:t>
      </w:r>
    </w:p>
    <w:p>
      <w:pPr>
        <w:ind w:left="120"/>
        <w:spacing w:after="0" w:line="180" w:lineRule="auto"/>
        <w:rPr>
          <w:sz w:val="20"/>
          <w:szCs w:val="20"/>
          <w:color w:val="auto"/>
        </w:rPr>
      </w:pPr>
      <w:r>
        <w:rPr>
          <w:rFonts w:ascii="Arial" w:cs="Arial" w:eastAsia="Arial" w:hAnsi="Arial"/>
          <w:sz w:val="15"/>
          <w:szCs w:val="15"/>
          <w:color w:val="auto"/>
        </w:rPr>
        <w:t>InterWest Partners X, L.P.</w:t>
      </w:r>
      <w:r>
        <w:rPr>
          <w:rFonts w:ascii="Arial" w:cs="Arial" w:eastAsia="Arial" w:hAnsi="Arial"/>
          <w:sz w:val="25"/>
          <w:szCs w:val="25"/>
          <w:color w:val="auto"/>
          <w:vertAlign w:val="superscript"/>
        </w:rPr>
        <w:t>(1)</w:t>
      </w:r>
    </w:p>
    <w:p>
      <w:pPr>
        <w:ind w:left="120"/>
        <w:spacing w:after="0" w:line="180" w:lineRule="auto"/>
        <w:rPr>
          <w:sz w:val="20"/>
          <w:szCs w:val="20"/>
          <w:color w:val="auto"/>
        </w:rPr>
      </w:pPr>
      <w:r>
        <w:rPr>
          <w:rFonts w:ascii="Arial" w:cs="Arial" w:eastAsia="Arial" w:hAnsi="Arial"/>
          <w:sz w:val="15"/>
          <w:szCs w:val="15"/>
          <w:color w:val="auto"/>
        </w:rPr>
        <w:t>Entities affiliated with OrbiMed Advisors</w:t>
      </w:r>
      <w:r>
        <w:rPr>
          <w:rFonts w:ascii="Arial" w:cs="Arial" w:eastAsia="Arial" w:hAnsi="Arial"/>
          <w:sz w:val="24"/>
          <w:szCs w:val="24"/>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-128270</wp:posOffset>
            </wp:positionV>
            <wp:extent cx="6995160" cy="12890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184" w:lineRule="auto"/>
        <w:rPr>
          <w:sz w:val="20"/>
          <w:szCs w:val="20"/>
          <w:color w:val="auto"/>
        </w:rPr>
      </w:pPr>
      <w:r>
        <w:rPr>
          <w:rFonts w:ascii="Arial" w:cs="Arial" w:eastAsia="Arial" w:hAnsi="Arial"/>
          <w:sz w:val="14"/>
          <w:szCs w:val="14"/>
          <w:color w:val="auto"/>
        </w:rPr>
        <w:t>Entities affiliated with Euclidean Capital LLC</w:t>
      </w:r>
      <w:r>
        <w:rPr>
          <w:rFonts w:ascii="Arial" w:cs="Arial" w:eastAsia="Arial" w:hAnsi="Arial"/>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289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187" w:lineRule="auto"/>
        <w:rPr>
          <w:sz w:val="20"/>
          <w:szCs w:val="20"/>
          <w:color w:val="auto"/>
        </w:rPr>
      </w:pPr>
      <w:r>
        <w:rPr>
          <w:rFonts w:ascii="Arial" w:cs="Arial" w:eastAsia="Arial" w:hAnsi="Arial"/>
          <w:sz w:val="14"/>
          <w:szCs w:val="14"/>
          <w:color w:val="auto"/>
        </w:rPr>
        <w:t>Nextech V Oncology S.C.S., SICAV-SIF</w:t>
      </w:r>
      <w:r>
        <w:rPr>
          <w:rFonts w:ascii="Arial" w:cs="Arial" w:eastAsia="Arial" w:hAnsi="Arial"/>
          <w:sz w:val="22"/>
          <w:szCs w:val="22"/>
          <w:color w:val="auto"/>
          <w:vertAlign w:val="superscript"/>
        </w:rPr>
        <w:t>(4)</w:t>
      </w:r>
    </w:p>
    <w:p>
      <w:pPr>
        <w:ind w:left="120"/>
        <w:spacing w:after="0" w:line="181" w:lineRule="auto"/>
        <w:rPr>
          <w:sz w:val="20"/>
          <w:szCs w:val="20"/>
          <w:color w:val="auto"/>
        </w:rPr>
      </w:pPr>
      <w:r>
        <w:rPr>
          <w:rFonts w:ascii="Arial" w:cs="Arial" w:eastAsia="Arial" w:hAnsi="Arial"/>
          <w:sz w:val="15"/>
          <w:szCs w:val="15"/>
          <w:color w:val="auto"/>
        </w:rPr>
        <w:t>Viking Global Opportunities Illiquid Investments Sub-master LP</w:t>
      </w:r>
      <w:r>
        <w:rPr>
          <w:rFonts w:ascii="Arial" w:cs="Arial" w:eastAsia="Arial" w:hAnsi="Arial"/>
          <w:sz w:val="24"/>
          <w:szCs w:val="24"/>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289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b w:val="1"/>
          <w:bCs w:val="1"/>
          <w:color w:val="auto"/>
        </w:rPr>
        <w:t>Named Executive Officers:</w:t>
      </w:r>
    </w:p>
    <w:p>
      <w:pPr>
        <w:ind w:left="120"/>
        <w:spacing w:after="0" w:line="180" w:lineRule="auto"/>
        <w:rPr>
          <w:sz w:val="20"/>
          <w:szCs w:val="20"/>
          <w:color w:val="auto"/>
        </w:rPr>
      </w:pPr>
      <w:r>
        <w:rPr>
          <w:rFonts w:ascii="Arial" w:cs="Arial" w:eastAsia="Arial" w:hAnsi="Arial"/>
          <w:sz w:val="15"/>
          <w:szCs w:val="15"/>
          <w:color w:val="auto"/>
        </w:rPr>
        <w:t>David H. Mack, Ph.D.</w:t>
      </w:r>
      <w:r>
        <w:rPr>
          <w:rFonts w:ascii="Arial" w:cs="Arial" w:eastAsia="Arial" w:hAnsi="Arial"/>
          <w:sz w:val="25"/>
          <w:szCs w:val="25"/>
          <w:color w:val="auto"/>
          <w:vertAlign w:val="superscript"/>
        </w:rPr>
        <w:t>(6)</w:t>
      </w:r>
    </w:p>
    <w:p>
      <w:pPr>
        <w:ind w:left="120"/>
        <w:spacing w:after="0" w:line="184" w:lineRule="auto"/>
        <w:rPr>
          <w:sz w:val="20"/>
          <w:szCs w:val="20"/>
          <w:color w:val="auto"/>
        </w:rPr>
      </w:pPr>
      <w:r>
        <w:rPr>
          <w:rFonts w:ascii="Arial" w:cs="Arial" w:eastAsia="Arial" w:hAnsi="Arial"/>
          <w:sz w:val="14"/>
          <w:szCs w:val="14"/>
          <w:color w:val="auto"/>
        </w:rPr>
        <w:t>Winston Kung</w:t>
      </w:r>
      <w:r>
        <w:rPr>
          <w:rFonts w:ascii="Arial" w:cs="Arial" w:eastAsia="Arial" w:hAnsi="Arial"/>
          <w:sz w:val="23"/>
          <w:szCs w:val="23"/>
          <w:color w:val="auto"/>
          <w:vertAlign w:val="superscript"/>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-125730</wp:posOffset>
            </wp:positionV>
            <wp:extent cx="6995160" cy="1289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180" w:lineRule="auto"/>
        <w:rPr>
          <w:sz w:val="20"/>
          <w:szCs w:val="20"/>
          <w:color w:val="auto"/>
        </w:rPr>
      </w:pPr>
      <w:r>
        <w:rPr>
          <w:rFonts w:ascii="Arial" w:cs="Arial" w:eastAsia="Arial" w:hAnsi="Arial"/>
          <w:sz w:val="15"/>
          <w:szCs w:val="15"/>
          <w:color w:val="auto"/>
        </w:rPr>
        <w:t>Deepika Jalota, Pharm.D.</w:t>
      </w:r>
      <w:r>
        <w:rPr>
          <w:rFonts w:ascii="Arial" w:cs="Arial" w:eastAsia="Arial" w:hAnsi="Arial"/>
          <w:sz w:val="24"/>
          <w:szCs w:val="24"/>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2890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b w:val="1"/>
          <w:bCs w:val="1"/>
          <w:color w:val="auto"/>
        </w:rPr>
        <w:t>Non-Employee Directors:</w:t>
      </w:r>
    </w:p>
    <w:p>
      <w:pPr>
        <w:ind w:left="120"/>
        <w:spacing w:after="0" w:line="180" w:lineRule="auto"/>
        <w:rPr>
          <w:sz w:val="20"/>
          <w:szCs w:val="20"/>
          <w:color w:val="auto"/>
        </w:rPr>
      </w:pPr>
      <w:r>
        <w:rPr>
          <w:rFonts w:ascii="Arial" w:cs="Arial" w:eastAsia="Arial" w:hAnsi="Arial"/>
          <w:sz w:val="15"/>
          <w:szCs w:val="15"/>
          <w:color w:val="auto"/>
        </w:rPr>
        <w:t>Richard Heyman, Ph.D.</w:t>
      </w:r>
      <w:r>
        <w:rPr>
          <w:rFonts w:ascii="Arial" w:cs="Arial" w:eastAsia="Arial" w:hAnsi="Arial"/>
          <w:sz w:val="25"/>
          <w:szCs w:val="25"/>
          <w:color w:val="auto"/>
          <w:vertAlign w:val="superscript"/>
        </w:rPr>
        <w:t>(9)</w:t>
      </w:r>
    </w:p>
    <w:p>
      <w:pPr>
        <w:ind w:left="120"/>
        <w:spacing w:after="0" w:line="180" w:lineRule="auto"/>
        <w:rPr>
          <w:sz w:val="20"/>
          <w:szCs w:val="20"/>
          <w:color w:val="auto"/>
        </w:rPr>
      </w:pPr>
      <w:r>
        <w:rPr>
          <w:rFonts w:ascii="Arial" w:cs="Arial" w:eastAsia="Arial" w:hAnsi="Arial"/>
          <w:sz w:val="15"/>
          <w:szCs w:val="15"/>
          <w:color w:val="auto"/>
        </w:rPr>
        <w:t>Arnold Levine, Ph.D.</w:t>
      </w:r>
      <w:r>
        <w:rPr>
          <w:rFonts w:ascii="Arial" w:cs="Arial" w:eastAsia="Arial" w:hAnsi="Arial"/>
          <w:sz w:val="24"/>
          <w:szCs w:val="24"/>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-128270</wp:posOffset>
            </wp:positionV>
            <wp:extent cx="6995160" cy="12890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184" w:lineRule="auto"/>
        <w:rPr>
          <w:sz w:val="20"/>
          <w:szCs w:val="20"/>
          <w:color w:val="auto"/>
        </w:rPr>
      </w:pPr>
      <w:r>
        <w:rPr>
          <w:rFonts w:ascii="Arial" w:cs="Arial" w:eastAsia="Arial" w:hAnsi="Arial"/>
          <w:sz w:val="14"/>
          <w:szCs w:val="14"/>
          <w:color w:val="auto"/>
        </w:rPr>
        <w:t xml:space="preserve">Laurie Stelzer </w:t>
      </w:r>
      <w:r>
        <w:rPr>
          <w:rFonts w:ascii="Arial" w:cs="Arial" w:eastAsia="Arial" w:hAnsi="Arial"/>
          <w:sz w:val="23"/>
          <w:szCs w:val="23"/>
          <w:color w:val="auto"/>
          <w:vertAlign w:val="superscript"/>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12890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184" w:lineRule="auto"/>
        <w:rPr>
          <w:sz w:val="20"/>
          <w:szCs w:val="20"/>
          <w:color w:val="auto"/>
        </w:rPr>
      </w:pPr>
      <w:r>
        <w:rPr>
          <w:rFonts w:ascii="Arial" w:cs="Arial" w:eastAsia="Arial" w:hAnsi="Arial"/>
          <w:sz w:val="14"/>
          <w:szCs w:val="14"/>
          <w:color w:val="auto"/>
        </w:rPr>
        <w:t>Arnold Oronsky, Ph.D.</w:t>
      </w:r>
      <w:r>
        <w:rPr>
          <w:rFonts w:ascii="Arial" w:cs="Arial" w:eastAsia="Arial" w:hAnsi="Arial"/>
          <w:sz w:val="23"/>
          <w:szCs w:val="23"/>
          <w:color w:val="auto"/>
          <w:vertAlign w:val="superscript"/>
        </w:rPr>
        <w:t>(1)</w:t>
      </w:r>
    </w:p>
    <w:p>
      <w:pPr>
        <w:ind w:left="120"/>
        <w:spacing w:after="0" w:line="184" w:lineRule="auto"/>
        <w:rPr>
          <w:sz w:val="20"/>
          <w:szCs w:val="20"/>
          <w:color w:val="auto"/>
        </w:rPr>
      </w:pPr>
      <w:r>
        <w:rPr>
          <w:rFonts w:ascii="Arial" w:cs="Arial" w:eastAsia="Arial" w:hAnsi="Arial"/>
          <w:sz w:val="14"/>
          <w:szCs w:val="14"/>
          <w:color w:val="auto"/>
        </w:rPr>
        <w:t>Peter Thompson, M.D.</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-635</wp:posOffset>
            </wp:positionV>
            <wp:extent cx="6995160" cy="12890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line="187" w:lineRule="auto"/>
        <w:rPr>
          <w:sz w:val="20"/>
          <w:szCs w:val="20"/>
          <w:color w:val="auto"/>
        </w:rPr>
      </w:pPr>
      <w:r>
        <w:rPr>
          <w:rFonts w:ascii="Arial" w:cs="Arial" w:eastAsia="Arial" w:hAnsi="Arial"/>
          <w:sz w:val="14"/>
          <w:szCs w:val="14"/>
          <w:color w:val="auto"/>
        </w:rPr>
        <w:t>Thilo Schroeder, Ph.D.</w:t>
      </w:r>
      <w:r>
        <w:rPr>
          <w:rFonts w:ascii="Arial" w:cs="Arial" w:eastAsia="Arial" w:hAnsi="Arial"/>
          <w:sz w:val="22"/>
          <w:szCs w:val="22"/>
          <w:color w:val="auto"/>
          <w:vertAlign w:val="superscript"/>
        </w:rPr>
        <w:t>(4)</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All executive officers and directors as a group (10 persons)</w:t>
      </w:r>
      <w:r>
        <w:rPr>
          <w:rFonts w:ascii="Arial" w:cs="Arial" w:eastAsia="Arial" w:hAnsi="Arial"/>
          <w:sz w:val="27"/>
          <w:szCs w:val="27"/>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wp:posOffset>
            </wp:positionV>
            <wp:extent cx="77152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4"/>
        </w:trPr>
        <w:tc>
          <w:tcPr>
            <w:tcW w:w="1320" w:type="dxa"/>
            <w:vAlign w:val="bottom"/>
          </w:tcPr>
          <w:p>
            <w:pPr>
              <w:jc w:val="center"/>
              <w:ind w:right="361"/>
              <w:spacing w:after="0"/>
              <w:rPr>
                <w:sz w:val="20"/>
                <w:szCs w:val="20"/>
                <w:color w:val="auto"/>
              </w:rPr>
            </w:pPr>
            <w:r>
              <w:rPr>
                <w:rFonts w:ascii="Arial" w:cs="Arial" w:eastAsia="Arial" w:hAnsi="Arial"/>
                <w:sz w:val="14"/>
                <w:szCs w:val="14"/>
                <w:b w:val="1"/>
                <w:bCs w:val="1"/>
                <w:color w:val="auto"/>
              </w:rPr>
              <w:t>Number of</w:t>
            </w:r>
          </w:p>
        </w:tc>
        <w:tc>
          <w:tcPr>
            <w:tcW w:w="1920" w:type="dxa"/>
            <w:vAlign w:val="bottom"/>
            <w:gridSpan w:val="3"/>
          </w:tcPr>
          <w:p>
            <w:pPr>
              <w:jc w:val="center"/>
              <w:spacing w:after="0"/>
              <w:rPr>
                <w:sz w:val="20"/>
                <w:szCs w:val="20"/>
                <w:color w:val="auto"/>
              </w:rPr>
            </w:pPr>
            <w:r>
              <w:rPr>
                <w:rFonts w:ascii="Arial" w:cs="Arial" w:eastAsia="Arial" w:hAnsi="Arial"/>
                <w:sz w:val="14"/>
                <w:szCs w:val="14"/>
                <w:b w:val="1"/>
                <w:bCs w:val="1"/>
                <w:color w:val="auto"/>
              </w:rPr>
              <w:t>Percentage of Shares</w:t>
            </w:r>
          </w:p>
        </w:tc>
      </w:tr>
      <w:tr>
        <w:trPr>
          <w:trHeight w:val="176"/>
        </w:trPr>
        <w:tc>
          <w:tcPr>
            <w:tcW w:w="1320" w:type="dxa"/>
            <w:vAlign w:val="bottom"/>
          </w:tcPr>
          <w:p>
            <w:pPr>
              <w:jc w:val="center"/>
              <w:ind w:right="361"/>
              <w:spacing w:after="0"/>
              <w:rPr>
                <w:sz w:val="20"/>
                <w:szCs w:val="20"/>
                <w:color w:val="auto"/>
              </w:rPr>
            </w:pPr>
            <w:r>
              <w:rPr>
                <w:rFonts w:ascii="Arial" w:cs="Arial" w:eastAsia="Arial" w:hAnsi="Arial"/>
                <w:sz w:val="14"/>
                <w:szCs w:val="14"/>
                <w:b w:val="1"/>
                <w:bCs w:val="1"/>
                <w:color w:val="auto"/>
              </w:rPr>
              <w:t>Shares</w:t>
            </w:r>
          </w:p>
        </w:tc>
        <w:tc>
          <w:tcPr>
            <w:tcW w:w="1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Beneficially Owned</w:t>
            </w:r>
          </w:p>
        </w:tc>
      </w:tr>
      <w:tr>
        <w:trPr>
          <w:trHeight w:val="140"/>
        </w:trPr>
        <w:tc>
          <w:tcPr>
            <w:tcW w:w="1320" w:type="dxa"/>
            <w:vAlign w:val="bottom"/>
          </w:tcPr>
          <w:p>
            <w:pPr>
              <w:jc w:val="center"/>
              <w:ind w:right="361"/>
              <w:spacing w:after="0" w:line="141" w:lineRule="exact"/>
              <w:rPr>
                <w:sz w:val="20"/>
                <w:szCs w:val="20"/>
                <w:color w:val="auto"/>
              </w:rPr>
            </w:pPr>
            <w:r>
              <w:rPr>
                <w:rFonts w:ascii="Arial" w:cs="Arial" w:eastAsia="Arial" w:hAnsi="Arial"/>
                <w:sz w:val="14"/>
                <w:szCs w:val="14"/>
                <w:b w:val="1"/>
                <w:bCs w:val="1"/>
                <w:color w:val="auto"/>
              </w:rPr>
              <w:t>Beneficially</w:t>
            </w:r>
          </w:p>
        </w:tc>
        <w:tc>
          <w:tcPr>
            <w:tcW w:w="1320" w:type="dxa"/>
            <w:vAlign w:val="bottom"/>
            <w:gridSpan w:val="2"/>
          </w:tcPr>
          <w:p>
            <w:pPr>
              <w:jc w:val="center"/>
              <w:ind w:right="620"/>
              <w:spacing w:after="0" w:line="141" w:lineRule="exact"/>
              <w:rPr>
                <w:sz w:val="20"/>
                <w:szCs w:val="20"/>
                <w:color w:val="auto"/>
              </w:rPr>
            </w:pPr>
            <w:r>
              <w:rPr>
                <w:rFonts w:ascii="Arial" w:cs="Arial" w:eastAsia="Arial" w:hAnsi="Arial"/>
                <w:sz w:val="14"/>
                <w:szCs w:val="14"/>
                <w:b w:val="1"/>
                <w:bCs w:val="1"/>
                <w:color w:val="auto"/>
              </w:rPr>
              <w:t>Before the</w:t>
            </w:r>
          </w:p>
        </w:tc>
        <w:tc>
          <w:tcPr>
            <w:tcW w:w="600" w:type="dxa"/>
            <w:vAlign w:val="bottom"/>
          </w:tcPr>
          <w:p>
            <w:pPr>
              <w:spacing w:after="0" w:line="141" w:lineRule="exact"/>
              <w:rPr>
                <w:sz w:val="20"/>
                <w:szCs w:val="20"/>
                <w:color w:val="auto"/>
              </w:rPr>
            </w:pPr>
            <w:r>
              <w:rPr>
                <w:rFonts w:ascii="Arial" w:cs="Arial" w:eastAsia="Arial" w:hAnsi="Arial"/>
                <w:sz w:val="14"/>
                <w:szCs w:val="14"/>
                <w:b w:val="1"/>
                <w:bCs w:val="1"/>
                <w:color w:val="auto"/>
              </w:rPr>
              <w:t>After the</w:t>
            </w:r>
          </w:p>
        </w:tc>
      </w:tr>
      <w:tr>
        <w:trPr>
          <w:trHeight w:val="177"/>
        </w:trPr>
        <w:tc>
          <w:tcPr>
            <w:tcW w:w="1320" w:type="dxa"/>
            <w:vAlign w:val="bottom"/>
            <w:tcBorders>
              <w:bottom w:val="single" w:sz="8" w:color="auto"/>
            </w:tcBorders>
          </w:tcPr>
          <w:p>
            <w:pPr>
              <w:jc w:val="center"/>
              <w:ind w:right="361"/>
              <w:spacing w:after="0"/>
              <w:rPr>
                <w:sz w:val="20"/>
                <w:szCs w:val="20"/>
                <w:color w:val="auto"/>
              </w:rPr>
            </w:pPr>
            <w:r>
              <w:rPr>
                <w:rFonts w:ascii="Arial" w:cs="Arial" w:eastAsia="Arial" w:hAnsi="Arial"/>
                <w:sz w:val="14"/>
                <w:szCs w:val="14"/>
                <w:b w:val="1"/>
                <w:bCs w:val="1"/>
                <w:color w:val="auto"/>
              </w:rPr>
              <w:t>Owned</w:t>
            </w: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Offering</w:t>
            </w:r>
          </w:p>
        </w:tc>
        <w:tc>
          <w:tcPr>
            <w:tcW w:w="620" w:type="dxa"/>
            <w:vAlign w:val="bottom"/>
          </w:tcPr>
          <w:p>
            <w:pPr>
              <w:spacing w:after="0"/>
              <w:rPr>
                <w:sz w:val="15"/>
                <w:szCs w:val="15"/>
                <w:color w:val="auto"/>
              </w:rPr>
            </w:pPr>
          </w:p>
        </w:tc>
        <w:tc>
          <w:tcPr>
            <w:tcW w:w="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Offering</w:t>
            </w:r>
          </w:p>
        </w:tc>
      </w:tr>
      <w:tr>
        <w:trPr>
          <w:trHeight w:val="362"/>
        </w:trPr>
        <w:tc>
          <w:tcPr>
            <w:tcW w:w="1320" w:type="dxa"/>
            <w:vAlign w:val="bottom"/>
          </w:tcPr>
          <w:p>
            <w:pPr>
              <w:jc w:val="right"/>
              <w:ind w:right="381"/>
              <w:spacing w:after="0"/>
              <w:rPr>
                <w:sz w:val="20"/>
                <w:szCs w:val="20"/>
                <w:color w:val="auto"/>
              </w:rPr>
            </w:pPr>
            <w:r>
              <w:rPr>
                <w:rFonts w:ascii="Arial" w:cs="Arial" w:eastAsia="Arial" w:hAnsi="Arial"/>
                <w:sz w:val="16"/>
                <w:szCs w:val="16"/>
                <w:color w:val="auto"/>
              </w:rPr>
              <w:t>33,772,242</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20.5%</w:t>
            </w:r>
          </w:p>
        </w:tc>
        <w:tc>
          <w:tcPr>
            <w:tcW w:w="600" w:type="dxa"/>
            <w:vAlign w:val="bottom"/>
          </w:tcPr>
          <w:p>
            <w:pPr>
              <w:spacing w:after="0"/>
              <w:rPr>
                <w:sz w:val="24"/>
                <w:szCs w:val="24"/>
                <w:color w:val="auto"/>
              </w:rPr>
            </w:pPr>
          </w:p>
        </w:tc>
      </w:tr>
      <w:tr>
        <w:trPr>
          <w:trHeight w:val="203"/>
        </w:trPr>
        <w:tc>
          <w:tcPr>
            <w:tcW w:w="1320" w:type="dxa"/>
            <w:vAlign w:val="bottom"/>
          </w:tcPr>
          <w:p>
            <w:pPr>
              <w:jc w:val="right"/>
              <w:ind w:right="381"/>
              <w:spacing w:after="0"/>
              <w:rPr>
                <w:sz w:val="20"/>
                <w:szCs w:val="20"/>
                <w:color w:val="auto"/>
              </w:rPr>
            </w:pPr>
            <w:r>
              <w:rPr>
                <w:rFonts w:ascii="Arial" w:cs="Arial" w:eastAsia="Arial" w:hAnsi="Arial"/>
                <w:sz w:val="16"/>
                <w:szCs w:val="16"/>
                <w:color w:val="auto"/>
              </w:rPr>
              <w:t>33,593,580</w:t>
            </w:r>
          </w:p>
        </w:tc>
        <w:tc>
          <w:tcPr>
            <w:tcW w:w="13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20.4%</w:t>
            </w:r>
          </w:p>
        </w:tc>
        <w:tc>
          <w:tcPr>
            <w:tcW w:w="600" w:type="dxa"/>
            <w:vAlign w:val="bottom"/>
          </w:tcPr>
          <w:p>
            <w:pPr>
              <w:spacing w:after="0"/>
              <w:rPr>
                <w:sz w:val="17"/>
                <w:szCs w:val="17"/>
                <w:color w:val="auto"/>
              </w:rPr>
            </w:pPr>
          </w:p>
        </w:tc>
      </w:tr>
      <w:tr>
        <w:trPr>
          <w:trHeight w:val="203"/>
        </w:trPr>
        <w:tc>
          <w:tcPr>
            <w:tcW w:w="1320" w:type="dxa"/>
            <w:vAlign w:val="bottom"/>
          </w:tcPr>
          <w:p>
            <w:pPr>
              <w:jc w:val="right"/>
              <w:ind w:right="381"/>
              <w:spacing w:after="0"/>
              <w:rPr>
                <w:sz w:val="20"/>
                <w:szCs w:val="20"/>
                <w:color w:val="auto"/>
              </w:rPr>
            </w:pPr>
            <w:r>
              <w:rPr>
                <w:rFonts w:ascii="Arial" w:cs="Arial" w:eastAsia="Arial" w:hAnsi="Arial"/>
                <w:sz w:val="16"/>
                <w:szCs w:val="16"/>
                <w:color w:val="auto"/>
              </w:rPr>
              <w:t>22,005,055</w:t>
            </w:r>
          </w:p>
        </w:tc>
        <w:tc>
          <w:tcPr>
            <w:tcW w:w="13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13.4%</w:t>
            </w:r>
          </w:p>
        </w:tc>
        <w:tc>
          <w:tcPr>
            <w:tcW w:w="600" w:type="dxa"/>
            <w:vAlign w:val="bottom"/>
          </w:tcPr>
          <w:p>
            <w:pPr>
              <w:spacing w:after="0"/>
              <w:rPr>
                <w:sz w:val="17"/>
                <w:szCs w:val="17"/>
                <w:color w:val="auto"/>
              </w:rPr>
            </w:pPr>
          </w:p>
        </w:tc>
      </w:tr>
      <w:tr>
        <w:trPr>
          <w:trHeight w:val="203"/>
        </w:trPr>
        <w:tc>
          <w:tcPr>
            <w:tcW w:w="1320" w:type="dxa"/>
            <w:vAlign w:val="bottom"/>
          </w:tcPr>
          <w:p>
            <w:pPr>
              <w:jc w:val="right"/>
              <w:ind w:right="381"/>
              <w:spacing w:after="0"/>
              <w:rPr>
                <w:sz w:val="20"/>
                <w:szCs w:val="20"/>
                <w:color w:val="auto"/>
              </w:rPr>
            </w:pPr>
            <w:r>
              <w:rPr>
                <w:rFonts w:ascii="Arial" w:cs="Arial" w:eastAsia="Arial" w:hAnsi="Arial"/>
                <w:sz w:val="16"/>
                <w:szCs w:val="16"/>
                <w:color w:val="auto"/>
              </w:rPr>
              <w:t>13,311,702</w:t>
            </w:r>
          </w:p>
        </w:tc>
        <w:tc>
          <w:tcPr>
            <w:tcW w:w="13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8.1%</w:t>
            </w:r>
          </w:p>
        </w:tc>
        <w:tc>
          <w:tcPr>
            <w:tcW w:w="600" w:type="dxa"/>
            <w:vAlign w:val="bottom"/>
          </w:tcPr>
          <w:p>
            <w:pPr>
              <w:spacing w:after="0"/>
              <w:rPr>
                <w:sz w:val="17"/>
                <w:szCs w:val="17"/>
                <w:color w:val="auto"/>
              </w:rPr>
            </w:pPr>
          </w:p>
        </w:tc>
      </w:tr>
      <w:tr>
        <w:trPr>
          <w:trHeight w:val="243"/>
        </w:trPr>
        <w:tc>
          <w:tcPr>
            <w:tcW w:w="1320" w:type="dxa"/>
            <w:vAlign w:val="bottom"/>
          </w:tcPr>
          <w:p>
            <w:pPr>
              <w:jc w:val="right"/>
              <w:ind w:right="381"/>
              <w:spacing w:after="0"/>
              <w:rPr>
                <w:sz w:val="20"/>
                <w:szCs w:val="20"/>
                <w:color w:val="auto"/>
              </w:rPr>
            </w:pPr>
            <w:r>
              <w:rPr>
                <w:rFonts w:ascii="Arial" w:cs="Arial" w:eastAsia="Arial" w:hAnsi="Arial"/>
                <w:sz w:val="16"/>
                <w:szCs w:val="16"/>
                <w:color w:val="auto"/>
              </w:rPr>
              <w:t>10,984,497</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6.7%</w:t>
            </w:r>
          </w:p>
        </w:tc>
        <w:tc>
          <w:tcPr>
            <w:tcW w:w="600" w:type="dxa"/>
            <w:vAlign w:val="bottom"/>
          </w:tcPr>
          <w:p>
            <w:pPr>
              <w:spacing w:after="0"/>
              <w:rPr>
                <w:sz w:val="21"/>
                <w:szCs w:val="21"/>
                <w:color w:val="auto"/>
              </w:rPr>
            </w:pPr>
          </w:p>
        </w:tc>
      </w:tr>
      <w:tr>
        <w:trPr>
          <w:trHeight w:val="365"/>
        </w:trPr>
        <w:tc>
          <w:tcPr>
            <w:tcW w:w="1320" w:type="dxa"/>
            <w:vAlign w:val="bottom"/>
          </w:tcPr>
          <w:p>
            <w:pPr>
              <w:jc w:val="right"/>
              <w:ind w:right="381"/>
              <w:spacing w:after="0"/>
              <w:rPr>
                <w:sz w:val="20"/>
                <w:szCs w:val="20"/>
                <w:color w:val="auto"/>
              </w:rPr>
            </w:pPr>
            <w:r>
              <w:rPr>
                <w:rFonts w:ascii="Arial" w:cs="Arial" w:eastAsia="Arial" w:hAnsi="Arial"/>
                <w:sz w:val="16"/>
                <w:szCs w:val="16"/>
                <w:color w:val="auto"/>
              </w:rPr>
              <w:t>7,615,954</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4.5%</w:t>
            </w:r>
          </w:p>
        </w:tc>
        <w:tc>
          <w:tcPr>
            <w:tcW w:w="600" w:type="dxa"/>
            <w:vAlign w:val="bottom"/>
          </w:tcPr>
          <w:p>
            <w:pPr>
              <w:spacing w:after="0"/>
              <w:rPr>
                <w:sz w:val="24"/>
                <w:szCs w:val="24"/>
                <w:color w:val="auto"/>
              </w:rPr>
            </w:pPr>
          </w:p>
        </w:tc>
      </w:tr>
      <w:tr>
        <w:trPr>
          <w:trHeight w:val="203"/>
        </w:trPr>
        <w:tc>
          <w:tcPr>
            <w:tcW w:w="1320" w:type="dxa"/>
            <w:vAlign w:val="bottom"/>
          </w:tcPr>
          <w:p>
            <w:pPr>
              <w:jc w:val="right"/>
              <w:ind w:right="381"/>
              <w:spacing w:after="0"/>
              <w:rPr>
                <w:sz w:val="20"/>
                <w:szCs w:val="20"/>
                <w:color w:val="auto"/>
              </w:rPr>
            </w:pPr>
            <w:r>
              <w:rPr>
                <w:rFonts w:ascii="Arial" w:cs="Arial" w:eastAsia="Arial" w:hAnsi="Arial"/>
                <w:sz w:val="16"/>
                <w:szCs w:val="16"/>
                <w:color w:val="auto"/>
              </w:rPr>
              <w:t>2,573,596</w:t>
            </w:r>
          </w:p>
        </w:tc>
        <w:tc>
          <w:tcPr>
            <w:tcW w:w="13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1.5%</w:t>
            </w:r>
          </w:p>
        </w:tc>
        <w:tc>
          <w:tcPr>
            <w:tcW w:w="600" w:type="dxa"/>
            <w:vAlign w:val="bottom"/>
          </w:tcPr>
          <w:p>
            <w:pPr>
              <w:spacing w:after="0"/>
              <w:rPr>
                <w:sz w:val="17"/>
                <w:szCs w:val="17"/>
                <w:color w:val="auto"/>
              </w:rPr>
            </w:pPr>
          </w:p>
        </w:tc>
      </w:tr>
      <w:tr>
        <w:trPr>
          <w:trHeight w:val="243"/>
        </w:trPr>
        <w:tc>
          <w:tcPr>
            <w:tcW w:w="1320" w:type="dxa"/>
            <w:vAlign w:val="bottom"/>
          </w:tcPr>
          <w:p>
            <w:pPr>
              <w:jc w:val="right"/>
              <w:ind w:right="381"/>
              <w:spacing w:after="0"/>
              <w:rPr>
                <w:sz w:val="20"/>
                <w:szCs w:val="20"/>
                <w:color w:val="auto"/>
              </w:rPr>
            </w:pPr>
            <w:r>
              <w:rPr>
                <w:rFonts w:ascii="Arial" w:cs="Arial" w:eastAsia="Arial" w:hAnsi="Arial"/>
                <w:sz w:val="16"/>
                <w:szCs w:val="16"/>
                <w:color w:val="auto"/>
              </w:rPr>
              <w:t>171,458</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r>
      <w:tr>
        <w:trPr>
          <w:trHeight w:val="365"/>
        </w:trPr>
        <w:tc>
          <w:tcPr>
            <w:tcW w:w="1320" w:type="dxa"/>
            <w:vAlign w:val="bottom"/>
          </w:tcPr>
          <w:p>
            <w:pPr>
              <w:jc w:val="right"/>
              <w:ind w:right="381"/>
              <w:spacing w:after="0"/>
              <w:rPr>
                <w:sz w:val="20"/>
                <w:szCs w:val="20"/>
                <w:color w:val="auto"/>
              </w:rPr>
            </w:pPr>
            <w:r>
              <w:rPr>
                <w:rFonts w:ascii="Arial" w:cs="Arial" w:eastAsia="Arial" w:hAnsi="Arial"/>
                <w:sz w:val="16"/>
                <w:szCs w:val="16"/>
                <w:color w:val="auto"/>
              </w:rPr>
              <w:t>339,043</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r>
      <w:tr>
        <w:trPr>
          <w:trHeight w:val="203"/>
        </w:trPr>
        <w:tc>
          <w:tcPr>
            <w:tcW w:w="1320" w:type="dxa"/>
            <w:vAlign w:val="bottom"/>
          </w:tcPr>
          <w:p>
            <w:pPr>
              <w:jc w:val="right"/>
              <w:ind w:right="381"/>
              <w:spacing w:after="0"/>
              <w:rPr>
                <w:sz w:val="20"/>
                <w:szCs w:val="20"/>
                <w:color w:val="auto"/>
              </w:rPr>
            </w:pPr>
            <w:r>
              <w:rPr>
                <w:rFonts w:ascii="Arial" w:cs="Arial" w:eastAsia="Arial" w:hAnsi="Arial"/>
                <w:sz w:val="16"/>
                <w:szCs w:val="16"/>
                <w:color w:val="auto"/>
              </w:rPr>
              <w:t>2,250,000</w:t>
            </w:r>
          </w:p>
        </w:tc>
        <w:tc>
          <w:tcPr>
            <w:tcW w:w="13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1.4%</w:t>
            </w:r>
          </w:p>
        </w:tc>
        <w:tc>
          <w:tcPr>
            <w:tcW w:w="600" w:type="dxa"/>
            <w:vAlign w:val="bottom"/>
          </w:tcPr>
          <w:p>
            <w:pPr>
              <w:spacing w:after="0"/>
              <w:rPr>
                <w:sz w:val="17"/>
                <w:szCs w:val="17"/>
                <w:color w:val="auto"/>
              </w:rPr>
            </w:pPr>
          </w:p>
        </w:tc>
      </w:tr>
      <w:tr>
        <w:trPr>
          <w:trHeight w:val="203"/>
        </w:trPr>
        <w:tc>
          <w:tcPr>
            <w:tcW w:w="1320" w:type="dxa"/>
            <w:vAlign w:val="bottom"/>
          </w:tcPr>
          <w:p>
            <w:pPr>
              <w:jc w:val="right"/>
              <w:ind w:right="381"/>
              <w:spacing w:after="0"/>
              <w:rPr>
                <w:sz w:val="20"/>
                <w:szCs w:val="20"/>
                <w:color w:val="auto"/>
              </w:rPr>
            </w:pPr>
            <w:r>
              <w:rPr>
                <w:rFonts w:ascii="Arial" w:cs="Arial" w:eastAsia="Arial" w:hAnsi="Arial"/>
                <w:sz w:val="16"/>
                <w:szCs w:val="16"/>
                <w:color w:val="auto"/>
              </w:rPr>
              <w:t>9,556</w:t>
            </w:r>
          </w:p>
        </w:tc>
        <w:tc>
          <w:tcPr>
            <w:tcW w:w="13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spacing w:after="0"/>
              <w:rPr>
                <w:sz w:val="17"/>
                <w:szCs w:val="17"/>
                <w:color w:val="auto"/>
              </w:rPr>
            </w:pPr>
          </w:p>
        </w:tc>
      </w:tr>
      <w:tr>
        <w:trPr>
          <w:trHeight w:val="203"/>
        </w:trPr>
        <w:tc>
          <w:tcPr>
            <w:tcW w:w="1320" w:type="dxa"/>
            <w:vAlign w:val="bottom"/>
          </w:tcPr>
          <w:p>
            <w:pPr>
              <w:jc w:val="right"/>
              <w:ind w:right="381"/>
              <w:spacing w:after="0"/>
              <w:rPr>
                <w:sz w:val="20"/>
                <w:szCs w:val="20"/>
                <w:color w:val="auto"/>
              </w:rPr>
            </w:pPr>
            <w:r>
              <w:rPr>
                <w:rFonts w:ascii="Arial" w:cs="Arial" w:eastAsia="Arial" w:hAnsi="Arial"/>
                <w:sz w:val="16"/>
                <w:szCs w:val="16"/>
                <w:color w:val="auto"/>
              </w:rPr>
              <w:t>33,772,242</w:t>
            </w:r>
          </w:p>
        </w:tc>
        <w:tc>
          <w:tcPr>
            <w:tcW w:w="13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20.5%</w:t>
            </w:r>
          </w:p>
        </w:tc>
        <w:tc>
          <w:tcPr>
            <w:tcW w:w="600" w:type="dxa"/>
            <w:vAlign w:val="bottom"/>
          </w:tcPr>
          <w:p>
            <w:pPr>
              <w:spacing w:after="0"/>
              <w:rPr>
                <w:sz w:val="17"/>
                <w:szCs w:val="17"/>
                <w:color w:val="auto"/>
              </w:rPr>
            </w:pPr>
          </w:p>
        </w:tc>
      </w:tr>
      <w:tr>
        <w:trPr>
          <w:trHeight w:val="203"/>
        </w:trPr>
        <w:tc>
          <w:tcPr>
            <w:tcW w:w="1320" w:type="dxa"/>
            <w:vAlign w:val="bottom"/>
          </w:tcPr>
          <w:p>
            <w:pPr>
              <w:jc w:val="right"/>
              <w:ind w:right="381"/>
              <w:spacing w:after="0"/>
              <w:rPr>
                <w:sz w:val="20"/>
                <w:szCs w:val="20"/>
                <w:color w:val="auto"/>
              </w:rPr>
            </w:pPr>
            <w:r>
              <w:rPr>
                <w:rFonts w:ascii="Arial" w:cs="Arial" w:eastAsia="Arial" w:hAnsi="Arial"/>
                <w:sz w:val="16"/>
                <w:szCs w:val="16"/>
                <w:color w:val="auto"/>
              </w:rPr>
              <w:t>33,593,580</w:t>
            </w:r>
          </w:p>
        </w:tc>
        <w:tc>
          <w:tcPr>
            <w:tcW w:w="13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20.4%</w:t>
            </w:r>
          </w:p>
        </w:tc>
        <w:tc>
          <w:tcPr>
            <w:tcW w:w="600" w:type="dxa"/>
            <w:vAlign w:val="bottom"/>
          </w:tcPr>
          <w:p>
            <w:pPr>
              <w:spacing w:after="0"/>
              <w:rPr>
                <w:sz w:val="17"/>
                <w:szCs w:val="17"/>
                <w:color w:val="auto"/>
              </w:rPr>
            </w:pPr>
          </w:p>
        </w:tc>
      </w:tr>
      <w:tr>
        <w:trPr>
          <w:trHeight w:val="203"/>
        </w:trPr>
        <w:tc>
          <w:tcPr>
            <w:tcW w:w="1320" w:type="dxa"/>
            <w:vAlign w:val="bottom"/>
          </w:tcPr>
          <w:p>
            <w:pPr>
              <w:jc w:val="right"/>
              <w:ind w:right="381"/>
              <w:spacing w:after="0"/>
              <w:rPr>
                <w:sz w:val="20"/>
                <w:szCs w:val="20"/>
                <w:color w:val="auto"/>
              </w:rPr>
            </w:pPr>
            <w:r>
              <w:rPr>
                <w:rFonts w:ascii="Arial" w:cs="Arial" w:eastAsia="Arial" w:hAnsi="Arial"/>
                <w:sz w:val="16"/>
                <w:szCs w:val="16"/>
                <w:color w:val="auto"/>
              </w:rPr>
              <w:t>13,311,702</w:t>
            </w:r>
          </w:p>
        </w:tc>
        <w:tc>
          <w:tcPr>
            <w:tcW w:w="13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8.1%</w:t>
            </w:r>
          </w:p>
        </w:tc>
        <w:tc>
          <w:tcPr>
            <w:tcW w:w="600" w:type="dxa"/>
            <w:vAlign w:val="bottom"/>
          </w:tcPr>
          <w:p>
            <w:pPr>
              <w:spacing w:after="0"/>
              <w:rPr>
                <w:sz w:val="17"/>
                <w:szCs w:val="17"/>
                <w:color w:val="auto"/>
              </w:rPr>
            </w:pPr>
          </w:p>
        </w:tc>
      </w:tr>
      <w:tr>
        <w:trPr>
          <w:trHeight w:val="243"/>
        </w:trPr>
        <w:tc>
          <w:tcPr>
            <w:tcW w:w="1320" w:type="dxa"/>
            <w:vAlign w:val="bottom"/>
          </w:tcPr>
          <w:p>
            <w:pPr>
              <w:jc w:val="right"/>
              <w:ind w:right="381"/>
              <w:spacing w:after="0"/>
              <w:rPr>
                <w:sz w:val="20"/>
                <w:szCs w:val="20"/>
                <w:color w:val="auto"/>
              </w:rPr>
            </w:pPr>
            <w:r>
              <w:rPr>
                <w:rFonts w:ascii="Arial" w:cs="Arial" w:eastAsia="Arial" w:hAnsi="Arial"/>
                <w:sz w:val="16"/>
                <w:szCs w:val="16"/>
                <w:color w:val="auto"/>
              </w:rPr>
              <w:t>93,637,131</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53.9%</w:t>
            </w:r>
          </w:p>
        </w:tc>
        <w:tc>
          <w:tcPr>
            <w:tcW w:w="600" w:type="dxa"/>
            <w:vAlign w:val="bottom"/>
          </w:tcPr>
          <w:p>
            <w:pPr>
              <w:spacing w:after="0"/>
              <w:rPr>
                <w:sz w:val="21"/>
                <w:szCs w:val="21"/>
                <w:color w:val="auto"/>
              </w:rPr>
            </w:pPr>
          </w:p>
        </w:tc>
      </w:tr>
    </w:tbl>
    <w:p>
      <w:pPr>
        <w:spacing w:after="0" w:line="158" w:lineRule="exact"/>
        <w:rPr>
          <w:sz w:val="20"/>
          <w:szCs w:val="20"/>
          <w:color w:val="auto"/>
        </w:rPr>
      </w:pPr>
    </w:p>
    <w:p>
      <w:pPr>
        <w:sectPr>
          <w:pgSz w:w="11900" w:h="16838" w:orient="portrait"/>
          <w:cols w:equalWidth="0" w:num="2">
            <w:col w:w="7140" w:space="720"/>
            <w:col w:w="3240"/>
          </w:cols>
          <w:pgMar w:left="320" w:top="455" w:right="479" w:bottom="1440" w:gutter="0" w:footer="0" w:header="0"/>
          <w:type w:val="continuous"/>
        </w:sectPr>
      </w:pPr>
    </w:p>
    <w:p>
      <w:pPr>
        <w:ind w:left="660" w:hanging="544"/>
        <w:spacing w:after="0"/>
        <w:tabs>
          <w:tab w:leader="none" w:pos="660" w:val="left"/>
        </w:tabs>
        <w:numPr>
          <w:ilvl w:val="0"/>
          <w:numId w:val="111"/>
        </w:numPr>
        <w:rPr>
          <w:rFonts w:ascii="Arial" w:cs="Arial" w:eastAsia="Arial" w:hAnsi="Arial"/>
          <w:sz w:val="14"/>
          <w:szCs w:val="14"/>
          <w:color w:val="auto"/>
        </w:rPr>
      </w:pPr>
      <w:r>
        <w:rPr>
          <w:rFonts w:ascii="Arial" w:cs="Arial" w:eastAsia="Arial" w:hAnsi="Arial"/>
          <w:sz w:val="14"/>
          <w:szCs w:val="14"/>
          <w:color w:val="auto"/>
        </w:rPr>
        <w:t>Represents beneficial ownership of less than one percent (1%) of the outstanding shares of our common stock.</w:t>
      </w:r>
    </w:p>
    <w:p>
      <w:pPr>
        <w:spacing w:after="0" w:line="12" w:lineRule="exact"/>
        <w:rPr>
          <w:sz w:val="20"/>
          <w:szCs w:val="20"/>
          <w:color w:val="auto"/>
        </w:rPr>
      </w:pPr>
    </w:p>
    <w:p>
      <w:pPr>
        <w:ind w:left="660" w:right="20" w:hanging="544"/>
        <w:spacing w:after="0" w:line="220" w:lineRule="auto"/>
        <w:tabs>
          <w:tab w:leader="none" w:pos="660" w:val="left"/>
        </w:tabs>
        <w:numPr>
          <w:ilvl w:val="0"/>
          <w:numId w:val="112"/>
        </w:numPr>
        <w:rPr>
          <w:rFonts w:ascii="Arial" w:cs="Arial" w:eastAsia="Arial" w:hAnsi="Arial"/>
          <w:sz w:val="24"/>
          <w:szCs w:val="24"/>
          <w:color w:val="auto"/>
          <w:vertAlign w:val="superscript"/>
        </w:rPr>
      </w:pPr>
      <w:r>
        <w:rPr>
          <w:rFonts w:ascii="Arial" w:cs="Arial" w:eastAsia="Arial" w:hAnsi="Arial"/>
          <w:sz w:val="14"/>
          <w:szCs w:val="14"/>
          <w:color w:val="auto"/>
        </w:rPr>
        <w:t>Consists of (i) 8,529,997 shares of common stock issuable upon conversion of Series Seed convertible preferred stock, (ii) 18,366,771 shares of common stock issuable upon conversion of Series A convertible preferred stock, (iii) 5,479,151 shares of common stock issuable upon conversion of Series B convertible preferred stock and (iv) 1,396,323 shares of common stock issuable upon conversion of Series C convertible preferred stock all held by InterWest Partners X, L.P., or IW10. InterWest Management Partners X, LLC, or IMP10, is the general partner of IW10. Gilbert H. Kliman and Arnold L. Oronsky are the managing directors of IMP10 and Keval Desai and Khaled A. Nasr are venture members of IMP10. Each managing director and venture member of IMP10, including Arnold L. Oronsky, shares voting and investment power with respect to the securities held by IW10. IW10 is affiliated with InterWest Venture Management Company and Arnold L. Oronsky, a member of our board of directors. The address for the InterWest entities is 467 First Street, Suite 201, Los Altos, CA 94022.</w:t>
      </w:r>
    </w:p>
    <w:p>
      <w:pPr>
        <w:spacing w:after="0" w:line="3" w:lineRule="exact"/>
        <w:rPr>
          <w:rFonts w:ascii="Arial" w:cs="Arial" w:eastAsia="Arial" w:hAnsi="Arial"/>
          <w:sz w:val="24"/>
          <w:szCs w:val="24"/>
          <w:color w:val="auto"/>
          <w:vertAlign w:val="superscript"/>
        </w:rPr>
      </w:pPr>
    </w:p>
    <w:p>
      <w:pPr>
        <w:ind w:left="660" w:hanging="544"/>
        <w:spacing w:after="0" w:line="223" w:lineRule="auto"/>
        <w:tabs>
          <w:tab w:leader="none" w:pos="660" w:val="left"/>
        </w:tabs>
        <w:numPr>
          <w:ilvl w:val="0"/>
          <w:numId w:val="112"/>
        </w:numPr>
        <w:rPr>
          <w:rFonts w:ascii="Arial" w:cs="Arial" w:eastAsia="Arial" w:hAnsi="Arial"/>
          <w:sz w:val="24"/>
          <w:szCs w:val="24"/>
          <w:color w:val="auto"/>
          <w:vertAlign w:val="superscript"/>
        </w:rPr>
      </w:pPr>
      <w:r>
        <w:rPr>
          <w:rFonts w:ascii="Arial" w:cs="Arial" w:eastAsia="Arial" w:hAnsi="Arial"/>
          <w:sz w:val="14"/>
          <w:szCs w:val="14"/>
          <w:color w:val="auto"/>
        </w:rPr>
        <w:t>Consists of (i) 31,592,140 shares held by OrbiMed Private Investments V, LP, or OPI V, (ii) 600,432 shares held by OrbiMed Genesis Master Fund, L.P., or Genesis Master Fund and (iii) 1,401,008 shares held by The Biotech Growth Trust PLC, or Biotech Growth Trust. Dr. Peter Thompson is an employee of OrbiMed Advisors LLC, or OrbiMed Advisors, and a member of our board of directors. OrbiMed Capital GP V LLC, or OrbiMed GP V, is the general partner of OPI V and OrbiMed Advisors is the managing member of OrbiMed GP V. OrbiMed Genesis GP LLC, or Genesis GP, is the general partner of Genesis Master Fund and OrbiMed Advisors is the managing member of Genesis GP. By virtue of such relationships, OrbiMed GP V, Genesis GP and OrbiMed Advisors may be deemed to have voting and investment power over the securities held by OPI V, Genesis Master Fund and Biotech Growth Trust and as a result, may be deemed to have beneficial ownership over such securities. OrbiMed Advisors exercises voting and investment power through a management committee comprised of Carl L. Gordon, Sven H. Borho and Jonathan T. Silverstein, each of whom disclaims beneficial ownership of the shares held by OPI V and Genesis Master Fund. The address of OPI V, Genesis Master Fund and Biotech Growth Trust is c/o OrbiMed Advisors LLC, 601 Lexington Avenue, 54th Floor, New York, NY 10022.</w:t>
      </w:r>
    </w:p>
    <w:p>
      <w:pPr>
        <w:spacing w:after="0" w:line="4" w:lineRule="exact"/>
        <w:rPr>
          <w:rFonts w:ascii="Arial" w:cs="Arial" w:eastAsia="Arial" w:hAnsi="Arial"/>
          <w:sz w:val="24"/>
          <w:szCs w:val="24"/>
          <w:color w:val="auto"/>
          <w:vertAlign w:val="superscript"/>
        </w:rPr>
      </w:pPr>
    </w:p>
    <w:p>
      <w:pPr>
        <w:ind w:left="660" w:hanging="544"/>
        <w:spacing w:after="0"/>
        <w:tabs>
          <w:tab w:leader="none" w:pos="660" w:val="left"/>
        </w:tabs>
        <w:numPr>
          <w:ilvl w:val="0"/>
          <w:numId w:val="112"/>
        </w:numPr>
        <w:rPr>
          <w:rFonts w:ascii="Arial" w:cs="Arial" w:eastAsia="Arial" w:hAnsi="Arial"/>
          <w:sz w:val="24"/>
          <w:szCs w:val="24"/>
          <w:color w:val="auto"/>
          <w:vertAlign w:val="superscript"/>
        </w:rPr>
      </w:pPr>
      <w:r>
        <w:rPr>
          <w:rFonts w:ascii="Arial" w:cs="Arial" w:eastAsia="Arial" w:hAnsi="Arial"/>
          <w:sz w:val="14"/>
          <w:szCs w:val="14"/>
          <w:color w:val="auto"/>
        </w:rPr>
        <w:t>Consists of (i) 3,652,767 shares held of record by Greenland A LLC, (ii) 3,956,248 shares held of record by Greenland FP LLC, (iii) 698,161 shares held of record by Greenland NFP LLC, and (iv) 13,697,879 shares held of record by Greenland NFP B Ltd., such record holders together, the Greenland Entities. Euclidean Capital LLC, the Manager or Vice President (as the case may be) of the Greenland Entities, may be deemed to have shared voting control and investment discretion over the shares held by the Greenland Entities. The address for Euclidean and the Greenland Entities is c/o Euclidean Capital LLC, 160 Fifth Ave, 9th Fl, New York, NY 10010.</w:t>
      </w:r>
    </w:p>
    <w:p>
      <w:pPr>
        <w:spacing w:after="0" w:line="51" w:lineRule="exact"/>
        <w:rPr>
          <w:rFonts w:ascii="Arial" w:cs="Arial" w:eastAsia="Arial" w:hAnsi="Arial"/>
          <w:sz w:val="24"/>
          <w:szCs w:val="24"/>
          <w:color w:val="auto"/>
          <w:vertAlign w:val="superscript"/>
        </w:rPr>
      </w:pPr>
    </w:p>
    <w:p>
      <w:pPr>
        <w:ind w:left="660" w:right="60" w:hanging="544"/>
        <w:spacing w:after="0" w:line="200" w:lineRule="auto"/>
        <w:tabs>
          <w:tab w:leader="none" w:pos="660" w:val="left"/>
        </w:tabs>
        <w:numPr>
          <w:ilvl w:val="0"/>
          <w:numId w:val="112"/>
        </w:numPr>
        <w:rPr>
          <w:rFonts w:ascii="Arial" w:cs="Arial" w:eastAsia="Arial" w:hAnsi="Arial"/>
          <w:sz w:val="24"/>
          <w:szCs w:val="24"/>
          <w:color w:val="auto"/>
          <w:vertAlign w:val="superscript"/>
        </w:rPr>
      </w:pPr>
      <w:r>
        <w:rPr>
          <w:rFonts w:ascii="Arial" w:cs="Arial" w:eastAsia="Arial" w:hAnsi="Arial"/>
          <w:sz w:val="14"/>
          <w:szCs w:val="14"/>
          <w:color w:val="auto"/>
        </w:rPr>
        <w:t>Consists of 13,311,702 shares held by Nextech V Oncology S.C.S., SICAV-SIF. Dr. Thilo Schroeder is a Partner at Nextech Invest AG and in the Investment Committee of Nextech Invest AG, with significant influence over Nextech V Oncology S.C.S., SICAV-SIF in terms of investment decisions, selling strategy of shares and voting power and as a result,</w:t>
      </w:r>
    </w:p>
    <w:p>
      <w:pPr>
        <w:spacing w:after="0" w:line="2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00"/>
          </w:cols>
          <w:pgMar w:left="320" w:top="455" w:right="479" w:bottom="1440" w:gutter="0" w:footer="0" w:header="0"/>
          <w:type w:val="continuous"/>
        </w:sectPr>
      </w:pPr>
    </w:p>
    <w:bookmarkStart w:id="187" w:name="page188"/>
    <w:bookmarkEnd w:id="1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5" w:lineRule="exact"/>
        <w:rPr>
          <w:sz w:val="20"/>
          <w:szCs w:val="20"/>
          <w:color w:val="auto"/>
        </w:rPr>
      </w:pPr>
    </w:p>
    <w:p>
      <w:pPr>
        <w:ind w:left="660"/>
        <w:spacing w:after="0" w:line="244" w:lineRule="auto"/>
        <w:rPr>
          <w:sz w:val="20"/>
          <w:szCs w:val="20"/>
          <w:color w:val="auto"/>
        </w:rPr>
      </w:pPr>
      <w:r>
        <w:rPr>
          <w:rFonts w:ascii="Arial" w:cs="Arial" w:eastAsia="Arial" w:hAnsi="Arial"/>
          <w:sz w:val="14"/>
          <w:szCs w:val="14"/>
          <w:color w:val="auto"/>
        </w:rPr>
        <w:t>may be deemed to have beneficial ownership over such securities. Nextech V GP S.à r.l. is the general partner of Nextech V Oncology S.C.S., SICAV-SIF. Dalia Bleyer, James Pledger and Thomas Lips are Managers of Nextech V GP S.à r.l. and each of Nextech V GP S.à r.l. and Messrs. Dalia Bleyer, James Pledger and Thomas Lips may be deemed to share voting and investment power with respect to the shares reported herein and disclaim beneficial ownership over such shares, except to the extent of their respective pecuniary interest therein, if any. The address of the entities listed herein is 8 rue Lou Hemmer L-1748 Senningerberg, Luxembourg.</w:t>
      </w:r>
    </w:p>
    <w:p>
      <w:pPr>
        <w:spacing w:after="0" w:line="2" w:lineRule="exact"/>
        <w:rPr>
          <w:sz w:val="20"/>
          <w:szCs w:val="20"/>
          <w:color w:val="auto"/>
        </w:rPr>
      </w:pPr>
    </w:p>
    <w:p>
      <w:pPr>
        <w:ind w:left="660" w:right="40" w:hanging="544"/>
        <w:spacing w:after="0" w:line="217" w:lineRule="auto"/>
        <w:tabs>
          <w:tab w:leader="none" w:pos="660" w:val="left"/>
        </w:tabs>
        <w:numPr>
          <w:ilvl w:val="0"/>
          <w:numId w:val="113"/>
        </w:numPr>
        <w:rPr>
          <w:rFonts w:ascii="Arial" w:cs="Arial" w:eastAsia="Arial" w:hAnsi="Arial"/>
          <w:sz w:val="24"/>
          <w:szCs w:val="24"/>
          <w:color w:val="auto"/>
          <w:vertAlign w:val="superscript"/>
        </w:rPr>
      </w:pPr>
      <w:r>
        <w:rPr>
          <w:rFonts w:ascii="Arial" w:cs="Arial" w:eastAsia="Arial" w:hAnsi="Arial"/>
          <w:sz w:val="14"/>
          <w:szCs w:val="14"/>
          <w:color w:val="auto"/>
        </w:rPr>
        <w:t>Consists of 10,984,497 shares held by Viking Global Opportunities Illiquid Investments Sub-Master LP, or Opportunities Fund, which has the authority to dispose of and vote the shares directly owned by it, which power may be exercised by its general partner, Viking Global Opportunities Portfolio GP LLC, or Opportunities GP, and by Viking Global Investors LP, or VGI, which provides managerial services to Opportunities Fund. O. Andreas Halvorsen, David C. Ott and Rose Shabet, as Executive Committee members of Viking Global Partners LLC (the general partner of VGI) and Opportunities GP, have shared authority to direct the voting and disposition of investments beneficially owned by VGI and Opportunities GP. The address of the Opportunities Fund is c/o Viking Global Investors LP, 55 Railroad Avenue, Greenwich, Connecticut 06830.</w:t>
      </w:r>
    </w:p>
    <w:p>
      <w:pPr>
        <w:spacing w:after="0" w:line="2" w:lineRule="exact"/>
        <w:rPr>
          <w:rFonts w:ascii="Arial" w:cs="Arial" w:eastAsia="Arial" w:hAnsi="Arial"/>
          <w:sz w:val="24"/>
          <w:szCs w:val="24"/>
          <w:color w:val="auto"/>
          <w:vertAlign w:val="superscript"/>
        </w:rPr>
      </w:pPr>
    </w:p>
    <w:p>
      <w:pPr>
        <w:ind w:left="660" w:right="100" w:hanging="544"/>
        <w:spacing w:after="0" w:line="195" w:lineRule="auto"/>
        <w:tabs>
          <w:tab w:leader="none" w:pos="660" w:val="left"/>
        </w:tabs>
        <w:numPr>
          <w:ilvl w:val="0"/>
          <w:numId w:val="113"/>
        </w:numPr>
        <w:rPr>
          <w:rFonts w:ascii="Arial" w:cs="Arial" w:eastAsia="Arial" w:hAnsi="Arial"/>
          <w:sz w:val="24"/>
          <w:szCs w:val="24"/>
          <w:color w:val="auto"/>
          <w:vertAlign w:val="superscript"/>
        </w:rPr>
      </w:pPr>
      <w:r>
        <w:rPr>
          <w:rFonts w:ascii="Arial" w:cs="Arial" w:eastAsia="Arial" w:hAnsi="Arial"/>
          <w:sz w:val="14"/>
          <w:szCs w:val="14"/>
          <w:color w:val="auto"/>
        </w:rPr>
        <w:t>Consists of (i) 1,200,000 shares of common stock held by The Mack-Mulligan Revocable Trust, of which Dr. David Mack is a co-trustee, (ii) 300,000 shares of common stock held by Mack/Mulligan 2020 Irrevocable Descendants’ Trust, of which Dr. Mack is a co-trustee and (iii) 6,115,954 shares of common stock issuable pursuant to options held directly by Dr. Mack, exercisable within 60 days of August 31, 2020.</w:t>
      </w:r>
    </w:p>
    <w:p>
      <w:pPr>
        <w:ind w:left="660" w:hanging="544"/>
        <w:spacing w:after="0" w:line="187" w:lineRule="auto"/>
        <w:tabs>
          <w:tab w:leader="none" w:pos="660" w:val="left"/>
        </w:tabs>
        <w:numPr>
          <w:ilvl w:val="0"/>
          <w:numId w:val="113"/>
        </w:numPr>
        <w:rPr>
          <w:rFonts w:ascii="Arial" w:cs="Arial" w:eastAsia="Arial" w:hAnsi="Arial"/>
          <w:sz w:val="18"/>
          <w:szCs w:val="18"/>
          <w:color w:val="auto"/>
          <w:vertAlign w:val="superscript"/>
        </w:rPr>
      </w:pPr>
      <w:r>
        <w:rPr>
          <w:rFonts w:ascii="Arial" w:cs="Arial" w:eastAsia="Arial" w:hAnsi="Arial"/>
          <w:sz w:val="11"/>
          <w:szCs w:val="11"/>
          <w:color w:val="auto"/>
        </w:rPr>
        <w:t>Consists of 2,573,596 shares of common stock issuable pursuant to options held directly by Winston Kung, exercisable within 60 days of August 31, 2020.</w:t>
      </w:r>
    </w:p>
    <w:p>
      <w:pPr>
        <w:ind w:left="660" w:hanging="544"/>
        <w:spacing w:after="0" w:line="187" w:lineRule="auto"/>
        <w:tabs>
          <w:tab w:leader="none" w:pos="660" w:val="left"/>
        </w:tabs>
        <w:numPr>
          <w:ilvl w:val="0"/>
          <w:numId w:val="113"/>
        </w:numPr>
        <w:rPr>
          <w:rFonts w:ascii="Arial" w:cs="Arial" w:eastAsia="Arial" w:hAnsi="Arial"/>
          <w:sz w:val="18"/>
          <w:szCs w:val="18"/>
          <w:color w:val="auto"/>
          <w:vertAlign w:val="superscript"/>
        </w:rPr>
      </w:pPr>
      <w:r>
        <w:rPr>
          <w:rFonts w:ascii="Arial" w:cs="Arial" w:eastAsia="Arial" w:hAnsi="Arial"/>
          <w:sz w:val="11"/>
          <w:szCs w:val="11"/>
          <w:color w:val="auto"/>
        </w:rPr>
        <w:t>Consists of 171,458 shares of common stock issuable pursuant to options held directly by Dr. Deepika Jalota, exercisable within 60 days of August 31, 2020.</w:t>
      </w:r>
    </w:p>
    <w:p>
      <w:pPr>
        <w:ind w:left="660" w:hanging="544"/>
        <w:spacing w:after="0" w:line="187" w:lineRule="auto"/>
        <w:tabs>
          <w:tab w:leader="none" w:pos="660" w:val="left"/>
        </w:tabs>
        <w:numPr>
          <w:ilvl w:val="0"/>
          <w:numId w:val="113"/>
        </w:numPr>
        <w:rPr>
          <w:rFonts w:ascii="Arial" w:cs="Arial" w:eastAsia="Arial" w:hAnsi="Arial"/>
          <w:sz w:val="18"/>
          <w:szCs w:val="18"/>
          <w:color w:val="auto"/>
          <w:vertAlign w:val="superscript"/>
        </w:rPr>
      </w:pPr>
      <w:r>
        <w:rPr>
          <w:rFonts w:ascii="Arial" w:cs="Arial" w:eastAsia="Arial" w:hAnsi="Arial"/>
          <w:sz w:val="11"/>
          <w:szCs w:val="11"/>
          <w:color w:val="auto"/>
        </w:rPr>
        <w:t>Consists of 339,043 shares of common stock issuable pursuant to options held directly by Dr. Richard Heyman, exercisable within 60 days of August 31, 2020.</w:t>
      </w:r>
    </w:p>
    <w:p>
      <w:pPr>
        <w:ind w:left="660" w:hanging="544"/>
        <w:spacing w:after="0" w:line="187" w:lineRule="auto"/>
        <w:tabs>
          <w:tab w:leader="none" w:pos="660" w:val="left"/>
        </w:tabs>
        <w:numPr>
          <w:ilvl w:val="0"/>
          <w:numId w:val="113"/>
        </w:numPr>
        <w:rPr>
          <w:rFonts w:ascii="Arial" w:cs="Arial" w:eastAsia="Arial" w:hAnsi="Arial"/>
          <w:sz w:val="18"/>
          <w:szCs w:val="18"/>
          <w:color w:val="auto"/>
          <w:vertAlign w:val="superscript"/>
        </w:rPr>
      </w:pPr>
      <w:r>
        <w:rPr>
          <w:rFonts w:ascii="Arial" w:cs="Arial" w:eastAsia="Arial" w:hAnsi="Arial"/>
          <w:sz w:val="11"/>
          <w:szCs w:val="11"/>
          <w:color w:val="auto"/>
        </w:rPr>
        <w:t>Consists of 2,250,000 shares of common stock held directly by Dr. Arnold Levine.</w:t>
      </w:r>
    </w:p>
    <w:p>
      <w:pPr>
        <w:ind w:left="660" w:hanging="544"/>
        <w:spacing w:after="0" w:line="187" w:lineRule="auto"/>
        <w:tabs>
          <w:tab w:leader="none" w:pos="660" w:val="left"/>
        </w:tabs>
        <w:numPr>
          <w:ilvl w:val="0"/>
          <w:numId w:val="113"/>
        </w:numPr>
        <w:rPr>
          <w:rFonts w:ascii="Arial" w:cs="Arial" w:eastAsia="Arial" w:hAnsi="Arial"/>
          <w:sz w:val="18"/>
          <w:szCs w:val="18"/>
          <w:color w:val="auto"/>
          <w:vertAlign w:val="superscript"/>
        </w:rPr>
      </w:pPr>
      <w:r>
        <w:rPr>
          <w:rFonts w:ascii="Arial" w:cs="Arial" w:eastAsia="Arial" w:hAnsi="Arial"/>
          <w:sz w:val="11"/>
          <w:szCs w:val="11"/>
          <w:color w:val="auto"/>
        </w:rPr>
        <w:t>Consists of 9,556 shares of common stock issuable pursuant to options held directly by Laurie Stelzer, exercisable within 60 days of August 31, 2020.</w:t>
      </w:r>
    </w:p>
    <w:p>
      <w:pPr>
        <w:ind w:left="660" w:right="380" w:hanging="544"/>
        <w:spacing w:after="0" w:line="185" w:lineRule="auto"/>
        <w:tabs>
          <w:tab w:leader="none" w:pos="660" w:val="left"/>
        </w:tabs>
        <w:numPr>
          <w:ilvl w:val="0"/>
          <w:numId w:val="113"/>
        </w:numPr>
        <w:rPr>
          <w:rFonts w:ascii="Arial" w:cs="Arial" w:eastAsia="Arial" w:hAnsi="Arial"/>
          <w:sz w:val="24"/>
          <w:szCs w:val="24"/>
          <w:color w:val="auto"/>
          <w:vertAlign w:val="superscript"/>
        </w:rPr>
      </w:pPr>
      <w:r>
        <w:rPr>
          <w:rFonts w:ascii="Arial" w:cs="Arial" w:eastAsia="Arial" w:hAnsi="Arial"/>
          <w:sz w:val="14"/>
          <w:szCs w:val="14"/>
          <w:color w:val="auto"/>
        </w:rPr>
        <w:t>Consists of (i) 84,427,524 shares beneficially owned by our current executive officers and directors as of August 31, 2020 and (ii) 9,209,607 shares subject to options, exercisable within 60 days of August 31, 2020, of which 7,995,261 are vested as of such date.</w:t>
      </w:r>
    </w:p>
    <w:p>
      <w:pPr>
        <w:spacing w:after="0" w:line="10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040"/>
          </w:cols>
          <w:pgMar w:left="320" w:top="455" w:right="539" w:bottom="1440" w:gutter="0" w:footer="0" w:header="0"/>
        </w:sectPr>
      </w:pPr>
    </w:p>
    <w:bookmarkStart w:id="188" w:name="page189"/>
    <w:bookmarkEnd w:id="1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DESCRIPTION OF CAPITAL STOCK</w:t>
      </w:r>
    </w:p>
    <w:p>
      <w:pPr>
        <w:spacing w:after="0" w:line="216" w:lineRule="exact"/>
        <w:rPr>
          <w:sz w:val="20"/>
          <w:szCs w:val="20"/>
          <w:color w:val="auto"/>
        </w:rPr>
      </w:pPr>
    </w:p>
    <w:p>
      <w:pPr>
        <w:ind w:left="120" w:right="80" w:firstLine="551"/>
        <w:spacing w:after="0" w:line="244" w:lineRule="auto"/>
        <w:rPr>
          <w:sz w:val="20"/>
          <w:szCs w:val="20"/>
          <w:color w:val="auto"/>
        </w:rPr>
      </w:pPr>
      <w:r>
        <w:rPr>
          <w:rFonts w:ascii="Arial" w:cs="Arial" w:eastAsia="Arial" w:hAnsi="Arial"/>
          <w:sz w:val="18"/>
          <w:szCs w:val="18"/>
          <w:i w:val="1"/>
          <w:iCs w:val="1"/>
          <w:color w:val="auto"/>
        </w:rPr>
        <w:t>The following descriptions of our capital stock and certain provisions of our amended and restated certificate of incorporation and amended and restated bylaws are summaries and are qualified by reference to the amended and restated certificate of incorporation and the amended and restated bylaws that will be in effect immediately prior to the completion of this offering. Copies of these documents will be filed with the SEC as exhibits to our registration statement, of which this prospectus forms a part. The descriptions of the common stock and preferred stock reflect changes to our capital structure that will occur upon the completion of this offering.</w:t>
      </w:r>
    </w:p>
    <w:p>
      <w:pPr>
        <w:spacing w:after="0" w:line="28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General</w:t>
      </w:r>
    </w:p>
    <w:p>
      <w:pPr>
        <w:spacing w:after="0" w:line="214"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Upon the completion of this offering and the filing of our amended and restated certificate of incorporation in connection with this offering, our authorized capital stock will consist of 1,000,000,000 shares of common stock, par value $0.00001 per share, and 5,000,000 shares of preferred stock, par value $0.00001 per share.</w:t>
      </w:r>
    </w:p>
    <w:p>
      <w:pPr>
        <w:spacing w:after="0" w:line="37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Common Stock</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Outstanding Shares</w:t>
      </w:r>
    </w:p>
    <w:p>
      <w:pPr>
        <w:spacing w:after="0" w:line="104" w:lineRule="exact"/>
        <w:rPr>
          <w:sz w:val="20"/>
          <w:szCs w:val="20"/>
          <w:color w:val="auto"/>
        </w:rPr>
      </w:pPr>
    </w:p>
    <w:p>
      <w:pPr>
        <w:ind w:left="120" w:firstLine="551"/>
        <w:spacing w:after="0" w:line="243" w:lineRule="auto"/>
        <w:rPr>
          <w:sz w:val="20"/>
          <w:szCs w:val="20"/>
          <w:color w:val="auto"/>
        </w:rPr>
      </w:pPr>
      <w:r>
        <w:rPr>
          <w:rFonts w:ascii="Arial" w:cs="Arial" w:eastAsia="Arial" w:hAnsi="Arial"/>
          <w:sz w:val="18"/>
          <w:szCs w:val="18"/>
          <w:color w:val="auto"/>
        </w:rPr>
        <w:t>Based on 16,038,590 shares of common stock outstanding as of June 30, 2020, and after giving effect to the conversion of all of our outstanding convertible preferred stock into an aggregate of 148,413,322 shares of common stock, including the shares issuable upon the conversion of our Series D convertible preferred stock issued and sold in July 2020, which will occur immediately prior to the</w:t>
      </w:r>
    </w:p>
    <w:p>
      <w:pPr>
        <w:spacing w:after="0" w:line="1" w:lineRule="exact"/>
        <w:rPr>
          <w:sz w:val="20"/>
          <w:szCs w:val="20"/>
          <w:color w:val="auto"/>
        </w:rPr>
      </w:pPr>
    </w:p>
    <w:p>
      <w:pPr>
        <w:jc w:val="both"/>
        <w:ind w:left="120" w:right="220"/>
        <w:spacing w:after="0" w:line="242" w:lineRule="auto"/>
        <w:rPr>
          <w:sz w:val="20"/>
          <w:szCs w:val="20"/>
          <w:color w:val="auto"/>
        </w:rPr>
      </w:pPr>
      <w:r>
        <w:rPr>
          <w:rFonts w:ascii="Arial" w:cs="Arial" w:eastAsia="Arial" w:hAnsi="Arial"/>
          <w:sz w:val="18"/>
          <w:szCs w:val="18"/>
          <w:color w:val="auto"/>
        </w:rPr>
        <w:t>completion of this offering and the issuance of shares of common stock in this offering, there will be shares of common stock outstanding upon the completion of this offering. Upon the closing of our Series D convertible preferred stock financing in July 2020, we had 37 stockholders of record.</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Rights</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Each holder of common stock is entitled to one vote for each share on all matters submitted to a vote of the stockholders, including the election of directors. Our stockholders will not have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ind w:left="120" w:right="40" w:firstLine="551"/>
        <w:spacing w:after="0" w:line="276" w:lineRule="auto"/>
        <w:rPr>
          <w:sz w:val="20"/>
          <w:szCs w:val="20"/>
          <w:color w:val="auto"/>
        </w:rPr>
      </w:pPr>
      <w:r>
        <w:rPr>
          <w:rFonts w:ascii="Arial" w:cs="Arial" w:eastAsia="Arial" w:hAnsi="Arial"/>
          <w:sz w:val="18"/>
          <w:szCs w:val="18"/>
          <w:color w:val="auto"/>
        </w:rPr>
        <w:t>Subject to preferences that may be applicable to any then-outstanding preferred stock, holders of our common stock are entitled to receive dividends, if any, as may be declared from time to time by our board of directors out of legally available funds.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Liquidation</w:t>
      </w:r>
    </w:p>
    <w:p>
      <w:pPr>
        <w:spacing w:after="0" w:line="104" w:lineRule="exact"/>
        <w:rPr>
          <w:sz w:val="20"/>
          <w:szCs w:val="20"/>
          <w:color w:val="auto"/>
        </w:rPr>
      </w:pPr>
    </w:p>
    <w:p>
      <w:pPr>
        <w:ind w:left="120" w:right="120" w:firstLine="551"/>
        <w:spacing w:after="0" w:line="255" w:lineRule="auto"/>
        <w:rPr>
          <w:sz w:val="20"/>
          <w:szCs w:val="20"/>
          <w:color w:val="auto"/>
        </w:rPr>
      </w:pPr>
      <w:r>
        <w:rPr>
          <w:rFonts w:ascii="Arial" w:cs="Arial" w:eastAsia="Arial" w:hAnsi="Arial"/>
          <w:sz w:val="18"/>
          <w:szCs w:val="18"/>
          <w:color w:val="auto"/>
        </w:rPr>
        <w:t>In the event of our liquidation, dissolution or winding up, holders of our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080"/>
          </w:cols>
          <w:pgMar w:left="320" w:top="455" w:right="499" w:bottom="1440" w:gutter="0" w:footer="0" w:header="0"/>
        </w:sectPr>
      </w:pPr>
    </w:p>
    <w:bookmarkStart w:id="189" w:name="page190"/>
    <w:bookmarkEnd w:id="1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104" w:lineRule="exact"/>
        <w:rPr>
          <w:sz w:val="20"/>
          <w:szCs w:val="20"/>
          <w:color w:val="auto"/>
        </w:rPr>
      </w:pPr>
    </w:p>
    <w:p>
      <w:pPr>
        <w:ind w:left="120" w:right="100" w:firstLine="551"/>
        <w:spacing w:after="0" w:line="248" w:lineRule="auto"/>
        <w:rPr>
          <w:sz w:val="20"/>
          <w:szCs w:val="20"/>
          <w:color w:val="auto"/>
        </w:rPr>
      </w:pPr>
      <w:r>
        <w:rPr>
          <w:rFonts w:ascii="Arial" w:cs="Arial" w:eastAsia="Arial" w:hAnsi="Arial"/>
          <w:sz w:val="18"/>
          <w:szCs w:val="18"/>
          <w:color w:val="auto"/>
        </w:rPr>
        <w:t>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in the future.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104" w:lineRule="exact"/>
        <w:rPr>
          <w:sz w:val="20"/>
          <w:szCs w:val="20"/>
          <w:color w:val="auto"/>
        </w:rPr>
      </w:pPr>
    </w:p>
    <w:p>
      <w:pPr>
        <w:ind w:left="120" w:right="320" w:firstLine="551"/>
        <w:spacing w:after="0" w:line="276" w:lineRule="auto"/>
        <w:rPr>
          <w:sz w:val="20"/>
          <w:szCs w:val="20"/>
          <w:color w:val="auto"/>
        </w:rPr>
      </w:pPr>
      <w:r>
        <w:rPr>
          <w:rFonts w:ascii="Arial" w:cs="Arial" w:eastAsia="Arial" w:hAnsi="Arial"/>
          <w:sz w:val="18"/>
          <w:szCs w:val="18"/>
          <w:color w:val="auto"/>
        </w:rPr>
        <w:t>All of our outstanding shares of common stock are, and the shares of common stock to be issued in this offering, upon payment and delivery in accordance with the underwriting agreement, will be fully paid and nonassessable.</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Preferred Stock</w:t>
      </w:r>
    </w:p>
    <w:p>
      <w:pPr>
        <w:spacing w:after="0" w:line="21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Upon the completion of this offering, our board of directors will have the authority, without further action by the stockholders, to issue up to 5,000,000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a change in our control or other corporate action. Upon completion of this offering, no shares of preferred stock will be outstanding, and we have no present plan to issue any shares of preferred stock.</w:t>
      </w:r>
    </w:p>
    <w:p>
      <w:pPr>
        <w:spacing w:after="0" w:line="2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Common Stock Options</w:t>
      </w:r>
    </w:p>
    <w:p>
      <w:pPr>
        <w:spacing w:after="0" w:line="214" w:lineRule="exact"/>
        <w:rPr>
          <w:sz w:val="20"/>
          <w:szCs w:val="20"/>
          <w:color w:val="auto"/>
        </w:rPr>
      </w:pPr>
    </w:p>
    <w:p>
      <w:pPr>
        <w:ind w:left="120" w:right="160" w:firstLine="551"/>
        <w:spacing w:after="0" w:line="262" w:lineRule="auto"/>
        <w:rPr>
          <w:sz w:val="20"/>
          <w:szCs w:val="20"/>
          <w:color w:val="auto"/>
        </w:rPr>
      </w:pPr>
      <w:r>
        <w:rPr>
          <w:rFonts w:ascii="Arial" w:cs="Arial" w:eastAsia="Arial" w:hAnsi="Arial"/>
          <w:sz w:val="17"/>
          <w:szCs w:val="17"/>
          <w:color w:val="auto"/>
        </w:rPr>
        <w:t>As of June 30, 2020, we had outstanding options to purchase an aggregate of 20,653,300 shares of our common stock, with a weighted-average exercise price of $0.50 per share, under our 2013 Equity Incentive Plan, or 2013 Plan. After June 30, 2020, we issued</w:t>
      </w:r>
    </w:p>
    <w:p>
      <w:pPr>
        <w:ind w:left="120" w:right="200"/>
        <w:spacing w:after="0" w:line="250" w:lineRule="auto"/>
        <w:rPr>
          <w:sz w:val="20"/>
          <w:szCs w:val="20"/>
          <w:color w:val="auto"/>
        </w:rPr>
      </w:pPr>
      <w:r>
        <w:rPr>
          <w:rFonts w:ascii="Arial" w:cs="Arial" w:eastAsia="Arial" w:hAnsi="Arial"/>
          <w:sz w:val="18"/>
          <w:szCs w:val="18"/>
          <w:color w:val="auto"/>
        </w:rPr>
        <w:t>options to purchase an aggregate of shares of our common stock, with a weighted-average exercise price of $ per share, under our 2013 Plan.</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Warrant</w:t>
      </w:r>
    </w:p>
    <w:p>
      <w:pPr>
        <w:spacing w:after="0" w:line="214" w:lineRule="exact"/>
        <w:rPr>
          <w:sz w:val="20"/>
          <w:szCs w:val="20"/>
          <w:color w:val="auto"/>
        </w:rPr>
      </w:pPr>
    </w:p>
    <w:p>
      <w:pPr>
        <w:ind w:left="120" w:right="340" w:firstLine="551"/>
        <w:spacing w:after="0" w:line="255" w:lineRule="auto"/>
        <w:rPr>
          <w:sz w:val="20"/>
          <w:szCs w:val="20"/>
          <w:color w:val="auto"/>
        </w:rPr>
      </w:pPr>
      <w:r>
        <w:rPr>
          <w:rFonts w:ascii="Arial" w:cs="Arial" w:eastAsia="Arial" w:hAnsi="Arial"/>
          <w:sz w:val="18"/>
          <w:szCs w:val="18"/>
          <w:color w:val="auto"/>
        </w:rPr>
        <w:t>As of June 30, 2020, we had an outstanding warrant to purchase an aggregate of 56,866 shares of our Series Seed convertible preferred stock at $0.3517 per share. The warrant will be converted into a warrant to purchase an aggregate of 56,866 shares of our common stock, with an exercise price of $0.3517 per share, upon the completion of this offering.</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Registration Rights</w:t>
      </w:r>
    </w:p>
    <w:p>
      <w:pPr>
        <w:spacing w:after="0" w:line="214" w:lineRule="exact"/>
        <w:rPr>
          <w:sz w:val="20"/>
          <w:szCs w:val="20"/>
          <w:color w:val="auto"/>
        </w:rPr>
      </w:pPr>
    </w:p>
    <w:p>
      <w:pPr>
        <w:jc w:val="both"/>
        <w:ind w:left="120" w:right="300" w:firstLine="551"/>
        <w:spacing w:after="0" w:line="255" w:lineRule="auto"/>
        <w:rPr>
          <w:sz w:val="20"/>
          <w:szCs w:val="20"/>
          <w:color w:val="auto"/>
        </w:rPr>
      </w:pPr>
      <w:r>
        <w:rPr>
          <w:rFonts w:ascii="Arial" w:cs="Arial" w:eastAsia="Arial" w:hAnsi="Arial"/>
          <w:sz w:val="18"/>
          <w:szCs w:val="18"/>
          <w:color w:val="auto"/>
        </w:rPr>
        <w:t>After the completion of this offering, under our amended and restated investors’ rights agreement, holders of up to 148,470,188 shares of common stock or their transferees, have the right to require us to register the offer and sale of their shares, or to include their shares in any registration statement we file, in each case as described below.</w:t>
      </w:r>
    </w:p>
    <w:p>
      <w:pPr>
        <w:spacing w:after="0" w:line="9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5" w:right="459" w:bottom="1440" w:gutter="0" w:footer="0" w:header="0"/>
        </w:sectPr>
      </w:pPr>
    </w:p>
    <w:bookmarkStart w:id="190" w:name="page191"/>
    <w:bookmarkEnd w:id="1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After the completion of this offering, holders of up to 148,470,188 shares of our common stock will be entitled to certain demand registration rights. At any time beginning after 180 days following the completion of this offering, or the subsequent date on which all market stand-off agreements applicable to this offering have terminated, the holders of at least 30% of the shares having registration rights then outstanding can request that we file a registration statement to register the offer and sale of their shares. We are only obligated to effect up to two such registrations. Each such request for registration must cover securities the anticipated aggregate gross proceeds of which, after deducting underwriting discounts and expenses, is at least $5 million. These demand registration rights are subject to specified conditions and limitations, including the right of the underwriters to limit the number of shares included in any such registration under certain circumstances. If we determine that it would be materially detrimental to us and our stockholders to effect such a demand registration, we have the right to defer such registration, not more than twice in any twelve-month period, for a period of up to 90 days.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Form S-3 Registration Rights</w:t>
      </w:r>
    </w:p>
    <w:p>
      <w:pPr>
        <w:spacing w:after="0" w:line="104" w:lineRule="exact"/>
        <w:rPr>
          <w:sz w:val="20"/>
          <w:szCs w:val="20"/>
          <w:color w:val="auto"/>
        </w:rPr>
      </w:pPr>
    </w:p>
    <w:p>
      <w:pPr>
        <w:ind w:left="120" w:right="80" w:firstLine="551"/>
        <w:spacing w:after="0" w:line="239" w:lineRule="auto"/>
        <w:rPr>
          <w:sz w:val="20"/>
          <w:szCs w:val="20"/>
          <w:color w:val="auto"/>
        </w:rPr>
      </w:pPr>
      <w:r>
        <w:rPr>
          <w:rFonts w:ascii="Arial" w:cs="Arial" w:eastAsia="Arial" w:hAnsi="Arial"/>
          <w:sz w:val="18"/>
          <w:szCs w:val="18"/>
          <w:color w:val="auto"/>
        </w:rPr>
        <w:t>After the completion of this offering, holders of up to 148,470,188 shares of our common stock will be entitled to certain Form S-3 registration rights. At any time when we are eligible to file a registration statement on Form S-3, the holders of the shares having these rights then outstanding can request that we register the offer and sale of their shares of our common stock on a registration statement on Form S-3 so long as the request covers securities the anticipated aggregate public offering price of which is at least $5 million. These stockholders may make an unlimited number of requests for registration on a registration statement on Form S-3. However, we will not be required to effect a registration on Form S-3 if we have effected two such registrations within the twelve-month period preceding the date of the request. These Form S-3 registration rights are subject to specified conditions and limitations, including the right of the underwriters to limit the number of shares included in any such registration under certain circumstances. Additionally, if we determine that it would be seriously detrimental to us and our stockholders to effect such a demand registration, we have the right to defer such registration, not more than twice in any twelve-month period, for a period of up to 90 days.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Piggyback Registration Rights</w:t>
      </w:r>
    </w:p>
    <w:p>
      <w:pPr>
        <w:spacing w:after="0" w:line="10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After the completion of this offering, holders of up to 148,470,188 shares of our common stock will be entitled to certain “piggyback” registration rights. If we propose to register the offer and sale of shares of our common stock under the Securities Act of 1933, as amended, or Securities Act, all holders of these shares then outstanding can request that we include their shares in such registration, subject to certain marketing and other limitations, including the right of the underwriters to limit the number of shares included in any such registration statement under certain circumstances. As a result, whenever we propose to file a registration statement under the Securities Act, other than with respect to (i) a registration related to any employee benefit plan, (ii) a registration relating to the offer and sale of debt securities, (iii) a registration relating to a corporate reorganization or other transaction covered by Rule 145 promulgated under the Securities Act, (iv) a registration on any registration form that does not permit secondary sales or (v) a registration pursuant to the demand or Form S-3 registration rights described in the preceding two paragraphs above, the holders of these shares are entitled to notice of the registration and have the right, subject to certain limitations, to include their shares in the registration.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104" w:lineRule="exact"/>
        <w:rPr>
          <w:sz w:val="20"/>
          <w:szCs w:val="20"/>
          <w:color w:val="auto"/>
        </w:rPr>
      </w:pPr>
    </w:p>
    <w:p>
      <w:pPr>
        <w:ind w:left="120" w:right="600" w:firstLine="551"/>
        <w:spacing w:after="0" w:line="276" w:lineRule="auto"/>
        <w:rPr>
          <w:sz w:val="20"/>
          <w:szCs w:val="20"/>
          <w:color w:val="auto"/>
        </w:rPr>
      </w:pPr>
      <w:r>
        <w:rPr>
          <w:rFonts w:ascii="Arial" w:cs="Arial" w:eastAsia="Arial" w:hAnsi="Arial"/>
          <w:sz w:val="18"/>
          <w:szCs w:val="18"/>
          <w:color w:val="auto"/>
        </w:rPr>
        <w:t>We will pay all expenses relating to any demand registrations, Form S-3 registrations and piggyback registrations, subject to specified limitations.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20"/>
          </w:cols>
          <w:pgMar w:left="320" w:top="455" w:right="459" w:bottom="1440" w:gutter="0" w:footer="0" w:header="0"/>
        </w:sectPr>
      </w:pPr>
    </w:p>
    <w:bookmarkStart w:id="191" w:name="page192"/>
    <w:bookmarkEnd w:id="1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registration rights terminate upon the earliest of (i) the date that is five years after the completion of this offering,</w:t>
      </w:r>
    </w:p>
    <w:p>
      <w:pPr>
        <w:spacing w:after="0" w:line="18" w:lineRule="exact"/>
        <w:rPr>
          <w:sz w:val="20"/>
          <w:szCs w:val="20"/>
          <w:color w:val="auto"/>
        </w:rPr>
      </w:pPr>
    </w:p>
    <w:p>
      <w:pPr>
        <w:ind w:left="120" w:right="380" w:hanging="4"/>
        <w:spacing w:after="0" w:line="242" w:lineRule="auto"/>
        <w:tabs>
          <w:tab w:leader="none" w:pos="37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immediately prior to the completion of certain liquidation events and (iii) as to a given holder of registration rights, the date after the completion of this offering when such holder of registration rights can sell all of such holder’s registrable securities during any 90-day period pursuant to Rule 144 promulgated under the Securities Act.</w:t>
      </w:r>
    </w:p>
    <w:p>
      <w:pPr>
        <w:spacing w:after="0" w:line="281" w:lineRule="exact"/>
        <w:rPr>
          <w:sz w:val="20"/>
          <w:szCs w:val="20"/>
          <w:color w:val="auto"/>
        </w:rPr>
      </w:pPr>
    </w:p>
    <w:p>
      <w:pPr>
        <w:jc w:val="center"/>
        <w:ind w:left="440" w:right="140"/>
        <w:spacing w:after="0" w:line="287" w:lineRule="auto"/>
        <w:rPr>
          <w:sz w:val="20"/>
          <w:szCs w:val="20"/>
          <w:color w:val="auto"/>
        </w:rPr>
      </w:pPr>
      <w:r>
        <w:rPr>
          <w:rFonts w:ascii="Arial" w:cs="Arial" w:eastAsia="Arial" w:hAnsi="Arial"/>
          <w:sz w:val="18"/>
          <w:szCs w:val="18"/>
          <w:b w:val="1"/>
          <w:bCs w:val="1"/>
          <w:color w:val="auto"/>
        </w:rPr>
        <w:t>Anti-Takeover Effects of Certain Provisions of Delaware Law, Our Amended and Restated Certificate of Incorporation and Our Amended and Restated Bylaws</w:t>
      </w:r>
    </w:p>
    <w:p>
      <w:pPr>
        <w:spacing w:after="0" w:line="128"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8"/>
          <w:szCs w:val="18"/>
          <w:color w:val="auto"/>
        </w:rPr>
        <w:t>Certain provisions of Delaware law and certain provisions that will be included in our amended and restated certificate of incorporation and amended and restated bylaws summarized below may be deemed to have an anti-takeover effect and may delay, deter or prevent a tender offer or takeover attempt that a stockholder might consider to be in its best interests, including attempts that might result in a premium being paid over the market price for the shares held by stockholders.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0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Our amended and restated certificate of incorporation will contain provisions that permit our board of directors to issue, without any further vote or action by the stockholders, 5,000,000 shares of preferred stock in one or more series and, with respect to each such series, to fix the number of shares constituting the series and the designation of the series, the voting rights (if any) of the shares of the series and the powers, preferences or relative, participation, optional and other special rights, if any, and any qualifications, limitations or restrictions, of the shares of such series.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Classified Board</w:t>
      </w:r>
    </w:p>
    <w:p>
      <w:pPr>
        <w:spacing w:after="0" w:line="104" w:lineRule="exact"/>
        <w:rPr>
          <w:sz w:val="20"/>
          <w:szCs w:val="20"/>
          <w:color w:val="auto"/>
        </w:rPr>
      </w:pPr>
    </w:p>
    <w:p>
      <w:pPr>
        <w:ind w:left="120" w:right="60" w:firstLine="551"/>
        <w:spacing w:after="0" w:line="241" w:lineRule="auto"/>
        <w:rPr>
          <w:sz w:val="20"/>
          <w:szCs w:val="20"/>
          <w:color w:val="auto"/>
        </w:rPr>
      </w:pPr>
      <w:r>
        <w:rPr>
          <w:rFonts w:ascii="Arial" w:cs="Arial" w:eastAsia="Arial" w:hAnsi="Arial"/>
          <w:sz w:val="18"/>
          <w:szCs w:val="18"/>
          <w:color w:val="auto"/>
        </w:rPr>
        <w:t>Our amended and restated certificate of incorporation will provide that our board of directors is divided into three classes, designated Class I, Class II and Class III. Each class will be an equal number of directors, as nearly as possible, consisting of one third of the total number of directors constituting the entire board of directors. The term of the initial Class I directors shall terminate on the date of the 2021 annual meeting of stockholders, the term of the initial Class II directors shall terminate on the date of the 2022 annual meeting of stockholders, and the term of the initial Class III directors shall terminate on the date of the 2023 annual meeting of stockholders. At each annual meeting of stockholders beginning in 2021, successors to the class of directors whose term expires at that annual meeting will be elected for a three-year term.</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Removal of Directors</w:t>
      </w:r>
    </w:p>
    <w:p>
      <w:pPr>
        <w:spacing w:after="0" w:line="104" w:lineRule="exact"/>
        <w:rPr>
          <w:sz w:val="20"/>
          <w:szCs w:val="20"/>
          <w:color w:val="auto"/>
        </w:rPr>
      </w:pPr>
    </w:p>
    <w:p>
      <w:pPr>
        <w:ind w:left="120" w:right="60" w:firstLine="551"/>
        <w:spacing w:after="0" w:line="276" w:lineRule="auto"/>
        <w:rPr>
          <w:sz w:val="20"/>
          <w:szCs w:val="20"/>
          <w:color w:val="auto"/>
        </w:rPr>
      </w:pPr>
      <w:r>
        <w:rPr>
          <w:rFonts w:ascii="Arial" w:cs="Arial" w:eastAsia="Arial" w:hAnsi="Arial"/>
          <w:sz w:val="18"/>
          <w:szCs w:val="18"/>
          <w:color w:val="auto"/>
        </w:rPr>
        <w:t>Our amended and restated certificate of incorporation will provide that stockholders may only remove a director for cause by a vote of no less than a majority of the shares present in person or by proxy at a meeting of stockholders and entitled to vote.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Vacancies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amended and restated certificate of incorporation will authorize only our board of directors to fill vacant directorships.</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Cumulative Voting</w:t>
      </w:r>
    </w:p>
    <w:p>
      <w:pPr>
        <w:spacing w:after="0" w:line="104" w:lineRule="exact"/>
        <w:rPr>
          <w:sz w:val="20"/>
          <w:szCs w:val="20"/>
          <w:color w:val="auto"/>
        </w:rPr>
      </w:pPr>
    </w:p>
    <w:p>
      <w:pPr>
        <w:ind w:left="120" w:right="200" w:firstLine="551"/>
        <w:spacing w:after="0" w:line="276" w:lineRule="auto"/>
        <w:rPr>
          <w:sz w:val="20"/>
          <w:szCs w:val="20"/>
          <w:color w:val="auto"/>
        </w:rPr>
      </w:pPr>
      <w:r>
        <w:rPr>
          <w:rFonts w:ascii="Arial" w:cs="Arial" w:eastAsia="Arial" w:hAnsi="Arial"/>
          <w:sz w:val="18"/>
          <w:szCs w:val="18"/>
          <w:color w:val="auto"/>
        </w:rPr>
        <w:t>Our amended and restated certificate of incorporation will provide that stockholders do not have the right to cumulate votes in the election of directors.</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20"/>
          </w:cols>
          <w:pgMar w:left="320" w:top="455" w:right="459" w:bottom="1440" w:gutter="0" w:footer="0" w:header="0"/>
        </w:sectPr>
      </w:pPr>
    </w:p>
    <w:bookmarkStart w:id="192" w:name="page193"/>
    <w:bookmarkEnd w:id="1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104"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Our amended and restated certificate of incorporation and amended and restated bylaws will provide that, except as otherwise required by law, special meetings of the stockholders may be called only by the chairperson of our board of directors, our Chief Executive Officer, our President or our board of directors acting pursuant to a resolution adopted by a majority of our board of directors.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Advance Notice Procedures for Director Nominations</w:t>
      </w:r>
    </w:p>
    <w:p>
      <w:pPr>
        <w:spacing w:after="0" w:line="104"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Our bylaws will provide that stockholders seeking to nominate candidates for election as directors at an annual or special meeting of stockholders or seeking to propose matters that can be acted upon by stockholders at annual stockholder meetings must provide timely notice thereof in writing. To be timely, a stockholder’s notice generally will have to be delivered to and received at our principal executive offices before notice of the meeting is issued by the secretary of the company, with such notice being served not less than 90 nor more than 120 days before the meeting. Although the amended and restated bylaws will not give the board of directors the power to approve or disapprove stockholder nominations of candidates to be elected at an annual meeting, the amended and restated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the company.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Action by Written Consent</w:t>
      </w:r>
    </w:p>
    <w:p>
      <w:pPr>
        <w:spacing w:after="0" w:line="104" w:lineRule="exact"/>
        <w:rPr>
          <w:sz w:val="20"/>
          <w:szCs w:val="20"/>
          <w:color w:val="auto"/>
        </w:rPr>
      </w:pPr>
    </w:p>
    <w:p>
      <w:pPr>
        <w:ind w:left="120" w:right="60" w:firstLine="551"/>
        <w:spacing w:after="0" w:line="306" w:lineRule="auto"/>
        <w:rPr>
          <w:sz w:val="20"/>
          <w:szCs w:val="20"/>
          <w:color w:val="auto"/>
        </w:rPr>
      </w:pPr>
      <w:r>
        <w:rPr>
          <w:rFonts w:ascii="Arial" w:cs="Arial" w:eastAsia="Arial" w:hAnsi="Arial"/>
          <w:sz w:val="17"/>
          <w:szCs w:val="17"/>
          <w:color w:val="auto"/>
        </w:rPr>
        <w:t>Our amended and restated certificate of incorporation and amended and restated bylaws will provide that any action to be taken by the stockholders must be effected at a duly called annual or special meeting of stockholders and may not be effected by written consent.</w:t>
      </w:r>
    </w:p>
    <w:p>
      <w:pPr>
        <w:spacing w:after="0" w:line="23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Amending our Certificate of Incorporation and Bylaws</w:t>
      </w:r>
    </w:p>
    <w:p>
      <w:pPr>
        <w:spacing w:after="0" w:line="10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Our amended and restated certificate of incorporation may be amended or altered in any manner provided by the General Corporation Law of the State of Delaware, or DGCL, except that amendment of certain provisions would require the approval of two-thirds of our then outstanding common stock. Our amended and restated bylaws may be adopted, amended, altered or repealed by stockholders only upon approval of at least majority of the voting power of all the then outstanding shares of the common stock, except for any amendment of certain provisions, which would require the approval of a two-thirds majority of our then outstanding common stock. Additionally, our amended and restated certificate of incorporation will provide that our bylaws may be amended, altered or repealed by the board of directors.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10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Our authorized but unissued shares of common stock and preferred stock will be available for future issuances without stockholder approval, except as required by the listing standards of the Nasdaq Stock Market LLC,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the company by means of a proxy contest, tender offer, merger or otherwise.</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Exclusive Jurisdiction</w:t>
      </w:r>
    </w:p>
    <w:p>
      <w:pPr>
        <w:spacing w:after="0" w:line="104" w:lineRule="exact"/>
        <w:rPr>
          <w:sz w:val="20"/>
          <w:szCs w:val="20"/>
          <w:color w:val="auto"/>
        </w:rPr>
      </w:pPr>
    </w:p>
    <w:p>
      <w:pPr>
        <w:ind w:left="120" w:right="700" w:firstLine="551"/>
        <w:spacing w:after="0" w:line="276" w:lineRule="auto"/>
        <w:rPr>
          <w:sz w:val="20"/>
          <w:szCs w:val="20"/>
          <w:color w:val="auto"/>
        </w:rPr>
      </w:pPr>
      <w:r>
        <w:rPr>
          <w:rFonts w:ascii="Arial" w:cs="Arial" w:eastAsia="Arial" w:hAnsi="Arial"/>
          <w:sz w:val="18"/>
          <w:szCs w:val="18"/>
          <w:color w:val="auto"/>
        </w:rPr>
        <w:t>Our amended and restated bylaws will provide that, unless we consent to the selection of an alternative forum, the Court of Chancery of the State of Delaware shall be the sole and exclusive forum</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120"/>
          </w:cols>
          <w:pgMar w:left="320" w:top="455" w:right="459" w:bottom="1440" w:gutter="0" w:footer="0" w:header="0"/>
        </w:sectPr>
      </w:pPr>
    </w:p>
    <w:bookmarkStart w:id="193" w:name="page194"/>
    <w:bookmarkEnd w:id="1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for any derivative action or proceeding brought on our behalf, any action asserting a claim of breach of fiduciary duty, any action asserting a claim arising pursuant to the DGCL, any action regarding our amended and restated certificate of incorporation or amended and restated bylaws, or any action asserting a claim against us that is governed by the internal affairs doctrine. Our amended and restated bylaws further provide that the federal district courts of the United States of America will be the exclusive forum for resolving any complaint asserting a cause of action arising under the Securities Act. Any person or entity purchasing or otherwise acquiring any interest in our securities shall be deemed to have notice of and consented to these provisions. Although we believe these provisions benefit us by providing increased consistency in the application of law for the specified types of actions and proceedings, the provisions may have the effect of discouraging lawsuits against us or our directors and officers. We note that investors cannot waive compliance with the federal securities laws and the rules and regulations thereunder. Please also see the section titled “Risk Factors—Our amended and restated bylaws that will become effective upon the closing of this offering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Combinations with Interested Stockholders</w:t>
      </w:r>
    </w:p>
    <w:p>
      <w:pPr>
        <w:spacing w:after="0" w:line="10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We are governed by Section 203 of the DGCL, which, subject to certain exceptions,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directors of such corporation approved either the business combination or the transaction that resulted in the stockholder becoming an interested stockholder; (ii) upon consummation of the transaction that resulted in the stockholder becoming an interested stockholder, the interested stockholder owned at least 85% of the voting stock of such corporation at the time the transaction commenced (excluding for purposes of determining the voting stock of such corporation outstanding (but not the outstanding voting stock owned by the interested stockholder) those shares owned (A) by persons who are directors and also officers of such corporation and (B) by employee stock plans in which employee participants do not have the right to determine confidentially whether shares held subject to the plan will be tendered in a tender or exchange offer); or (iii) at or subsequent to such time the business combination is approved by the board of directors of such corporation and authorized at a meeting of stockholders (and not by written consent) by the affirmative vote of at least 66 2/3% of the outstanding voting stock of such corporation not owned by the interested stockholder.</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Limitation on Liability and Indemnification</w:t>
      </w:r>
    </w:p>
    <w:p>
      <w:pPr>
        <w:spacing w:after="0" w:line="104" w:lineRule="exact"/>
        <w:rPr>
          <w:sz w:val="20"/>
          <w:szCs w:val="20"/>
          <w:color w:val="auto"/>
        </w:rPr>
      </w:pPr>
    </w:p>
    <w:p>
      <w:pPr>
        <w:ind w:left="120" w:right="260" w:firstLine="551"/>
        <w:spacing w:after="0" w:line="248" w:lineRule="auto"/>
        <w:rPr>
          <w:sz w:val="20"/>
          <w:szCs w:val="20"/>
          <w:color w:val="auto"/>
        </w:rPr>
      </w:pPr>
      <w:r>
        <w:rPr>
          <w:rFonts w:ascii="Arial" w:cs="Arial" w:eastAsia="Arial" w:hAnsi="Arial"/>
          <w:sz w:val="18"/>
          <w:szCs w:val="18"/>
          <w:color w:val="auto"/>
        </w:rPr>
        <w:t>Our amended and restated certificate of incorporation and our amended and restated bylaws will provide that we must indemnify our directors and officers to the fullest extent authorized by the DGCL. We are expressly authorized to, and do, carry directors’ and officers’ insurance providing coverage for our directors, officers and certain employees for some liabilities. We believe that these indemnification provisions and insurance are useful to attract and retain qualified directors and executive directors.</w:t>
      </w:r>
    </w:p>
    <w:p>
      <w:pPr>
        <w:spacing w:after="0" w:line="170"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The limitation on liability and indemnification provisions in our amended and restated certificate of incorporation and amended and restated bylaws may discourage stockholders from bringing a lawsuit against directors for breach of their fiduciary duties. These provisions may also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20"/>
          </w:cols>
          <w:pgMar w:left="320" w:top="455" w:right="459" w:bottom="1440" w:gutter="0" w:footer="0" w:header="0"/>
        </w:sectPr>
      </w:pPr>
    </w:p>
    <w:bookmarkStart w:id="194" w:name="page195"/>
    <w:bookmarkEnd w:id="1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76" w:lineRule="auto"/>
        <w:rPr>
          <w:sz w:val="20"/>
          <w:szCs w:val="20"/>
          <w:color w:val="auto"/>
        </w:rPr>
      </w:pPr>
      <w:r>
        <w:rPr>
          <w:rFonts w:ascii="Arial" w:cs="Arial" w:eastAsia="Arial" w:hAnsi="Arial"/>
          <w:sz w:val="18"/>
          <w:szCs w:val="18"/>
          <w:color w:val="auto"/>
        </w:rPr>
        <w:t>directors and officers pursuant to these indemnification provisions. See the section titled “Executive Compensation—Limitation of Liability and Indemnification” for additional information.</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Listing</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applied to list our common stock on the Nasdaq Global Market under the symbol “PMVP.”</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Transfer Agent and Registrar</w:t>
      </w:r>
    </w:p>
    <w:p>
      <w:pPr>
        <w:spacing w:after="0" w:line="104" w:lineRule="exact"/>
        <w:rPr>
          <w:sz w:val="20"/>
          <w:szCs w:val="20"/>
          <w:color w:val="auto"/>
        </w:rPr>
      </w:pPr>
    </w:p>
    <w:p>
      <w:pPr>
        <w:ind w:left="120" w:right="40" w:firstLine="551"/>
        <w:spacing w:after="0" w:line="306" w:lineRule="auto"/>
        <w:rPr>
          <w:sz w:val="20"/>
          <w:szCs w:val="20"/>
          <w:color w:val="auto"/>
        </w:rPr>
      </w:pPr>
      <w:r>
        <w:rPr>
          <w:rFonts w:ascii="Arial" w:cs="Arial" w:eastAsia="Arial" w:hAnsi="Arial"/>
          <w:sz w:val="17"/>
          <w:szCs w:val="17"/>
          <w:color w:val="auto"/>
        </w:rPr>
        <w:t>The transfer agent and registrar for our common stock is American Stock Transfer &amp; Trust Company, LLC. The transfer agent and registrar’s address is 6201 15th Avenue, Brooklyn, New York 11219. The transfer agent and registrar’s phone number is 800-937-5449.</w:t>
      </w:r>
    </w:p>
    <w:p>
      <w:pPr>
        <w:spacing w:after="0" w:line="5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000"/>
          </w:cols>
          <w:pgMar w:left="320" w:top="455" w:right="579" w:bottom="1440" w:gutter="0" w:footer="0" w:header="0"/>
        </w:sectPr>
      </w:pPr>
    </w:p>
    <w:bookmarkStart w:id="195" w:name="page196"/>
    <w:bookmarkEnd w:id="1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SHARES ELIGIBLE FOR FUTURE SALE</w:t>
      </w:r>
    </w:p>
    <w:p>
      <w:pPr>
        <w:spacing w:after="0" w:line="21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Prior to this offering, there has been no public market for our common stock, and although we expect that our common stock will be approved for listing on the Nasdaq Global Market, we cannot assure investors that there will be an active public market for our common stock following this offering. We cannot predict what effect, if any, sales of our shares in the public market or the availability of shares for sale will have on the market price of our common stock. Future sales of substantial amounts of common stock in the public market, including shares issued upon exercise of outstanding options, or the perception that such sales may occur, however, could adversely affect the market price of our common stock and also could adversely affect our future ability to raise capital through the sale of our common stock or other equity-related securities of ours at times and prices we believe appropriate.</w:t>
      </w:r>
    </w:p>
    <w:p>
      <w:pPr>
        <w:spacing w:after="0" w:line="179" w:lineRule="exact"/>
        <w:rPr>
          <w:sz w:val="20"/>
          <w:szCs w:val="20"/>
          <w:color w:val="auto"/>
        </w:rPr>
      </w:pPr>
    </w:p>
    <w:p>
      <w:pPr>
        <w:ind w:left="120" w:firstLine="551"/>
        <w:spacing w:after="0" w:line="262" w:lineRule="auto"/>
        <w:rPr>
          <w:sz w:val="20"/>
          <w:szCs w:val="20"/>
          <w:color w:val="auto"/>
        </w:rPr>
      </w:pPr>
      <w:r>
        <w:rPr>
          <w:rFonts w:ascii="Arial" w:cs="Arial" w:eastAsia="Arial" w:hAnsi="Arial"/>
          <w:sz w:val="17"/>
          <w:szCs w:val="17"/>
          <w:color w:val="auto"/>
        </w:rPr>
        <w:t>Upon completion of this offering, based on our shares of common stock outstanding as of June 30, 2020 and after giving effect to the conversion of all of the 120,393,150 shares of our convertible preferred stock outstanding at June 30, 2020 and the conversion of all of</w:t>
      </w:r>
    </w:p>
    <w:p>
      <w:pPr>
        <w:ind w:left="120" w:right="460"/>
        <w:spacing w:after="0" w:line="234" w:lineRule="auto"/>
        <w:rPr>
          <w:sz w:val="20"/>
          <w:szCs w:val="20"/>
          <w:color w:val="auto"/>
        </w:rPr>
      </w:pPr>
      <w:r>
        <w:rPr>
          <w:rFonts w:ascii="Arial" w:cs="Arial" w:eastAsia="Arial" w:hAnsi="Arial"/>
          <w:sz w:val="18"/>
          <w:szCs w:val="18"/>
          <w:color w:val="auto"/>
        </w:rPr>
        <w:t>our Series D convertible preferred stock issued and sold in July 2020 into 28,020,172 shares of common stock, shares of our common stock will be outstanding, or shares of common stock if the underwriters exercise their option to purchase additional</w:t>
      </w:r>
    </w:p>
    <w:p>
      <w:pPr>
        <w:spacing w:after="0" w:line="1"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shares in full. All of the shares of common stock expected to be sold in this offering will be freely tradable without restriction or further registration under the Securities Act of 1933, as amended, or Securities Act, unless held by our “affiliates,” as that term is defined in Rule 144 under the Securities Act. The remaining outstanding shares of our common stock will be deemed “restricted securities” as that term is defined under Rule 144. Restricted securities may be sold in the public market only if their offer and sale is registered under the Securities Act or if the offer and sale of those securities qualify for an exemption from registration, including exemptions provided by Rules 144 and 701 under the Securities Act, which are summarized below.</w:t>
      </w:r>
    </w:p>
    <w:p>
      <w:pPr>
        <w:spacing w:after="0" w:line="177"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As a result of the lock-up agreements and market stand-off provisions described below and the provisions of Rules 144 or 701 and assuming no exercise of the underwriters’ option to purchase additional shares, the shares of our common stock that will be deemed “restricted securities” will be available for sale in the public market following the completion of this offering as follows:</w:t>
      </w:r>
    </w:p>
    <w:p>
      <w:pPr>
        <w:spacing w:after="0" w:line="69" w:lineRule="exact"/>
        <w:rPr>
          <w:sz w:val="20"/>
          <w:szCs w:val="20"/>
          <w:color w:val="auto"/>
        </w:rPr>
      </w:pPr>
    </w:p>
    <w:p>
      <w:pPr>
        <w:ind w:left="1480" w:hanging="824"/>
        <w:spacing w:after="0"/>
        <w:tabs>
          <w:tab w:leader="none" w:pos="14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shares will be eligible for sale on the date of this prospectus; and</w:t>
      </w:r>
    </w:p>
    <w:p>
      <w:pPr>
        <w:spacing w:after="0" w:line="117" w:lineRule="exact"/>
        <w:rPr>
          <w:rFonts w:ascii="Arial" w:cs="Arial" w:eastAsia="Arial" w:hAnsi="Arial"/>
          <w:sz w:val="18"/>
          <w:szCs w:val="18"/>
          <w:color w:val="auto"/>
        </w:rPr>
      </w:pPr>
    </w:p>
    <w:p>
      <w:pPr>
        <w:ind w:left="880" w:right="500" w:hanging="224"/>
        <w:spacing w:after="0" w:line="276" w:lineRule="auto"/>
        <w:tabs>
          <w:tab w:leader="none" w:pos="14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shares will be eligible for sale upon expiration of the lock-up agreements and market stand-off provisions described below, beginning more than 180 days after the date of this prospectus.</w:t>
      </w:r>
    </w:p>
    <w:p>
      <w:pPr>
        <w:spacing w:after="0" w:line="145"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We may issue shares of common stock from time to time as consideration for future acquisitions, investments or other corporate purposes. In the event that any such acquisition, investment or other transaction is significant, the number of shares of common stock that we may issue may in turn be significant. We may also grant registration rights covering those shares of common stock issued in connection with any such acquisition and investment.</w:t>
      </w:r>
    </w:p>
    <w:p>
      <w:pPr>
        <w:spacing w:after="0" w:line="27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Lock-Up Agreements and Market Stand-off Agreements</w:t>
      </w:r>
    </w:p>
    <w:p>
      <w:pPr>
        <w:spacing w:after="0" w:line="214"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Our officers, directors and the holders of substantially all of our capital stock and options have entered into market stand-off agreements with us and have entered into or will enter into lock-up agreements with the underwriters, subject to certain exceptions, not to dispose of or hedge any of their common stock or securities convertible into or exchangeable for shares of common stock during the period from the date of this prospectus continuing through the date 180 days after the date of this prospectus, except with the prior consent of Goldman Sachs &amp; Co. LLC, BofA Securities, Inc., Cowen and Company, LLC and Evercore Group L.L.C. See the section titled “Underwriting” for additional information.</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00"/>
          </w:cols>
          <w:pgMar w:left="320" w:top="455" w:right="479" w:bottom="1440" w:gutter="0" w:footer="0" w:header="0"/>
        </w:sectPr>
      </w:pPr>
    </w:p>
    <w:bookmarkStart w:id="196" w:name="page197"/>
    <w:bookmarkEnd w:id="1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Rule 144</w:t>
      </w:r>
    </w:p>
    <w:p>
      <w:pPr>
        <w:spacing w:after="0" w:line="214" w:lineRule="exact"/>
        <w:rPr>
          <w:sz w:val="20"/>
          <w:szCs w:val="20"/>
          <w:color w:val="auto"/>
        </w:rPr>
      </w:pPr>
    </w:p>
    <w:p>
      <w:pPr>
        <w:ind w:left="120" w:right="140" w:firstLine="551"/>
        <w:spacing w:after="0" w:line="241" w:lineRule="auto"/>
        <w:rPr>
          <w:sz w:val="20"/>
          <w:szCs w:val="20"/>
          <w:color w:val="auto"/>
        </w:rPr>
      </w:pPr>
      <w:r>
        <w:rPr>
          <w:rFonts w:ascii="Arial" w:cs="Arial" w:eastAsia="Arial" w:hAnsi="Arial"/>
          <w:sz w:val="18"/>
          <w:szCs w:val="18"/>
          <w:color w:val="auto"/>
        </w:rPr>
        <w:t>Rule 144, as currently in effect, generally provides that, once we have been subject to the public company reporting requirements of Section 13 or Section 15(d) of the Securities Exchange Act of 1934, or Exchange Act, for at least 90 days, a stockholder who is not deemed to have been one of our affiliates at any time during the preceding three months and who has beneficially owned the shares of our capital stock proposed to be sold for at least six months is entitled to sell such shares in reliance upon Rule 144 without complying with the volume limitation, manner of sale or notice conditions of Rule 144. If such stockholder has beneficially owned the shares of our capital stock proposed to be sold for at least one year, then such person is entitled to sell such shares in reliance upon Rule 144 without complying with any of the conditions of Rule 144.</w:t>
      </w:r>
    </w:p>
    <w:p>
      <w:pPr>
        <w:spacing w:after="0" w:line="179"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Rule 144 also provides that a stockholder who is deemed to have been one of our affiliates at any time during the preceding 90 days and who has beneficially owned the shares of our common stock proposed to be sold for at least six months is entitled to sell such shares in reliance upon Rule 144 within any three-month period beginning 90 days after the date of this prospectus a number of shares that does not exceed the greater of the following:</w:t>
      </w:r>
    </w:p>
    <w:p>
      <w:pPr>
        <w:spacing w:after="0" w:line="76" w:lineRule="exact"/>
        <w:rPr>
          <w:sz w:val="20"/>
          <w:szCs w:val="20"/>
          <w:color w:val="auto"/>
        </w:rPr>
      </w:pPr>
    </w:p>
    <w:p>
      <w:pPr>
        <w:ind w:left="880" w:hanging="224"/>
        <w:spacing w:after="0" w:line="276" w:lineRule="auto"/>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1% of the number of shares of our capital stock then outstanding, which will equal shares of common stock immediately after the completion of this offering, assuming no exercise by the underwriters of their option to purchase additional shares; or</w:t>
      </w:r>
    </w:p>
    <w:p>
      <w:pPr>
        <w:spacing w:after="0" w:line="50"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during the four calendar weeks preceding the filing of a notice on Form 144 with respect to such sale.</w:t>
      </w:r>
    </w:p>
    <w:p>
      <w:pPr>
        <w:spacing w:after="0" w:line="145" w:lineRule="exact"/>
        <w:rPr>
          <w:sz w:val="20"/>
          <w:szCs w:val="20"/>
          <w:color w:val="auto"/>
        </w:rPr>
      </w:pPr>
    </w:p>
    <w:p>
      <w:pPr>
        <w:ind w:left="120" w:firstLine="551"/>
        <w:spacing w:after="0" w:line="306" w:lineRule="auto"/>
        <w:rPr>
          <w:sz w:val="20"/>
          <w:szCs w:val="20"/>
          <w:color w:val="auto"/>
        </w:rPr>
      </w:pPr>
      <w:r>
        <w:rPr>
          <w:rFonts w:ascii="Arial" w:cs="Arial" w:eastAsia="Arial" w:hAnsi="Arial"/>
          <w:sz w:val="17"/>
          <w:szCs w:val="17"/>
          <w:color w:val="auto"/>
        </w:rPr>
        <w:t>Sales of our capital stock made in reliance upon Rule 144 by a stockholder who is deemed to have been one of our affiliates at any time during the preceding 90 days are also subject to the current public information, manner of sale and notice conditions of Rule 144.</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Rule 701</w:t>
      </w:r>
    </w:p>
    <w:p>
      <w:pPr>
        <w:spacing w:after="0" w:line="21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Rule 701 generally provides that, once we have been subject to the public company reporting requirements of Section 13 or Section 15(d) of the Exchange Act for at least 90 days, a stockholder who purchased shares of our common stock pursuant to a written compensatory benefit plan or contract and who is not deemed to have been one of our affiliates at any time during the preceding three months may sell such shares (to the extent such shares are not subject to a lock-up agreement) in reliance upon Rule 144 without complying with the current public information or holding period conditions of Rule 144. Rule 701 also provides that a stockholder who purchased shares of our common stock pursuant to a written compensatory benefit plan or contract and who is deemed to have been one of our affiliates during the preceding 90 days may sell such shares under Rule 144 without complying with the holding period condition of Rule 144 (subject to the lock-up agreement referred to above, if applicable). However, all stockholders who purchased shares of our common stock pursuant to a written compensatory benefit plan or contract are required to wait until 90 days after the date of this prospectus before selling such shares pursuant to Rule 701 (subject to the lock-up agreements and market stand-off agreements referred to above, if applicable).</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Form S-8 Registration Statement</w:t>
      </w:r>
    </w:p>
    <w:p>
      <w:pPr>
        <w:spacing w:after="0" w:line="214" w:lineRule="exact"/>
        <w:rPr>
          <w:sz w:val="20"/>
          <w:szCs w:val="20"/>
          <w:color w:val="auto"/>
        </w:rPr>
      </w:pPr>
    </w:p>
    <w:p>
      <w:pPr>
        <w:jc w:val="both"/>
        <w:ind w:left="120" w:right="60" w:firstLine="551"/>
        <w:spacing w:after="0" w:line="255" w:lineRule="auto"/>
        <w:rPr>
          <w:sz w:val="20"/>
          <w:szCs w:val="20"/>
          <w:color w:val="auto"/>
        </w:rPr>
      </w:pPr>
      <w:r>
        <w:rPr>
          <w:rFonts w:ascii="Arial" w:cs="Arial" w:eastAsia="Arial" w:hAnsi="Arial"/>
          <w:sz w:val="18"/>
          <w:szCs w:val="18"/>
          <w:color w:val="auto"/>
        </w:rPr>
        <w:t>After the completion of this offering, we intend to file a registration statement on Form S-8 under the Securities Act to register all of the shares of our common stock subject to equity awards outstanding or reserved for issuance under our equity compensation plans. The shares of our common stock covered by such registration statement will be eligible for sale in the public market without</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080"/>
          </w:cols>
          <w:pgMar w:left="320" w:top="455" w:right="499" w:bottom="1440" w:gutter="0" w:footer="0" w:header="0"/>
        </w:sectPr>
      </w:pPr>
    </w:p>
    <w:bookmarkStart w:id="197" w:name="page198"/>
    <w:bookmarkEnd w:id="1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both"/>
        <w:ind w:left="120" w:right="40"/>
        <w:spacing w:after="0" w:line="255" w:lineRule="auto"/>
        <w:rPr>
          <w:sz w:val="20"/>
          <w:szCs w:val="20"/>
          <w:color w:val="auto"/>
        </w:rPr>
      </w:pPr>
      <w:r>
        <w:rPr>
          <w:rFonts w:ascii="Arial" w:cs="Arial" w:eastAsia="Arial" w:hAnsi="Arial"/>
          <w:sz w:val="18"/>
          <w:szCs w:val="18"/>
          <w:color w:val="auto"/>
        </w:rPr>
        <w:t>restriction under the Securities Act immediately upon the effectiveness of such registration statement, subject to vesting restrictions, the conditions of Rule 144 applicable to affiliates, and any applicable market stand-off agreements and lock-up agreements. See the section titled “Executive Compensation—Employee Benefit and Stock Plans” for a description of our equity compensation plans.</w:t>
      </w:r>
    </w:p>
    <w:p>
      <w:pPr>
        <w:spacing w:after="0" w:line="270"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Registration Rights</w:t>
      </w:r>
    </w:p>
    <w:p>
      <w:pPr>
        <w:spacing w:after="0" w:line="21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After the completion of this offering, holders of up to 148,470,188 shares of our common stock will be entitled to certain rights with respect to the registration of such shares under the Securities Act. The registration of these shares of our common stock under the Securities Act would result in these shares becoming eligible for sale in the public market without restriction under the Securities Act immediately upon the effectiveness of such registration, subject to the Rule 144 limitations applicable to affiliates. See the section titled “Description of Capital Stock—Registration Rights” for a description of these registration rights.</w:t>
      </w:r>
    </w:p>
    <w:p>
      <w:pPr>
        <w:spacing w:after="0" w:line="10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0980"/>
          </w:cols>
          <w:pgMar w:left="320" w:top="455" w:right="599" w:bottom="1440" w:gutter="0" w:footer="0" w:header="0"/>
        </w:sectPr>
      </w:pPr>
    </w:p>
    <w:bookmarkStart w:id="198" w:name="page199"/>
    <w:bookmarkEnd w:id="1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880"/>
        <w:spacing w:after="0"/>
        <w:rPr>
          <w:sz w:val="20"/>
          <w:szCs w:val="20"/>
          <w:color w:val="auto"/>
        </w:rPr>
      </w:pPr>
      <w:r>
        <w:rPr>
          <w:rFonts w:ascii="Arial" w:cs="Arial" w:eastAsia="Arial" w:hAnsi="Arial"/>
          <w:sz w:val="18"/>
          <w:szCs w:val="18"/>
          <w:b w:val="1"/>
          <w:bCs w:val="1"/>
          <w:color w:val="auto"/>
        </w:rPr>
        <w:t>MATERIAL U.S. FEDERAL INCOME TAX CONSEQUENCES FOR NON-U.S. HOLDERS OF OUR COMMON STOCK</w:t>
      </w:r>
    </w:p>
    <w:p>
      <w:pPr>
        <w:spacing w:after="0" w:line="21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The following is a summary of the material U.S. federal income tax consequences of the ownership and disposition of our common stock acquired in this offering by a “non-U.S. holder” (as defined below), but does not purport to be a complete analysis of all the potential tax considerations relating thereto. This summary is based upon the provisions of the U.S. Internal Revenue Code of 1986, as amended, or Code, Treasury Regulations promulgated thereunder, administrative rulings and judicial decisions, all as of the date hereof. These authorities may be changed, possibly retroactively, so as to result in U.S. federal income tax consequences different from those set forth below. We have not sought, and do not intend to seek, any ruling from the Internal Revenue Service, or IRS, with respect to the statements made and the conclusions reached in the following summary, and there can be no assurance that the IRS or a court will agree with such statements and conclusions.</w:t>
      </w:r>
    </w:p>
    <w:p>
      <w:pPr>
        <w:spacing w:after="0" w:line="180"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This summary assumes that the non-U.S. holder holds our common stock as a capital asset within the meaning of Section 1221 of the Code (generally, property held for investment). This summary also does not address the tax considerations arising under the laws of any U.S. state or local or non-U.S. jurisdiction or under other U.S. federal tax laws, such as gift and estate tax laws. In addition, this discussion does not address tax considerations applicable to an investor’s particular circumstances or to investors that may be subject to special tax rules, including, without limitation:</w:t>
      </w:r>
    </w:p>
    <w:p>
      <w:pPr>
        <w:spacing w:after="0" w:line="78" w:lineRule="exact"/>
        <w:rPr>
          <w:sz w:val="20"/>
          <w:szCs w:val="20"/>
          <w:color w:val="auto"/>
        </w:rPr>
      </w:pPr>
    </w:p>
    <w:p>
      <w:pPr>
        <w:ind w:left="880" w:hanging="224"/>
        <w:spacing w:after="0" w:line="276" w:lineRule="auto"/>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 (except to the extent specifically set forth below), regulated investment companies, real estate investment trusts or other financial institutions;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persons subject to the alternative minimum tax or the surtax on net investment income;</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pension plans and tax-qualified retirement plans;</w:t>
      </w:r>
    </w:p>
    <w:p>
      <w:pPr>
        <w:spacing w:after="0" w:line="117" w:lineRule="exact"/>
        <w:rPr>
          <w:rFonts w:ascii="Arial" w:cs="Arial" w:eastAsia="Arial" w:hAnsi="Arial"/>
          <w:sz w:val="18"/>
          <w:szCs w:val="18"/>
          <w:color w:val="auto"/>
        </w:rPr>
      </w:pPr>
    </w:p>
    <w:p>
      <w:pPr>
        <w:ind w:left="880" w:right="100" w:hanging="224"/>
        <w:spacing w:after="0" w:line="276" w:lineRule="auto"/>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50" w:lineRule="exact"/>
        <w:rPr>
          <w:rFonts w:ascii="Arial" w:cs="Arial" w:eastAsia="Arial" w:hAnsi="Arial"/>
          <w:sz w:val="18"/>
          <w:szCs w:val="18"/>
          <w:color w:val="auto"/>
        </w:rPr>
      </w:pPr>
    </w:p>
    <w:p>
      <w:pPr>
        <w:ind w:left="880" w:right="520" w:hanging="224"/>
        <w:spacing w:after="0" w:line="276" w:lineRule="auto"/>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brokers or dealers in securities or currencies;</w:t>
      </w:r>
    </w:p>
    <w:p>
      <w:pPr>
        <w:spacing w:after="0" w:line="117" w:lineRule="exact"/>
        <w:rPr>
          <w:rFonts w:ascii="Arial" w:cs="Arial" w:eastAsia="Arial" w:hAnsi="Arial"/>
          <w:sz w:val="18"/>
          <w:szCs w:val="18"/>
          <w:color w:val="auto"/>
        </w:rPr>
      </w:pPr>
    </w:p>
    <w:p>
      <w:pPr>
        <w:ind w:left="880" w:hanging="224"/>
        <w:spacing w:after="0"/>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traders in securities or other persons that elect to use a mark-to-market method of accounting for their securities holdings;</w:t>
      </w:r>
    </w:p>
    <w:p>
      <w:pPr>
        <w:spacing w:after="0" w:line="117" w:lineRule="exact"/>
        <w:rPr>
          <w:rFonts w:ascii="Arial" w:cs="Arial" w:eastAsia="Arial" w:hAnsi="Arial"/>
          <w:sz w:val="18"/>
          <w:szCs w:val="18"/>
          <w:color w:val="auto"/>
        </w:rPr>
      </w:pPr>
    </w:p>
    <w:p>
      <w:pPr>
        <w:ind w:left="880" w:right="240" w:hanging="224"/>
        <w:spacing w:after="0" w:line="276" w:lineRule="auto"/>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persons that own, or are deemed to own, more than five percent of our capital stock (except to the extent specifically set forth below);</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U.S. expatriates or certain former citizens or long-term residents of the United States;</w:t>
      </w:r>
    </w:p>
    <w:p>
      <w:pPr>
        <w:spacing w:after="0" w:line="117" w:lineRule="exact"/>
        <w:rPr>
          <w:rFonts w:ascii="Arial" w:cs="Arial" w:eastAsia="Arial" w:hAnsi="Arial"/>
          <w:sz w:val="18"/>
          <w:szCs w:val="18"/>
          <w:color w:val="auto"/>
        </w:rPr>
      </w:pPr>
    </w:p>
    <w:p>
      <w:pPr>
        <w:ind w:left="880" w:right="380" w:hanging="224"/>
        <w:spacing w:after="0" w:line="276" w:lineRule="auto"/>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hedging transaction, “straddle,” “conversion transaction” or other risk reduction transaction or integrated investment;</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persons who hold or receive our common stock pursuant to the exercise of any option or otherwise as compensation;</w:t>
      </w:r>
    </w:p>
    <w:p>
      <w:pPr>
        <w:spacing w:after="0" w:line="117" w:lineRule="exact"/>
        <w:rPr>
          <w:rFonts w:ascii="Arial" w:cs="Arial" w:eastAsia="Arial" w:hAnsi="Arial"/>
          <w:sz w:val="18"/>
          <w:szCs w:val="18"/>
          <w:color w:val="auto"/>
        </w:rPr>
      </w:pPr>
    </w:p>
    <w:p>
      <w:pPr>
        <w:ind w:left="880" w:right="140" w:hanging="224"/>
        <w:spacing w:after="0" w:line="276" w:lineRule="auto"/>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our common stock being taken into account in an “applicable financial statement” as defined in Section 451(b) of the Code; or</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080"/>
          </w:cols>
          <w:pgMar w:left="320" w:top="455" w:right="499" w:bottom="1440" w:gutter="0" w:footer="0" w:header="0"/>
        </w:sectPr>
      </w:pPr>
    </w:p>
    <w:bookmarkStart w:id="199" w:name="page200"/>
    <w:bookmarkEnd w:id="1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In addition, if a partnership, entity or arrangement classified as a partnership or flow-through entity for U.S. federal income tax purposes holds our common stock, the tax treatment of a partner generally will depend on the status of the partner and upon the activities of the partnership or other entity. A partner in a partnership or other such entity that will hold our common stock should consult his, her or its tax advisor regarding the tax consequences of the ownership and disposition of our common stock through a partnership or other such entity, as applicable.</w:t>
      </w:r>
    </w:p>
    <w:p>
      <w:pPr>
        <w:spacing w:after="0" w:line="172" w:lineRule="exact"/>
        <w:rPr>
          <w:sz w:val="20"/>
          <w:szCs w:val="20"/>
          <w:color w:val="auto"/>
        </w:rPr>
      </w:pPr>
    </w:p>
    <w:p>
      <w:pPr>
        <w:ind w:left="120" w:right="120" w:firstLine="551"/>
        <w:spacing w:after="0" w:line="251" w:lineRule="auto"/>
        <w:rPr>
          <w:sz w:val="20"/>
          <w:szCs w:val="20"/>
          <w:color w:val="auto"/>
        </w:rPr>
      </w:pPr>
      <w:r>
        <w:rPr>
          <w:rFonts w:ascii="Arial" w:cs="Arial" w:eastAsia="Arial" w:hAnsi="Arial"/>
          <w:sz w:val="18"/>
          <w:szCs w:val="18"/>
          <w:b w:val="1"/>
          <w:bCs w:val="1"/>
          <w:i w:val="1"/>
          <w:iCs w:val="1"/>
          <w:color w:val="auto"/>
        </w:rPr>
        <w:t>You are urged to consult your tax advisor with respect to the application of the U.S. federal income tax laws to your particular situation, as well as any tax consequences of the purchase, ownership and disposition of our common stock arising under the U.S. federal gift or estate tax rules or under the laws of any state, local, non-U.S. or other taxing jurisdiction or under any applicable tax treaty.</w:t>
      </w:r>
    </w:p>
    <w:p>
      <w:pPr>
        <w:spacing w:after="0" w:line="26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Non-U.S. Holder Defined</w:t>
      </w:r>
    </w:p>
    <w:p>
      <w:pPr>
        <w:spacing w:after="0" w:line="214" w:lineRule="exact"/>
        <w:rPr>
          <w:sz w:val="20"/>
          <w:szCs w:val="20"/>
          <w:color w:val="auto"/>
        </w:rPr>
      </w:pPr>
    </w:p>
    <w:p>
      <w:pPr>
        <w:ind w:left="120" w:right="300" w:firstLine="551"/>
        <w:spacing w:after="0" w:line="276" w:lineRule="auto"/>
        <w:rPr>
          <w:sz w:val="20"/>
          <w:szCs w:val="20"/>
          <w:color w:val="auto"/>
        </w:rPr>
      </w:pPr>
      <w:r>
        <w:rPr>
          <w:rFonts w:ascii="Arial" w:cs="Arial" w:eastAsia="Arial" w:hAnsi="Arial"/>
          <w:sz w:val="18"/>
          <w:szCs w:val="18"/>
          <w:color w:val="auto"/>
        </w:rPr>
        <w:t>For purposes of this discussion, a “non-U.S. holder” is a beneficial owner of our common stock that, for U.S. federal income tax purposes, is not a partnership and is not:</w:t>
      </w:r>
    </w:p>
    <w:p>
      <w:pPr>
        <w:spacing w:after="0" w:line="50" w:lineRule="exact"/>
        <w:rPr>
          <w:sz w:val="20"/>
          <w:szCs w:val="20"/>
          <w:color w:val="auto"/>
        </w:rPr>
      </w:pPr>
    </w:p>
    <w:p>
      <w:pPr>
        <w:ind w:left="880" w:hanging="224"/>
        <w:spacing w:after="0"/>
        <w:tabs>
          <w:tab w:leader="none" w:pos="8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880" w:right="200" w:hanging="224"/>
        <w:spacing w:after="0" w:line="276" w:lineRule="auto"/>
        <w:tabs>
          <w:tab w:leader="none" w:pos="8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the United States or under the laws of the United States or any political subdivision thereof, or otherwise treated as such for U.S. federal income tax purposes;</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17" w:lineRule="exact"/>
        <w:rPr>
          <w:rFonts w:ascii="Arial" w:cs="Arial" w:eastAsia="Arial" w:hAnsi="Arial"/>
          <w:sz w:val="18"/>
          <w:szCs w:val="18"/>
          <w:color w:val="auto"/>
        </w:rPr>
      </w:pPr>
    </w:p>
    <w:p>
      <w:pPr>
        <w:jc w:val="both"/>
        <w:ind w:left="880" w:right="40" w:hanging="224"/>
        <w:spacing w:after="0" w:line="255" w:lineRule="auto"/>
        <w:tabs>
          <w:tab w:leader="none" w:pos="8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a trust (x) whose administration is subject to the primary supervision of a U.S. court and that has one or more U.S. persons who have the authority to control all substantial decisions of the trust or (y) that has made a valid election under applicable Treasury Regulations to be treated as a U.S. person.</w:t>
      </w:r>
    </w:p>
    <w:p>
      <w:pPr>
        <w:spacing w:after="0" w:line="27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Distributions</w:t>
      </w:r>
    </w:p>
    <w:p>
      <w:pPr>
        <w:spacing w:after="0" w:line="214" w:lineRule="exact"/>
        <w:rPr>
          <w:sz w:val="20"/>
          <w:szCs w:val="20"/>
          <w:color w:val="auto"/>
        </w:rPr>
      </w:pPr>
    </w:p>
    <w:p>
      <w:pPr>
        <w:ind w:left="120" w:right="160" w:firstLine="551"/>
        <w:spacing w:after="0" w:line="241" w:lineRule="auto"/>
        <w:rPr>
          <w:sz w:val="20"/>
          <w:szCs w:val="20"/>
          <w:color w:val="auto"/>
        </w:rPr>
      </w:pPr>
      <w:r>
        <w:rPr>
          <w:rFonts w:ascii="Arial" w:cs="Arial" w:eastAsia="Arial" w:hAnsi="Arial"/>
          <w:sz w:val="18"/>
          <w:szCs w:val="18"/>
          <w:color w:val="auto"/>
        </w:rPr>
        <w:t>As described in the section titled “Dividend Policy,” we have not declared or paid cash dividends on our capital stock since our inception, and we do not anticipate paying any cash dividends in the foreseeable future. However, if we do make distributions on our common stock, those payments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common stock, but not below zero, and then will be treated as gain from the sale of stock as described below under “—Gain on Disposition of Common Stock.”</w:t>
      </w:r>
    </w:p>
    <w:p>
      <w:pPr>
        <w:spacing w:after="0" w:line="179"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Subject to the discussions below on effectively connected income, backup withholding and the Foreign Account Tax Compliance Act, Treasury Regulations issued thereunder and official IRS guidance, collectively FATCA, any dividend paid to you generally will be subject to U.S. federal withholding tax either at a rate of 30% of the gross amount of the dividend or such lower rate as may be specified by an applicable income tax treaty between the United States and your country of residence. In order to receive a reduced treaty rate, you must provide an IRS Form W-8BEN or W-8BEN-E or other appropriate version of IRS Form W-8, including any required attachments, certifying qualification for the reduced rate. A non-U.S. holder of shares of our common stock eligible for a reduced rate of U.S. federal withholding tax pursuant to an income tax treaty may obtain a refund of any excess amounts withheld by filing an appropriate claim for refund with the IRS. If the non-U.S. holder holds our common stock through a financial institution or other agent, the non-U.S. holder will</w:t>
      </w:r>
    </w:p>
    <w:p>
      <w:pPr>
        <w:spacing w:after="0" w:line="1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060"/>
          </w:cols>
          <w:pgMar w:left="320" w:top="455" w:right="519" w:bottom="1440" w:gutter="0" w:footer="0" w:header="0"/>
        </w:sectPr>
      </w:pPr>
    </w:p>
    <w:bookmarkStart w:id="200" w:name="page201"/>
    <w:bookmarkEnd w:id="2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be required to provide appropriate documentation to the agent, which then will be required to provide certification to us or our paying agent, either directly or through other intermediaries. You should consult your tax advisors regarding your entitlement to benefits under an applicable tax treaty.</w:t>
      </w:r>
    </w:p>
    <w:p>
      <w:pPr>
        <w:spacing w:after="0" w:line="16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Dividends received by you that are treated as effectively connected with your conduct of a U.S. trade or business (and, if required by an applicable income tax treaty, such dividends are attributable to a permanent establishment or fixed base maintained by you in the United States) are generally exempt from the 30% U.S. federal withholding tax, subject to the discussions below on backup withholding and FATCA. In order to obtain this exemption, you must provide a properly executed IRS Form W-8ECI or other applicable IRS Form W-8 properly certifying such exemption. Such effectively connected dividends, although not subject to U.S. federal withholding tax, are taxed at the same rates applicable to U.S. persons, net of certain deductions and credits, subject to an applicable income tax treaty providing otherwise. In addition, if you are a corporate non-U.S. holder, dividends you receive that are effectively connected with your conduct of a U.S. trade or business may also be subject to a branch profits tax at a rate of 30% or such lower rate as may be specified by an applicable income tax treaty between the United States and your country of residence. You should consult your tax advisor regarding any applicable tax treaties that may provide for different rules.</w:t>
      </w:r>
    </w:p>
    <w:p>
      <w:pPr>
        <w:spacing w:after="0" w:line="28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Gain on Disposition of Common Stock</w:t>
      </w:r>
    </w:p>
    <w:p>
      <w:pPr>
        <w:spacing w:after="0" w:line="214" w:lineRule="exact"/>
        <w:rPr>
          <w:sz w:val="20"/>
          <w:szCs w:val="20"/>
          <w:color w:val="auto"/>
        </w:rPr>
      </w:pPr>
    </w:p>
    <w:p>
      <w:pPr>
        <w:ind w:left="120" w:right="120" w:firstLine="551"/>
        <w:spacing w:after="0" w:line="276" w:lineRule="auto"/>
        <w:rPr>
          <w:sz w:val="20"/>
          <w:szCs w:val="20"/>
          <w:color w:val="auto"/>
        </w:rPr>
      </w:pPr>
      <w:r>
        <w:rPr>
          <w:rFonts w:ascii="Arial" w:cs="Arial" w:eastAsia="Arial" w:hAnsi="Arial"/>
          <w:sz w:val="18"/>
          <w:szCs w:val="18"/>
          <w:color w:val="auto"/>
        </w:rPr>
        <w:t>Subject to the discussion below regarding backup withholding, you generally will not be required to pay U.S. federal income tax on any gain realized upon the sale or other disposition of our common stock unless:</w:t>
      </w:r>
    </w:p>
    <w:p>
      <w:pPr>
        <w:spacing w:after="0" w:line="50" w:lineRule="exact"/>
        <w:rPr>
          <w:sz w:val="20"/>
          <w:szCs w:val="20"/>
          <w:color w:val="auto"/>
        </w:rPr>
      </w:pPr>
    </w:p>
    <w:p>
      <w:pPr>
        <w:ind w:left="880" w:right="700" w:hanging="224"/>
        <w:spacing w:after="0" w:line="276" w:lineRule="auto"/>
        <w:tabs>
          <w:tab w:leader="none" w:pos="8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U.S. trade or business (and, if an applicable income tax treaty so provides, the gain is attributable to a permanent establishment or fixed base maintained by you in the United States);</w:t>
      </w:r>
    </w:p>
    <w:p>
      <w:pPr>
        <w:spacing w:after="0" w:line="50" w:lineRule="exact"/>
        <w:rPr>
          <w:rFonts w:ascii="Arial" w:cs="Arial" w:eastAsia="Arial" w:hAnsi="Arial"/>
          <w:sz w:val="18"/>
          <w:szCs w:val="18"/>
          <w:color w:val="auto"/>
        </w:rPr>
      </w:pPr>
    </w:p>
    <w:p>
      <w:pPr>
        <w:ind w:left="880" w:right="120" w:hanging="224"/>
        <w:spacing w:after="0" w:line="276" w:lineRule="auto"/>
        <w:tabs>
          <w:tab w:leader="none" w:pos="8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you are a non-resident alien individual who is present in the United States for a period or periods aggregating 183 days or more during the calendar year in which the sale or disposition occurs and certain other conditions are met; or</w:t>
      </w:r>
    </w:p>
    <w:p>
      <w:pPr>
        <w:spacing w:after="0" w:line="50" w:lineRule="exact"/>
        <w:rPr>
          <w:rFonts w:ascii="Arial" w:cs="Arial" w:eastAsia="Arial" w:hAnsi="Arial"/>
          <w:sz w:val="18"/>
          <w:szCs w:val="18"/>
          <w:color w:val="auto"/>
        </w:rPr>
      </w:pPr>
    </w:p>
    <w:p>
      <w:pPr>
        <w:jc w:val="both"/>
        <w:ind w:left="880" w:right="360" w:hanging="224"/>
        <w:spacing w:after="0" w:line="255" w:lineRule="auto"/>
        <w:tabs>
          <w:tab w:leader="none" w:pos="8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our common stock constitutes a United States real property interest by reason of our status as a “United States real property holding corporation,” or USRPHC, for U.S. federal income tax purposes at any time within the shorter of the five-year period preceding your disposition of, or your holding period for, our common stock.</w:t>
      </w:r>
    </w:p>
    <w:p>
      <w:pPr>
        <w:spacing w:after="0" w:line="164"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We believe that we are not currently and will not become a USRPHC for U.S. federal income tax purposes. However, because the determination of whether we are a USRPHC depends on the fair market value of our U.S. real property relative to the fair market value of our U.S. and worldwide real property plus our other business assets, there can be no assurance that we will not become a USRPHC in the future. Even if we become a USRPHC, however, as long as our common stock is regularly traded on an established securities market, your common stock will be treated as United States real property interests only if you actually (directly or indirectly) or constructively held more than five percent of such regularly traded common stock at any time during the shorter of the five-year period preceding your disposition of, or your holding period for, our common stock.</w:t>
      </w:r>
    </w:p>
    <w:p>
      <w:pPr>
        <w:spacing w:after="0" w:line="179"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If you are a non-U.S. holder described in the first bullet above, you will be required to pay tax on the gain derived from the sale (net of certain deductions and credits) under regular U.S. federal income tax rates, and a corporate non-U.S. holder described in the first bullet above also may be subject to the branch profits tax at a 30% rate, or such lower rate as may be specified by an applicable income tax treaty. If you are an individual non-U.S. holder described in the second bullet above, you will be subject to tax at 30% (or such lower rate specified by an applicable income tax treaty) on the gain derived from</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120"/>
          </w:cols>
          <w:pgMar w:left="320" w:top="455" w:right="459" w:bottom="1440" w:gutter="0" w:footer="0" w:header="0"/>
        </w:sectPr>
      </w:pPr>
    </w:p>
    <w:bookmarkStart w:id="201" w:name="page202"/>
    <w:bookmarkEnd w:id="2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the sale, which gain may be offset by certain U.S. source capital losses, provided you have timely filed U.S. federal income tax returns with respect to such losses. You should consult your tax advisor regarding any applicable income tax or other treaties that may provide for different rules.</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14" w:lineRule="exact"/>
        <w:rPr>
          <w:sz w:val="20"/>
          <w:szCs w:val="20"/>
          <w:color w:val="auto"/>
        </w:rPr>
      </w:pPr>
    </w:p>
    <w:p>
      <w:pPr>
        <w:jc w:val="both"/>
        <w:ind w:left="120" w:right="420" w:firstLine="551"/>
        <w:spacing w:after="0" w:line="257" w:lineRule="auto"/>
        <w:rPr>
          <w:sz w:val="20"/>
          <w:szCs w:val="20"/>
          <w:color w:val="auto"/>
        </w:rPr>
      </w:pPr>
      <w:r>
        <w:rPr>
          <w:rFonts w:ascii="Arial" w:cs="Arial" w:eastAsia="Arial" w:hAnsi="Arial"/>
          <w:sz w:val="17"/>
          <w:szCs w:val="17"/>
          <w:color w:val="auto"/>
        </w:rPr>
        <w:t>Payments of dividends on or of proceeds from the disposition of our common stock made to you may be subject to information reporting and backup withholding at a current rate of 24% unless you establish an exemption, for example, by properly certifying your non-U.S. status on a properly completed IRS Form W-8BEN or W-8BEN-E or another appropriate version of IRS Form W-8.</w:t>
      </w:r>
    </w:p>
    <w:p>
      <w:pPr>
        <w:spacing w:after="0" w:line="2" w:lineRule="exact"/>
        <w:rPr>
          <w:sz w:val="20"/>
          <w:szCs w:val="20"/>
          <w:color w:val="auto"/>
        </w:rPr>
      </w:pPr>
    </w:p>
    <w:p>
      <w:pPr>
        <w:ind w:left="120" w:right="680"/>
        <w:spacing w:after="0" w:line="250" w:lineRule="auto"/>
        <w:rPr>
          <w:sz w:val="20"/>
          <w:szCs w:val="20"/>
          <w:color w:val="auto"/>
        </w:rPr>
      </w:pPr>
      <w:r>
        <w:rPr>
          <w:rFonts w:ascii="Arial" w:cs="Arial" w:eastAsia="Arial" w:hAnsi="Arial"/>
          <w:sz w:val="18"/>
          <w:szCs w:val="18"/>
          <w:color w:val="auto"/>
        </w:rPr>
        <w:t>Notwithstanding the foregoing, backup withholding and information reporting may apply if either we or our paying agent has actual knowledge, or reason to know, that you are a U.S. person.</w:t>
      </w:r>
    </w:p>
    <w:p>
      <w:pPr>
        <w:spacing w:after="0" w:line="168"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Backup withholding is not an additional tax; rather, the U.S. federal income tax liability of persons subject to backup withholding will be reduced by the amount of tax withheld. If backup withholding results in an overpayment of taxes, a refund or credit may generally be obtained from the IRS, provided that the required information is furnished to the IRS in a timely manner.</w:t>
      </w:r>
    </w:p>
    <w:p>
      <w:pPr>
        <w:spacing w:after="0" w:line="164"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Notwithstanding the foregoing, generally, we must report annually to the IRS the amount of distributions paid to you, your name and address and the amount of tax withheld, if any. Pursuant to applicable income tax treaties or other agreements, the IRS may make these reports available to tax authorities in your country of residence.</w:t>
      </w:r>
    </w:p>
    <w:p>
      <w:pPr>
        <w:spacing w:after="0" w:line="27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Foreign Account Tax Compliance Act (FATCA)</w:t>
      </w:r>
    </w:p>
    <w:p>
      <w:pPr>
        <w:spacing w:after="0" w:line="21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FATCA generally imposes a U.S. federal withholding tax of 30% on dividends on, and (subject to the proposed Treasury Regulations discussed below) the gross proceeds from a sale or other disposition of our common stock, paid to a “foreign financial institution” (as specially defined under these rules), unless otherwise provided by the Treasury Secretary or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and (subject to the proposed Treasury Regulations discussed below) the gross proceeds from a sale or other disposition of our common stock paid to a “non-financial foreign entity” (as specially defined under these rules), unless otherwise provided by the Treasury Secretary or such entity provides the withholding agent with a certification identifying the substantial direct and indirect U.S. owners of the entity, certifies that it does not have any substantial U.S. owners, or otherwise establishes an exemption.</w:t>
      </w:r>
    </w:p>
    <w:p>
      <w:pPr>
        <w:spacing w:after="0" w:line="176" w:lineRule="exact"/>
        <w:rPr>
          <w:sz w:val="20"/>
          <w:szCs w:val="20"/>
          <w:color w:val="auto"/>
        </w:rPr>
      </w:pPr>
    </w:p>
    <w:p>
      <w:pPr>
        <w:ind w:left="120" w:right="120" w:firstLine="551"/>
        <w:spacing w:after="0" w:line="243" w:lineRule="auto"/>
        <w:rPr>
          <w:sz w:val="20"/>
          <w:szCs w:val="20"/>
          <w:color w:val="auto"/>
        </w:rPr>
      </w:pPr>
      <w:r>
        <w:rPr>
          <w:rFonts w:ascii="Arial" w:cs="Arial" w:eastAsia="Arial" w:hAnsi="Arial"/>
          <w:sz w:val="18"/>
          <w:szCs w:val="18"/>
          <w:color w:val="auto"/>
        </w:rPr>
        <w:t>The withholding obligations under FATCA generally apply to dividends on our common stock. The withholding tax will apply regardless of whether the payment otherwise would be exempt from U.S. nonresident and backup withholding tax, including under the other exemptions described above. Under certain circumstances, a non-U.S. holder might be eligible for refunds or credits of amounts so withheld. The Treasury Secretary has issued proposed regulations providing that the withholding provisions under FATCA do not apply with respect to payment of gross proceeds from a sale or other disposition of our common stock, which may be relied upon by a taxpayer (including an applicable withholding agent) until final regulations are issued.</w:t>
      </w:r>
    </w:p>
    <w:p>
      <w:pPr>
        <w:spacing w:after="0" w:line="174" w:lineRule="exact"/>
        <w:rPr>
          <w:sz w:val="20"/>
          <w:szCs w:val="20"/>
          <w:color w:val="auto"/>
        </w:rPr>
      </w:pPr>
    </w:p>
    <w:p>
      <w:pPr>
        <w:ind w:left="120" w:right="600" w:firstLine="551"/>
        <w:spacing w:after="0" w:line="276" w:lineRule="auto"/>
        <w:rPr>
          <w:sz w:val="20"/>
          <w:szCs w:val="20"/>
          <w:color w:val="auto"/>
        </w:rPr>
      </w:pPr>
      <w:r>
        <w:rPr>
          <w:rFonts w:ascii="Arial" w:cs="Arial" w:eastAsia="Arial" w:hAnsi="Arial"/>
          <w:sz w:val="18"/>
          <w:szCs w:val="18"/>
          <w:color w:val="auto"/>
        </w:rPr>
        <w:t>An intergovernmental agreement between the United States and an applicable foreign country may modify the requirements described in this section. Prospective investors should consult with their</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20"/>
          </w:cols>
          <w:pgMar w:left="320" w:top="455" w:right="459" w:bottom="1440" w:gutter="0" w:footer="0" w:header="0"/>
        </w:sectPr>
      </w:pPr>
    </w:p>
    <w:bookmarkStart w:id="202" w:name="page203"/>
    <w:bookmarkEnd w:id="2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tax advisors regarding the application of FATCA withholding to their investment in, and ownership and disposition of, our common stock.</w:t>
      </w:r>
    </w:p>
    <w:p>
      <w:pPr>
        <w:spacing w:after="0" w:line="221" w:lineRule="exact"/>
        <w:rPr>
          <w:sz w:val="20"/>
          <w:szCs w:val="20"/>
          <w:color w:val="auto"/>
        </w:rPr>
      </w:pPr>
    </w:p>
    <w:p>
      <w:pPr>
        <w:jc w:val="both"/>
        <w:ind w:left="120" w:right="140" w:firstLine="551"/>
        <w:spacing w:after="0" w:line="252" w:lineRule="auto"/>
        <w:rPr>
          <w:sz w:val="20"/>
          <w:szCs w:val="20"/>
          <w:color w:val="auto"/>
        </w:rPr>
      </w:pPr>
      <w:r>
        <w:rPr>
          <w:rFonts w:ascii="Arial" w:cs="Arial" w:eastAsia="Arial" w:hAnsi="Arial"/>
          <w:sz w:val="18"/>
          <w:szCs w:val="18"/>
          <w:b w:val="1"/>
          <w:bCs w:val="1"/>
          <w:color w:val="auto"/>
        </w:rPr>
        <w:t>The preceding discussion of U.S. federal income tax consequences is for general information only. It is not tax advice. Each prospective investor should consult his, her or its tax advisor regarding the particular U.S. federal, state and local and non-U.S. tax consequences of purchasing, holding and disposing of our common stock, including the consequences of any proposed change in applicable laws.</w:t>
      </w:r>
    </w:p>
    <w:p>
      <w:pPr>
        <w:spacing w:after="0" w:line="9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0920"/>
          </w:cols>
          <w:pgMar w:left="320" w:top="455" w:right="659" w:bottom="1440" w:gutter="0" w:footer="0" w:header="0"/>
        </w:sectPr>
      </w:pPr>
    </w:p>
    <w:bookmarkStart w:id="203" w:name="page204"/>
    <w:bookmarkEnd w:id="2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UNDERWRITING</w:t>
      </w:r>
    </w:p>
    <w:p>
      <w:pPr>
        <w:spacing w:after="0" w:line="214" w:lineRule="exact"/>
        <w:rPr>
          <w:sz w:val="20"/>
          <w:szCs w:val="20"/>
          <w:color w:val="auto"/>
        </w:rPr>
      </w:pPr>
    </w:p>
    <w:p>
      <w:pPr>
        <w:ind w:left="120" w:right="300" w:firstLine="551"/>
        <w:spacing w:after="0" w:line="248" w:lineRule="auto"/>
        <w:rPr>
          <w:sz w:val="20"/>
          <w:szCs w:val="20"/>
          <w:color w:val="auto"/>
        </w:rPr>
      </w:pPr>
      <w:r>
        <w:rPr>
          <w:rFonts w:ascii="Arial" w:cs="Arial" w:eastAsia="Arial" w:hAnsi="Arial"/>
          <w:sz w:val="18"/>
          <w:szCs w:val="18"/>
          <w:color w:val="auto"/>
        </w:rPr>
        <w:t>We and the underwriters named below have entered into an underwriting agreement with respect to the shares being offered. Subject to certain conditions, each underwriter has severally agreed to purchase the number of shares indicated in the following table. Goldman Sachs &amp; Co. LLC, BofA Securities, Inc., Cowen and Company, LLC and Evercore Group L.L.C. are the representatives of the underwriters.</w:t>
      </w:r>
    </w:p>
    <w:p>
      <w:pPr>
        <w:spacing w:after="0" w:line="205" w:lineRule="exact"/>
        <w:rPr>
          <w:sz w:val="20"/>
          <w:szCs w:val="20"/>
          <w:color w:val="auto"/>
        </w:rPr>
      </w:pPr>
    </w:p>
    <w:p>
      <w:pPr>
        <w:ind w:left="120"/>
        <w:spacing w:after="0"/>
        <w:tabs>
          <w:tab w:leader="none" w:pos="9820" w:val="left"/>
        </w:tabs>
        <w:rPr>
          <w:sz w:val="20"/>
          <w:szCs w:val="20"/>
          <w:color w:val="auto"/>
        </w:rPr>
      </w:pPr>
      <w:r>
        <w:rPr>
          <w:rFonts w:ascii="Arial" w:cs="Arial" w:eastAsia="Arial" w:hAnsi="Arial"/>
          <w:sz w:val="14"/>
          <w:szCs w:val="14"/>
          <w:b w:val="1"/>
          <w:bCs w:val="1"/>
          <w:u w:val="single" w:color="auto"/>
          <w:color w:val="auto"/>
        </w:rPr>
        <w:t>Underwriters</w:t>
      </w:r>
      <w:r>
        <w:rPr>
          <w:sz w:val="20"/>
          <w:szCs w:val="20"/>
          <w:color w:val="auto"/>
        </w:rPr>
        <w:tab/>
      </w:r>
      <w:r>
        <w:rPr>
          <w:rFonts w:ascii="Arial" w:cs="Arial" w:eastAsia="Arial" w:hAnsi="Arial"/>
          <w:sz w:val="14"/>
          <w:szCs w:val="14"/>
          <w:b w:val="1"/>
          <w:bCs w:val="1"/>
          <w:u w:val="single" w:color="auto"/>
          <w:color w:val="auto"/>
        </w:rPr>
        <w:t>Number of Shares</w:t>
      </w:r>
    </w:p>
    <w:p>
      <w:pPr>
        <w:spacing w:after="0" w:line="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Goldman Sachs &amp; 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-130175</wp:posOffset>
            </wp:positionV>
            <wp:extent cx="6995160" cy="1371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BofA Securities, Inc.</w:t>
      </w:r>
    </w:p>
    <w:p>
      <w:pPr>
        <w:ind w:left="120"/>
        <w:spacing w:after="0" w:line="234" w:lineRule="auto"/>
        <w:rPr>
          <w:sz w:val="20"/>
          <w:szCs w:val="20"/>
          <w:color w:val="auto"/>
        </w:rPr>
      </w:pPr>
      <w:r>
        <w:rPr>
          <w:rFonts w:ascii="Arial" w:cs="Arial" w:eastAsia="Arial" w:hAnsi="Arial"/>
          <w:sz w:val="18"/>
          <w:szCs w:val="18"/>
          <w:color w:val="auto"/>
        </w:rPr>
        <w:t>Cowen and Company,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-127000</wp:posOffset>
            </wp:positionV>
            <wp:extent cx="6995160" cy="1289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995160" cy="12890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Evercore Group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6245860</wp:posOffset>
            </wp:positionH>
            <wp:positionV relativeFrom="paragraph">
              <wp:posOffset>-1905</wp:posOffset>
            </wp:positionV>
            <wp:extent cx="7886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-124460</wp:posOffset>
            </wp:positionV>
            <wp:extent cx="6995160" cy="1543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995160" cy="154305"/>
                    </a:xfrm>
                    <a:prstGeom prst="rect">
                      <a:avLst/>
                    </a:prstGeom>
                    <a:noFill/>
                  </pic:spPr>
                </pic:pic>
              </a:graphicData>
            </a:graphic>
          </wp:anchor>
        </w:drawing>
      </w:r>
    </w:p>
    <w:p>
      <w:pPr>
        <w:spacing w:after="0" w:line="232" w:lineRule="exact"/>
        <w:rPr>
          <w:sz w:val="20"/>
          <w:szCs w:val="20"/>
          <w:color w:val="auto"/>
        </w:rPr>
      </w:pPr>
    </w:p>
    <w:p>
      <w:pPr>
        <w:ind w:left="120" w:right="160" w:firstLine="551"/>
        <w:spacing w:after="0" w:line="276" w:lineRule="auto"/>
        <w:rPr>
          <w:sz w:val="20"/>
          <w:szCs w:val="20"/>
          <w:color w:val="auto"/>
        </w:rPr>
      </w:pPr>
      <w:r>
        <w:rPr>
          <w:rFonts w:ascii="Arial" w:cs="Arial" w:eastAsia="Arial" w:hAnsi="Arial"/>
          <w:sz w:val="18"/>
          <w:szCs w:val="18"/>
          <w:color w:val="auto"/>
        </w:rPr>
        <w:t>The underwriters are committed to take and pay for all of the shares being offered, if any are taken, other than the shares covered by the option described below unless and until this option is exercised.</w:t>
      </w:r>
    </w:p>
    <w:p>
      <w:pPr>
        <w:spacing w:after="0" w:line="145"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The underwriters have an option to buy up to an additional shares from us to cover sales by the underwriters of a greater number of shares than the total number set forth in the table above. They may exercise that option for 30 days from the date of this prospectus. If any shares are purchased pursuant to this option, the underwriters will severally purchase shares in approximately the same proportion as set forth in the table above.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per share and total underwriting discounts and commissions to be paid to the underwriters by us.</w:t>
      </w:r>
    </w:p>
    <w:p>
      <w:pPr>
        <w:spacing w:after="0" w:line="18"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9040" w:type="dxa"/>
            <w:vAlign w:val="bottom"/>
            <w:gridSpan w:val="3"/>
          </w:tcPr>
          <w:p>
            <w:pPr>
              <w:spacing w:after="0"/>
              <w:rPr>
                <w:sz w:val="20"/>
                <w:szCs w:val="20"/>
                <w:color w:val="auto"/>
              </w:rPr>
            </w:pPr>
            <w:r>
              <w:rPr>
                <w:rFonts w:ascii="Arial" w:cs="Arial" w:eastAsia="Arial" w:hAnsi="Arial"/>
                <w:sz w:val="18"/>
                <w:szCs w:val="18"/>
                <w:color w:val="auto"/>
              </w:rPr>
              <w:t>Such amounts are shown assuming both no exercise and full exercise of the underwriters’ option to purchase</w:t>
            </w:r>
          </w:p>
        </w:tc>
        <w:tc>
          <w:tcPr>
            <w:tcW w:w="1980" w:type="dxa"/>
            <w:vAlign w:val="bottom"/>
            <w:gridSpan w:val="4"/>
          </w:tcPr>
          <w:p>
            <w:pPr>
              <w:ind w:left="280"/>
              <w:spacing w:after="0"/>
              <w:rPr>
                <w:sz w:val="20"/>
                <w:szCs w:val="20"/>
                <w:color w:val="auto"/>
              </w:rPr>
            </w:pPr>
            <w:r>
              <w:rPr>
                <w:rFonts w:ascii="Arial" w:cs="Arial" w:eastAsia="Arial" w:hAnsi="Arial"/>
                <w:sz w:val="18"/>
                <w:szCs w:val="18"/>
                <w:color w:val="auto"/>
              </w:rPr>
              <w:t>additional shares.</w:t>
            </w:r>
          </w:p>
        </w:tc>
      </w:tr>
      <w:tr>
        <w:trPr>
          <w:trHeight w:val="365"/>
        </w:trPr>
        <w:tc>
          <w:tcPr>
            <w:tcW w:w="1600" w:type="dxa"/>
            <w:vAlign w:val="bottom"/>
          </w:tcPr>
          <w:p>
            <w:pPr>
              <w:spacing w:after="0"/>
              <w:rPr>
                <w:sz w:val="24"/>
                <w:szCs w:val="24"/>
                <w:color w:val="auto"/>
              </w:rPr>
            </w:pPr>
          </w:p>
        </w:tc>
        <w:tc>
          <w:tcPr>
            <w:tcW w:w="7040" w:type="dxa"/>
            <w:vAlign w:val="bottom"/>
          </w:tcPr>
          <w:p>
            <w:pPr>
              <w:spacing w:after="0"/>
              <w:rPr>
                <w:sz w:val="24"/>
                <w:szCs w:val="2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No Exercise</w:t>
            </w:r>
          </w:p>
        </w:tc>
        <w:tc>
          <w:tcPr>
            <w:tcW w:w="960" w:type="dxa"/>
            <w:vAlign w:val="bottom"/>
            <w:gridSpan w:val="2"/>
          </w:tcPr>
          <w:p>
            <w:pPr>
              <w:spacing w:after="0"/>
              <w:rPr>
                <w:sz w:val="20"/>
                <w:szCs w:val="20"/>
                <w:color w:val="auto"/>
              </w:rPr>
            </w:pPr>
            <w:r>
              <w:rPr>
                <w:rFonts w:ascii="Arial" w:cs="Arial" w:eastAsia="Arial" w:hAnsi="Arial"/>
                <w:sz w:val="14"/>
                <w:szCs w:val="14"/>
                <w:b w:val="1"/>
                <w:bCs w:val="1"/>
                <w:color w:val="auto"/>
              </w:rPr>
              <w:t>Full Exercise</w:t>
            </w:r>
          </w:p>
        </w:tc>
      </w:tr>
      <w:tr>
        <w:trPr>
          <w:trHeight w:val="196"/>
        </w:trPr>
        <w:tc>
          <w:tcPr>
            <w:tcW w:w="1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704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r>
      <w:tr>
        <w:trPr>
          <w:trHeight w:val="243"/>
        </w:trPr>
        <w:tc>
          <w:tcPr>
            <w:tcW w:w="1600" w:type="dxa"/>
            <w:vAlign w:val="bottom"/>
          </w:tcPr>
          <w:p>
            <w:pPr>
              <w:spacing w:after="0"/>
              <w:rPr>
                <w:sz w:val="20"/>
                <w:szCs w:val="20"/>
                <w:color w:val="auto"/>
              </w:rPr>
            </w:pPr>
            <w:r>
              <w:rPr>
                <w:rFonts w:ascii="Arial" w:cs="Arial" w:eastAsia="Arial" w:hAnsi="Arial"/>
                <w:sz w:val="18"/>
                <w:szCs w:val="18"/>
                <w:color w:val="auto"/>
              </w:rPr>
              <w:t>Total</w:t>
            </w:r>
          </w:p>
        </w:tc>
        <w:tc>
          <w:tcPr>
            <w:tcW w:w="7440" w:type="dxa"/>
            <w:vAlign w:val="bottom"/>
            <w:gridSpan w:val="2"/>
          </w:tcPr>
          <w:p>
            <w:pPr>
              <w:ind w:left="704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r>
        <w:trPr>
          <w:trHeight w:val="355"/>
        </w:trPr>
        <w:tc>
          <w:tcPr>
            <w:tcW w:w="11020" w:type="dxa"/>
            <w:vAlign w:val="bottom"/>
            <w:gridSpan w:val="7"/>
          </w:tcPr>
          <w:p>
            <w:pPr>
              <w:ind w:left="540"/>
              <w:spacing w:after="0"/>
              <w:rPr>
                <w:sz w:val="20"/>
                <w:szCs w:val="20"/>
                <w:color w:val="auto"/>
              </w:rPr>
            </w:pPr>
            <w:r>
              <w:rPr>
                <w:rFonts w:ascii="Arial" w:cs="Arial" w:eastAsia="Arial" w:hAnsi="Arial"/>
                <w:sz w:val="18"/>
                <w:szCs w:val="18"/>
                <w:color w:val="auto"/>
              </w:rPr>
              <w:t>We estimate that our total out of pocket expenses for this offering, excluding the underwriting discounts and commissions, will be</w:t>
            </w:r>
          </w:p>
        </w:tc>
      </w:tr>
      <w:tr>
        <w:trPr>
          <w:trHeight w:val="243"/>
        </w:trPr>
        <w:tc>
          <w:tcPr>
            <w:tcW w:w="1600" w:type="dxa"/>
            <w:vAlign w:val="bottom"/>
          </w:tcPr>
          <w:p>
            <w:pPr>
              <w:spacing w:after="0"/>
              <w:rPr>
                <w:sz w:val="20"/>
                <w:szCs w:val="20"/>
                <w:color w:val="auto"/>
              </w:rPr>
            </w:pPr>
            <w:r>
              <w:rPr>
                <w:rFonts w:ascii="Arial" w:cs="Arial" w:eastAsia="Arial" w:hAnsi="Arial"/>
                <w:sz w:val="18"/>
                <w:szCs w:val="18"/>
                <w:color w:val="auto"/>
              </w:rPr>
              <w:t>approximately $</w:t>
            </w:r>
          </w:p>
        </w:tc>
        <w:tc>
          <w:tcPr>
            <w:tcW w:w="8460" w:type="dxa"/>
            <w:vAlign w:val="bottom"/>
            <w:gridSpan w:val="4"/>
          </w:tcPr>
          <w:p>
            <w:pPr>
              <w:ind w:left="320"/>
              <w:spacing w:after="0"/>
              <w:rPr>
                <w:sz w:val="20"/>
                <w:szCs w:val="20"/>
                <w:color w:val="auto"/>
              </w:rPr>
            </w:pPr>
            <w:r>
              <w:rPr>
                <w:rFonts w:ascii="Arial" w:cs="Arial" w:eastAsia="Arial" w:hAnsi="Arial"/>
                <w:sz w:val="18"/>
                <w:szCs w:val="18"/>
                <w:color w:val="auto"/>
              </w:rPr>
              <w:t>. We have also agreed to reimburse the underwriters certain of their expenses in an amount up to $</w:t>
            </w:r>
          </w:p>
        </w:tc>
        <w:tc>
          <w:tcPr>
            <w:tcW w:w="900" w:type="dxa"/>
            <w:vAlign w:val="bottom"/>
          </w:tcPr>
          <w:p>
            <w:pPr>
              <w:jc w:val="right"/>
              <w:ind w:right="415"/>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r>
    </w:tbl>
    <w:p>
      <w:pPr>
        <w:spacing w:after="0" w:line="176" w:lineRule="exact"/>
        <w:rPr>
          <w:sz w:val="20"/>
          <w:szCs w:val="20"/>
          <w:color w:val="auto"/>
        </w:rPr>
      </w:pPr>
    </w:p>
    <w:p>
      <w:pPr>
        <w:jc w:val="both"/>
        <w:ind w:left="120" w:right="20" w:firstLine="551"/>
        <w:spacing w:after="0" w:line="276"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of 1933, as amended.</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Shares sold by the underwriters to the public will initially be offered at the initial public offering price set forth on the cover of this</w:t>
      </w:r>
    </w:p>
    <w:p>
      <w:pPr>
        <w:spacing w:after="0" w:line="18"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prospectus. Any 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76" w:lineRule="exact"/>
        <w:rPr>
          <w:sz w:val="20"/>
          <w:szCs w:val="20"/>
          <w:color w:val="auto"/>
        </w:rPr>
      </w:pPr>
    </w:p>
    <w:p>
      <w:pPr>
        <w:ind w:left="120" w:right="140" w:firstLine="551"/>
        <w:spacing w:after="0" w:line="277" w:lineRule="auto"/>
        <w:rPr>
          <w:sz w:val="20"/>
          <w:szCs w:val="20"/>
          <w:color w:val="auto"/>
        </w:rPr>
      </w:pPr>
      <w:r>
        <w:rPr>
          <w:rFonts w:ascii="Arial" w:cs="Arial" w:eastAsia="Arial" w:hAnsi="Arial"/>
          <w:sz w:val="17"/>
          <w:szCs w:val="17"/>
          <w:color w:val="auto"/>
        </w:rPr>
        <w:t>We and our officers, directors and holders of substantially all of our common stock and securities convertible into or exchangeable for our common stock have agreed with the underwriters, subject to certain exceptions, not to dispose of or hedge any of their common stock or securities convertible into or exchangeable for shares of our common stock during the period from the date of this prospectus</w:t>
      </w:r>
    </w:p>
    <w:p>
      <w:pPr>
        <w:spacing w:after="0" w:line="7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140"/>
          </w:cols>
          <w:pgMar w:left="320" w:top="455" w:right="439" w:bottom="1440" w:gutter="0" w:footer="0" w:header="0"/>
        </w:sectPr>
      </w:pPr>
    </w:p>
    <w:bookmarkStart w:id="204" w:name="page205"/>
    <w:bookmarkEnd w:id="2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continuing through the date 180 days after the date of this prospectus, except with the prior written consent of the representatives. This agreement does not apply to any existing employee benefit plans. See the section titled “Shares Eligible for Future Sale” for a discussion of certain transfer restrictions.</w:t>
      </w:r>
    </w:p>
    <w:p>
      <w:pPr>
        <w:spacing w:after="0" w:line="164"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Prior to the offering, there has been no public market for the shares. The initial public offering price has been negotiated among us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applied to list our common stock on the Nasdaq Global Market under the symbol “PMVP.”</w:t>
      </w:r>
    </w:p>
    <w:p>
      <w:pPr>
        <w:spacing w:after="0" w:line="212" w:lineRule="exact"/>
        <w:rPr>
          <w:sz w:val="20"/>
          <w:szCs w:val="20"/>
          <w:color w:val="auto"/>
        </w:rPr>
      </w:pPr>
    </w:p>
    <w:p>
      <w:pPr>
        <w:ind w:left="120" w:right="60" w:firstLine="551"/>
        <w:spacing w:after="0" w:line="238" w:lineRule="auto"/>
        <w:rPr>
          <w:sz w:val="20"/>
          <w:szCs w:val="20"/>
          <w:color w:val="auto"/>
        </w:rPr>
      </w:pPr>
      <w:r>
        <w:rPr>
          <w:rFonts w:ascii="Arial" w:cs="Arial" w:eastAsia="Arial" w:hAnsi="Arial"/>
          <w:sz w:val="18"/>
          <w:szCs w:val="18"/>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77" w:lineRule="exact"/>
        <w:rPr>
          <w:sz w:val="20"/>
          <w:szCs w:val="20"/>
          <w:color w:val="auto"/>
        </w:rPr>
      </w:pPr>
    </w:p>
    <w:p>
      <w:pPr>
        <w:ind w:left="120" w:right="120" w:firstLine="551"/>
        <w:spacing w:after="0" w:line="255"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64" w:lineRule="exact"/>
        <w:rPr>
          <w:sz w:val="20"/>
          <w:szCs w:val="20"/>
          <w:color w:val="auto"/>
        </w:rPr>
      </w:pPr>
    </w:p>
    <w:p>
      <w:pPr>
        <w:ind w:left="120" w:firstLine="551"/>
        <w:spacing w:after="0" w:line="255"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w:t>
      </w:r>
    </w:p>
    <w:p>
      <w:pPr>
        <w:spacing w:after="0" w:line="1" w:lineRule="exact"/>
        <w:rPr>
          <w:sz w:val="20"/>
          <w:szCs w:val="20"/>
          <w:color w:val="auto"/>
        </w:rPr>
      </w:pPr>
    </w:p>
    <w:p>
      <w:pPr>
        <w:ind w:left="120" w:right="240"/>
        <w:spacing w:after="0" w:line="250" w:lineRule="auto"/>
        <w:rPr>
          <w:sz w:val="20"/>
          <w:szCs w:val="20"/>
          <w:color w:val="auto"/>
        </w:rPr>
      </w:pPr>
      <w:r>
        <w:rPr>
          <w:rFonts w:ascii="Arial" w:cs="Arial" w:eastAsia="Arial" w:hAnsi="Arial"/>
          <w:sz w:val="18"/>
          <w:szCs w:val="18"/>
          <w:color w:val="auto"/>
        </w:rPr>
        <w:t>these activities and may end any of these activities at any time. These transactions may be effected on , in the over-the-counter market or otherwise.</w:t>
      </w:r>
    </w:p>
    <w:p>
      <w:pPr>
        <w:spacing w:after="0" w:line="168"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080"/>
          </w:cols>
          <w:pgMar w:left="320" w:top="455" w:right="499" w:bottom="1440" w:gutter="0" w:footer="0" w:header="0"/>
        </w:sectPr>
      </w:pPr>
    </w:p>
    <w:bookmarkStart w:id="205" w:name="page206"/>
    <w:bookmarkEnd w:id="2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us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28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European Economic Area and United Kingdom</w:t>
      </w:r>
    </w:p>
    <w:p>
      <w:pPr>
        <w:spacing w:after="0" w:line="214"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In relation to each Member State of the European Economic Area and the United Kingdom, or each, a Relevant State, no shares of our common stock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79" w:lineRule="exact"/>
        <w:rPr>
          <w:sz w:val="20"/>
          <w:szCs w:val="20"/>
          <w:color w:val="auto"/>
        </w:rPr>
      </w:pPr>
    </w:p>
    <w:p>
      <w:pPr>
        <w:ind w:left="880" w:hanging="224"/>
        <w:spacing w:after="0"/>
        <w:tabs>
          <w:tab w:leader="none" w:pos="8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7" w:lineRule="exact"/>
        <w:rPr>
          <w:rFonts w:ascii="Arial" w:cs="Arial" w:eastAsia="Arial" w:hAnsi="Arial"/>
          <w:sz w:val="18"/>
          <w:szCs w:val="18"/>
          <w:color w:val="auto"/>
        </w:rPr>
      </w:pPr>
    </w:p>
    <w:p>
      <w:pPr>
        <w:ind w:left="880" w:right="40" w:hanging="224"/>
        <w:spacing w:after="0" w:line="276" w:lineRule="auto"/>
        <w:tabs>
          <w:tab w:leader="none" w:pos="8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representatives for any such offer; or</w:t>
      </w:r>
    </w:p>
    <w:p>
      <w:pPr>
        <w:spacing w:after="0" w:line="50" w:lineRule="exact"/>
        <w:rPr>
          <w:rFonts w:ascii="Arial" w:cs="Arial" w:eastAsia="Arial" w:hAnsi="Arial"/>
          <w:sz w:val="18"/>
          <w:szCs w:val="18"/>
          <w:color w:val="auto"/>
        </w:rPr>
      </w:pPr>
    </w:p>
    <w:p>
      <w:pPr>
        <w:ind w:left="880" w:hanging="224"/>
        <w:spacing w:after="0"/>
        <w:tabs>
          <w:tab w:leader="none" w:pos="8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212" w:lineRule="exact"/>
        <w:rPr>
          <w:sz w:val="20"/>
          <w:szCs w:val="20"/>
          <w:color w:val="auto"/>
        </w:rPr>
      </w:pPr>
    </w:p>
    <w:p>
      <w:pPr>
        <w:ind w:left="120" w:right="420"/>
        <w:spacing w:after="0" w:line="276"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shares of our common stock shall require us or any representatives to publish a prospectus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Article 3 of the Prospectus Regulation or supplement a prospectus pursuant to Article 23 of the Prospectus Regulation.</w:t>
      </w:r>
    </w:p>
    <w:p>
      <w:pPr>
        <w:spacing w:after="0" w:line="145"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common stock in any Relevant State means the communication in any form and by any means of sufficient information on the terms of the offer and any shares of common stock to be offered so as to enable an investor to decide to purchase or subscribe for any shares of common stock, and the expression “Prospectus Regulation” means Regulation (EU) 2017/1129.</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underwriter has represented and agreed that:</w:t>
      </w:r>
    </w:p>
    <w:p>
      <w:pPr>
        <w:spacing w:after="0" w:line="117" w:lineRule="exact"/>
        <w:rPr>
          <w:sz w:val="20"/>
          <w:szCs w:val="20"/>
          <w:color w:val="auto"/>
        </w:rPr>
      </w:pPr>
    </w:p>
    <w:p>
      <w:pPr>
        <w:ind w:left="880" w:right="140" w:hanging="224"/>
        <w:spacing w:after="0" w:line="248" w:lineRule="auto"/>
        <w:tabs>
          <w:tab w:leader="none" w:pos="8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as amended, or the FSMA) received by it in connection with the issue or sale of the shares in circumstances in which Section 21(1) of the FSMA does not apply to the company; and</w:t>
      </w:r>
    </w:p>
    <w:p>
      <w:pPr>
        <w:spacing w:after="0" w:line="75" w:lineRule="exact"/>
        <w:rPr>
          <w:rFonts w:ascii="Arial" w:cs="Arial" w:eastAsia="Arial" w:hAnsi="Arial"/>
          <w:sz w:val="18"/>
          <w:szCs w:val="18"/>
          <w:color w:val="auto"/>
        </w:rPr>
      </w:pPr>
    </w:p>
    <w:p>
      <w:pPr>
        <w:ind w:left="880" w:right="300" w:hanging="224"/>
        <w:spacing w:after="0" w:line="276" w:lineRule="auto"/>
        <w:tabs>
          <w:tab w:leader="none" w:pos="8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in, from or otherwise involving the United Kingdom.</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20"/>
          </w:cols>
          <w:pgMar w:left="320" w:top="455" w:right="459" w:bottom="1440" w:gutter="0" w:footer="0" w:header="0"/>
        </w:sectPr>
      </w:pPr>
    </w:p>
    <w:bookmarkStart w:id="206" w:name="page207"/>
    <w:bookmarkEnd w:id="2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Canada</w:t>
      </w:r>
    </w:p>
    <w:p>
      <w:pPr>
        <w:spacing w:after="0" w:line="21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form, or in a transaction not subject to, the prospectus requirements of applicable securities laws.</w:t>
      </w:r>
    </w:p>
    <w:p>
      <w:pPr>
        <w:spacing w:after="0" w:line="172"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2" w:lineRule="exact"/>
        <w:rPr>
          <w:sz w:val="20"/>
          <w:szCs w:val="20"/>
          <w:color w:val="auto"/>
        </w:rPr>
      </w:pPr>
    </w:p>
    <w:p>
      <w:pPr>
        <w:ind w:left="120" w:right="380" w:firstLine="551"/>
        <w:spacing w:after="0" w:line="276"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25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Hong Kong</w:t>
      </w:r>
    </w:p>
    <w:p>
      <w:pPr>
        <w:spacing w:after="0" w:line="21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or Companies (Winding Up and Miscellaneous Provisions) Ordinance, or which do not constitute an invitation to the public within the meaning of the Securities and Futures Ordinance (Cap. 571 of the Laws of Hong Kong), or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28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Singapore</w:t>
      </w:r>
    </w:p>
    <w:p>
      <w:pPr>
        <w:spacing w:after="0" w:line="21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or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100"/>
          </w:cols>
          <w:pgMar w:left="320" w:top="455" w:right="479" w:bottom="1440" w:gutter="0" w:footer="0" w:header="0"/>
        </w:sectPr>
      </w:pPr>
    </w:p>
    <w:bookmarkStart w:id="207" w:name="page208"/>
    <w:bookmarkEnd w:id="2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551"/>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 SFA) of that corporation shall not be transferable for six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or Regulation 32.</w:t>
      </w:r>
    </w:p>
    <w:p>
      <w:pPr>
        <w:spacing w:after="0" w:line="176"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2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Japan</w:t>
      </w:r>
    </w:p>
    <w:p>
      <w:pPr>
        <w:spacing w:after="0" w:line="214" w:lineRule="exact"/>
        <w:rPr>
          <w:sz w:val="20"/>
          <w:szCs w:val="20"/>
          <w:color w:val="auto"/>
        </w:rPr>
      </w:pPr>
    </w:p>
    <w:p>
      <w:pPr>
        <w:ind w:left="120" w:right="80" w:firstLine="551"/>
        <w:spacing w:after="0" w:line="245" w:lineRule="auto"/>
        <w:rPr>
          <w:sz w:val="20"/>
          <w:szCs w:val="20"/>
          <w:color w:val="auto"/>
        </w:rPr>
      </w:pPr>
      <w:r>
        <w:rPr>
          <w:rFonts w:ascii="Arial" w:cs="Arial" w:eastAsia="Arial" w:hAnsi="Arial"/>
          <w:sz w:val="18"/>
          <w:szCs w:val="18"/>
          <w:color w:val="auto"/>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0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080"/>
          </w:cols>
          <w:pgMar w:left="320" w:top="455" w:right="499" w:bottom="1440" w:gutter="0" w:footer="0" w:header="0"/>
        </w:sectPr>
      </w:pPr>
    </w:p>
    <w:bookmarkStart w:id="208" w:name="page209"/>
    <w:bookmarkEnd w:id="2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LEGAL MATTERS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validity of the issuance of our common stock offered in this prospectus will be passed upon for us by Wilson Sonsini</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7"/>
          <w:szCs w:val="17"/>
          <w:color w:val="auto"/>
        </w:rPr>
        <w:t>Goodrich &amp; Rosati, Professional Corporation, Palo Alto, California. Certain legal matters relating to the offering will be passed upon for the</w:t>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underwriters by Latham &amp; Watkins LLP, Menlo Park, California. Certain members of, and investment partnerships comprised of members</w:t>
      </w:r>
    </w:p>
    <w:p>
      <w:pPr>
        <w:ind w:left="120"/>
        <w:spacing w:after="0" w:line="234" w:lineRule="auto"/>
        <w:rPr>
          <w:sz w:val="20"/>
          <w:szCs w:val="20"/>
          <w:color w:val="auto"/>
        </w:rPr>
      </w:pPr>
      <w:r>
        <w:rPr>
          <w:rFonts w:ascii="Arial" w:cs="Arial" w:eastAsia="Arial" w:hAnsi="Arial"/>
          <w:sz w:val="18"/>
          <w:szCs w:val="18"/>
          <w:color w:val="auto"/>
        </w:rPr>
        <w:t>of, and persons associated with, Wilson Sonsini Goodrich &amp; Rosati, Professional Corporation, own an interest representing less than one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percent of the shares of our common stock.</w:t>
      </w:r>
    </w:p>
    <w:p>
      <w:pPr>
        <w:spacing w:after="0" w:line="200" w:lineRule="exact"/>
        <w:rPr>
          <w:sz w:val="20"/>
          <w:szCs w:val="20"/>
          <w:color w:val="auto"/>
        </w:rPr>
      </w:pP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EXPERTS</w:t>
      </w:r>
    </w:p>
    <w:p>
      <w:pPr>
        <w:spacing w:after="0" w:line="214" w:lineRule="exact"/>
        <w:rPr>
          <w:sz w:val="20"/>
          <w:szCs w:val="20"/>
          <w:color w:val="auto"/>
        </w:rPr>
      </w:pPr>
    </w:p>
    <w:p>
      <w:pPr>
        <w:ind w:left="120" w:right="40" w:firstLine="551"/>
        <w:spacing w:after="0" w:line="248" w:lineRule="auto"/>
        <w:rPr>
          <w:sz w:val="20"/>
          <w:szCs w:val="20"/>
          <w:color w:val="auto"/>
        </w:rPr>
      </w:pPr>
      <w:r>
        <w:rPr>
          <w:rFonts w:ascii="Arial" w:cs="Arial" w:eastAsia="Arial" w:hAnsi="Arial"/>
          <w:sz w:val="18"/>
          <w:szCs w:val="18"/>
          <w:color w:val="auto"/>
        </w:rPr>
        <w:t>Ernst &amp; Young LLP, independent registered public accounting firm, has audited our financial statements at December 31, 2018 and 2019, and for the years then ended, as set forth in their report. We have included our financial statements in the prospectus and elsewhere in the registration statement in reliance on Ernst &amp; Young LLP’s report, given on their authority as experts in accounting and auditing.</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080"/>
          </w:cols>
          <w:pgMar w:left="320" w:top="455" w:right="499" w:bottom="1440" w:gutter="0" w:footer="0" w:header="0"/>
        </w:sectPr>
      </w:pPr>
    </w:p>
    <w:bookmarkStart w:id="209" w:name="page210"/>
    <w:bookmarkEnd w:id="2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1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We have filed with the Securities and Exchange Commission, or SEC, a registration statement on Form S-1 under the Securities Act of 1933, as amended, with respect to the shares of our common stock offered by this prospectus. This prospectus, which constitutes a part of the registration statement, does not contain all of the information set forth in the registration statement, as permitted by the rules and regulations of the SEC. For further information with respect to us and our common stock, we refer you to the registration statement, including the exhibits filed as a part of the registration statement. Statements contained in this prospectus concerning the contents of any contract or any other document is not necessarily complete. If a contract or document has been filed as an exhibit to the registration statement, please see the copy of the contract or document that has been filed. Each statement in this prospectus relating to a contract or document filed as an exhibit is qualified in all respects by the filed exhibit. The SEC maintains an Internet website that contains the registration statement of which this prospectus forms a part, as well as the exhibits thereto. These documents, along with future reports, proxy statements and other information about us, are available at the SEC’s website, www.sec.gov.</w:t>
      </w:r>
    </w:p>
    <w:p>
      <w:pPr>
        <w:spacing w:after="0" w:line="180" w:lineRule="exact"/>
        <w:rPr>
          <w:sz w:val="20"/>
          <w:szCs w:val="20"/>
          <w:color w:val="auto"/>
        </w:rPr>
      </w:pPr>
    </w:p>
    <w:p>
      <w:pPr>
        <w:ind w:left="120" w:right="20" w:firstLine="551"/>
        <w:spacing w:after="0" w:line="243" w:lineRule="auto"/>
        <w:rPr>
          <w:sz w:val="20"/>
          <w:szCs w:val="20"/>
          <w:color w:val="auto"/>
        </w:rPr>
      </w:pPr>
      <w:r>
        <w:rPr>
          <w:rFonts w:ascii="Arial" w:cs="Arial" w:eastAsia="Arial" w:hAnsi="Arial"/>
          <w:sz w:val="18"/>
          <w:szCs w:val="18"/>
          <w:color w:val="auto"/>
        </w:rPr>
        <w:t>As a result of this offering, we will become subject to the information and reporting requirements of the Exchange Act of 1934, as amended, and, in accordance with this law, will file periodic reports, proxy statements and other information with the SEC. We also maintain a website at www.pmvpharma.com where these materials will be available. Upon the completion of this offering, you may access these materials free of charge as soon as reasonably practicable after they are electronically filed with, or furnished to, the SEC. Information contained on, or that can be accessible through, our website is not a part of this prospectus and the inclusion of our website address in this prospectus is an inactive textual reference only.</w:t>
      </w:r>
    </w:p>
    <w:p>
      <w:pPr>
        <w:spacing w:after="0" w:line="1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080"/>
          </w:cols>
          <w:pgMar w:left="320" w:top="455" w:right="499" w:bottom="1440" w:gutter="0" w:footer="0" w:header="0"/>
        </w:sectPr>
      </w:pPr>
    </w:p>
    <w:bookmarkStart w:id="210" w:name="page211"/>
    <w:bookmarkEnd w:id="210"/>
    <w:tbl>
      <w:tblPr>
        <w:tblLayout w:type="fixed"/>
        <w:tblInd w:w="0" w:type="dxa"/>
        <w:tblCellMar>
          <w:top w:w="0" w:type="dxa"/>
          <w:left w:w="0" w:type="dxa"/>
          <w:bottom w:w="0" w:type="dxa"/>
          <w:right w:w="0" w:type="dxa"/>
        </w:tblCellMar>
      </w:tblPr>
      <w:tr>
        <w:trPr>
          <w:trHeight w:val="238"/>
        </w:trPr>
        <w:tc>
          <w:tcPr>
            <w:tcW w:w="10520" w:type="dxa"/>
            <w:vAlign w:val="bottom"/>
            <w:gridSpan w:val="5"/>
          </w:tcPr>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5"/>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6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99"/>
              </w:rPr>
              <w:t>INDEX TO FINANCIAL STATEMENTS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10520" w:type="dxa"/>
            <w:vAlign w:val="bottom"/>
            <w:gridSpan w:val="5"/>
          </w:tcPr>
          <w:p>
            <w:pPr>
              <w:ind w:left="120"/>
              <w:spacing w:after="0"/>
              <w:rPr>
                <w:sz w:val="20"/>
                <w:szCs w:val="20"/>
                <w:color w:val="auto"/>
              </w:rPr>
            </w:pPr>
            <w:r>
              <w:rPr>
                <w:rFonts w:ascii="Arial" w:cs="Arial" w:eastAsia="Arial" w:hAnsi="Arial"/>
                <w:sz w:val="18"/>
                <w:szCs w:val="18"/>
                <w:b w:val="1"/>
                <w:bCs w:val="1"/>
                <w:color w:val="auto"/>
              </w:rPr>
              <w:t>Audited Financial Statements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0520" w:type="dxa"/>
            <w:vAlign w:val="bottom"/>
            <w:gridSpan w:val="5"/>
          </w:tcPr>
          <w:p>
            <w:pPr>
              <w:ind w:left="480"/>
              <w:spacing w:after="0"/>
              <w:rPr>
                <w:rFonts w:ascii="Arial" w:cs="Arial" w:eastAsia="Arial" w:hAnsi="Arial"/>
                <w:sz w:val="18"/>
                <w:szCs w:val="18"/>
                <w:u w:val="single" w:color="auto"/>
                <w:color w:val="0000EE"/>
              </w:rPr>
            </w:pPr>
            <w:hyperlink w:anchor="page212">
              <w:r>
                <w:rPr>
                  <w:rFonts w:ascii="Arial" w:cs="Arial" w:eastAsia="Arial" w:hAnsi="Arial"/>
                  <w:sz w:val="18"/>
                  <w:szCs w:val="18"/>
                  <w:u w:val="single" w:color="auto"/>
                  <w:color w:val="0000EE"/>
                </w:rPr>
                <w:t>Report of Independent Registered Public Accounting Firm</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03"/>
        </w:trPr>
        <w:tc>
          <w:tcPr>
            <w:tcW w:w="10520" w:type="dxa"/>
            <w:vAlign w:val="bottom"/>
            <w:gridSpan w:val="5"/>
          </w:tcPr>
          <w:p>
            <w:pPr>
              <w:ind w:left="480"/>
              <w:spacing w:after="0" w:line="202" w:lineRule="exact"/>
              <w:rPr>
                <w:rFonts w:ascii="Arial" w:cs="Arial" w:eastAsia="Arial" w:hAnsi="Arial"/>
                <w:sz w:val="18"/>
                <w:szCs w:val="18"/>
                <w:u w:val="single" w:color="auto"/>
                <w:color w:val="0000EE"/>
              </w:rPr>
            </w:pPr>
            <w:hyperlink w:anchor="page213">
              <w:r>
                <w:rPr>
                  <w:rFonts w:ascii="Arial" w:cs="Arial" w:eastAsia="Arial" w:hAnsi="Arial"/>
                  <w:sz w:val="18"/>
                  <w:szCs w:val="18"/>
                  <w:u w:val="single" w:color="auto"/>
                  <w:color w:val="0000EE"/>
                </w:rPr>
                <w:t>Balance Sheets as of December 31, 2018 and 2019</w:t>
              </w:r>
            </w:hyperlink>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3"/>
        </w:trPr>
        <w:tc>
          <w:tcPr>
            <w:tcW w:w="10520" w:type="dxa"/>
            <w:vAlign w:val="bottom"/>
            <w:gridSpan w:val="5"/>
          </w:tcPr>
          <w:p>
            <w:pPr>
              <w:ind w:left="480"/>
              <w:spacing w:after="0" w:line="202" w:lineRule="exact"/>
              <w:rPr>
                <w:rFonts w:ascii="Arial" w:cs="Arial" w:eastAsia="Arial" w:hAnsi="Arial"/>
                <w:sz w:val="18"/>
                <w:szCs w:val="18"/>
                <w:u w:val="single" w:color="auto"/>
                <w:color w:val="0000EE"/>
              </w:rPr>
            </w:pPr>
            <w:hyperlink w:anchor="page214">
              <w:r>
                <w:rPr>
                  <w:rFonts w:ascii="Arial" w:cs="Arial" w:eastAsia="Arial" w:hAnsi="Arial"/>
                  <w:sz w:val="18"/>
                  <w:szCs w:val="18"/>
                  <w:u w:val="single" w:color="auto"/>
                  <w:color w:val="0000EE"/>
                </w:rPr>
                <w:t>Statements of Operations and Comprehensive Loss for the Years Ended December 31, 2018 and 2019</w:t>
              </w:r>
            </w:hyperlink>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03"/>
        </w:trPr>
        <w:tc>
          <w:tcPr>
            <w:tcW w:w="10520" w:type="dxa"/>
            <w:vAlign w:val="bottom"/>
            <w:gridSpan w:val="5"/>
          </w:tcPr>
          <w:p>
            <w:pPr>
              <w:ind w:left="480"/>
              <w:spacing w:after="0" w:line="202" w:lineRule="exact"/>
              <w:rPr>
                <w:rFonts w:ascii="Arial" w:cs="Arial" w:eastAsia="Arial" w:hAnsi="Arial"/>
                <w:sz w:val="18"/>
                <w:szCs w:val="18"/>
                <w:u w:val="single" w:color="auto"/>
                <w:color w:val="0000EE"/>
              </w:rPr>
            </w:pPr>
            <w:hyperlink w:anchor="page215">
              <w:r>
                <w:rPr>
                  <w:rFonts w:ascii="Arial" w:cs="Arial" w:eastAsia="Arial" w:hAnsi="Arial"/>
                  <w:sz w:val="18"/>
                  <w:szCs w:val="18"/>
                  <w:u w:val="single" w:color="auto"/>
                  <w:color w:val="0000EE"/>
                </w:rPr>
                <w:t>Statements of Convertible Preferred Stock and Stockholders’ Deficit for the Years Ended December 31, 2018 and 2019</w:t>
              </w:r>
            </w:hyperlink>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3"/>
        </w:trPr>
        <w:tc>
          <w:tcPr>
            <w:tcW w:w="10520" w:type="dxa"/>
            <w:vAlign w:val="bottom"/>
            <w:gridSpan w:val="5"/>
          </w:tcPr>
          <w:p>
            <w:pPr>
              <w:ind w:left="480"/>
              <w:spacing w:after="0" w:line="202" w:lineRule="exact"/>
              <w:rPr>
                <w:rFonts w:ascii="Arial" w:cs="Arial" w:eastAsia="Arial" w:hAnsi="Arial"/>
                <w:sz w:val="18"/>
                <w:szCs w:val="18"/>
                <w:u w:val="single" w:color="auto"/>
                <w:color w:val="0000EE"/>
              </w:rPr>
            </w:pPr>
            <w:hyperlink w:anchor="page216">
              <w:r>
                <w:rPr>
                  <w:rFonts w:ascii="Arial" w:cs="Arial" w:eastAsia="Arial" w:hAnsi="Arial"/>
                  <w:sz w:val="18"/>
                  <w:szCs w:val="18"/>
                  <w:u w:val="single" w:color="auto"/>
                  <w:color w:val="0000EE"/>
                </w:rPr>
                <w:t>Statements of Cash Flows for the Years Ended December 31, 2018 and 2019</w:t>
              </w:r>
            </w:hyperlink>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43"/>
        </w:trPr>
        <w:tc>
          <w:tcPr>
            <w:tcW w:w="10520" w:type="dxa"/>
            <w:vAlign w:val="bottom"/>
            <w:gridSpan w:val="5"/>
          </w:tcPr>
          <w:p>
            <w:pPr>
              <w:ind w:left="480"/>
              <w:spacing w:after="0"/>
              <w:rPr>
                <w:rFonts w:ascii="Arial" w:cs="Arial" w:eastAsia="Arial" w:hAnsi="Arial"/>
                <w:sz w:val="18"/>
                <w:szCs w:val="18"/>
                <w:u w:val="single" w:color="auto"/>
                <w:color w:val="0000EE"/>
              </w:rPr>
            </w:pPr>
            <w:hyperlink w:anchor="page217">
              <w:r>
                <w:rPr>
                  <w:rFonts w:ascii="Arial" w:cs="Arial" w:eastAsia="Arial" w:hAnsi="Arial"/>
                  <w:sz w:val="18"/>
                  <w:szCs w:val="18"/>
                  <w:u w:val="single" w:color="auto"/>
                  <w:color w:val="0000EE"/>
                </w:rPr>
                <w:t>Notes to Financial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426"/>
        </w:trPr>
        <w:tc>
          <w:tcPr>
            <w:tcW w:w="10520" w:type="dxa"/>
            <w:vAlign w:val="bottom"/>
            <w:gridSpan w:val="5"/>
          </w:tcPr>
          <w:p>
            <w:pPr>
              <w:ind w:left="120"/>
              <w:spacing w:after="0"/>
              <w:rPr>
                <w:sz w:val="20"/>
                <w:szCs w:val="20"/>
                <w:color w:val="auto"/>
              </w:rPr>
            </w:pPr>
            <w:r>
              <w:rPr>
                <w:rFonts w:ascii="Arial" w:cs="Arial" w:eastAsia="Arial" w:hAnsi="Arial"/>
                <w:sz w:val="18"/>
                <w:szCs w:val="18"/>
                <w:b w:val="1"/>
                <w:bCs w:val="1"/>
                <w:color w:val="auto"/>
              </w:rPr>
              <w:t>Unaudited Condensed Financial Statements</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0520" w:type="dxa"/>
            <w:vAlign w:val="bottom"/>
            <w:gridSpan w:val="5"/>
          </w:tcPr>
          <w:p>
            <w:pPr>
              <w:ind w:left="480"/>
              <w:spacing w:after="0"/>
              <w:rPr>
                <w:rFonts w:ascii="Arial" w:cs="Arial" w:eastAsia="Arial" w:hAnsi="Arial"/>
                <w:sz w:val="18"/>
                <w:szCs w:val="18"/>
                <w:u w:val="single" w:color="auto"/>
                <w:color w:val="0000EE"/>
              </w:rPr>
            </w:pPr>
            <w:hyperlink w:anchor="page237">
              <w:r>
                <w:rPr>
                  <w:rFonts w:ascii="Arial" w:cs="Arial" w:eastAsia="Arial" w:hAnsi="Arial"/>
                  <w:sz w:val="18"/>
                  <w:szCs w:val="18"/>
                  <w:u w:val="single" w:color="auto"/>
                  <w:color w:val="0000EE"/>
                </w:rPr>
                <w:t>Condensed Balance Sheets as of December 31, 2019 and June 30, 2020</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F-27</w:t>
            </w:r>
          </w:p>
        </w:tc>
        <w:tc>
          <w:tcPr>
            <w:tcW w:w="0" w:type="dxa"/>
            <w:vAlign w:val="bottom"/>
          </w:tcPr>
          <w:p>
            <w:pPr>
              <w:spacing w:after="0"/>
              <w:rPr>
                <w:sz w:val="1"/>
                <w:szCs w:val="1"/>
                <w:color w:val="auto"/>
              </w:rPr>
            </w:pPr>
          </w:p>
        </w:tc>
      </w:tr>
      <w:tr>
        <w:trPr>
          <w:trHeight w:val="203"/>
        </w:trPr>
        <w:tc>
          <w:tcPr>
            <w:tcW w:w="10520" w:type="dxa"/>
            <w:vAlign w:val="bottom"/>
            <w:gridSpan w:val="5"/>
          </w:tcPr>
          <w:p>
            <w:pPr>
              <w:ind w:left="480"/>
              <w:spacing w:after="0" w:line="202" w:lineRule="exact"/>
              <w:rPr>
                <w:rFonts w:ascii="Arial" w:cs="Arial" w:eastAsia="Arial" w:hAnsi="Arial"/>
                <w:sz w:val="18"/>
                <w:szCs w:val="18"/>
                <w:u w:val="single" w:color="auto"/>
                <w:color w:val="0000EE"/>
              </w:rPr>
            </w:pPr>
            <w:hyperlink w:anchor="page238">
              <w:r>
                <w:rPr>
                  <w:rFonts w:ascii="Arial" w:cs="Arial" w:eastAsia="Arial" w:hAnsi="Arial"/>
                  <w:sz w:val="18"/>
                  <w:szCs w:val="18"/>
                  <w:u w:val="single" w:color="auto"/>
                  <w:color w:val="0000EE"/>
                </w:rPr>
                <w:t>Condensed Statements of Operations and Comprehensive Loss for the Six Months Ended June 30, 2019 and 2020</w:t>
              </w:r>
            </w:hyperlink>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F-28</w:t>
            </w:r>
          </w:p>
        </w:tc>
        <w:tc>
          <w:tcPr>
            <w:tcW w:w="0" w:type="dxa"/>
            <w:vAlign w:val="bottom"/>
          </w:tcPr>
          <w:p>
            <w:pPr>
              <w:spacing w:after="0"/>
              <w:rPr>
                <w:sz w:val="1"/>
                <w:szCs w:val="1"/>
                <w:color w:val="auto"/>
              </w:rPr>
            </w:pPr>
          </w:p>
        </w:tc>
      </w:tr>
      <w:tr>
        <w:trPr>
          <w:trHeight w:val="198"/>
        </w:trPr>
        <w:tc>
          <w:tcPr>
            <w:tcW w:w="10520" w:type="dxa"/>
            <w:vAlign w:val="bottom"/>
            <w:gridSpan w:val="5"/>
          </w:tcPr>
          <w:p>
            <w:pPr>
              <w:ind w:left="480"/>
              <w:spacing w:after="0" w:line="198" w:lineRule="exact"/>
              <w:rPr>
                <w:rFonts w:ascii="Arial" w:cs="Arial" w:eastAsia="Arial" w:hAnsi="Arial"/>
                <w:sz w:val="18"/>
                <w:szCs w:val="18"/>
                <w:color w:val="0000EE"/>
              </w:rPr>
            </w:pPr>
            <w:hyperlink w:anchor="page239">
              <w:r>
                <w:rPr>
                  <w:rFonts w:ascii="Arial" w:cs="Arial" w:eastAsia="Arial" w:hAnsi="Arial"/>
                  <w:sz w:val="18"/>
                  <w:szCs w:val="18"/>
                  <w:color w:val="0000EE"/>
                </w:rPr>
                <w:t>Condensed Statements of Convertible Preferred Stock and Stockholders’ (Deficit) Equity for the Six Months Ended June 30,</w:t>
              </w:r>
            </w:hyperlink>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F-29</w:t>
            </w:r>
          </w:p>
        </w:tc>
        <w:tc>
          <w:tcPr>
            <w:tcW w:w="0" w:type="dxa"/>
            <w:vAlign w:val="bottom"/>
          </w:tcPr>
          <w:p>
            <w:pPr>
              <w:spacing w:after="0"/>
              <w:rPr>
                <w:sz w:val="1"/>
                <w:szCs w:val="1"/>
                <w:color w:val="auto"/>
              </w:rPr>
            </w:pPr>
          </w:p>
        </w:tc>
      </w:tr>
      <w:tr>
        <w:trPr>
          <w:trHeight w:val="183"/>
        </w:trPr>
        <w:tc>
          <w:tcPr>
            <w:tcW w:w="4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20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8"/>
              </w:rPr>
            </w:pPr>
            <w:hyperlink w:anchor="page239">
              <w:r>
                <w:rPr>
                  <w:rFonts w:ascii="Arial" w:cs="Arial" w:eastAsia="Arial" w:hAnsi="Arial"/>
                  <w:sz w:val="18"/>
                  <w:szCs w:val="18"/>
                  <w:color w:val="0000EE"/>
                  <w:w w:val="98"/>
                </w:rPr>
                <w:t>2019 and 2020</w:t>
              </w:r>
            </w:hyperlink>
          </w:p>
        </w:tc>
        <w:tc>
          <w:tcPr>
            <w:tcW w:w="8460" w:type="dxa"/>
            <w:vAlign w:val="bottom"/>
            <w:tcBorders>
              <w:top w:val="single" w:sz="8" w:color="0000EE"/>
            </w:tcBorders>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660" w:type="dxa"/>
            <w:vAlign w:val="bottom"/>
            <w:gridSpan w:val="2"/>
          </w:tcPr>
          <w:p>
            <w:pPr>
              <w:spacing w:after="0"/>
              <w:rPr>
                <w:sz w:val="16"/>
                <w:szCs w:val="16"/>
                <w:color w:val="auto"/>
              </w:rPr>
            </w:pPr>
          </w:p>
        </w:tc>
        <w:tc>
          <w:tcPr>
            <w:tcW w:w="9860" w:type="dxa"/>
            <w:vAlign w:val="bottom"/>
            <w:gridSpan w:val="3"/>
          </w:tcPr>
          <w:p>
            <w:pPr>
              <w:spacing w:after="0" w:line="187" w:lineRule="exact"/>
              <w:rPr>
                <w:rFonts w:ascii="Arial" w:cs="Arial" w:eastAsia="Arial" w:hAnsi="Arial"/>
                <w:sz w:val="18"/>
                <w:szCs w:val="18"/>
                <w:u w:val="single" w:color="auto"/>
                <w:color w:val="0000EE"/>
              </w:rPr>
            </w:pPr>
            <w:hyperlink w:anchor="page240">
              <w:r>
                <w:rPr>
                  <w:rFonts w:ascii="Arial" w:cs="Arial" w:eastAsia="Arial" w:hAnsi="Arial"/>
                  <w:sz w:val="18"/>
                  <w:szCs w:val="18"/>
                  <w:u w:val="single" w:color="auto"/>
                  <w:color w:val="0000EE"/>
                </w:rPr>
                <w:t>Condensed Statements of Cash Flows for the Six Months Ended June 30, 2019 and 2020</w:t>
              </w:r>
            </w:hyperlink>
          </w:p>
        </w:tc>
        <w:tc>
          <w:tcPr>
            <w:tcW w:w="540" w:type="dxa"/>
            <w:vAlign w:val="bottom"/>
          </w:tcPr>
          <w:p>
            <w:pPr>
              <w:jc w:val="right"/>
              <w:spacing w:after="0" w:line="187" w:lineRule="exact"/>
              <w:rPr>
                <w:sz w:val="20"/>
                <w:szCs w:val="20"/>
                <w:color w:val="auto"/>
              </w:rPr>
            </w:pPr>
            <w:r>
              <w:rPr>
                <w:rFonts w:ascii="Arial" w:cs="Arial" w:eastAsia="Arial" w:hAnsi="Arial"/>
                <w:sz w:val="18"/>
                <w:szCs w:val="18"/>
                <w:color w:val="auto"/>
              </w:rPr>
              <w:t>F-30</w:t>
            </w:r>
          </w:p>
        </w:tc>
        <w:tc>
          <w:tcPr>
            <w:tcW w:w="0" w:type="dxa"/>
            <w:vAlign w:val="bottom"/>
          </w:tcPr>
          <w:p>
            <w:pPr>
              <w:spacing w:after="0"/>
              <w:rPr>
                <w:sz w:val="1"/>
                <w:szCs w:val="1"/>
                <w:color w:val="auto"/>
              </w:rPr>
            </w:pPr>
          </w:p>
        </w:tc>
      </w:tr>
      <w:tr>
        <w:trPr>
          <w:trHeight w:val="243"/>
        </w:trPr>
        <w:tc>
          <w:tcPr>
            <w:tcW w:w="10520" w:type="dxa"/>
            <w:vAlign w:val="bottom"/>
            <w:gridSpan w:val="5"/>
          </w:tcPr>
          <w:p>
            <w:pPr>
              <w:ind w:left="480"/>
              <w:spacing w:after="0"/>
              <w:rPr>
                <w:rFonts w:ascii="Arial" w:cs="Arial" w:eastAsia="Arial" w:hAnsi="Arial"/>
                <w:sz w:val="18"/>
                <w:szCs w:val="18"/>
                <w:u w:val="single" w:color="auto"/>
                <w:color w:val="0000EE"/>
              </w:rPr>
            </w:pPr>
            <w:hyperlink w:anchor="page241">
              <w:r>
                <w:rPr>
                  <w:rFonts w:ascii="Arial" w:cs="Arial" w:eastAsia="Arial" w:hAnsi="Arial"/>
                  <w:sz w:val="18"/>
                  <w:szCs w:val="18"/>
                  <w:u w:val="single" w:color="auto"/>
                  <w:color w:val="0000EE"/>
                </w:rPr>
                <w:t>Notes to Condensed Financial Statements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F-31</w:t>
            </w:r>
          </w:p>
        </w:tc>
        <w:tc>
          <w:tcPr>
            <w:tcW w:w="0" w:type="dxa"/>
            <w:vAlign w:val="bottom"/>
          </w:tcPr>
          <w:p>
            <w:pPr>
              <w:spacing w:after="0"/>
              <w:rPr>
                <w:sz w:val="1"/>
                <w:szCs w:val="1"/>
                <w:color w:val="auto"/>
              </w:rPr>
            </w:pPr>
          </w:p>
        </w:tc>
      </w:tr>
      <w:tr>
        <w:trPr>
          <w:trHeight w:val="351"/>
        </w:trPr>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660" w:type="dxa"/>
            <w:vAlign w:val="bottom"/>
            <w:gridSpan w:val="2"/>
          </w:tcPr>
          <w:p>
            <w:pPr>
              <w:jc w:val="center"/>
              <w:ind w:right="1140"/>
              <w:spacing w:after="0"/>
              <w:rPr>
                <w:sz w:val="20"/>
                <w:szCs w:val="20"/>
                <w:color w:val="auto"/>
              </w:rPr>
            </w:pPr>
            <w:r>
              <w:rPr>
                <w:rFonts w:ascii="Arial" w:cs="Arial" w:eastAsia="Arial" w:hAnsi="Arial"/>
                <w:sz w:val="18"/>
                <w:szCs w:val="18"/>
                <w:color w:val="auto"/>
              </w:rPr>
              <w:t>F-1</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60"/>
          </w:cols>
          <w:pgMar w:left="320" w:top="455" w:right="51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bookmarkStart w:id="211" w:name="page212"/>
    <w:bookmarkEnd w:id="2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 PMV Pharmaceuticals, Inc.</w:t>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06" w:lineRule="exact"/>
        <w:rPr>
          <w:sz w:val="20"/>
          <w:szCs w:val="20"/>
          <w:color w:val="auto"/>
        </w:rPr>
      </w:pPr>
    </w:p>
    <w:p>
      <w:pPr>
        <w:ind w:left="120" w:right="20" w:firstLine="551"/>
        <w:spacing w:after="0" w:line="245" w:lineRule="auto"/>
        <w:rPr>
          <w:sz w:val="20"/>
          <w:szCs w:val="20"/>
          <w:color w:val="auto"/>
        </w:rPr>
      </w:pPr>
      <w:r>
        <w:rPr>
          <w:rFonts w:ascii="Arial" w:cs="Arial" w:eastAsia="Arial" w:hAnsi="Arial"/>
          <w:sz w:val="18"/>
          <w:szCs w:val="18"/>
          <w:color w:val="auto"/>
        </w:rPr>
        <w:t>We have audited the accompanying balance sheets of PMV Pharmaceuticals, Inc. (the Company) as of December 31, 2018 and 2019, the related statements of operations and comprehensive loss, changes in convertible preferred stock and stockholders’ deficit and cash flows for the years then ended, and the related notes (collectively referred to as the “financial statements”). In our opinion, the financial statements present fairly, in all material respects, the financial position of the Company at December 31, 2018 and 2019, and the results of its operations and its cash flows for the years then ended, in conformity with U.S. generally accepted accounting principles.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06" w:lineRule="exact"/>
        <w:rPr>
          <w:sz w:val="20"/>
          <w:szCs w:val="20"/>
          <w:color w:val="auto"/>
        </w:rPr>
      </w:pPr>
    </w:p>
    <w:p>
      <w:pPr>
        <w:ind w:left="120" w:right="20" w:firstLine="551"/>
        <w:spacing w:after="0" w:line="248"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0" w:lineRule="exact"/>
        <w:rPr>
          <w:sz w:val="20"/>
          <w:szCs w:val="20"/>
          <w:color w:val="auto"/>
        </w:rPr>
      </w:pPr>
    </w:p>
    <w:p>
      <w:pPr>
        <w:ind w:left="120" w:right="160" w:firstLine="551"/>
        <w:spacing w:after="0" w:line="24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2017.</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Philadelphia, Pennsylvania</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June 26, 2020</w:t>
      </w:r>
    </w:p>
    <w:p>
      <w:pPr>
        <w:spacing w:after="0" w:line="1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060"/>
          </w:cols>
          <w:pgMar w:left="320" w:top="455" w:right="519" w:bottom="1440" w:gutter="0" w:footer="0" w:header="0"/>
        </w:sectPr>
      </w:pPr>
    </w:p>
    <w:bookmarkStart w:id="212" w:name="page213"/>
    <w:bookmarkEnd w:id="2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Balance Sheets</w:t>
      </w: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As of</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62"/>
        </w:trPr>
        <w:tc>
          <w:tcPr>
            <w:tcW w:w="83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7"/>
        </w:trPr>
        <w:tc>
          <w:tcPr>
            <w:tcW w:w="83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30,307</w:t>
            </w:r>
          </w:p>
        </w:tc>
        <w:tc>
          <w:tcPr>
            <w:tcW w:w="48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73,278</w:t>
            </w:r>
          </w:p>
        </w:tc>
        <w:tc>
          <w:tcPr>
            <w:tcW w:w="0" w:type="dxa"/>
            <w:vAlign w:val="bottom"/>
          </w:tcPr>
          <w:p>
            <w:pPr>
              <w:spacing w:after="0"/>
              <w:rPr>
                <w:sz w:val="1"/>
                <w:szCs w:val="1"/>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Short-term marketable securities</w:t>
            </w:r>
          </w:p>
        </w:tc>
        <w:tc>
          <w:tcPr>
            <w:tcW w:w="200" w:type="dxa"/>
            <w:vAlign w:val="bottom"/>
          </w:tcPr>
          <w:p>
            <w:pPr>
              <w:spacing w:after="0"/>
              <w:rPr>
                <w:sz w:val="17"/>
                <w:szCs w:val="17"/>
                <w:color w:val="auto"/>
              </w:rPr>
            </w:pP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31,600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28,208</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332</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09"/>
        </w:trPr>
        <w:tc>
          <w:tcPr>
            <w:tcW w:w="836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62,239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1,018</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10"/>
        </w:trPr>
        <w:tc>
          <w:tcPr>
            <w:tcW w:w="8360" w:type="dxa"/>
            <w:vAlign w:val="bottom"/>
          </w:tcPr>
          <w:p>
            <w:pPr>
              <w:spacing w:after="0" w:line="202" w:lineRule="exact"/>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201</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63,458</w:t>
            </w:r>
          </w:p>
        </w:tc>
        <w:tc>
          <w:tcPr>
            <w:tcW w:w="48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103,033</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Liabilities, Convertible Preferred Stock, and Stockholders’ Deficit</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Accounts payable</w:t>
            </w: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1,038</w:t>
            </w:r>
          </w:p>
        </w:tc>
        <w:tc>
          <w:tcPr>
            <w:tcW w:w="48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2,837</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Accrued expenses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1,289</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09"/>
        </w:trPr>
        <w:tc>
          <w:tcPr>
            <w:tcW w:w="836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2,327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7"/>
        </w:trPr>
        <w:tc>
          <w:tcPr>
            <w:tcW w:w="8360" w:type="dxa"/>
            <w:vAlign w:val="bottom"/>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(see Note 6)</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0"/>
        </w:trPr>
        <w:tc>
          <w:tcPr>
            <w:tcW w:w="8360" w:type="dxa"/>
            <w:vAlign w:val="bottom"/>
          </w:tcPr>
          <w:p>
            <w:pPr>
              <w:spacing w:after="0" w:line="180" w:lineRule="exact"/>
              <w:rPr>
                <w:sz w:val="20"/>
                <w:szCs w:val="20"/>
                <w:color w:val="auto"/>
              </w:rPr>
            </w:pPr>
            <w:r>
              <w:rPr>
                <w:rFonts w:ascii="Arial" w:cs="Arial" w:eastAsia="Arial" w:hAnsi="Arial"/>
                <w:sz w:val="18"/>
                <w:szCs w:val="18"/>
                <w:color w:val="auto"/>
              </w:rPr>
              <w:t>Convertible preferred stock, accumulated liquidation value of $107,512 and $169,385 at</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8360" w:type="dxa"/>
            <w:vAlign w:val="bottom"/>
          </w:tcPr>
          <w:p>
            <w:pPr>
              <w:ind w:left="180"/>
              <w:spacing w:after="0"/>
              <w:rPr>
                <w:sz w:val="20"/>
                <w:szCs w:val="20"/>
                <w:color w:val="auto"/>
              </w:rPr>
            </w:pPr>
            <w:r>
              <w:rPr>
                <w:rFonts w:ascii="Arial" w:cs="Arial" w:eastAsia="Arial" w:hAnsi="Arial"/>
                <w:sz w:val="18"/>
                <w:szCs w:val="18"/>
                <w:color w:val="auto"/>
              </w:rPr>
              <w:t>December 31, 2018 and 2019, respectively (see Note 7)</w:t>
            </w:r>
          </w:p>
        </w:tc>
        <w:tc>
          <w:tcPr>
            <w:tcW w:w="2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107,228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168,933</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deficit:</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360" w:type="dxa"/>
            <w:vAlign w:val="bottom"/>
          </w:tcPr>
          <w:p>
            <w:pPr>
              <w:ind w:left="360"/>
              <w:spacing w:after="0" w:line="180" w:lineRule="exact"/>
              <w:rPr>
                <w:sz w:val="20"/>
                <w:szCs w:val="20"/>
                <w:color w:val="auto"/>
              </w:rPr>
            </w:pPr>
            <w:r>
              <w:rPr>
                <w:rFonts w:ascii="Arial" w:cs="Arial" w:eastAsia="Arial" w:hAnsi="Arial"/>
                <w:sz w:val="18"/>
                <w:szCs w:val="18"/>
                <w:color w:val="auto"/>
              </w:rPr>
              <w:t>Common stock, $0.00001 par value, 130,000,000 and 175,068,944 shares authorized;</w:t>
            </w: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540"/>
              <w:spacing w:after="0" w:line="202" w:lineRule="exact"/>
              <w:rPr>
                <w:sz w:val="20"/>
                <w:szCs w:val="20"/>
                <w:color w:val="auto"/>
              </w:rPr>
            </w:pPr>
            <w:r>
              <w:rPr>
                <w:rFonts w:ascii="Arial" w:cs="Arial" w:eastAsia="Arial" w:hAnsi="Arial"/>
                <w:sz w:val="18"/>
                <w:szCs w:val="18"/>
                <w:color w:val="auto"/>
              </w:rPr>
              <w:t>15,860,018 and 16,038,590 shares issued and outstanding at December 31, 2018 and</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8360" w:type="dxa"/>
            <w:vAlign w:val="bottom"/>
          </w:tcPr>
          <w:p>
            <w:pPr>
              <w:ind w:left="540"/>
              <w:spacing w:after="0"/>
              <w:rPr>
                <w:sz w:val="20"/>
                <w:szCs w:val="20"/>
                <w:color w:val="auto"/>
              </w:rPr>
            </w:pPr>
            <w:r>
              <w:rPr>
                <w:rFonts w:ascii="Arial" w:cs="Arial" w:eastAsia="Arial" w:hAnsi="Arial"/>
                <w:sz w:val="18"/>
                <w:szCs w:val="18"/>
                <w:color w:val="auto"/>
              </w:rPr>
              <w:t>2019, respectively</w:t>
            </w:r>
          </w:p>
        </w:tc>
        <w:tc>
          <w:tcPr>
            <w:tcW w:w="200" w:type="dxa"/>
            <w:vAlign w:val="bottom"/>
          </w:tcPr>
          <w:p>
            <w:pPr>
              <w:spacing w:after="0"/>
              <w:rPr>
                <w:sz w:val="19"/>
                <w:szCs w:val="19"/>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3,961</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4,969</w:t>
            </w:r>
          </w:p>
        </w:tc>
        <w:tc>
          <w:tcPr>
            <w:tcW w:w="0" w:type="dxa"/>
            <w:vAlign w:val="bottom"/>
          </w:tcPr>
          <w:p>
            <w:pPr>
              <w:spacing w:after="0"/>
              <w:rPr>
                <w:sz w:val="1"/>
                <w:szCs w:val="1"/>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Accumulated deficit</w:t>
            </w:r>
          </w:p>
        </w:tc>
        <w:tc>
          <w:tcPr>
            <w:tcW w:w="200" w:type="dxa"/>
            <w:vAlign w:val="bottom"/>
          </w:tcPr>
          <w:p>
            <w:pPr>
              <w:spacing w:after="0"/>
              <w:rPr>
                <w:sz w:val="17"/>
                <w:szCs w:val="17"/>
                <w:color w:val="auto"/>
              </w:rPr>
            </w:pPr>
          </w:p>
        </w:tc>
        <w:tc>
          <w:tcPr>
            <w:tcW w:w="110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(50,088)</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(75,440)</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other comprehensive loss</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7"/>
        </w:trPr>
        <w:tc>
          <w:tcPr>
            <w:tcW w:w="8360" w:type="dxa"/>
            <w:vAlign w:val="bottom"/>
          </w:tcPr>
          <w:p>
            <w:pPr>
              <w:ind w:left="720"/>
              <w:spacing w:after="0"/>
              <w:rPr>
                <w:sz w:val="20"/>
                <w:szCs w:val="20"/>
                <w:color w:val="auto"/>
              </w:rPr>
            </w:pPr>
            <w:r>
              <w:rPr>
                <w:rFonts w:ascii="Arial" w:cs="Arial" w:eastAsia="Arial" w:hAnsi="Arial"/>
                <w:sz w:val="18"/>
                <w:szCs w:val="18"/>
                <w:color w:val="auto"/>
              </w:rPr>
              <w:t>Total stockholders’ deficit</w:t>
            </w: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(46,140)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 convertible preferred stock, and stockholders’ deficit</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63,458</w:t>
            </w:r>
          </w:p>
        </w:tc>
        <w:tc>
          <w:tcPr>
            <w:tcW w:w="48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103,033</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40"/>
          </w:cols>
          <w:pgMar w:left="320" w:top="455" w:right="439" w:bottom="1440" w:gutter="0" w:footer="0" w:header="0"/>
        </w:sectPr>
      </w:pPr>
    </w:p>
    <w:bookmarkStart w:id="213" w:name="page214"/>
    <w:bookmarkEnd w:id="2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Statements of Operations and Comprehensive Loss</w:t>
      </w:r>
    </w:p>
    <w:p>
      <w:pPr>
        <w:ind w:left="34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2"/>
          </w:tcPr>
          <w:p>
            <w:pPr>
              <w:jc w:val="center"/>
              <w:ind w:right="841"/>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6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20" w:type="dxa"/>
            <w:vAlign w:val="bottom"/>
            <w:gridSpan w:val="3"/>
          </w:tcPr>
          <w:p>
            <w:pPr>
              <w:jc w:val="center"/>
              <w:ind w:right="721"/>
              <w:spacing w:after="0"/>
              <w:rPr>
                <w:sz w:val="20"/>
                <w:szCs w:val="20"/>
                <w:color w:val="auto"/>
              </w:rPr>
            </w:pPr>
            <w:r>
              <w:rPr>
                <w:rFonts w:ascii="Arial" w:cs="Arial" w:eastAsia="Arial" w:hAnsi="Arial"/>
                <w:sz w:val="14"/>
                <w:szCs w:val="14"/>
                <w:b w:val="1"/>
                <w:bCs w:val="1"/>
                <w:color w:val="auto"/>
              </w:rPr>
              <w:t>December 31,</w:t>
            </w: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692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rPr>
              <w:t>2018</w:t>
            </w:r>
          </w:p>
        </w:tc>
        <w:tc>
          <w:tcPr>
            <w:tcW w:w="8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83"/>
        </w:trPr>
        <w:tc>
          <w:tcPr>
            <w:tcW w:w="69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Expenses:</w:t>
            </w: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692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721"/>
              <w:spacing w:after="0" w:line="202" w:lineRule="exact"/>
              <w:rPr>
                <w:sz w:val="20"/>
                <w:szCs w:val="20"/>
                <w:color w:val="auto"/>
              </w:rPr>
            </w:pPr>
            <w:r>
              <w:rPr>
                <w:rFonts w:ascii="Arial" w:cs="Arial" w:eastAsia="Arial" w:hAnsi="Arial"/>
                <w:sz w:val="18"/>
                <w:szCs w:val="18"/>
                <w:color w:val="auto"/>
              </w:rPr>
              <w:t>13,853</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20,759</w:t>
            </w:r>
          </w:p>
        </w:tc>
      </w:tr>
      <w:tr>
        <w:trPr>
          <w:trHeight w:val="203"/>
        </w:trPr>
        <w:tc>
          <w:tcPr>
            <w:tcW w:w="69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721"/>
              <w:spacing w:after="0" w:line="202" w:lineRule="exact"/>
              <w:rPr>
                <w:sz w:val="20"/>
                <w:szCs w:val="20"/>
                <w:color w:val="auto"/>
              </w:rPr>
            </w:pPr>
            <w:r>
              <w:rPr>
                <w:rFonts w:ascii="Arial" w:cs="Arial" w:eastAsia="Arial" w:hAnsi="Arial"/>
                <w:sz w:val="18"/>
                <w:szCs w:val="18"/>
                <w:color w:val="auto"/>
              </w:rPr>
              <w:t>5,039</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5,878</w:t>
            </w:r>
          </w:p>
        </w:tc>
      </w:tr>
      <w:tr>
        <w:trPr>
          <w:trHeight w:val="217"/>
        </w:trPr>
        <w:tc>
          <w:tcPr>
            <w:tcW w:w="69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0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18,892</w:t>
            </w:r>
          </w:p>
        </w:tc>
        <w:tc>
          <w:tcPr>
            <w:tcW w:w="8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26,637</w:t>
            </w:r>
          </w:p>
        </w:tc>
        <w:tc>
          <w:tcPr>
            <w:tcW w:w="120" w:type="dxa"/>
            <w:vAlign w:val="bottom"/>
          </w:tcPr>
          <w:p>
            <w:pPr>
              <w:spacing w:after="0"/>
              <w:rPr>
                <w:sz w:val="18"/>
                <w:szCs w:val="18"/>
                <w:color w:val="auto"/>
              </w:rPr>
            </w:pPr>
          </w:p>
        </w:tc>
      </w:tr>
      <w:tr>
        <w:trPr>
          <w:trHeight w:val="203"/>
        </w:trPr>
        <w:tc>
          <w:tcPr>
            <w:tcW w:w="69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Loss from operations</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661"/>
              <w:spacing w:after="0" w:line="202" w:lineRule="exact"/>
              <w:rPr>
                <w:sz w:val="20"/>
                <w:szCs w:val="20"/>
                <w:color w:val="auto"/>
              </w:rPr>
            </w:pPr>
            <w:r>
              <w:rPr>
                <w:rFonts w:ascii="Arial" w:cs="Arial" w:eastAsia="Arial" w:hAnsi="Arial"/>
                <w:sz w:val="18"/>
                <w:szCs w:val="18"/>
                <w:color w:val="auto"/>
              </w:rPr>
              <w:t>(18,892)</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(26,637)</w:t>
            </w:r>
          </w:p>
        </w:tc>
      </w:tr>
      <w:tr>
        <w:trPr>
          <w:trHeight w:val="203"/>
        </w:trPr>
        <w:tc>
          <w:tcPr>
            <w:tcW w:w="6920" w:type="dxa"/>
            <w:vAlign w:val="bottom"/>
          </w:tcPr>
          <w:p>
            <w:pPr>
              <w:spacing w:after="0" w:line="202" w:lineRule="exact"/>
              <w:rPr>
                <w:sz w:val="20"/>
                <w:szCs w:val="20"/>
                <w:color w:val="auto"/>
              </w:rPr>
            </w:pPr>
            <w:r>
              <w:rPr>
                <w:rFonts w:ascii="Arial" w:cs="Arial" w:eastAsia="Arial" w:hAnsi="Arial"/>
                <w:sz w:val="18"/>
                <w:szCs w:val="18"/>
                <w:color w:val="auto"/>
              </w:rPr>
              <w:t>Other income (expense):</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income, net</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721"/>
              <w:spacing w:after="0" w:line="202" w:lineRule="exact"/>
              <w:rPr>
                <w:sz w:val="20"/>
                <w:szCs w:val="20"/>
                <w:color w:val="auto"/>
              </w:rPr>
            </w:pPr>
            <w:r>
              <w:rPr>
                <w:rFonts w:ascii="Arial" w:cs="Arial" w:eastAsia="Arial" w:hAnsi="Arial"/>
                <w:sz w:val="18"/>
                <w:szCs w:val="18"/>
                <w:color w:val="auto"/>
              </w:rPr>
              <w:t>1,341</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1,301</w:t>
            </w:r>
          </w:p>
        </w:tc>
      </w:tr>
      <w:tr>
        <w:trPr>
          <w:trHeight w:val="203"/>
        </w:trPr>
        <w:tc>
          <w:tcPr>
            <w:tcW w:w="6920" w:type="dxa"/>
            <w:vAlign w:val="bottom"/>
          </w:tcPr>
          <w:p>
            <w:pPr>
              <w:ind w:left="360"/>
              <w:spacing w:after="0" w:line="202" w:lineRule="exact"/>
              <w:rPr>
                <w:sz w:val="20"/>
                <w:szCs w:val="20"/>
                <w:color w:val="auto"/>
              </w:rPr>
            </w:pPr>
            <w:r>
              <w:rPr>
                <w:rFonts w:ascii="Arial" w:cs="Arial" w:eastAsia="Arial" w:hAnsi="Arial"/>
                <w:sz w:val="18"/>
                <w:szCs w:val="18"/>
                <w:color w:val="auto"/>
              </w:rPr>
              <w:t>Other income (expense)</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721"/>
              <w:spacing w:after="0" w:line="202" w:lineRule="exact"/>
              <w:rPr>
                <w:sz w:val="20"/>
                <w:szCs w:val="20"/>
                <w:color w:val="auto"/>
              </w:rPr>
            </w:pPr>
            <w:r>
              <w:rPr>
                <w:rFonts w:ascii="Arial" w:cs="Arial" w:eastAsia="Arial" w:hAnsi="Arial"/>
                <w:sz w:val="18"/>
                <w:szCs w:val="18"/>
                <w:color w:val="auto"/>
              </w:rPr>
              <w:t>16</w:t>
            </w:r>
          </w:p>
        </w:tc>
        <w:tc>
          <w:tcPr>
            <w:tcW w:w="12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w:t>
            </w:r>
          </w:p>
        </w:tc>
      </w:tr>
      <w:tr>
        <w:trPr>
          <w:trHeight w:val="27"/>
        </w:trPr>
        <w:tc>
          <w:tcPr>
            <w:tcW w:w="6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692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Total other income (expense)</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721"/>
              <w:spacing w:after="0" w:line="202" w:lineRule="exact"/>
              <w:rPr>
                <w:sz w:val="20"/>
                <w:szCs w:val="20"/>
                <w:color w:val="auto"/>
              </w:rPr>
            </w:pPr>
            <w:r>
              <w:rPr>
                <w:rFonts w:ascii="Arial" w:cs="Arial" w:eastAsia="Arial" w:hAnsi="Arial"/>
                <w:sz w:val="18"/>
                <w:szCs w:val="18"/>
                <w:color w:val="auto"/>
              </w:rPr>
              <w:t>1,357</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1,293</w:t>
            </w:r>
          </w:p>
        </w:tc>
      </w:tr>
      <w:tr>
        <w:trPr>
          <w:trHeight w:val="210"/>
        </w:trPr>
        <w:tc>
          <w:tcPr>
            <w:tcW w:w="6920" w:type="dxa"/>
            <w:vAlign w:val="bottom"/>
          </w:tcPr>
          <w:p>
            <w:pPr>
              <w:ind w:left="360"/>
              <w:spacing w:after="0"/>
              <w:rPr>
                <w:sz w:val="20"/>
                <w:szCs w:val="20"/>
                <w:color w:val="auto"/>
              </w:rPr>
            </w:pPr>
            <w:r>
              <w:rPr>
                <w:rFonts w:ascii="Arial" w:cs="Arial" w:eastAsia="Arial" w:hAnsi="Arial"/>
                <w:sz w:val="18"/>
                <w:szCs w:val="18"/>
                <w:color w:val="auto"/>
              </w:rPr>
              <w:t>Loss before provision for income taxes</w:t>
            </w:r>
          </w:p>
        </w:tc>
        <w:tc>
          <w:tcPr>
            <w:tcW w:w="10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(17,535)</w:t>
            </w:r>
          </w:p>
        </w:tc>
        <w:tc>
          <w:tcPr>
            <w:tcW w:w="8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(25,344)</w:t>
            </w:r>
          </w:p>
        </w:tc>
        <w:tc>
          <w:tcPr>
            <w:tcW w:w="120" w:type="dxa"/>
            <w:vAlign w:val="bottom"/>
          </w:tcPr>
          <w:p>
            <w:pPr>
              <w:spacing w:after="0"/>
              <w:rPr>
                <w:sz w:val="18"/>
                <w:szCs w:val="18"/>
                <w:color w:val="auto"/>
              </w:rPr>
            </w:pPr>
          </w:p>
        </w:tc>
      </w:tr>
      <w:tr>
        <w:trPr>
          <w:trHeight w:val="203"/>
        </w:trPr>
        <w:tc>
          <w:tcPr>
            <w:tcW w:w="69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Provision for income taxes</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721"/>
              <w:spacing w:after="0" w:line="202" w:lineRule="exact"/>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w:t>
            </w:r>
          </w:p>
        </w:tc>
      </w:tr>
      <w:tr>
        <w:trPr>
          <w:trHeight w:val="209"/>
        </w:trPr>
        <w:tc>
          <w:tcPr>
            <w:tcW w:w="692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0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(17,538)</w:t>
            </w:r>
          </w:p>
        </w:tc>
        <w:tc>
          <w:tcPr>
            <w:tcW w:w="8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(25,352)</w:t>
            </w:r>
          </w:p>
        </w:tc>
        <w:tc>
          <w:tcPr>
            <w:tcW w:w="120" w:type="dxa"/>
            <w:vAlign w:val="bottom"/>
          </w:tcPr>
          <w:p>
            <w:pPr>
              <w:spacing w:after="0"/>
              <w:rPr>
                <w:sz w:val="18"/>
                <w:szCs w:val="18"/>
                <w:color w:val="auto"/>
              </w:rPr>
            </w:pPr>
          </w:p>
        </w:tc>
      </w:tr>
      <w:tr>
        <w:trPr>
          <w:trHeight w:val="203"/>
        </w:trPr>
        <w:tc>
          <w:tcPr>
            <w:tcW w:w="69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Unrealized gains on marketable securities, net of tax</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721"/>
              <w:spacing w:after="0" w:line="202" w:lineRule="exact"/>
              <w:rPr>
                <w:sz w:val="20"/>
                <w:szCs w:val="20"/>
                <w:color w:val="auto"/>
              </w:rPr>
            </w:pPr>
            <w:r>
              <w:rPr>
                <w:rFonts w:ascii="Arial" w:cs="Arial" w:eastAsia="Arial" w:hAnsi="Arial"/>
                <w:sz w:val="18"/>
                <w:szCs w:val="18"/>
                <w:color w:val="auto"/>
              </w:rPr>
              <w:t>52</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10</w:t>
            </w:r>
          </w:p>
        </w:tc>
      </w:tr>
      <w:tr>
        <w:trPr>
          <w:trHeight w:val="209"/>
        </w:trPr>
        <w:tc>
          <w:tcPr>
            <w:tcW w:w="6920" w:type="dxa"/>
            <w:vAlign w:val="bottom"/>
          </w:tcPr>
          <w:p>
            <w:pPr>
              <w:ind w:left="360"/>
              <w:spacing w:after="0"/>
              <w:rPr>
                <w:sz w:val="20"/>
                <w:szCs w:val="20"/>
                <w:color w:val="auto"/>
              </w:rPr>
            </w:pPr>
            <w:r>
              <w:rPr>
                <w:rFonts w:ascii="Arial" w:cs="Arial" w:eastAsia="Arial" w:hAnsi="Arial"/>
                <w:sz w:val="18"/>
                <w:szCs w:val="18"/>
                <w:color w:val="auto"/>
              </w:rPr>
              <w:t>Comprehensive loss</w:t>
            </w:r>
          </w:p>
        </w:tc>
        <w:tc>
          <w:tcPr>
            <w:tcW w:w="10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(17,486</w:t>
            </w:r>
          </w:p>
        </w:tc>
        <w:tc>
          <w:tcPr>
            <w:tcW w:w="800" w:type="dxa"/>
            <w:vAlign w:val="bottom"/>
          </w:tcPr>
          <w:p>
            <w:pPr>
              <w:jc w:val="right"/>
              <w:ind w:right="66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(25,342)</w:t>
            </w:r>
          </w:p>
        </w:tc>
        <w:tc>
          <w:tcPr>
            <w:tcW w:w="120" w:type="dxa"/>
            <w:vAlign w:val="bottom"/>
          </w:tcPr>
          <w:p>
            <w:pPr>
              <w:spacing w:after="0"/>
              <w:rPr>
                <w:sz w:val="18"/>
                <w:szCs w:val="18"/>
                <w:color w:val="auto"/>
              </w:rPr>
            </w:pPr>
          </w:p>
        </w:tc>
      </w:tr>
      <w:tr>
        <w:trPr>
          <w:trHeight w:val="20"/>
        </w:trPr>
        <w:tc>
          <w:tcPr>
            <w:tcW w:w="69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692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Net loss per share—basic and diluted</w:t>
            </w:r>
          </w:p>
        </w:tc>
        <w:tc>
          <w:tcPr>
            <w:tcW w:w="11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661"/>
              <w:spacing w:after="0" w:line="196" w:lineRule="exact"/>
              <w:rPr>
                <w:sz w:val="20"/>
                <w:szCs w:val="20"/>
                <w:color w:val="auto"/>
              </w:rPr>
            </w:pPr>
            <w:r>
              <w:rPr>
                <w:rFonts w:ascii="Arial" w:cs="Arial" w:eastAsia="Arial" w:hAnsi="Arial"/>
                <w:sz w:val="18"/>
                <w:szCs w:val="18"/>
                <w:color w:val="auto"/>
              </w:rPr>
              <w:t>(1.11)</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(1.59)</w:t>
            </w:r>
          </w:p>
        </w:tc>
      </w:tr>
      <w:tr>
        <w:trPr>
          <w:trHeight w:val="203"/>
        </w:trPr>
        <w:tc>
          <w:tcPr>
            <w:tcW w:w="6920" w:type="dxa"/>
            <w:vAlign w:val="bottom"/>
          </w:tcPr>
          <w:p>
            <w:pPr>
              <w:ind w:left="360"/>
              <w:spacing w:after="0" w:line="202" w:lineRule="exact"/>
              <w:rPr>
                <w:sz w:val="20"/>
                <w:szCs w:val="20"/>
                <w:color w:val="auto"/>
              </w:rPr>
            </w:pPr>
            <w:r>
              <w:rPr>
                <w:rFonts w:ascii="Arial" w:cs="Arial" w:eastAsia="Arial" w:hAnsi="Arial"/>
                <w:sz w:val="18"/>
                <w:szCs w:val="18"/>
                <w:color w:val="auto"/>
              </w:rPr>
              <w:t>Weighted-average common shares outstanding</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right"/>
              <w:ind w:right="721"/>
              <w:spacing w:after="0" w:line="202" w:lineRule="exact"/>
              <w:rPr>
                <w:sz w:val="20"/>
                <w:szCs w:val="20"/>
                <w:color w:val="auto"/>
              </w:rPr>
            </w:pPr>
            <w:r>
              <w:rPr>
                <w:rFonts w:ascii="Arial" w:cs="Arial" w:eastAsia="Arial" w:hAnsi="Arial"/>
                <w:sz w:val="18"/>
                <w:szCs w:val="18"/>
                <w:color w:val="auto"/>
                <w:w w:val="97"/>
              </w:rPr>
              <w:t>15,860,018</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15,980,859</w:t>
            </w:r>
          </w:p>
        </w:tc>
      </w:tr>
      <w:tr>
        <w:trPr>
          <w:trHeight w:val="203"/>
        </w:trPr>
        <w:tc>
          <w:tcPr>
            <w:tcW w:w="69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 forma net loss per share—basic and diluted (unaudited)</w:t>
            </w: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(0.15)</w:t>
            </w:r>
          </w:p>
        </w:tc>
      </w:tr>
      <w:tr>
        <w:trPr>
          <w:trHeight w:val="243"/>
        </w:trPr>
        <w:tc>
          <w:tcPr>
            <w:tcW w:w="6920" w:type="dxa"/>
            <w:vAlign w:val="bottom"/>
          </w:tcPr>
          <w:p>
            <w:pPr>
              <w:ind w:left="360"/>
              <w:spacing w:after="0"/>
              <w:rPr>
                <w:sz w:val="20"/>
                <w:szCs w:val="20"/>
                <w:color w:val="auto"/>
              </w:rPr>
            </w:pPr>
            <w:r>
              <w:rPr>
                <w:rFonts w:ascii="Arial" w:cs="Arial" w:eastAsia="Arial" w:hAnsi="Arial"/>
                <w:sz w:val="18"/>
                <w:szCs w:val="18"/>
                <w:color w:val="auto"/>
              </w:rPr>
              <w:t>Pro forma weighted-average common shares outstanding (unaudited)</w:t>
            </w: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164,394,181</w:t>
            </w:r>
          </w:p>
        </w:tc>
      </w:tr>
    </w:tbl>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140"/>
          </w:cols>
          <w:pgMar w:left="320" w:top="455" w:right="439" w:bottom="1440" w:gutter="0" w:footer="0" w:header="0"/>
        </w:sectPr>
      </w:pPr>
    </w:p>
    <w:bookmarkStart w:id="214" w:name="page215"/>
    <w:bookmarkEnd w:id="2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Statements of Convertible Preferred Stock and Stockholders’ Deficit</w:t>
      </w:r>
    </w:p>
    <w:p>
      <w:pPr>
        <w:jc w:val="center"/>
        <w:ind w:right="-159"/>
        <w:spacing w:after="0"/>
        <w:rPr>
          <w:sz w:val="20"/>
          <w:szCs w:val="20"/>
          <w:color w:val="auto"/>
        </w:rPr>
      </w:pPr>
      <w:r>
        <w:rPr>
          <w:rFonts w:ascii="Arial" w:cs="Arial" w:eastAsia="Arial" w:hAnsi="Arial"/>
          <w:sz w:val="18"/>
          <w:szCs w:val="18"/>
          <w:b w:val="1"/>
          <w:bCs w:val="1"/>
          <w:color w:val="auto"/>
        </w:rPr>
        <w:t>(in thousands except share amounts)</w:t>
      </w:r>
    </w:p>
    <w:p>
      <w:pPr>
        <w:sectPr>
          <w:pgSz w:w="11900" w:h="16838" w:orient="portrait"/>
          <w:cols w:equalWidth="0" w:num="1">
            <w:col w:w="11080"/>
          </w:cols>
          <w:pgMar w:left="320" w:top="455" w:right="499" w:bottom="1440" w:gutter="0" w:footer="0" w:header="0"/>
        </w:sectPr>
      </w:pPr>
    </w:p>
    <w:p>
      <w:pPr>
        <w:spacing w:after="0" w:line="31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2160" w:type="dxa"/>
            <w:vAlign w:val="bottom"/>
          </w:tcPr>
          <w:p>
            <w:pPr>
              <w:spacing w:after="0"/>
              <w:rPr>
                <w:sz w:val="14"/>
                <w:szCs w:val="14"/>
                <w:color w:val="auto"/>
              </w:rPr>
            </w:pPr>
          </w:p>
        </w:tc>
        <w:tc>
          <w:tcPr>
            <w:tcW w:w="2040" w:type="dxa"/>
            <w:vAlign w:val="bottom"/>
            <w:gridSpan w:val="3"/>
          </w:tcPr>
          <w:p>
            <w:pPr>
              <w:jc w:val="right"/>
              <w:ind w:right="532"/>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77"/>
        </w:trPr>
        <w:tc>
          <w:tcPr>
            <w:tcW w:w="2160" w:type="dxa"/>
            <w:vAlign w:val="bottom"/>
          </w:tcPr>
          <w:p>
            <w:pPr>
              <w:spacing w:after="0"/>
              <w:rPr>
                <w:sz w:val="15"/>
                <w:szCs w:val="15"/>
                <w:color w:val="auto"/>
              </w:rPr>
            </w:pPr>
          </w:p>
        </w:tc>
        <w:tc>
          <w:tcPr>
            <w:tcW w:w="204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4"/>
                <w:szCs w:val="14"/>
                <w:b w:val="1"/>
                <w:bCs w:val="1"/>
                <w:color w:val="auto"/>
              </w:rPr>
              <w:t>Preferred Stock</w:t>
            </w:r>
          </w:p>
        </w:tc>
        <w:tc>
          <w:tcPr>
            <w:tcW w:w="0" w:type="dxa"/>
            <w:vAlign w:val="bottom"/>
          </w:tcPr>
          <w:p>
            <w:pPr>
              <w:spacing w:after="0"/>
              <w:rPr>
                <w:sz w:val="1"/>
                <w:szCs w:val="1"/>
                <w:color w:val="auto"/>
              </w:rPr>
            </w:pPr>
          </w:p>
        </w:tc>
      </w:tr>
      <w:tr>
        <w:trPr>
          <w:trHeight w:val="210"/>
        </w:trPr>
        <w:tc>
          <w:tcPr>
            <w:tcW w:w="2160" w:type="dxa"/>
            <w:vAlign w:val="bottom"/>
            <w:vMerge w:val="restart"/>
          </w:tcPr>
          <w:p>
            <w:pPr>
              <w:spacing w:after="0"/>
              <w:rPr>
                <w:sz w:val="20"/>
                <w:szCs w:val="20"/>
                <w:color w:val="auto"/>
              </w:rPr>
            </w:pPr>
            <w:r>
              <w:rPr>
                <w:rFonts w:ascii="Arial" w:cs="Arial" w:eastAsia="Arial" w:hAnsi="Arial"/>
                <w:sz w:val="18"/>
                <w:szCs w:val="18"/>
                <w:color w:val="auto"/>
              </w:rPr>
              <w:t>Balances at December</w:t>
            </w:r>
          </w:p>
        </w:tc>
        <w:tc>
          <w:tcPr>
            <w:tcW w:w="10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8"/>
                <w:szCs w:val="18"/>
                <w:color w:val="auto"/>
              </w:rPr>
            </w:pPr>
          </w:p>
        </w:tc>
        <w:tc>
          <w:tcPr>
            <w:tcW w:w="7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60"/>
        </w:trPr>
        <w:tc>
          <w:tcPr>
            <w:tcW w:w="216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180"/>
              <w:spacing w:after="0" w:line="202" w:lineRule="exact"/>
              <w:rPr>
                <w:sz w:val="20"/>
                <w:szCs w:val="20"/>
                <w:color w:val="auto"/>
              </w:rPr>
            </w:pPr>
            <w:r>
              <w:rPr>
                <w:rFonts w:ascii="Arial" w:cs="Arial" w:eastAsia="Arial" w:hAnsi="Arial"/>
                <w:sz w:val="18"/>
                <w:szCs w:val="18"/>
                <w:color w:val="auto"/>
              </w:rPr>
              <w:t>31, 2017</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91,595,100</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$107,228</w:t>
            </w: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auto"/>
              </w:rPr>
              <w:t>Stock-based</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180"/>
              <w:spacing w:after="0" w:line="202" w:lineRule="exact"/>
              <w:rPr>
                <w:sz w:val="20"/>
                <w:szCs w:val="20"/>
                <w:color w:val="auto"/>
              </w:rPr>
            </w:pPr>
            <w:r>
              <w:rPr>
                <w:rFonts w:ascii="Arial" w:cs="Arial" w:eastAsia="Arial" w:hAnsi="Arial"/>
                <w:sz w:val="18"/>
                <w:szCs w:val="18"/>
                <w:color w:val="auto"/>
              </w:rPr>
              <w:t>compensation expense</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auto"/>
              </w:rPr>
              <w:t>Unrealized gain on</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180"/>
              <w:spacing w:after="0" w:line="202" w:lineRule="exact"/>
              <w:rPr>
                <w:sz w:val="20"/>
                <w:szCs w:val="20"/>
                <w:color w:val="auto"/>
              </w:rPr>
            </w:pPr>
            <w:r>
              <w:rPr>
                <w:rFonts w:ascii="Arial" w:cs="Arial" w:eastAsia="Arial" w:hAnsi="Arial"/>
                <w:sz w:val="18"/>
                <w:szCs w:val="18"/>
                <w:color w:val="auto"/>
              </w:rPr>
              <w:t>available for sale</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16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2160" w:type="dxa"/>
            <w:vAlign w:val="bottom"/>
          </w:tcPr>
          <w:p>
            <w:pPr>
              <w:spacing w:after="0" w:line="187" w:lineRule="exact"/>
              <w:rPr>
                <w:sz w:val="20"/>
                <w:szCs w:val="20"/>
                <w:color w:val="auto"/>
              </w:rPr>
            </w:pPr>
            <w:r>
              <w:rPr>
                <w:rFonts w:ascii="Arial" w:cs="Arial" w:eastAsia="Arial" w:hAnsi="Arial"/>
                <w:sz w:val="18"/>
                <w:szCs w:val="18"/>
                <w:color w:val="auto"/>
              </w:rPr>
              <w:t>Balances at December</w:t>
            </w: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160" w:type="dxa"/>
            <w:vAlign w:val="bottom"/>
          </w:tcPr>
          <w:p>
            <w:pPr>
              <w:ind w:left="180"/>
              <w:spacing w:after="0"/>
              <w:rPr>
                <w:sz w:val="20"/>
                <w:szCs w:val="20"/>
                <w:color w:val="auto"/>
              </w:rPr>
            </w:pPr>
            <w:r>
              <w:rPr>
                <w:rFonts w:ascii="Arial" w:cs="Arial" w:eastAsia="Arial" w:hAnsi="Arial"/>
                <w:sz w:val="18"/>
                <w:szCs w:val="18"/>
                <w:color w:val="auto"/>
              </w:rPr>
              <w:t>31, 2018</w:t>
            </w:r>
          </w:p>
        </w:tc>
        <w:tc>
          <w:tcPr>
            <w:tcW w:w="1080" w:type="dxa"/>
            <w:vAlign w:val="bottom"/>
          </w:tcPr>
          <w:p>
            <w:pPr>
              <w:jc w:val="right"/>
              <w:spacing w:after="0"/>
              <w:rPr>
                <w:sz w:val="20"/>
                <w:szCs w:val="20"/>
                <w:color w:val="auto"/>
              </w:rPr>
            </w:pPr>
            <w:r>
              <w:rPr>
                <w:rFonts w:ascii="Arial" w:cs="Arial" w:eastAsia="Arial" w:hAnsi="Arial"/>
                <w:sz w:val="18"/>
                <w:szCs w:val="18"/>
                <w:color w:val="auto"/>
              </w:rPr>
              <w:t>91,595,100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107,228</w:t>
            </w:r>
          </w:p>
        </w:tc>
        <w:tc>
          <w:tcPr>
            <w:tcW w:w="0" w:type="dxa"/>
            <w:vAlign w:val="bottom"/>
          </w:tcPr>
          <w:p>
            <w:pPr>
              <w:spacing w:after="0"/>
              <w:rPr>
                <w:sz w:val="1"/>
                <w:szCs w:val="1"/>
                <w:color w:val="auto"/>
              </w:rPr>
            </w:pPr>
          </w:p>
        </w:tc>
      </w:tr>
      <w:tr>
        <w:trPr>
          <w:trHeight w:val="187"/>
        </w:trPr>
        <w:tc>
          <w:tcPr>
            <w:tcW w:w="2160" w:type="dxa"/>
            <w:vAlign w:val="bottom"/>
          </w:tcPr>
          <w:p>
            <w:pPr>
              <w:spacing w:after="0" w:line="187" w:lineRule="exact"/>
              <w:rPr>
                <w:sz w:val="20"/>
                <w:szCs w:val="20"/>
                <w:color w:val="auto"/>
              </w:rPr>
            </w:pPr>
            <w:r>
              <w:rPr>
                <w:rFonts w:ascii="Arial" w:cs="Arial" w:eastAsia="Arial" w:hAnsi="Arial"/>
                <w:sz w:val="18"/>
                <w:szCs w:val="18"/>
                <w:color w:val="auto"/>
              </w:rPr>
              <w:t>Issuance of Series C</w:t>
            </w:r>
          </w:p>
        </w:tc>
        <w:tc>
          <w:tcPr>
            <w:tcW w:w="10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180"/>
              <w:spacing w:after="0" w:line="202" w:lineRule="exact"/>
              <w:rPr>
                <w:sz w:val="20"/>
                <w:szCs w:val="20"/>
                <w:color w:val="auto"/>
              </w:rPr>
            </w:pPr>
            <w:r>
              <w:rPr>
                <w:rFonts w:ascii="Arial" w:cs="Arial" w:eastAsia="Arial" w:hAnsi="Arial"/>
                <w:sz w:val="18"/>
                <w:szCs w:val="18"/>
                <w:color w:val="auto"/>
              </w:rPr>
              <w:t>convertible preferred</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180"/>
              <w:spacing w:after="0" w:line="202" w:lineRule="exact"/>
              <w:rPr>
                <w:sz w:val="20"/>
                <w:szCs w:val="20"/>
                <w:color w:val="auto"/>
              </w:rPr>
            </w:pPr>
            <w:r>
              <w:rPr>
                <w:rFonts w:ascii="Arial" w:cs="Arial" w:eastAsia="Arial" w:hAnsi="Arial"/>
                <w:sz w:val="18"/>
                <w:szCs w:val="18"/>
                <w:color w:val="auto"/>
              </w:rPr>
              <w:t>stock, net of issuance</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180"/>
              <w:spacing w:after="0" w:line="202" w:lineRule="exact"/>
              <w:rPr>
                <w:sz w:val="20"/>
                <w:szCs w:val="20"/>
                <w:color w:val="auto"/>
              </w:rPr>
            </w:pPr>
            <w:r>
              <w:rPr>
                <w:rFonts w:ascii="Arial" w:cs="Arial" w:eastAsia="Arial" w:hAnsi="Arial"/>
                <w:sz w:val="18"/>
                <w:szCs w:val="18"/>
                <w:color w:val="auto"/>
              </w:rPr>
              <w:t>costs of $168</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28,798,050</w:t>
            </w: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61,705</w:t>
            </w: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auto"/>
              </w:rPr>
              <w:t>Exercise of stock options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auto"/>
              </w:rPr>
              <w:t>Stock-based</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180"/>
              <w:spacing w:after="0" w:line="202" w:lineRule="exact"/>
              <w:rPr>
                <w:sz w:val="20"/>
                <w:szCs w:val="20"/>
                <w:color w:val="auto"/>
              </w:rPr>
            </w:pPr>
            <w:r>
              <w:rPr>
                <w:rFonts w:ascii="Arial" w:cs="Arial" w:eastAsia="Arial" w:hAnsi="Arial"/>
                <w:sz w:val="18"/>
                <w:szCs w:val="18"/>
                <w:color w:val="auto"/>
              </w:rPr>
              <w:t>compensation expense</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160" w:type="dxa"/>
            <w:vAlign w:val="bottom"/>
          </w:tcPr>
          <w:p>
            <w:pPr>
              <w:spacing w:after="0" w:line="202" w:lineRule="exact"/>
              <w:rPr>
                <w:sz w:val="20"/>
                <w:szCs w:val="20"/>
                <w:color w:val="auto"/>
              </w:rPr>
            </w:pPr>
            <w:r>
              <w:rPr>
                <w:rFonts w:ascii="Arial" w:cs="Arial" w:eastAsia="Arial" w:hAnsi="Arial"/>
                <w:sz w:val="18"/>
                <w:szCs w:val="18"/>
                <w:color w:val="auto"/>
              </w:rPr>
              <w:t>Unrealized gain on</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160" w:type="dxa"/>
            <w:vAlign w:val="bottom"/>
          </w:tcPr>
          <w:p>
            <w:pPr>
              <w:ind w:left="180"/>
              <w:spacing w:after="0" w:line="202" w:lineRule="exact"/>
              <w:rPr>
                <w:sz w:val="20"/>
                <w:szCs w:val="20"/>
                <w:color w:val="auto"/>
              </w:rPr>
            </w:pPr>
            <w:r>
              <w:rPr>
                <w:rFonts w:ascii="Arial" w:cs="Arial" w:eastAsia="Arial" w:hAnsi="Arial"/>
                <w:sz w:val="18"/>
                <w:szCs w:val="18"/>
                <w:color w:val="auto"/>
              </w:rPr>
              <w:t>available for sale</w:t>
            </w: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160" w:type="dxa"/>
            <w:vAlign w:val="bottom"/>
          </w:tcPr>
          <w:p>
            <w:pPr>
              <w:ind w:left="180"/>
              <w:spacing w:after="0"/>
              <w:rPr>
                <w:sz w:val="20"/>
                <w:szCs w:val="20"/>
                <w:color w:val="auto"/>
              </w:rPr>
            </w:pPr>
            <w:r>
              <w:rPr>
                <w:rFonts w:ascii="Arial" w:cs="Arial" w:eastAsia="Arial" w:hAnsi="Arial"/>
                <w:sz w:val="18"/>
                <w:szCs w:val="18"/>
                <w:color w:val="auto"/>
              </w:rPr>
              <w:t>investments</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7"/>
        </w:trPr>
        <w:tc>
          <w:tcPr>
            <w:tcW w:w="2160" w:type="dxa"/>
            <w:vAlign w:val="bottom"/>
          </w:tcPr>
          <w:p>
            <w:pPr>
              <w:spacing w:after="0" w:line="187" w:lineRule="exact"/>
              <w:rPr>
                <w:sz w:val="20"/>
                <w:szCs w:val="20"/>
                <w:color w:val="auto"/>
              </w:rPr>
            </w:pPr>
            <w:r>
              <w:rPr>
                <w:rFonts w:ascii="Arial" w:cs="Arial" w:eastAsia="Arial" w:hAnsi="Arial"/>
                <w:sz w:val="18"/>
                <w:szCs w:val="18"/>
                <w:color w:val="auto"/>
              </w:rPr>
              <w:t>Balances at December</w:t>
            </w: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160" w:type="dxa"/>
            <w:vAlign w:val="bottom"/>
          </w:tcPr>
          <w:p>
            <w:pPr>
              <w:ind w:left="180"/>
              <w:spacing w:after="0"/>
              <w:rPr>
                <w:sz w:val="20"/>
                <w:szCs w:val="20"/>
                <w:color w:val="auto"/>
              </w:rPr>
            </w:pPr>
            <w:r>
              <w:rPr>
                <w:rFonts w:ascii="Arial" w:cs="Arial" w:eastAsia="Arial" w:hAnsi="Arial"/>
                <w:sz w:val="18"/>
                <w:szCs w:val="18"/>
                <w:color w:val="auto"/>
              </w:rPr>
              <w:t>31, 2019</w:t>
            </w:r>
          </w:p>
        </w:tc>
        <w:tc>
          <w:tcPr>
            <w:tcW w:w="1080" w:type="dxa"/>
            <w:vAlign w:val="bottom"/>
          </w:tcPr>
          <w:p>
            <w:pPr>
              <w:jc w:val="right"/>
              <w:spacing w:after="0"/>
              <w:rPr>
                <w:sz w:val="20"/>
                <w:szCs w:val="20"/>
                <w:color w:val="auto"/>
              </w:rPr>
            </w:pPr>
            <w:r>
              <w:rPr>
                <w:rFonts w:ascii="Arial" w:cs="Arial" w:eastAsia="Arial" w:hAnsi="Arial"/>
                <w:sz w:val="18"/>
                <w:szCs w:val="18"/>
                <w:color w:val="auto"/>
              </w:rPr>
              <w:t>120,393,150</w:t>
            </w:r>
          </w:p>
        </w:tc>
        <w:tc>
          <w:tcPr>
            <w:tcW w:w="9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168,933</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60" w:type="dxa"/>
            <w:vAlign w:val="bottom"/>
            <w:gridSpan w:val="3"/>
            <w:vMerge w:val="restart"/>
          </w:tcPr>
          <w:p>
            <w:pPr>
              <w:jc w:val="right"/>
              <w:ind w:right="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0"/>
        </w:trPr>
        <w:tc>
          <w:tcPr>
            <w:tcW w:w="1460" w:type="dxa"/>
            <w:vAlign w:val="bottom"/>
            <w:tcBorders>
              <w:bottom w:val="single" w:sz="8" w:color="auto"/>
            </w:tcBorders>
            <w:gridSpan w:val="3"/>
            <w:vMerge w:val="continue"/>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8"/>
              </w:rPr>
              <w:t>Paid-in</w:t>
            </w:r>
          </w:p>
        </w:tc>
        <w:tc>
          <w:tcPr>
            <w:tcW w:w="100" w:type="dxa"/>
            <w:vAlign w:val="bottom"/>
          </w:tcPr>
          <w:p>
            <w:pPr>
              <w:spacing w:after="0"/>
              <w:rPr>
                <w:sz w:val="9"/>
                <w:szCs w:val="9"/>
                <w:color w:val="auto"/>
              </w:rPr>
            </w:pPr>
          </w:p>
        </w:tc>
        <w:tc>
          <w:tcPr>
            <w:tcW w:w="132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rPr>
              <w:t>Comprehensive</w:t>
            </w: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32"/>
        </w:trPr>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3"/>
            <w:vMerge w:val="continue"/>
          </w:tcPr>
          <w:p>
            <w:pPr>
              <w:spacing w:after="0"/>
              <w:rPr>
                <w:sz w:val="2"/>
                <w:szCs w:val="2"/>
                <w:color w:val="auto"/>
              </w:rPr>
            </w:pPr>
          </w:p>
        </w:tc>
        <w:tc>
          <w:tcPr>
            <w:tcW w:w="1140" w:type="dxa"/>
            <w:vAlign w:val="bottom"/>
            <w:gridSpan w:val="3"/>
            <w:vMerge w:val="continue"/>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960" w:type="dxa"/>
            <w:vAlign w:val="bottom"/>
          </w:tcPr>
          <w:p>
            <w:pPr>
              <w:jc w:val="right"/>
              <w:ind w:right="153"/>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5"/>
                <w:szCs w:val="15"/>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Loss</w:t>
            </w:r>
          </w:p>
        </w:tc>
        <w:tc>
          <w:tcPr>
            <w:tcW w:w="16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960" w:type="dxa"/>
            <w:vAlign w:val="bottom"/>
          </w:tcPr>
          <w:p>
            <w:pPr>
              <w:jc w:val="right"/>
              <w:spacing w:after="0"/>
              <w:rPr>
                <w:sz w:val="20"/>
                <w:szCs w:val="20"/>
                <w:color w:val="auto"/>
              </w:rPr>
            </w:pPr>
            <w:r>
              <w:rPr>
                <w:rFonts w:ascii="Arial" w:cs="Arial" w:eastAsia="Arial" w:hAnsi="Arial"/>
                <w:sz w:val="18"/>
                <w:szCs w:val="18"/>
                <w:color w:val="auto"/>
              </w:rPr>
              <w:t>15,860,018</w:t>
            </w:r>
          </w:p>
        </w:tc>
        <w:tc>
          <w:tcPr>
            <w:tcW w:w="5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2,882</w:t>
            </w:r>
          </w:p>
        </w:tc>
        <w:tc>
          <w:tcPr>
            <w:tcW w:w="3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(32,550)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(29,733)</w:t>
            </w:r>
          </w:p>
        </w:tc>
        <w:tc>
          <w:tcPr>
            <w:tcW w:w="0" w:type="dxa"/>
            <w:vAlign w:val="bottom"/>
          </w:tcPr>
          <w:p>
            <w:pPr>
              <w:spacing w:after="0"/>
              <w:rPr>
                <w:sz w:val="1"/>
                <w:szCs w:val="1"/>
                <w:color w:val="auto"/>
              </w:rPr>
            </w:pPr>
          </w:p>
        </w:tc>
      </w:tr>
      <w:tr>
        <w:trPr>
          <w:trHeight w:val="365"/>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1,079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43"/>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(17,538)</w:t>
            </w:r>
          </w:p>
        </w:tc>
        <w:tc>
          <w:tcPr>
            <w:tcW w:w="1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(17,538)</w:t>
            </w:r>
          </w:p>
        </w:tc>
        <w:tc>
          <w:tcPr>
            <w:tcW w:w="0" w:type="dxa"/>
            <w:vAlign w:val="bottom"/>
          </w:tcPr>
          <w:p>
            <w:pPr>
              <w:spacing w:after="0"/>
              <w:rPr>
                <w:sz w:val="1"/>
                <w:szCs w:val="1"/>
                <w:color w:val="auto"/>
              </w:rPr>
            </w:pPr>
          </w:p>
        </w:tc>
      </w:tr>
      <w:tr>
        <w:trPr>
          <w:trHeight w:val="59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jc w:val="right"/>
              <w:spacing w:after="0"/>
              <w:rPr>
                <w:sz w:val="20"/>
                <w:szCs w:val="20"/>
                <w:color w:val="auto"/>
              </w:rPr>
            </w:pPr>
            <w:r>
              <w:rPr>
                <w:rFonts w:ascii="Arial" w:cs="Arial" w:eastAsia="Arial" w:hAnsi="Arial"/>
                <w:sz w:val="18"/>
                <w:szCs w:val="18"/>
                <w:color w:val="auto"/>
              </w:rPr>
              <w:t>15,860,018</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3,961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(50,088)</w:t>
            </w:r>
          </w:p>
        </w:tc>
        <w:tc>
          <w:tcPr>
            <w:tcW w:w="18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(46,140)</w:t>
            </w:r>
          </w:p>
        </w:tc>
        <w:tc>
          <w:tcPr>
            <w:tcW w:w="0" w:type="dxa"/>
            <w:vAlign w:val="bottom"/>
          </w:tcPr>
          <w:p>
            <w:pPr>
              <w:spacing w:after="0"/>
              <w:rPr>
                <w:sz w:val="1"/>
                <w:szCs w:val="1"/>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4"/>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960" w:type="dxa"/>
            <w:vAlign w:val="bottom"/>
          </w:tcPr>
          <w:p>
            <w:pPr>
              <w:jc w:val="right"/>
              <w:spacing w:after="0"/>
              <w:rPr>
                <w:sz w:val="20"/>
                <w:szCs w:val="20"/>
                <w:color w:val="auto"/>
              </w:rPr>
            </w:pPr>
            <w:r>
              <w:rPr>
                <w:rFonts w:ascii="Arial" w:cs="Arial" w:eastAsia="Arial" w:hAnsi="Arial"/>
                <w:sz w:val="18"/>
                <w:szCs w:val="18"/>
                <w:color w:val="auto"/>
              </w:rPr>
              <w:t>178,572</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365"/>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908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43"/>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(25,352)</w:t>
            </w:r>
          </w:p>
        </w:tc>
        <w:tc>
          <w:tcPr>
            <w:tcW w:w="18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(25,352)</w:t>
            </w:r>
          </w:p>
        </w:tc>
        <w:tc>
          <w:tcPr>
            <w:tcW w:w="0" w:type="dxa"/>
            <w:vAlign w:val="bottom"/>
          </w:tcPr>
          <w:p>
            <w:pPr>
              <w:spacing w:after="0"/>
              <w:rPr>
                <w:sz w:val="1"/>
                <w:szCs w:val="1"/>
                <w:color w:val="auto"/>
              </w:rPr>
            </w:pPr>
          </w:p>
        </w:tc>
      </w:tr>
      <w:tr>
        <w:trPr>
          <w:trHeight w:val="590"/>
        </w:trPr>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4"/>
                <w:szCs w:val="24"/>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60" w:type="dxa"/>
            <w:vAlign w:val="bottom"/>
          </w:tcPr>
          <w:p>
            <w:pPr>
              <w:jc w:val="right"/>
              <w:spacing w:after="0"/>
              <w:rPr>
                <w:sz w:val="20"/>
                <w:szCs w:val="20"/>
                <w:color w:val="auto"/>
              </w:rPr>
            </w:pPr>
            <w:r>
              <w:rPr>
                <w:rFonts w:ascii="Arial" w:cs="Arial" w:eastAsia="Arial" w:hAnsi="Arial"/>
                <w:sz w:val="18"/>
                <w:szCs w:val="18"/>
                <w:color w:val="auto"/>
              </w:rPr>
              <w:t>16,038,590</w:t>
            </w:r>
          </w:p>
        </w:tc>
        <w:tc>
          <w:tcPr>
            <w:tcW w:w="5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4,969</w:t>
            </w:r>
          </w:p>
        </w:tc>
        <w:tc>
          <w:tcPr>
            <w:tcW w:w="340" w:type="dxa"/>
            <w:vAlign w:val="bottom"/>
            <w:gridSpan w:val="2"/>
          </w:tcPr>
          <w:p>
            <w:pPr>
              <w:jc w:val="right"/>
              <w:ind w:right="68"/>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(75,440)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(70,474)</w:t>
            </w:r>
          </w:p>
        </w:tc>
        <w:tc>
          <w:tcPr>
            <w:tcW w:w="0" w:type="dxa"/>
            <w:vAlign w:val="bottom"/>
          </w:tcPr>
          <w:p>
            <w:pPr>
              <w:spacing w:after="0"/>
              <w:rPr>
                <w:sz w:val="1"/>
                <w:szCs w:val="1"/>
                <w:color w:val="auto"/>
              </w:rPr>
            </w:pPr>
          </w:p>
        </w:tc>
      </w:tr>
      <w:tr>
        <w:trPr>
          <w:trHeight w:val="20"/>
        </w:trPr>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-2961005</wp:posOffset>
            </wp:positionH>
            <wp:positionV relativeFrom="paragraph">
              <wp:posOffset>-3445510</wp:posOffset>
            </wp:positionV>
            <wp:extent cx="6995160" cy="3454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995160" cy="3454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20" w:space="460"/>
            <w:col w:w="6300"/>
          </w:cols>
          <w:pgMar w:left="320" w:top="455" w:right="499" w:bottom="1440" w:gutter="0" w:footer="0" w:header="0"/>
          <w:type w:val="continuous"/>
        </w:sectPr>
      </w:pP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4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080"/>
          </w:cols>
          <w:pgMar w:left="320" w:top="455" w:right="499" w:bottom="1440" w:gutter="0" w:footer="0" w:header="0"/>
          <w:type w:val="continuous"/>
        </w:sectPr>
      </w:pPr>
    </w:p>
    <w:bookmarkStart w:id="215" w:name="page216"/>
    <w:bookmarkEnd w:id="2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Statements of Cash Flows</w:t>
      </w: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360" w:type="dxa"/>
            <w:vAlign w:val="bottom"/>
          </w:tcPr>
          <w:p>
            <w:pPr>
              <w:spacing w:after="0"/>
              <w:rPr>
                <w:sz w:val="14"/>
                <w:szCs w:val="14"/>
                <w:color w:val="auto"/>
              </w:rPr>
            </w:pPr>
          </w:p>
        </w:tc>
        <w:tc>
          <w:tcPr>
            <w:tcW w:w="13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Year Ended</w:t>
            </w:r>
          </w:p>
        </w:tc>
        <w:tc>
          <w:tcPr>
            <w:tcW w:w="280" w:type="dxa"/>
            <w:vAlign w:val="bottom"/>
          </w:tcPr>
          <w:p>
            <w:pPr>
              <w:spacing w:after="0"/>
              <w:rPr>
                <w:sz w:val="14"/>
                <w:szCs w:val="14"/>
                <w:color w:val="auto"/>
              </w:rPr>
            </w:pPr>
          </w:p>
        </w:tc>
        <w:tc>
          <w:tcPr>
            <w:tcW w:w="10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62"/>
        </w:trPr>
        <w:tc>
          <w:tcPr>
            <w:tcW w:w="83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7"/>
        </w:trPr>
        <w:tc>
          <w:tcPr>
            <w:tcW w:w="83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(17,538)</w:t>
            </w:r>
          </w:p>
        </w:tc>
        <w:tc>
          <w:tcPr>
            <w:tcW w:w="5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(25,352)</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Stock based compensation</w:t>
            </w:r>
          </w:p>
        </w:tc>
        <w:tc>
          <w:tcPr>
            <w:tcW w:w="22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1,079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908</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Depreciation</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338</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premiums on marketable securities</w:t>
            </w:r>
          </w:p>
        </w:tc>
        <w:tc>
          <w:tcPr>
            <w:tcW w:w="22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319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8360" w:type="dxa"/>
            <w:vAlign w:val="bottom"/>
          </w:tcPr>
          <w:p>
            <w:pPr>
              <w:ind w:left="720"/>
              <w:spacing w:after="0" w:line="202" w:lineRule="exact"/>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17"/>
                <w:szCs w:val="17"/>
                <w:color w:val="auto"/>
              </w:rPr>
            </w:pPr>
          </w:p>
        </w:tc>
        <w:tc>
          <w:tcPr>
            <w:tcW w:w="10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(17)</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267</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1,799</w:t>
            </w:r>
          </w:p>
        </w:tc>
        <w:tc>
          <w:tcPr>
            <w:tcW w:w="0" w:type="dxa"/>
            <w:vAlign w:val="bottom"/>
          </w:tcPr>
          <w:p>
            <w:pPr>
              <w:spacing w:after="0"/>
              <w:rPr>
                <w:sz w:val="1"/>
                <w:szCs w:val="1"/>
                <w:color w:val="auto"/>
              </w:rPr>
            </w:pPr>
          </w:p>
        </w:tc>
      </w:tr>
      <w:tr>
        <w:trPr>
          <w:trHeight w:val="209"/>
        </w:trPr>
        <w:tc>
          <w:tcPr>
            <w:tcW w:w="8360" w:type="dxa"/>
            <w:vAlign w:val="bottom"/>
          </w:tcPr>
          <w:p>
            <w:pPr>
              <w:ind w:left="720"/>
              <w:spacing w:after="0" w:line="202" w:lineRule="exact"/>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397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(15,178)</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(22,065)</w:t>
            </w: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 of property and equipment</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(452)</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Purchase of marketable securities</w:t>
            </w:r>
          </w:p>
        </w:tc>
        <w:tc>
          <w:tcPr>
            <w:tcW w:w="220" w:type="dxa"/>
            <w:vAlign w:val="bottom"/>
          </w:tcPr>
          <w:p>
            <w:pPr>
              <w:spacing w:after="0"/>
              <w:rPr>
                <w:sz w:val="17"/>
                <w:szCs w:val="17"/>
                <w:color w:val="auto"/>
              </w:rPr>
            </w:pPr>
          </w:p>
        </w:tc>
        <w:tc>
          <w:tcPr>
            <w:tcW w:w="108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(48,678)</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(43,452)</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Maturities of marketable securities</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70,823</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46,792</w:t>
            </w:r>
          </w:p>
        </w:tc>
        <w:tc>
          <w:tcPr>
            <w:tcW w:w="0" w:type="dxa"/>
            <w:vAlign w:val="bottom"/>
          </w:tcPr>
          <w:p>
            <w:pPr>
              <w:spacing w:after="0"/>
              <w:rPr>
                <w:sz w:val="1"/>
                <w:szCs w:val="1"/>
                <w:color w:val="auto"/>
              </w:rPr>
            </w:pPr>
          </w:p>
        </w:tc>
      </w:tr>
      <w:tr>
        <w:trPr>
          <w:trHeight w:val="217"/>
        </w:trPr>
        <w:tc>
          <w:tcPr>
            <w:tcW w:w="8360" w:type="dxa"/>
            <w:vAlign w:val="bottom"/>
          </w:tcPr>
          <w:p>
            <w:pPr>
              <w:ind w:left="1080"/>
              <w:spacing w:after="0"/>
              <w:rPr>
                <w:sz w:val="20"/>
                <w:szCs w:val="20"/>
                <w:color w:val="auto"/>
              </w:rPr>
            </w:pPr>
            <w:r>
              <w:rPr>
                <w:rFonts w:ascii="Arial" w:cs="Arial" w:eastAsia="Arial" w:hAnsi="Arial"/>
                <w:sz w:val="18"/>
                <w:szCs w:val="18"/>
                <w:color w:val="auto"/>
              </w:rPr>
              <w:t>Net cash provided by investing activities</w:t>
            </w: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21,693</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Proceeds from issuance of convertible preferred stock</w:t>
            </w:r>
          </w:p>
        </w:tc>
        <w:tc>
          <w:tcPr>
            <w:tcW w:w="220" w:type="dxa"/>
            <w:vAlign w:val="bottom"/>
          </w:tcPr>
          <w:p>
            <w:pPr>
              <w:spacing w:after="0"/>
              <w:rPr>
                <w:sz w:val="17"/>
                <w:szCs w:val="17"/>
                <w:color w:val="auto"/>
              </w:rPr>
            </w:pPr>
          </w:p>
        </w:tc>
        <w:tc>
          <w:tcPr>
            <w:tcW w:w="108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61,873</w:t>
            </w: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Payment of equity issuance costs</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09"/>
        </w:trPr>
        <w:tc>
          <w:tcPr>
            <w:tcW w:w="8360" w:type="dxa"/>
            <w:vAlign w:val="bottom"/>
          </w:tcPr>
          <w:p>
            <w:pPr>
              <w:spacing w:after="0" w:line="202" w:lineRule="exact"/>
              <w:rPr>
                <w:sz w:val="20"/>
                <w:szCs w:val="20"/>
                <w:color w:val="auto"/>
              </w:rPr>
            </w:pPr>
            <w:r>
              <w:rPr>
                <w:rFonts w:ascii="Arial" w:cs="Arial" w:eastAsia="Arial" w:hAnsi="Arial"/>
                <w:sz w:val="18"/>
                <w:szCs w:val="18"/>
                <w:color w:val="auto"/>
              </w:rPr>
              <w:t>Proceeds from exercise of stock options</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61,805</w:t>
            </w:r>
          </w:p>
        </w:tc>
        <w:tc>
          <w:tcPr>
            <w:tcW w:w="0" w:type="dxa"/>
            <w:vAlign w:val="bottom"/>
          </w:tcPr>
          <w:p>
            <w:pPr>
              <w:spacing w:after="0"/>
              <w:rPr>
                <w:sz w:val="1"/>
                <w:szCs w:val="1"/>
                <w:color w:val="auto"/>
              </w:rPr>
            </w:pPr>
          </w:p>
        </w:tc>
      </w:tr>
      <w:tr>
        <w:trPr>
          <w:trHeight w:val="210"/>
        </w:trPr>
        <w:tc>
          <w:tcPr>
            <w:tcW w:w="8360" w:type="dxa"/>
            <w:vAlign w:val="bottom"/>
          </w:tcPr>
          <w:p>
            <w:pPr>
              <w:ind w:left="1080"/>
              <w:spacing w:after="0"/>
              <w:rPr>
                <w:sz w:val="20"/>
                <w:szCs w:val="20"/>
                <w:color w:val="auto"/>
              </w:rPr>
            </w:pPr>
            <w:r>
              <w:rPr>
                <w:rFonts w:ascii="Arial" w:cs="Arial" w:eastAsia="Arial" w:hAnsi="Arial"/>
                <w:sz w:val="18"/>
                <w:szCs w:val="18"/>
                <w:color w:val="auto"/>
              </w:rPr>
              <w:t>Net increase in cash and cash equivalents</w:t>
            </w: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6,515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42,971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and cash equivalents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360" w:type="dxa"/>
            <w:vAlign w:val="bottom"/>
          </w:tcPr>
          <w:p>
            <w:pPr>
              <w:spacing w:after="0" w:line="202" w:lineRule="exact"/>
              <w:rPr>
                <w:sz w:val="20"/>
                <w:szCs w:val="20"/>
                <w:color w:val="auto"/>
              </w:rPr>
            </w:pPr>
            <w:r>
              <w:rPr>
                <w:rFonts w:ascii="Arial" w:cs="Arial" w:eastAsia="Arial" w:hAnsi="Arial"/>
                <w:sz w:val="18"/>
                <w:szCs w:val="18"/>
                <w:color w:val="auto"/>
              </w:rPr>
              <w:t>Cash and cash equivalents—beginning of period</w:t>
            </w: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23,792</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30,307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equivalents—end of period</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30,307</w:t>
            </w:r>
          </w:p>
        </w:tc>
        <w:tc>
          <w:tcPr>
            <w:tcW w:w="50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73,278</w:t>
            </w:r>
          </w:p>
        </w:tc>
        <w:tc>
          <w:tcPr>
            <w:tcW w:w="0" w:type="dxa"/>
            <w:vAlign w:val="bottom"/>
          </w:tcPr>
          <w:p>
            <w:pPr>
              <w:spacing w:after="0"/>
              <w:rPr>
                <w:sz w:val="1"/>
                <w:szCs w:val="1"/>
                <w:color w:val="auto"/>
              </w:rPr>
            </w:pPr>
          </w:p>
        </w:tc>
      </w:tr>
      <w:tr>
        <w:trPr>
          <w:trHeight w:val="20"/>
        </w:trPr>
        <w:tc>
          <w:tcPr>
            <w:tcW w:w="836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paid for income tax</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ind w:left="2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5" w:right="439" w:bottom="1440" w:gutter="0" w:footer="0" w:header="0"/>
        </w:sectPr>
      </w:pPr>
    </w:p>
    <w:bookmarkStart w:id="216" w:name="page217"/>
    <w:bookmarkEnd w:id="2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 Formation and Business of the Company</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Organization</w:t>
      </w:r>
    </w:p>
    <w:p>
      <w:pPr>
        <w:spacing w:after="0" w:line="104" w:lineRule="exact"/>
        <w:rPr>
          <w:sz w:val="20"/>
          <w:szCs w:val="20"/>
          <w:color w:val="auto"/>
        </w:rPr>
      </w:pPr>
    </w:p>
    <w:p>
      <w:pPr>
        <w:ind w:left="120" w:right="240" w:firstLine="551"/>
        <w:spacing w:after="0" w:line="248" w:lineRule="auto"/>
        <w:rPr>
          <w:sz w:val="20"/>
          <w:szCs w:val="20"/>
          <w:color w:val="auto"/>
        </w:rPr>
      </w:pPr>
      <w:r>
        <w:rPr>
          <w:rFonts w:ascii="Arial" w:cs="Arial" w:eastAsia="Arial" w:hAnsi="Arial"/>
          <w:sz w:val="18"/>
          <w:szCs w:val="18"/>
          <w:color w:val="auto"/>
        </w:rPr>
        <w:t>PMV Pharmaceuticals, Inc. (the “Company”) was incorporated in the state of Delaware in March 2013. Since inception, the Company has devoted substantially all of its time and efforts to performing research and development activities and raising capital. The Company is a precision oncology company pioneering the discovery and development of small molecule, tumor-agnostic therapies targeting p53 mutations. The Company’s headquarters are located in Cranbury, New Jersey.</w:t>
      </w:r>
    </w:p>
    <w:p>
      <w:pPr>
        <w:spacing w:after="0" w:line="170" w:lineRule="exact"/>
        <w:rPr>
          <w:sz w:val="20"/>
          <w:szCs w:val="20"/>
          <w:color w:val="auto"/>
        </w:rPr>
      </w:pPr>
    </w:p>
    <w:p>
      <w:pPr>
        <w:ind w:left="120" w:right="200" w:firstLine="551"/>
        <w:spacing w:after="0"/>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180"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The Company has incurred net losses and negative cash flows from operations. During the year ended December 31, 2019, the Company incurred a net loss of $25,352 and used $22,065 of cash for operations. At December 31, 2019, the Company had accumulated deficit of $75,440. Cash, cash equivalents and short-term marketable securities at December 31, 2019 were $101,486. Management expects to incur substantial additional operating losses for the next several years and will need to obtain additional debt or equity financings in order to complete development of its products, obtain regulatory approvals, launch and commercialize its products and continue research and development programs. The Company believes it has adequate cash and financial resources to operate for at least the next twelve months from the date of issuance of these financial statements.</w:t>
      </w:r>
    </w:p>
    <w:p>
      <w:pPr>
        <w:spacing w:after="0" w:line="287" w:lineRule="exact"/>
        <w:rPr>
          <w:sz w:val="20"/>
          <w:szCs w:val="20"/>
          <w:color w:val="auto"/>
        </w:rPr>
      </w:pPr>
    </w:p>
    <w:p>
      <w:pPr>
        <w:ind w:left="660" w:right="6980" w:hanging="544"/>
        <w:spacing w:after="0" w:line="360" w:lineRule="auto"/>
        <w:tabs>
          <w:tab w:leader="none" w:pos="309" w:val="left"/>
        </w:tabs>
        <w:numPr>
          <w:ilvl w:val="0"/>
          <w:numId w:val="1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Summary of Significant Accounting Policies Basis of Presentation</w:t>
      </w:r>
    </w:p>
    <w:p>
      <w:pPr>
        <w:ind w:left="120" w:right="180" w:firstLine="551"/>
        <w:spacing w:after="0" w:line="260" w:lineRule="auto"/>
        <w:rPr>
          <w:sz w:val="20"/>
          <w:szCs w:val="20"/>
          <w:color w:val="auto"/>
        </w:rPr>
      </w:pPr>
      <w:r>
        <w:rPr>
          <w:rFonts w:ascii="Arial" w:cs="Arial" w:eastAsia="Arial" w:hAnsi="Arial"/>
          <w:sz w:val="17"/>
          <w:szCs w:val="17"/>
          <w:color w:val="auto"/>
        </w:rPr>
        <w:t>The accompanying financial statements have been prepared in accordance with United States generally accepted accounting principles (“GAAP”). Any reference in these notes to applicable guidance is meant to refer to the authoritative GAAP as found in the Accounting Standards Codification (“ASC”) and Accounting Standards Update (“ASU”) of the Financial Accounting Standards Board (“FASB”). The accompanying financial statements have been prepared on a going concern basis, which contemplates the realization of assets and the satisfaction of liabilities and commitments in the ordinary course of business. The Company has limited operating history and its prospects are subject to risks, expenses and uncertainties frequently encountered by companies in the biotechnology industry.</w:t>
      </w:r>
    </w:p>
    <w:p>
      <w:pPr>
        <w:spacing w:after="0" w:line="9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080"/>
          </w:cols>
          <w:pgMar w:left="320" w:top="455" w:right="499" w:bottom="1440" w:gutter="0" w:footer="0" w:header="0"/>
        </w:sectPr>
      </w:pPr>
    </w:p>
    <w:bookmarkStart w:id="217" w:name="page218"/>
    <w:bookmarkEnd w:id="2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04" w:lineRule="exact"/>
        <w:rPr>
          <w:sz w:val="20"/>
          <w:szCs w:val="20"/>
          <w:color w:val="auto"/>
        </w:rPr>
      </w:pPr>
    </w:p>
    <w:p>
      <w:pPr>
        <w:ind w:left="120" w:right="300" w:firstLine="551"/>
        <w:spacing w:after="0" w:line="243"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Company bases its estimates and assumptions on historical experience when available and on various factors that it believes to be reasonable under the circumstances. Significant estimates and assumptions reflected in these financial statements include, but are not limited to, the fair values of common stock, convertible preferred stock and stock-based compensation. Actual results could differ materially from those estimates.</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04" w:lineRule="exact"/>
        <w:rPr>
          <w:sz w:val="20"/>
          <w:szCs w:val="20"/>
          <w:color w:val="auto"/>
        </w:rPr>
      </w:pPr>
    </w:p>
    <w:p>
      <w:pPr>
        <w:ind w:left="120" w:right="500" w:firstLine="551"/>
        <w:spacing w:after="0" w:line="243" w:lineRule="auto"/>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defined as the price that would be received to sell an asset or paid to transfer a liability (an exit price) in an orderly transaction between market participants at the reporting date. The hierarchy gives the highest priority to valuations based upon unadjusted quoted prices in active markets for identical assets or liabilities (Level 1 measurements) and the lowest priority to valuations based upon unobservable inputs that are significant to the valuation (Level 3 measurements). The guidance establishes three levels of the fair value hierarchy as follows:</w:t>
      </w:r>
    </w:p>
    <w:p>
      <w:pPr>
        <w:spacing w:after="0" w:line="79" w:lineRule="exact"/>
        <w:rPr>
          <w:sz w:val="20"/>
          <w:szCs w:val="20"/>
          <w:color w:val="auto"/>
        </w:rPr>
      </w:pPr>
    </w:p>
    <w:p>
      <w:pPr>
        <w:ind w:left="880" w:right="100" w:hanging="224"/>
        <w:spacing w:after="0" w:line="276" w:lineRule="auto"/>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Level 1 - Inputs that reflect unadjusted quoted prices in active markets for identical assets or liabilities that the Company has the ability to access at the measurement date.</w:t>
      </w:r>
    </w:p>
    <w:p>
      <w:pPr>
        <w:spacing w:after="0" w:line="50" w:lineRule="exact"/>
        <w:rPr>
          <w:rFonts w:ascii="Arial" w:cs="Arial" w:eastAsia="Arial" w:hAnsi="Arial"/>
          <w:sz w:val="18"/>
          <w:szCs w:val="18"/>
          <w:color w:val="auto"/>
        </w:rPr>
      </w:pPr>
    </w:p>
    <w:p>
      <w:pPr>
        <w:ind w:left="880" w:hanging="224"/>
        <w:spacing w:after="0" w:line="276" w:lineRule="auto"/>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Level 2 - Inputs other than quoted prices that are observable for the asset or liability either directly or indirectly, including inputs in markets that are not considered to be active.</w:t>
      </w:r>
    </w:p>
    <w:p>
      <w:pPr>
        <w:spacing w:after="0" w:line="50" w:lineRule="exact"/>
        <w:rPr>
          <w:rFonts w:ascii="Arial" w:cs="Arial" w:eastAsia="Arial" w:hAnsi="Arial"/>
          <w:sz w:val="18"/>
          <w:szCs w:val="18"/>
          <w:color w:val="auto"/>
        </w:rPr>
      </w:pPr>
    </w:p>
    <w:p>
      <w:pPr>
        <w:ind w:left="880" w:right="80" w:hanging="224"/>
        <w:spacing w:after="0" w:line="276" w:lineRule="auto"/>
        <w:tabs>
          <w:tab w:leader="none" w:pos="8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Level 3 - Inputs are unobservable in which there is little or no market data available, which require the reporting entity to develop its own assumptions that are unobservable.</w:t>
      </w:r>
    </w:p>
    <w:p>
      <w:pPr>
        <w:spacing w:after="0" w:line="145" w:lineRule="exact"/>
        <w:rPr>
          <w:sz w:val="20"/>
          <w:szCs w:val="20"/>
          <w:color w:val="auto"/>
        </w:rPr>
      </w:pPr>
    </w:p>
    <w:p>
      <w:pPr>
        <w:ind w:left="120" w:right="100" w:firstLine="551"/>
        <w:spacing w:after="0" w:line="255"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 factors specific to the asset or liability.</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 considers all highly liquid investments with original maturities of three months or less to be cash equivalents.</w:t>
      </w:r>
    </w:p>
    <w:p>
      <w:pPr>
        <w:spacing w:after="0" w:line="212" w:lineRule="exact"/>
        <w:rPr>
          <w:sz w:val="20"/>
          <w:szCs w:val="20"/>
          <w:color w:val="auto"/>
        </w:rPr>
      </w:pPr>
    </w:p>
    <w:p>
      <w:pPr>
        <w:ind w:left="120" w:right="220" w:firstLine="551"/>
        <w:spacing w:after="0" w:line="276" w:lineRule="auto"/>
        <w:rPr>
          <w:sz w:val="20"/>
          <w:szCs w:val="20"/>
          <w:color w:val="auto"/>
        </w:rPr>
      </w:pPr>
      <w:r>
        <w:rPr>
          <w:rFonts w:ascii="Arial" w:cs="Arial" w:eastAsia="Arial" w:hAnsi="Arial"/>
          <w:sz w:val="18"/>
          <w:szCs w:val="18"/>
          <w:color w:val="auto"/>
        </w:rPr>
        <w:t>The Company’s marketable debt securities have been classified and accounted for as available-for-sale. The Company classifies its marketable debt securities as either short-term or long-</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5" w:right="439" w:bottom="1440" w:gutter="0" w:footer="0" w:header="0"/>
        </w:sectPr>
      </w:pPr>
    </w:p>
    <w:bookmarkStart w:id="218" w:name="page219"/>
    <w:bookmarkEnd w:id="2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line="243" w:lineRule="auto"/>
        <w:rPr>
          <w:sz w:val="20"/>
          <w:szCs w:val="20"/>
          <w:color w:val="auto"/>
        </w:rPr>
      </w:pPr>
      <w:r>
        <w:rPr>
          <w:rFonts w:ascii="Arial" w:cs="Arial" w:eastAsia="Arial" w:hAnsi="Arial"/>
          <w:sz w:val="18"/>
          <w:szCs w:val="18"/>
          <w:color w:val="auto"/>
        </w:rPr>
        <w:t>term based on each instrument’s underlying contractual maturity date. Marketable debt securities with maturities of 12 months or less are classified as short-term and marketable debt securities with maturities greater than 12 months are classified as long-term. The Company’s marketable debt securities are carried at fair value, with unrealized gains and losses, net of taxes, reported as a component of accumulated other comprehensive loss in stockholders’ deficit. Premiums and discounts on marketable debt securities are amortized into earnings over the life of the security, which is recorded in Interest income, net. For the years ending December 31, 2018 and 2019, the Company recorded $319 and $62 of amortization, respectively.</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04"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Property and equipment are recorded at cost net of accumulated depreciation. Property and equipment are depreciated using the straight-line method over the estimated useful lives of the assets, generally five years, except for leasehold improvements, which are amortized over the remaining term of the lease.</w:t>
      </w:r>
    </w:p>
    <w:p>
      <w:pPr>
        <w:spacing w:after="0" w:line="164" w:lineRule="exact"/>
        <w:rPr>
          <w:sz w:val="20"/>
          <w:szCs w:val="20"/>
          <w:color w:val="auto"/>
        </w:rPr>
      </w:pPr>
    </w:p>
    <w:p>
      <w:pPr>
        <w:ind w:left="120" w:right="400" w:firstLine="551"/>
        <w:spacing w:after="0" w:line="276" w:lineRule="auto"/>
        <w:rPr>
          <w:sz w:val="20"/>
          <w:szCs w:val="20"/>
          <w:color w:val="auto"/>
        </w:rPr>
      </w:pPr>
      <w:r>
        <w:rPr>
          <w:rFonts w:ascii="Arial" w:cs="Arial" w:eastAsia="Arial" w:hAnsi="Arial"/>
          <w:sz w:val="18"/>
          <w:szCs w:val="18"/>
          <w:color w:val="auto"/>
        </w:rPr>
        <w:t>Upon retirement or sale of assets, the cost and related accumulated depreciation are removed from the balance sheet and the resulting gain or loss is reflected in operations. Repairs and maintenance costs are charged to operations as incurred.</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04"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Long-lived assets, which are comprised of property and equipment to be held and used are tested for recoverability whenever events or changes in the business environment indicate that the carrying amount of the assets may not be fully recoverable. Factors considered by the Company when deciding when to perform an impairment review include significant underperformance of the business against expectations, significant negative industry or economic trends and significant changes or planned changes in the use of the assets. If an impairment review is performed to evaluate a long-lived asset for recoverability, the Company compares forecasts of undiscounted cash flows resulting from the use and eventual disposition of the long-lived asset to its carrying value. An impairment loss would be recognized when estimated undiscounted future cash flows resulting from the use of an asset are less than its carrying amount. The impairment loss would be based on the excess of the carrying value of the impaired asset over its current fair value. To date, the Company has not recorded any impairment losses on long-lived assets.</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Comprehensive Income/Loss</w:t>
      </w:r>
    </w:p>
    <w:p>
      <w:pPr>
        <w:spacing w:after="0" w:line="104" w:lineRule="exact"/>
        <w:rPr>
          <w:sz w:val="20"/>
          <w:szCs w:val="20"/>
          <w:color w:val="auto"/>
        </w:rPr>
      </w:pPr>
    </w:p>
    <w:p>
      <w:pPr>
        <w:ind w:left="120" w:right="80" w:firstLine="551"/>
        <w:spacing w:after="0" w:line="255" w:lineRule="auto"/>
        <w:rPr>
          <w:sz w:val="20"/>
          <w:szCs w:val="20"/>
          <w:color w:val="auto"/>
        </w:rPr>
      </w:pPr>
      <w:r>
        <w:rPr>
          <w:rFonts w:ascii="Arial" w:cs="Arial" w:eastAsia="Arial" w:hAnsi="Arial"/>
          <w:sz w:val="18"/>
          <w:szCs w:val="18"/>
          <w:color w:val="auto"/>
        </w:rPr>
        <w:t>The Company recorded $52 and $10 in other comprehensive income related to unrealized gains on marketable securities, net of tax for the years ended December 31, 2018 and 2019, respectively. The Company presents comprehensive income in a single statement within its financial statements.</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04" w:lineRule="exact"/>
        <w:rPr>
          <w:sz w:val="20"/>
          <w:szCs w:val="20"/>
          <w:color w:val="auto"/>
        </w:rPr>
      </w:pPr>
    </w:p>
    <w:p>
      <w:pPr>
        <w:jc w:val="both"/>
        <w:ind w:left="120" w:right="300" w:firstLine="551"/>
        <w:spacing w:after="0" w:line="277" w:lineRule="auto"/>
        <w:rPr>
          <w:sz w:val="20"/>
          <w:szCs w:val="20"/>
          <w:color w:val="auto"/>
        </w:rPr>
      </w:pPr>
      <w:r>
        <w:rPr>
          <w:rFonts w:ascii="Arial" w:cs="Arial" w:eastAsia="Arial" w:hAnsi="Arial"/>
          <w:sz w:val="17"/>
          <w:szCs w:val="17"/>
          <w:color w:val="auto"/>
        </w:rPr>
        <w:t>Research and development expenses include costs directly attributable to the conduct of research and development programs, including compensation costs, which includes allocated stock-based compensation, salary payroll taxes, employee benefits; materials; supplies; depreciation on and maintenance of research equipment; the cost of services provided by outside contractors; and the</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080"/>
          </w:cols>
          <w:pgMar w:left="320" w:top="455" w:right="499" w:bottom="1440" w:gutter="0" w:footer="0" w:header="0"/>
        </w:sectPr>
      </w:pPr>
    </w:p>
    <w:bookmarkStart w:id="219" w:name="page220"/>
    <w:bookmarkEnd w:id="2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line="248" w:lineRule="auto"/>
        <w:rPr>
          <w:sz w:val="20"/>
          <w:szCs w:val="20"/>
          <w:color w:val="auto"/>
        </w:rPr>
      </w:pPr>
      <w:r>
        <w:rPr>
          <w:rFonts w:ascii="Arial" w:cs="Arial" w:eastAsia="Arial" w:hAnsi="Arial"/>
          <w:sz w:val="18"/>
          <w:szCs w:val="18"/>
          <w:color w:val="auto"/>
        </w:rPr>
        <w:t>allocable portions of facility costs, such as rent, utilities, insurance, repairs and maintenance, depreciation, and general support services. Costs for certain research and development activities are recognized based on the terms of the individual arrangements, which may differ from the pattern of costs incurred, and are reflected in the financial statements as a prepaid expenses or as accrued research and development expenses. All costs associated with research and development are expensed as incurred.</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Convertible Preferred Stock</w:t>
      </w:r>
    </w:p>
    <w:p>
      <w:pPr>
        <w:spacing w:after="0" w:line="104"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The Company’s convertible preferred stock is classified outside of stockholders’ deficit because the shares contain deemed liquidation rights that are a contingent redemption feature not solely within the control of the Company. The Company’s policy is not to accrete the carrying value and related issuance costs of the convertible preferred stock to its redemption value until it is probable that the security will become redeemable.</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Derivative Liabilities</w:t>
      </w:r>
    </w:p>
    <w:p>
      <w:pPr>
        <w:spacing w:after="0" w:line="104"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The Company may issue certain financial instruments with embedded features which may be accounted for as separate derivative assets or liabilities, dependent on their specific contractual terms or other conditions. These derivative assets or liabilities are required to be measured at fair value at issuance and remeasured at the end of each reporting period. To determine the fair value of these instruments the Company uses a discounted cash flow analysis, as these instruments are not quoted on an active market. Increases or decreases in fair value from initial measurement and each reporting period are recorded in the statement of operations and comprehensive loss as change in fair value of derivative liabilities.</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left="120" w:right="320" w:firstLine="551"/>
        <w:spacing w:after="0" w:line="276" w:lineRule="auto"/>
        <w:rPr>
          <w:sz w:val="20"/>
          <w:szCs w:val="20"/>
          <w:color w:val="auto"/>
        </w:rPr>
      </w:pPr>
      <w:r>
        <w:rPr>
          <w:rFonts w:ascii="Arial" w:cs="Arial" w:eastAsia="Arial" w:hAnsi="Arial"/>
          <w:sz w:val="18"/>
          <w:szCs w:val="18"/>
          <w:color w:val="auto"/>
        </w:rPr>
        <w:t>The Company’s share-based compensation program allows for grants of stock options and restricted stock awards. Grants are awarded to employees and non-employees, including directors.</w:t>
      </w:r>
    </w:p>
    <w:p>
      <w:pPr>
        <w:spacing w:after="0" w:line="145"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 xml:space="preserve">The Company accounts for stock-based employee compensation arrangements in accordance with provisions of ASC 718, </w:t>
      </w:r>
      <w:r>
        <w:rPr>
          <w:rFonts w:ascii="Arial" w:cs="Arial" w:eastAsia="Arial" w:hAnsi="Arial"/>
          <w:sz w:val="18"/>
          <w:szCs w:val="18"/>
          <w:i w:val="1"/>
          <w:iCs w:val="1"/>
          <w:color w:val="auto"/>
        </w:rPr>
        <w:t xml:space="preserve">Compensation—Stock Compensation </w:t>
      </w:r>
      <w:r>
        <w:rPr>
          <w:rFonts w:ascii="Arial" w:cs="Arial" w:eastAsia="Arial" w:hAnsi="Arial"/>
          <w:sz w:val="18"/>
          <w:szCs w:val="18"/>
          <w:color w:val="auto"/>
        </w:rPr>
        <w:t>(“ASC 718”)</w:t>
      </w:r>
      <w:r>
        <w:rPr>
          <w:rFonts w:ascii="Arial" w:cs="Arial" w:eastAsia="Arial" w:hAnsi="Arial"/>
          <w:sz w:val="18"/>
          <w:szCs w:val="18"/>
          <w:i w:val="1"/>
          <w:iCs w:val="1"/>
          <w:color w:val="auto"/>
        </w:rPr>
        <w:t xml:space="preserve">. </w:t>
      </w:r>
      <w:r>
        <w:rPr>
          <w:rFonts w:ascii="Arial" w:cs="Arial" w:eastAsia="Arial" w:hAnsi="Arial"/>
          <w:sz w:val="18"/>
          <w:szCs w:val="18"/>
          <w:color w:val="auto"/>
        </w:rPr>
        <w:t>ASC 718 requires the recognition of compensation expense, using a fair-value based</w:t>
      </w:r>
      <w:r>
        <w:rPr>
          <w:rFonts w:ascii="Arial" w:cs="Arial" w:eastAsia="Arial" w:hAnsi="Arial"/>
          <w:sz w:val="18"/>
          <w:szCs w:val="18"/>
          <w:i w:val="1"/>
          <w:iCs w:val="1"/>
          <w:color w:val="auto"/>
        </w:rPr>
        <w:t xml:space="preserve"> </w:t>
      </w:r>
      <w:r>
        <w:rPr>
          <w:rFonts w:ascii="Arial" w:cs="Arial" w:eastAsia="Arial" w:hAnsi="Arial"/>
          <w:sz w:val="18"/>
          <w:szCs w:val="18"/>
          <w:color w:val="auto"/>
        </w:rPr>
        <w:t>method, for costs related to all share-based payments including stock options. ASC 718 requires companies to estimate the fair value of share-based payment awards on the date of grant using an option pricing or equity valuation model that is applied in a manner consistent with the fair value measurement objectives of ASC 718, is based on established principles of financial theory and reflects all of the substantive terms and conditions of the award. The Company uses the Black-Scholes option-pricing model (“Black-Scholes”) to value stock option grants to employees, non-employees and directors. The fair value of the Company’s common stock is used to determine the fair value of restricted stock awards and stock options.</w:t>
      </w:r>
    </w:p>
    <w:p>
      <w:pPr>
        <w:spacing w:after="0" w:line="180" w:lineRule="exact"/>
        <w:rPr>
          <w:sz w:val="20"/>
          <w:szCs w:val="20"/>
          <w:color w:val="auto"/>
        </w:rPr>
      </w:pPr>
    </w:p>
    <w:p>
      <w:pPr>
        <w:ind w:left="120" w:right="160" w:firstLine="551"/>
        <w:spacing w:after="0" w:line="248" w:lineRule="auto"/>
        <w:rPr>
          <w:sz w:val="20"/>
          <w:szCs w:val="20"/>
          <w:color w:val="auto"/>
        </w:rPr>
      </w:pPr>
      <w:r>
        <w:rPr>
          <w:rFonts w:ascii="Arial" w:cs="Arial" w:eastAsia="Arial" w:hAnsi="Arial"/>
          <w:sz w:val="18"/>
          <w:szCs w:val="18"/>
          <w:color w:val="auto"/>
        </w:rPr>
        <w:t>The Company’s stock-based compensation awards are subject to either service or performance-based vesting conditions. Compensation expense related to awards to employees and directors with service-based vesting conditions is recognized on a straight-line basis based on the grant date fair value over the associated service period of the award, which is typically the vesting term. Compensation expense related to awards to employees with performance-based vesting conditions is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040"/>
          </w:cols>
          <w:pgMar w:left="320" w:top="455" w:right="539" w:bottom="1440" w:gutter="0" w:footer="0" w:header="0"/>
        </w:sectPr>
      </w:pPr>
    </w:p>
    <w:bookmarkStart w:id="220" w:name="page221"/>
    <w:bookmarkEnd w:id="2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800"/>
        <w:spacing w:after="0" w:line="276" w:lineRule="auto"/>
        <w:rPr>
          <w:sz w:val="20"/>
          <w:szCs w:val="20"/>
          <w:color w:val="auto"/>
        </w:rPr>
      </w:pPr>
      <w:r>
        <w:rPr>
          <w:rFonts w:ascii="Arial" w:cs="Arial" w:eastAsia="Arial" w:hAnsi="Arial"/>
          <w:sz w:val="18"/>
          <w:szCs w:val="18"/>
          <w:color w:val="auto"/>
        </w:rPr>
        <w:t>recognized based on grant date fair value over the requisite service period using the accelerated attribution method to the extent achievement of the of performance condition is probable.</w:t>
      </w:r>
    </w:p>
    <w:p>
      <w:pPr>
        <w:spacing w:after="0" w:line="145"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The Black-Scholes option pricing model requires inputs based on certain subjective assumptions, including (i) the expected stock price volatility, (ii) the expected term of the award, (iii) the risk-free interest rate and (iv) expected dividends. Due to the lack of a public market for the Company’s common stock and lack of company-specific historical and implied volatility data, the Company has based its computation of expected volatility on the historical volatility of a representative group of public companies with similar characteristics to the Company, including stage of product development and life science industry focus. The historical volatility is calculated based on a period of time commensurate with expected term assumption. The Company uses the simplified method to calculate the expected term for options granted to employees whereby the expected term equals the arithmetic average of the vesting term and the original contractual term of the options due to its lack of sufficient historical data. The risk-free interest rate is based on U.S. Treasury securities with a maturity date commensurate with the expected term of the associated award. The expected dividend yield is assumed to be zero as the Company has never paid dividends and has no current plans to pay any dividends on its common stock. The Company recognizes forfeitures as they occur.</w:t>
      </w:r>
    </w:p>
    <w:p>
      <w:pPr>
        <w:spacing w:after="0" w:line="176" w:lineRule="exact"/>
        <w:rPr>
          <w:sz w:val="20"/>
          <w:szCs w:val="20"/>
          <w:color w:val="auto"/>
        </w:rPr>
      </w:pPr>
    </w:p>
    <w:p>
      <w:pPr>
        <w:ind w:left="120" w:right="160" w:firstLine="551"/>
        <w:spacing w:after="0" w:line="255" w:lineRule="auto"/>
        <w:rPr>
          <w:sz w:val="20"/>
          <w:szCs w:val="20"/>
          <w:color w:val="auto"/>
        </w:rPr>
      </w:pPr>
      <w:r>
        <w:rPr>
          <w:rFonts w:ascii="Arial" w:cs="Arial" w:eastAsia="Arial" w:hAnsi="Arial"/>
          <w:sz w:val="18"/>
          <w:szCs w:val="18"/>
          <w:color w:val="auto"/>
        </w:rPr>
        <w:t>Non-employee option awards are measured at the earlier of the commitment date for performance by the counterparty or the date when performance is complete, and compensation expense is recognized in the same manner as if we had paid cash for goods or services.</w:t>
      </w:r>
    </w:p>
    <w:p>
      <w:pPr>
        <w:spacing w:after="0" w:line="164" w:lineRule="exact"/>
        <w:rPr>
          <w:sz w:val="20"/>
          <w:szCs w:val="20"/>
          <w:color w:val="auto"/>
        </w:rPr>
      </w:pPr>
    </w:p>
    <w:p>
      <w:pPr>
        <w:ind w:left="120" w:right="20" w:firstLine="551"/>
        <w:spacing w:after="0" w:line="239" w:lineRule="auto"/>
        <w:rPr>
          <w:sz w:val="20"/>
          <w:szCs w:val="20"/>
          <w:color w:val="auto"/>
        </w:rPr>
      </w:pPr>
      <w:r>
        <w:rPr>
          <w:rFonts w:ascii="Arial" w:cs="Arial" w:eastAsia="Arial" w:hAnsi="Arial"/>
          <w:sz w:val="18"/>
          <w:szCs w:val="18"/>
          <w:color w:val="auto"/>
        </w:rPr>
        <w:t>Due to the absence of an active market for the Company’s common stock, the Company utilized methodologies in accordance with the framework of the American Institute of Certified Public Accountants Technical Practice Aid, Valuation of Privately-Held Company Equity Securities Issued as Compensation, to estimate the fair value of its common stock. In determining the exercise prices for options granted, the Company has considered the estimated fair value of the common stock as of the measurement date. The estimated fair value of the common stock has been determined at each grant date based upon a variety of factors, including the illiquid nature of the common stock, arm’s-length sales of the Company’s capital stock (including convertible preferred stock), the effect of the rights and preferences of the preferred shareholders, and the prospects of a liquidity event. Among other factors are the Company’s financial position and historical financial performance, the status of technological developments within the Company’s research, the composition and ability of the current research and management team, an evaluation or benchmark of the Company’s competition, and the current business climate in the marketplace. Significant changes to the key assumptions underlying the factors used could result in different fair values of common stock at each valuation date.</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04"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Operating segments are identified as components of an enterprise for which separate discrete financial information is available for evaluation by the Company’s Chief Operating Decision Maker to make decisions with respect to resource allocation and assessment of performance. To date, the Company has viewed its operations and manages its business as one operating segment.</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04" w:lineRule="exact"/>
        <w:rPr>
          <w:sz w:val="20"/>
          <w:szCs w:val="20"/>
          <w:color w:val="auto"/>
        </w:rPr>
      </w:pPr>
    </w:p>
    <w:p>
      <w:pPr>
        <w:ind w:left="120" w:right="520" w:firstLine="551"/>
        <w:spacing w:after="0" w:line="276" w:lineRule="auto"/>
        <w:rPr>
          <w:sz w:val="20"/>
          <w:szCs w:val="20"/>
          <w:color w:val="auto"/>
        </w:rPr>
      </w:pPr>
      <w:r>
        <w:rPr>
          <w:rFonts w:ascii="Arial" w:cs="Arial" w:eastAsia="Arial" w:hAnsi="Arial"/>
          <w:sz w:val="18"/>
          <w:szCs w:val="18"/>
          <w:color w:val="auto"/>
        </w:rPr>
        <w:t>Basic net loss per share is computed using the “two-class” method which includes the weighted average number of shares of common stock outstanding during the period and other securities that</w:t>
      </w:r>
    </w:p>
    <w:p>
      <w:pPr>
        <w:spacing w:after="0" w:line="7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5" w:right="459" w:bottom="1440" w:gutter="0" w:footer="0" w:header="0"/>
        </w:sectPr>
      </w:pPr>
    </w:p>
    <w:bookmarkStart w:id="221" w:name="page222"/>
    <w:bookmarkEnd w:id="2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 xml:space="preserve">participate in dividends (a participating security). The Company’s convertible preferred stock are participating securities as defined by ASC 260-10,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During the periods where the Company incurs net losses, the Company allocates no loss to participating securities because these securities have no contractual obligation to share in the losses of the Company. Under the two-class method, basic net loss per share applicable to common stockholders is computed by dividing the net loss applicable to common stockholders by the weighted average number of common shares outstanding for the period. Diluted net loss per share is computed similar to basic net loss per share except that the denominator is increased to include the number of additional shares for the potential dilutive effects of a warrant, convertible preferred stock and stock options outstanding during the period calculated in accordance with the treasury stock method, or the two-class method, whichever is more dilutive. The Company allocates net earnings on a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(equal) basis to both common and preferred stockholders. Net losses are not allocated to preferred stockholders as they do not have an obligation to share in the Company’s net losses. For all periods presented, basic and diluted net loss per share are the same, as any additional share equivalents would be anti-dilutive.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04" w:lineRule="exact"/>
        <w:rPr>
          <w:sz w:val="20"/>
          <w:szCs w:val="20"/>
          <w:color w:val="auto"/>
        </w:rPr>
      </w:pPr>
    </w:p>
    <w:p>
      <w:pPr>
        <w:ind w:left="120" w:right="280" w:firstLine="551"/>
        <w:spacing w:after="0" w:line="248" w:lineRule="auto"/>
        <w:rPr>
          <w:sz w:val="20"/>
          <w:szCs w:val="20"/>
          <w:color w:val="auto"/>
        </w:rPr>
      </w:pPr>
      <w:r>
        <w:rPr>
          <w:rFonts w:ascii="Arial" w:cs="Arial" w:eastAsia="Arial" w:hAnsi="Arial"/>
          <w:sz w:val="18"/>
          <w:szCs w:val="18"/>
          <w:color w:val="auto"/>
        </w:rPr>
        <w:t>The unaudited pro forma net loss per share is computed using the weighted-average number of shares of common stock outstanding after giving pro forma effect to the conversion of all issued and outstanding shares of convertible preferred stock during the year ended December 31, 2019 into shares of common stock as if such conversion had occurred at January 1, 2019, or the date of original issuance, if later.</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left="120" w:right="20" w:firstLine="551"/>
        <w:spacing w:after="0" w:line="238" w:lineRule="auto"/>
        <w:rPr>
          <w:sz w:val="20"/>
          <w:szCs w:val="20"/>
          <w:color w:val="auto"/>
        </w:rPr>
      </w:pPr>
      <w:r>
        <w:rPr>
          <w:rFonts w:ascii="Arial" w:cs="Arial" w:eastAsia="Arial" w:hAnsi="Arial"/>
          <w:sz w:val="18"/>
          <w:szCs w:val="18"/>
          <w:color w:val="auto"/>
        </w:rPr>
        <w:t xml:space="preserve">The Company accounts for income taxes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which requires that deferred tax assets and liabilities be recognized using enacted tax rates for the effect of temporary differences between the book and tax bases of recorded assets and liabilities. Under ASC 740, the liability method is used in accounting for income taxes. Deferred tax assets and liabilities are determined based on the differences between financial reporting and the tax basis of assets and liabilities and are measured using the enacted tax rates and law that will be in effect when the differences are expected to reverse. ASC 740 also requires that deferred tax assets be reduced by a valuation allowance if it is more likely than not that some or all of the deferred tax assets will not be realized. The Company evaluates annually the realizability of the deferred tax assets by assessing the valuation allowance and by adjusting the amount of such allowance, if necessary. The factors used to assess the likelihood of realization include forecast of future taxable income and available tax planning strategies that could be implemented to realize the net deferred tax assets. In 2018 and 2019, the Company has recorded a full valuation allowance for the deferred tax assets based on the historical loss and the uncertainty regarding the ability to project future taxable income. In future periods if the Company is able to generate income, the Company may reduce or eliminate the valuation allowance.</w:t>
      </w:r>
    </w:p>
    <w:p>
      <w:pPr>
        <w:spacing w:after="0" w:line="183"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The Company accounts for uncertain tax positions in accordance with ASC 740.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 likely than not” threshold. In accordance with this</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20"/>
          </w:cols>
          <w:pgMar w:left="320" w:top="455" w:right="459" w:bottom="1440" w:gutter="0" w:footer="0" w:header="0"/>
        </w:sectPr>
      </w:pPr>
    </w:p>
    <w:bookmarkStart w:id="222" w:name="page223"/>
    <w:bookmarkEnd w:id="2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line="276" w:lineRule="auto"/>
        <w:rPr>
          <w:sz w:val="20"/>
          <w:szCs w:val="20"/>
          <w:color w:val="auto"/>
        </w:rPr>
      </w:pPr>
      <w:r>
        <w:rPr>
          <w:rFonts w:ascii="Arial" w:cs="Arial" w:eastAsia="Arial" w:hAnsi="Arial"/>
          <w:sz w:val="18"/>
          <w:szCs w:val="18"/>
          <w:color w:val="auto"/>
        </w:rPr>
        <w:t>accounting policy, the Company recognizes accrued interest and penalties related to unrecognized tax benefits as a component of income tax.</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04" w:lineRule="exact"/>
        <w:rPr>
          <w:sz w:val="20"/>
          <w:szCs w:val="20"/>
          <w:color w:val="auto"/>
        </w:rPr>
      </w:pPr>
    </w:p>
    <w:p>
      <w:pPr>
        <w:ind w:left="120" w:right="60" w:firstLine="551"/>
        <w:spacing w:after="0" w:line="241"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requiring lessees to recognize operating and financing lease liabilities on the balance sheet, as well as corresponding right-of-use assets. The new lease standard also makes some changes to lessor accounting and aligns key aspects of the lessor accounting model with the revenue recognition standard. In addition, disclosures will be required to enable users of financial statements to assess the amount, timing, and uncertainty of cash flows arising from leases. In June 2020, the FASB also issued ASU 2020-05, </w:t>
      </w:r>
      <w:r>
        <w:rPr>
          <w:rFonts w:ascii="Arial" w:cs="Arial" w:eastAsia="Arial" w:hAnsi="Arial"/>
          <w:sz w:val="18"/>
          <w:szCs w:val="18"/>
          <w:i w:val="1"/>
          <w:iCs w:val="1"/>
          <w:color w:val="auto"/>
        </w:rPr>
        <w:t>Revenue from Contracts with Customers (Topic 606) and Leases (Topic 842): Effective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Dates for Certain Entities, </w:t>
      </w:r>
      <w:r>
        <w:rPr>
          <w:rFonts w:ascii="Arial" w:cs="Arial" w:eastAsia="Arial" w:hAnsi="Arial"/>
          <w:sz w:val="18"/>
          <w:szCs w:val="18"/>
          <w:color w:val="auto"/>
        </w:rPr>
        <w:t>which requires nonpublic entities to adopt the provisions of ASU 2016-02 for fiscal years beginning after</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15, 2021, and for interim periods within fiscal years beginning after December 15, 2022.</w:t>
      </w:r>
    </w:p>
    <w:p>
      <w:pPr>
        <w:spacing w:after="0" w:line="179" w:lineRule="exact"/>
        <w:rPr>
          <w:sz w:val="20"/>
          <w:szCs w:val="20"/>
          <w:color w:val="auto"/>
        </w:rPr>
      </w:pPr>
    </w:p>
    <w:p>
      <w:pPr>
        <w:ind w:left="120" w:right="40" w:firstLine="551"/>
        <w:spacing w:after="0" w:line="243" w:lineRule="auto"/>
        <w:rPr>
          <w:sz w:val="20"/>
          <w:szCs w:val="20"/>
          <w:color w:val="auto"/>
        </w:rPr>
      </w:pPr>
      <w:r>
        <w:rPr>
          <w:rFonts w:ascii="Arial" w:cs="Arial" w:eastAsia="Arial" w:hAnsi="Arial"/>
          <w:sz w:val="18"/>
          <w:szCs w:val="18"/>
          <w:color w:val="auto"/>
        </w:rPr>
        <w:t>The Company expects to qualify as an emerging growth company (“EGC”) upon issuance of its initial public offering. Qualifying as an EGC allows the Company to employ extended transition provisions by using nonpublic business entity adoption dates for new or revised accounting standards, so long as the issuer maintains its status as an EGC. The Company expects to retain its status as an EGC through December 31, 2022, and therefore expects to adopt ASU 2016-02 for the annual period ended December 31, 2022, with the provisions of the new standard reflected in quarterly periods thereafter. The Company is currently evaluating the impact of this accounting standard update on its financial statements.</w:t>
      </w:r>
    </w:p>
    <w:p>
      <w:pPr>
        <w:spacing w:after="0" w:line="174" w:lineRule="exact"/>
        <w:rPr>
          <w:sz w:val="20"/>
          <w:szCs w:val="20"/>
          <w:color w:val="auto"/>
        </w:rPr>
      </w:pPr>
    </w:p>
    <w:p>
      <w:pPr>
        <w:jc w:val="both"/>
        <w:ind w:left="120" w:right="620" w:firstLine="551"/>
        <w:spacing w:after="0" w:line="255" w:lineRule="auto"/>
        <w:rPr>
          <w:sz w:val="20"/>
          <w:szCs w:val="20"/>
          <w:color w:val="auto"/>
        </w:rPr>
      </w:pPr>
      <w:r>
        <w:rPr>
          <w:rFonts w:ascii="Arial" w:cs="Arial" w:eastAsia="Arial" w:hAnsi="Arial"/>
          <w:sz w:val="18"/>
          <w:szCs w:val="18"/>
          <w:color w:val="auto"/>
        </w:rPr>
        <w:t xml:space="preserve">In August 2016, the FASB issued ASU 2016-15, </w:t>
      </w:r>
      <w:r>
        <w:rPr>
          <w:rFonts w:ascii="Arial" w:cs="Arial" w:eastAsia="Arial" w:hAnsi="Arial"/>
          <w:sz w:val="18"/>
          <w:szCs w:val="18"/>
          <w:i w:val="1"/>
          <w:iCs w:val="1"/>
          <w:color w:val="auto"/>
        </w:rPr>
        <w:t>Classification of Certain Cash Receipts and Cash Payments</w:t>
      </w:r>
      <w:r>
        <w:rPr>
          <w:rFonts w:ascii="Arial" w:cs="Arial" w:eastAsia="Arial" w:hAnsi="Arial"/>
          <w:sz w:val="18"/>
          <w:szCs w:val="18"/>
          <w:color w:val="auto"/>
        </w:rPr>
        <w:t>, related to the classification of certain cash receipts and cash payments on the Statement of Cash Flows. The Company adopted the accounting standard effective January 1, 2019. There was no material impact on the financial statements.</w:t>
      </w:r>
    </w:p>
    <w:p>
      <w:pPr>
        <w:spacing w:after="0" w:line="16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 xml:space="preserve">In July 2017, the FASB issued ASU 2017-11, </w:t>
      </w:r>
      <w:r>
        <w:rPr>
          <w:rFonts w:ascii="Arial" w:cs="Arial" w:eastAsia="Arial" w:hAnsi="Arial"/>
          <w:sz w:val="18"/>
          <w:szCs w:val="18"/>
          <w:i w:val="1"/>
          <w:iCs w:val="1"/>
          <w:color w:val="auto"/>
        </w:rPr>
        <w:t>I. Accounting for Certain Financial Instrument with Down Round Features II.</w:t>
      </w:r>
      <w:r>
        <w:rPr>
          <w:rFonts w:ascii="Arial" w:cs="Arial" w:eastAsia="Arial" w:hAnsi="Arial"/>
          <w:sz w:val="18"/>
          <w:szCs w:val="18"/>
          <w:color w:val="auto"/>
        </w:rPr>
        <w:t xml:space="preserve"> </w:t>
      </w:r>
      <w:r>
        <w:rPr>
          <w:rFonts w:ascii="Arial" w:cs="Arial" w:eastAsia="Arial" w:hAnsi="Arial"/>
          <w:sz w:val="18"/>
          <w:szCs w:val="18"/>
          <w:i w:val="1"/>
          <w:iCs w:val="1"/>
          <w:color w:val="auto"/>
        </w:rPr>
        <w:t>Replacement of the Indefinite Deferral for Mandatorily Redeemable Financial Instruments of Certain nonpublic Entities and Certain Mandatorily Redeemable Noncontrolling Interests with a Scope Exception</w:t>
      </w:r>
      <w:r>
        <w:rPr>
          <w:rFonts w:ascii="Arial" w:cs="Arial" w:eastAsia="Arial" w:hAnsi="Arial"/>
          <w:sz w:val="18"/>
          <w:szCs w:val="18"/>
          <w:color w:val="auto"/>
        </w:rPr>
        <w:t>. Part I of the ASU simplifies the accounting for certain equity-linked financial instruments and embedded features with down round features that reduce the exercise price when the pricing of a future round of financing is lower (down round protection). Current accounting guidance provides that instruments with down round protection be classified as derivative liabilities with changes in fair value recorded through earnings. The updated guidance provides that instruments with down round protection are no longer precluded from being classified as equity. This guidance is effective for fiscal years beginning after December 15, 2018 and early adoption is permitted. This guidance must be applied retrospectively. The Company adopted this guidance on January 1, 2019 and the adoption did not have a material impact on its financial statements.</w:t>
      </w:r>
    </w:p>
    <w:p>
      <w:pPr>
        <w:spacing w:after="0" w:line="176" w:lineRule="exact"/>
        <w:rPr>
          <w:sz w:val="20"/>
          <w:szCs w:val="20"/>
          <w:color w:val="auto"/>
        </w:rPr>
      </w:pPr>
    </w:p>
    <w:p>
      <w:pPr>
        <w:ind w:left="120" w:right="20" w:firstLine="551"/>
        <w:spacing w:after="0" w:line="255"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Compensation—Stock Compensation: Improvements to Nonemployee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 Accounting </w:t>
      </w:r>
      <w:r>
        <w:rPr>
          <w:rFonts w:ascii="Arial" w:cs="Arial" w:eastAsia="Arial" w:hAnsi="Arial"/>
          <w:sz w:val="18"/>
          <w:szCs w:val="18"/>
          <w:color w:val="auto"/>
        </w:rPr>
        <w:t>(which currently only includes share-based payments to employees) to include share-based payments issued to</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nonemployees for goods or services. Consequently, the accounting for share-based payments to nonemployees and</w:t>
      </w:r>
    </w:p>
    <w:p>
      <w:pPr>
        <w:spacing w:after="0" w:line="9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080"/>
          </w:cols>
          <w:pgMar w:left="320" w:top="455" w:right="499" w:bottom="1440" w:gutter="0" w:footer="0" w:header="0"/>
        </w:sectPr>
      </w:pPr>
    </w:p>
    <w:bookmarkStart w:id="223" w:name="page224"/>
    <w:bookmarkEnd w:id="2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line="248" w:lineRule="auto"/>
        <w:rPr>
          <w:sz w:val="20"/>
          <w:szCs w:val="20"/>
          <w:color w:val="auto"/>
        </w:rPr>
      </w:pPr>
      <w:r>
        <w:rPr>
          <w:rFonts w:ascii="Arial" w:cs="Arial" w:eastAsia="Arial" w:hAnsi="Arial"/>
          <w:sz w:val="18"/>
          <w:szCs w:val="18"/>
          <w:color w:val="auto"/>
        </w:rPr>
        <w:t>employees will be substantially aligned. The ASU supersedes Subtopic 505-50, Equity—Equity-Based Payments to Non-Employees. The pronouncement is effective for the Company in the annual period beginning after December 15, 2019, and early adoption is permitted. The Company will adopt this guidance on January 1, 2020. The Company is currently evaluating the impact of adopting this standard on its financial statements.</w:t>
      </w:r>
    </w:p>
    <w:p>
      <w:pPr>
        <w:spacing w:after="0" w:line="170" w:lineRule="exact"/>
        <w:rPr>
          <w:sz w:val="20"/>
          <w:szCs w:val="20"/>
          <w:color w:val="auto"/>
        </w:rPr>
      </w:pPr>
    </w:p>
    <w:p>
      <w:pPr>
        <w:ind w:left="120" w:right="40" w:firstLine="551"/>
        <w:spacing w:after="0" w:line="245" w:lineRule="auto"/>
        <w:rPr>
          <w:sz w:val="20"/>
          <w:szCs w:val="20"/>
          <w:color w:val="auto"/>
        </w:rPr>
      </w:pPr>
      <w:r>
        <w:rPr>
          <w:rFonts w:ascii="Arial" w:cs="Arial" w:eastAsia="Arial" w:hAnsi="Arial"/>
          <w:sz w:val="18"/>
          <w:szCs w:val="18"/>
          <w:color w:val="auto"/>
        </w:rPr>
        <w:t xml:space="preserve">In August 2018, the FASB issued ASU No. 2018-13, </w:t>
      </w:r>
      <w:r>
        <w:rPr>
          <w:rFonts w:ascii="Arial" w:cs="Arial" w:eastAsia="Arial" w:hAnsi="Arial"/>
          <w:sz w:val="18"/>
          <w:szCs w:val="18"/>
          <w:i w:val="1"/>
          <w:iCs w:val="1"/>
          <w:color w:val="auto"/>
        </w:rPr>
        <w:t>Fair Value Measurement (Topic 820)</w:t>
      </w:r>
      <w:r>
        <w:rPr>
          <w:rFonts w:ascii="Arial" w:cs="Arial" w:eastAsia="Arial" w:hAnsi="Arial"/>
          <w:sz w:val="18"/>
          <w:szCs w:val="18"/>
          <w:color w:val="auto"/>
        </w:rPr>
        <w:t>. This standard modifies disclosure requirements related to fair value measurement and is effective for all entities for fiscal years beginning after December 15, 2019. Early adoption is permitted. Implementation on a prospective or retrospective basis varies by specific disclosure requirement. The standard also allows for early adoption of any removed or modified disclosures upon issuance while delaying adoption of the additional disclosures until their effective date. The Company is currently evaluating the impact of adopting this standard on its financial statements.</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04"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of cash and cash equivalents and marketable securities. Cash and cash equivalents are held in a checking account held at one financial institution. At times, such deposits may be in excess of insured limits. The Company has not experienced any losses on its deposits of cash and cash equivalents. The Company’s marketable debt securities are carried at fair value with unrealized gains and losses. Any investments with unrealized losses are considered to be temporarily impaired.</w:t>
      </w:r>
    </w:p>
    <w:p>
      <w:pPr>
        <w:spacing w:after="0" w:line="172" w:lineRule="exact"/>
        <w:rPr>
          <w:sz w:val="20"/>
          <w:szCs w:val="20"/>
          <w:color w:val="auto"/>
        </w:rPr>
      </w:pPr>
    </w:p>
    <w:p>
      <w:pPr>
        <w:ind w:left="120" w:right="300" w:firstLine="551"/>
        <w:spacing w:after="0" w:line="248" w:lineRule="auto"/>
        <w:rPr>
          <w:sz w:val="20"/>
          <w:szCs w:val="20"/>
          <w:color w:val="auto"/>
        </w:rPr>
      </w:pPr>
      <w:r>
        <w:rPr>
          <w:rFonts w:ascii="Arial" w:cs="Arial" w:eastAsia="Arial" w:hAnsi="Arial"/>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the product, competition from substitute products and larger companies, protection of proprietary technology, strategic relationships and dependence on key individuals.</w:t>
      </w:r>
    </w:p>
    <w:p>
      <w:pPr>
        <w:spacing w:after="0" w:line="170" w:lineRule="exact"/>
        <w:rPr>
          <w:sz w:val="20"/>
          <w:szCs w:val="20"/>
          <w:color w:val="auto"/>
        </w:rPr>
      </w:pPr>
    </w:p>
    <w:p>
      <w:pPr>
        <w:ind w:left="120" w:right="220" w:firstLine="551"/>
        <w:spacing w:after="0" w:line="248" w:lineRule="auto"/>
        <w:rPr>
          <w:sz w:val="20"/>
          <w:szCs w:val="20"/>
          <w:color w:val="auto"/>
        </w:rPr>
      </w:pPr>
      <w:r>
        <w:rPr>
          <w:rFonts w:ascii="Arial" w:cs="Arial" w:eastAsia="Arial" w:hAnsi="Arial"/>
          <w:sz w:val="18"/>
          <w:szCs w:val="18"/>
          <w:color w:val="auto"/>
        </w:rPr>
        <w:t>Products developed by the Company require clearances from the Food and Drug Administration or other international regulatory agencies prior to commercial sales. There can be no assurance the Company’s future products will receive the necessary clearances. If the Company was denied clearance, clearance was delayed or it was unable to maintain clearance, it could have a materially adverse impact on the Company.</w:t>
      </w:r>
    </w:p>
    <w:p>
      <w:pPr>
        <w:spacing w:after="0" w:line="170" w:lineRule="exact"/>
        <w:rPr>
          <w:sz w:val="20"/>
          <w:szCs w:val="20"/>
          <w:color w:val="auto"/>
        </w:rPr>
      </w:pPr>
    </w:p>
    <w:p>
      <w:pPr>
        <w:ind w:left="120" w:firstLine="551"/>
        <w:spacing w:after="0" w:line="241" w:lineRule="auto"/>
        <w:rPr>
          <w:sz w:val="20"/>
          <w:szCs w:val="20"/>
          <w:color w:val="auto"/>
        </w:rPr>
      </w:pPr>
      <w:r>
        <w:rPr>
          <w:rFonts w:ascii="Arial" w:cs="Arial" w:eastAsia="Arial" w:hAnsi="Arial"/>
          <w:sz w:val="18"/>
          <w:szCs w:val="18"/>
          <w:color w:val="auto"/>
        </w:rPr>
        <w:t>In January 2020, the World Health Organization declared the outbreak of a novel coronavirus (COVID-19) as a “Public Health Emergency of International Concern,” which continues to spread throughout the world and has adversely impacted global commercial activity and contributed to significant declines and volatility in financial markets. The COVID-19 outbreak and government responses are creating disruption in global supply chains and adversely impacting many industries. The outbreak could have a continued material adverse impact on economic and market conditions and trigger a period of global economic slowdown. The Company continues to monitor the impact of the COVID-19 outbreak closely. The extent to which the COVID-19 outbreak will impact its operations or financial results is uncertain.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55" w:right="459" w:bottom="1440" w:gutter="0" w:footer="0" w:header="0"/>
        </w:sectPr>
      </w:pPr>
    </w:p>
    <w:bookmarkStart w:id="224" w:name="page225"/>
    <w:bookmarkEnd w:id="2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3. Financial Instruments and Fair Value Measurements</w:t>
      </w:r>
    </w:p>
    <w:p>
      <w:pPr>
        <w:spacing w:after="0" w:line="104" w:lineRule="exact"/>
        <w:rPr>
          <w:sz w:val="20"/>
          <w:szCs w:val="20"/>
          <w:color w:val="auto"/>
        </w:rPr>
      </w:pPr>
    </w:p>
    <w:p>
      <w:pPr>
        <w:ind w:left="120" w:right="200" w:firstLine="551"/>
        <w:spacing w:after="0" w:line="255" w:lineRule="auto"/>
        <w:rPr>
          <w:sz w:val="20"/>
          <w:szCs w:val="20"/>
          <w:color w:val="auto"/>
        </w:rPr>
      </w:pPr>
      <w:r>
        <w:rPr>
          <w:rFonts w:ascii="Arial" w:cs="Arial" w:eastAsia="Arial" w:hAnsi="Arial"/>
          <w:sz w:val="18"/>
          <w:szCs w:val="18"/>
          <w:color w:val="auto"/>
        </w:rPr>
        <w:t>The Company’s financial instruments consist of money market funds, U.S. government debt securities and corporate debt securities. The following tables show the Company’s cash equivalents and available-for-sale securities’ carrying amounts and fair values at December 31, 2018 and 2019:</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5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 2019</w:t>
            </w:r>
          </w:p>
        </w:tc>
        <w:tc>
          <w:tcPr>
            <w:tcW w:w="10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0"/>
        </w:trPr>
        <w:tc>
          <w:tcPr>
            <w:tcW w:w="5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gridSpan w:val="3"/>
          </w:tcPr>
          <w:p>
            <w:pPr>
              <w:jc w:val="center"/>
              <w:ind w:right="600"/>
              <w:spacing w:after="0" w:line="141" w:lineRule="exact"/>
              <w:rPr>
                <w:sz w:val="20"/>
                <w:szCs w:val="20"/>
                <w:color w:val="auto"/>
              </w:rPr>
            </w:pPr>
            <w:r>
              <w:rPr>
                <w:rFonts w:ascii="Arial" w:cs="Arial" w:eastAsia="Arial" w:hAnsi="Arial"/>
                <w:sz w:val="14"/>
                <w:szCs w:val="14"/>
                <w:b w:val="1"/>
                <w:bCs w:val="1"/>
                <w:color w:val="auto"/>
              </w:rPr>
              <w:t>Quoted Priced in</w:t>
            </w:r>
          </w:p>
        </w:tc>
        <w:tc>
          <w:tcPr>
            <w:tcW w:w="1460" w:type="dxa"/>
            <w:vAlign w:val="bottom"/>
            <w:gridSpan w:val="3"/>
          </w:tcPr>
          <w:p>
            <w:pPr>
              <w:jc w:val="center"/>
              <w:ind w:right="300"/>
              <w:spacing w:after="0" w:line="141" w:lineRule="exact"/>
              <w:rPr>
                <w:sz w:val="20"/>
                <w:szCs w:val="20"/>
                <w:color w:val="auto"/>
              </w:rPr>
            </w:pPr>
            <w:r>
              <w:rPr>
                <w:rFonts w:ascii="Arial" w:cs="Arial" w:eastAsia="Arial" w:hAnsi="Arial"/>
                <w:sz w:val="14"/>
                <w:szCs w:val="14"/>
                <w:b w:val="1"/>
                <w:bCs w:val="1"/>
                <w:color w:val="auto"/>
              </w:rPr>
              <w:t>Significant Other</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35"/>
              <w:spacing w:after="0" w:line="141"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2"/>
                <w:szCs w:val="12"/>
                <w:color w:val="auto"/>
              </w:rPr>
            </w:pPr>
          </w:p>
        </w:tc>
      </w:tr>
      <w:tr>
        <w:trPr>
          <w:trHeight w:val="162"/>
        </w:trPr>
        <w:tc>
          <w:tcPr>
            <w:tcW w:w="5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Active Markets</w:t>
            </w:r>
          </w:p>
        </w:tc>
        <w:tc>
          <w:tcPr>
            <w:tcW w:w="14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Observable</w:t>
            </w:r>
          </w:p>
        </w:tc>
        <w:tc>
          <w:tcPr>
            <w:tcW w:w="320" w:type="dxa"/>
            <w:vAlign w:val="bottom"/>
          </w:tcPr>
          <w:p>
            <w:pPr>
              <w:spacing w:after="0"/>
              <w:rPr>
                <w:sz w:val="14"/>
                <w:szCs w:val="14"/>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Unobservable</w:t>
            </w:r>
          </w:p>
        </w:tc>
      </w:tr>
      <w:tr>
        <w:trPr>
          <w:trHeight w:val="177"/>
        </w:trPr>
        <w:tc>
          <w:tcPr>
            <w:tcW w:w="5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5"/>
                <w:szCs w:val="15"/>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Fair Value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(Level 1)</w:t>
            </w:r>
          </w:p>
        </w:tc>
        <w:tc>
          <w:tcPr>
            <w:tcW w:w="14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Inputs (Level 2)</w:t>
            </w:r>
          </w:p>
        </w:tc>
        <w:tc>
          <w:tcPr>
            <w:tcW w:w="320" w:type="dxa"/>
            <w:vAlign w:val="bottom"/>
          </w:tcPr>
          <w:p>
            <w:pPr>
              <w:spacing w:after="0"/>
              <w:rPr>
                <w:sz w:val="15"/>
                <w:szCs w:val="15"/>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Inputs (Level 3)</w:t>
            </w:r>
          </w:p>
        </w:tc>
      </w:tr>
      <w:tr>
        <w:trPr>
          <w:trHeight w:val="163"/>
        </w:trPr>
        <w:tc>
          <w:tcPr>
            <w:tcW w:w="5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96"/>
              </w:rPr>
              <w:t>Assets</w:t>
            </w:r>
          </w:p>
        </w:tc>
        <w:tc>
          <w:tcPr>
            <w:tcW w:w="236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CCEEFF"/>
              <w:right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6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3"/>
        </w:trPr>
        <w:tc>
          <w:tcPr>
            <w:tcW w:w="2900" w:type="dxa"/>
            <w:vAlign w:val="bottom"/>
            <w:gridSpan w:val="2"/>
          </w:tcPr>
          <w:p>
            <w:pPr>
              <w:spacing w:after="0" w:line="202" w:lineRule="exact"/>
              <w:rPr>
                <w:sz w:val="20"/>
                <w:szCs w:val="20"/>
                <w:color w:val="auto"/>
              </w:rPr>
            </w:pPr>
            <w:r>
              <w:rPr>
                <w:rFonts w:ascii="Arial" w:cs="Arial" w:eastAsia="Arial" w:hAnsi="Arial"/>
                <w:sz w:val="18"/>
                <w:szCs w:val="18"/>
                <w:color w:val="auto"/>
              </w:rPr>
              <w:t>Money market funds</w:t>
            </w:r>
          </w:p>
        </w:tc>
        <w:tc>
          <w:tcPr>
            <w:tcW w:w="15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1,680</w:t>
            </w:r>
          </w:p>
        </w:tc>
        <w:tc>
          <w:tcPr>
            <w:tcW w:w="280" w:type="dxa"/>
            <w:vAlign w:val="bottom"/>
          </w:tcPr>
          <w:p>
            <w:pPr>
              <w:spacing w:after="0"/>
              <w:rPr>
                <w:sz w:val="17"/>
                <w:szCs w:val="17"/>
                <w:color w:val="auto"/>
              </w:rPr>
            </w:pPr>
          </w:p>
        </w:tc>
        <w:tc>
          <w:tcPr>
            <w:tcW w:w="130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1,680</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1,680</w:t>
            </w:r>
          </w:p>
        </w:tc>
        <w:tc>
          <w:tcPr>
            <w:tcW w:w="140" w:type="dxa"/>
            <w:vAlign w:val="bottom"/>
          </w:tcPr>
          <w:p>
            <w:pPr>
              <w:spacing w:after="0"/>
              <w:rPr>
                <w:sz w:val="17"/>
                <w:szCs w:val="17"/>
                <w:color w:val="auto"/>
              </w:rPr>
            </w:pPr>
          </w:p>
        </w:tc>
        <w:tc>
          <w:tcPr>
            <w:tcW w:w="13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 debt securities</w:t>
            </w:r>
          </w:p>
        </w:tc>
        <w:tc>
          <w:tcPr>
            <w:tcW w:w="1580" w:type="dxa"/>
            <w:vAlign w:val="bottom"/>
            <w:tcBorders>
              <w:right w:val="single" w:sz="8" w:color="CCEEFF"/>
            </w:tcBorders>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97,819</w:t>
            </w:r>
          </w:p>
        </w:tc>
        <w:tc>
          <w:tcPr>
            <w:tcW w:w="2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97,816</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97,816</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0"/>
        </w:trPr>
        <w:tc>
          <w:tcPr>
            <w:tcW w:w="2900" w:type="dxa"/>
            <w:vAlign w:val="bottom"/>
            <w:gridSpan w:val="2"/>
          </w:tcPr>
          <w:p>
            <w:pPr>
              <w:ind w:left="360"/>
              <w:spacing w:after="0"/>
              <w:rPr>
                <w:sz w:val="20"/>
                <w:szCs w:val="20"/>
                <w:color w:val="auto"/>
              </w:rPr>
            </w:pPr>
            <w:r>
              <w:rPr>
                <w:rFonts w:ascii="Arial" w:cs="Arial" w:eastAsia="Arial" w:hAnsi="Arial"/>
                <w:sz w:val="18"/>
                <w:szCs w:val="18"/>
                <w:color w:val="auto"/>
              </w:rPr>
              <w:t>Total assets</w:t>
            </w:r>
          </w:p>
        </w:tc>
        <w:tc>
          <w:tcPr>
            <w:tcW w:w="880" w:type="dxa"/>
            <w:vAlign w:val="bottom"/>
          </w:tcPr>
          <w:p>
            <w:pPr>
              <w:spacing w:after="0"/>
              <w:rPr>
                <w:sz w:val="18"/>
                <w:szCs w:val="18"/>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99,499</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$ 99,496</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6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97,816</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412"/>
        </w:trPr>
        <w:tc>
          <w:tcPr>
            <w:tcW w:w="5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 2018</w:t>
            </w:r>
          </w:p>
        </w:tc>
        <w:tc>
          <w:tcPr>
            <w:tcW w:w="10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0"/>
        </w:trPr>
        <w:tc>
          <w:tcPr>
            <w:tcW w:w="54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760" w:type="dxa"/>
            <w:vAlign w:val="bottom"/>
            <w:gridSpan w:val="3"/>
          </w:tcPr>
          <w:p>
            <w:pPr>
              <w:jc w:val="center"/>
              <w:ind w:right="600"/>
              <w:spacing w:after="0" w:line="141" w:lineRule="exact"/>
              <w:rPr>
                <w:sz w:val="20"/>
                <w:szCs w:val="20"/>
                <w:color w:val="auto"/>
              </w:rPr>
            </w:pPr>
            <w:r>
              <w:rPr>
                <w:rFonts w:ascii="Arial" w:cs="Arial" w:eastAsia="Arial" w:hAnsi="Arial"/>
                <w:sz w:val="14"/>
                <w:szCs w:val="14"/>
                <w:b w:val="1"/>
                <w:bCs w:val="1"/>
                <w:color w:val="auto"/>
              </w:rPr>
              <w:t>Quoted Priced in</w:t>
            </w:r>
          </w:p>
        </w:tc>
        <w:tc>
          <w:tcPr>
            <w:tcW w:w="1460" w:type="dxa"/>
            <w:vAlign w:val="bottom"/>
            <w:gridSpan w:val="3"/>
          </w:tcPr>
          <w:p>
            <w:pPr>
              <w:jc w:val="center"/>
              <w:ind w:right="300"/>
              <w:spacing w:after="0" w:line="141" w:lineRule="exact"/>
              <w:rPr>
                <w:sz w:val="20"/>
                <w:szCs w:val="20"/>
                <w:color w:val="auto"/>
              </w:rPr>
            </w:pPr>
            <w:r>
              <w:rPr>
                <w:rFonts w:ascii="Arial" w:cs="Arial" w:eastAsia="Arial" w:hAnsi="Arial"/>
                <w:sz w:val="14"/>
                <w:szCs w:val="14"/>
                <w:b w:val="1"/>
                <w:bCs w:val="1"/>
                <w:color w:val="auto"/>
              </w:rPr>
              <w:t>Significant Other</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35"/>
              <w:spacing w:after="0" w:line="141"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2"/>
                <w:szCs w:val="12"/>
                <w:color w:val="auto"/>
              </w:rPr>
            </w:pPr>
          </w:p>
        </w:tc>
      </w:tr>
      <w:tr>
        <w:trPr>
          <w:trHeight w:val="162"/>
        </w:trPr>
        <w:tc>
          <w:tcPr>
            <w:tcW w:w="5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rPr>
              <w:t>Active Markets</w:t>
            </w:r>
          </w:p>
        </w:tc>
        <w:tc>
          <w:tcPr>
            <w:tcW w:w="140" w:type="dxa"/>
            <w:vAlign w:val="bottom"/>
          </w:tcPr>
          <w:p>
            <w:pPr>
              <w:spacing w:after="0"/>
              <w:rPr>
                <w:sz w:val="14"/>
                <w:szCs w:val="14"/>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Observable</w:t>
            </w:r>
          </w:p>
        </w:tc>
        <w:tc>
          <w:tcPr>
            <w:tcW w:w="320" w:type="dxa"/>
            <w:vAlign w:val="bottom"/>
          </w:tcPr>
          <w:p>
            <w:pPr>
              <w:spacing w:after="0"/>
              <w:rPr>
                <w:sz w:val="14"/>
                <w:szCs w:val="14"/>
                <w:color w:val="auto"/>
              </w:rPr>
            </w:pPr>
          </w:p>
        </w:tc>
        <w:tc>
          <w:tcPr>
            <w:tcW w:w="11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Unobservable</w:t>
            </w:r>
          </w:p>
        </w:tc>
      </w:tr>
      <w:tr>
        <w:trPr>
          <w:trHeight w:val="177"/>
        </w:trPr>
        <w:tc>
          <w:tcPr>
            <w:tcW w:w="5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5"/>
                <w:szCs w:val="15"/>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8"/>
              </w:rPr>
              <w:t>Fair Value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(Level 1)</w:t>
            </w:r>
          </w:p>
        </w:tc>
        <w:tc>
          <w:tcPr>
            <w:tcW w:w="14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rPr>
              <w:t>Inputs (Level 2)</w:t>
            </w:r>
          </w:p>
        </w:tc>
        <w:tc>
          <w:tcPr>
            <w:tcW w:w="320" w:type="dxa"/>
            <w:vAlign w:val="bottom"/>
          </w:tcPr>
          <w:p>
            <w:pPr>
              <w:spacing w:after="0"/>
              <w:rPr>
                <w:sz w:val="15"/>
                <w:szCs w:val="15"/>
                <w:color w:val="auto"/>
              </w:rPr>
            </w:pPr>
          </w:p>
        </w:tc>
        <w:tc>
          <w:tcPr>
            <w:tcW w:w="112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Inputs (Level 3)</w:t>
            </w:r>
          </w:p>
        </w:tc>
      </w:tr>
      <w:tr>
        <w:trPr>
          <w:trHeight w:val="163"/>
        </w:trPr>
        <w:tc>
          <w:tcPr>
            <w:tcW w:w="5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96"/>
              </w:rPr>
              <w:t>Assets</w:t>
            </w:r>
          </w:p>
        </w:tc>
        <w:tc>
          <w:tcPr>
            <w:tcW w:w="2360" w:type="dxa"/>
            <w:vAlign w:val="bottom"/>
            <w:tcBorders>
              <w:top w:val="single" w:sz="8" w:color="CCEEFF"/>
              <w:bottom w:val="single" w:sz="8" w:color="CCEEFF"/>
            </w:tcBorders>
            <w:shd w:val="clear" w:color="auto" w:fill="CCEEFF"/>
          </w:tcPr>
          <w:p>
            <w:pPr>
              <w:spacing w:after="0"/>
              <w:rPr>
                <w:sz w:val="14"/>
                <w:szCs w:val="14"/>
                <w:color w:val="auto"/>
              </w:rPr>
            </w:pPr>
          </w:p>
        </w:tc>
        <w:tc>
          <w:tcPr>
            <w:tcW w:w="8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CCEEFF"/>
              <w:right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680" w:type="dxa"/>
            <w:vAlign w:val="bottom"/>
            <w:tcBorders>
              <w:top w:val="single" w:sz="8" w:color="auto"/>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60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CCEEFF"/>
            </w:tcBorders>
            <w:shd w:val="clear" w:color="auto" w:fill="CCEEFF"/>
          </w:tcPr>
          <w:p>
            <w:pPr>
              <w:spacing w:after="0"/>
              <w:rPr>
                <w:sz w:val="14"/>
                <w:szCs w:val="14"/>
                <w:color w:val="auto"/>
              </w:rPr>
            </w:pPr>
          </w:p>
        </w:tc>
        <w:tc>
          <w:tcPr>
            <w:tcW w:w="1020" w:type="dxa"/>
            <w:vAlign w:val="bottom"/>
            <w:tcBorders>
              <w:top w:val="single" w:sz="8" w:color="auto"/>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4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3"/>
        </w:trPr>
        <w:tc>
          <w:tcPr>
            <w:tcW w:w="2900" w:type="dxa"/>
            <w:vAlign w:val="bottom"/>
            <w:gridSpan w:val="2"/>
          </w:tcPr>
          <w:p>
            <w:pPr>
              <w:spacing w:after="0" w:line="202" w:lineRule="exact"/>
              <w:rPr>
                <w:sz w:val="20"/>
                <w:szCs w:val="20"/>
                <w:color w:val="auto"/>
              </w:rPr>
            </w:pPr>
            <w:r>
              <w:rPr>
                <w:rFonts w:ascii="Arial" w:cs="Arial" w:eastAsia="Arial" w:hAnsi="Arial"/>
                <w:sz w:val="18"/>
                <w:szCs w:val="18"/>
                <w:color w:val="auto"/>
              </w:rPr>
              <w:t>Money market funds</w:t>
            </w:r>
          </w:p>
        </w:tc>
        <w:tc>
          <w:tcPr>
            <w:tcW w:w="1860" w:type="dxa"/>
            <w:vAlign w:val="bottom"/>
            <w:gridSpan w:val="4"/>
          </w:tcPr>
          <w:p>
            <w:pPr>
              <w:jc w:val="right"/>
              <w:ind w:right="300"/>
              <w:spacing w:after="0" w:line="202" w:lineRule="exact"/>
              <w:rPr>
                <w:sz w:val="20"/>
                <w:szCs w:val="20"/>
                <w:color w:val="auto"/>
              </w:rPr>
            </w:pPr>
            <w:r>
              <w:rPr>
                <w:rFonts w:ascii="Arial" w:cs="Arial" w:eastAsia="Arial" w:hAnsi="Arial"/>
                <w:sz w:val="18"/>
                <w:szCs w:val="18"/>
                <w:color w:val="auto"/>
              </w:rPr>
              <w:t>82</w:t>
            </w:r>
          </w:p>
        </w:tc>
        <w:tc>
          <w:tcPr>
            <w:tcW w:w="130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82</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82</w:t>
            </w:r>
          </w:p>
        </w:tc>
        <w:tc>
          <w:tcPr>
            <w:tcW w:w="140" w:type="dxa"/>
            <w:vAlign w:val="bottom"/>
          </w:tcPr>
          <w:p>
            <w:pPr>
              <w:spacing w:after="0"/>
              <w:rPr>
                <w:sz w:val="17"/>
                <w:szCs w:val="17"/>
                <w:color w:val="auto"/>
              </w:rPr>
            </w:pPr>
          </w:p>
        </w:tc>
        <w:tc>
          <w:tcPr>
            <w:tcW w:w="13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9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US government</w:t>
            </w:r>
          </w:p>
        </w:tc>
        <w:tc>
          <w:tcPr>
            <w:tcW w:w="1860" w:type="dxa"/>
            <w:vAlign w:val="bottom"/>
            <w:gridSpan w:val="4"/>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3,977</w:t>
            </w:r>
          </w:p>
        </w:tc>
        <w:tc>
          <w:tcPr>
            <w:tcW w:w="130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3,977</w:t>
            </w: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3,977</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900" w:type="dxa"/>
            <w:vAlign w:val="bottom"/>
            <w:gridSpan w:val="2"/>
          </w:tcPr>
          <w:p>
            <w:pPr>
              <w:spacing w:after="0" w:line="202" w:lineRule="exact"/>
              <w:rPr>
                <w:sz w:val="20"/>
                <w:szCs w:val="20"/>
                <w:color w:val="auto"/>
              </w:rPr>
            </w:pPr>
            <w:r>
              <w:rPr>
                <w:rFonts w:ascii="Arial" w:cs="Arial" w:eastAsia="Arial" w:hAnsi="Arial"/>
                <w:sz w:val="18"/>
                <w:szCs w:val="18"/>
                <w:color w:val="auto"/>
              </w:rPr>
              <w:t>Corporate debt securities</w:t>
            </w:r>
          </w:p>
        </w:tc>
        <w:tc>
          <w:tcPr>
            <w:tcW w:w="900" w:type="dxa"/>
            <w:vAlign w:val="bottom"/>
            <w:gridSpan w:val="2"/>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56,734</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56,721</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56,721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7"/>
        </w:trPr>
        <w:tc>
          <w:tcPr>
            <w:tcW w:w="5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2"/>
        </w:trPr>
        <w:tc>
          <w:tcPr>
            <w:tcW w:w="2900" w:type="dxa"/>
            <w:vAlign w:val="bottom"/>
            <w:gridSpan w:val="2"/>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assets</w:t>
            </w:r>
          </w:p>
        </w:tc>
        <w:tc>
          <w:tcPr>
            <w:tcW w:w="900" w:type="dxa"/>
            <w:vAlign w:val="bottom"/>
            <w:gridSpan w:val="2"/>
            <w:shd w:val="clear" w:color="auto" w:fill="CCEEFF"/>
          </w:tcPr>
          <w:p>
            <w:pPr>
              <w:spacing w:after="0"/>
              <w:rPr>
                <w:sz w:val="17"/>
                <w:szCs w:val="17"/>
                <w:color w:val="auto"/>
              </w:rPr>
            </w:pPr>
          </w:p>
        </w:tc>
        <w:tc>
          <w:tcPr>
            <w:tcW w:w="680" w:type="dxa"/>
            <w:vAlign w:val="bottom"/>
            <w:tcBorders>
              <w:right w:val="single" w:sz="8" w:color="CCEEFF"/>
            </w:tcBorders>
            <w:shd w:val="clear" w:color="auto" w:fill="CCEEFF"/>
          </w:tcPr>
          <w:p>
            <w:pPr>
              <w:jc w:val="right"/>
              <w:spacing w:after="0" w:line="202" w:lineRule="exact"/>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60,793</w:t>
            </w:r>
          </w:p>
        </w:tc>
        <w:tc>
          <w:tcPr>
            <w:tcW w:w="2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320"/>
              <w:spacing w:after="0" w:line="202" w:lineRule="exact"/>
              <w:rPr>
                <w:sz w:val="20"/>
                <w:szCs w:val="20"/>
                <w:color w:val="auto"/>
              </w:rPr>
            </w:pPr>
            <w:r>
              <w:rPr>
                <w:rFonts w:ascii="Arial" w:cs="Arial" w:eastAsia="Arial" w:hAnsi="Arial"/>
                <w:sz w:val="18"/>
                <w:szCs w:val="18"/>
                <w:color w:val="auto"/>
              </w:rPr>
              <w:t>$ 60,780</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4,059</w:t>
            </w: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56,721</w:t>
            </w:r>
          </w:p>
        </w:tc>
        <w:tc>
          <w:tcPr>
            <w:tcW w:w="4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
        </w:trPr>
        <w:tc>
          <w:tcPr>
            <w:tcW w:w="54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97" w:lineRule="exact"/>
        <w:rPr>
          <w:sz w:val="20"/>
          <w:szCs w:val="20"/>
          <w:color w:val="auto"/>
        </w:rPr>
      </w:pPr>
    </w:p>
    <w:p>
      <w:pPr>
        <w:ind w:left="1180"/>
        <w:spacing w:after="0"/>
        <w:rPr>
          <w:sz w:val="20"/>
          <w:szCs w:val="20"/>
          <w:color w:val="auto"/>
        </w:rPr>
      </w:pPr>
      <w:r>
        <w:rPr>
          <w:rFonts w:ascii="Arial" w:cs="Arial" w:eastAsia="Arial" w:hAnsi="Arial"/>
          <w:sz w:val="18"/>
          <w:szCs w:val="18"/>
          <w:b w:val="1"/>
          <w:bCs w:val="1"/>
          <w:i w:val="1"/>
          <w:iCs w:val="1"/>
          <w:color w:val="auto"/>
        </w:rPr>
        <w:t>Cash Equivalents</w:t>
      </w:r>
      <w:r>
        <w:rPr>
          <w:rFonts w:ascii="Arial" w:cs="Arial" w:eastAsia="Arial" w:hAnsi="Arial"/>
          <w:sz w:val="18"/>
          <w:szCs w:val="18"/>
          <w:b w:val="1"/>
          <w:bCs w:val="1"/>
          <w:color w:val="auto"/>
        </w:rPr>
        <w:t>—</w:t>
      </w:r>
      <w:r>
        <w:rPr>
          <w:rFonts w:ascii="Arial" w:cs="Arial" w:eastAsia="Arial" w:hAnsi="Arial"/>
          <w:sz w:val="18"/>
          <w:szCs w:val="18"/>
          <w:color w:val="auto"/>
        </w:rPr>
        <w:t>Cash equivalents of $29.2 million as of December 31, 2018 consisted of money market funds of</w:t>
      </w:r>
    </w:p>
    <w:p>
      <w:pPr>
        <w:spacing w:after="0" w:line="20" w:lineRule="exact"/>
        <w:rPr>
          <w:sz w:val="20"/>
          <w:szCs w:val="20"/>
          <w:color w:val="auto"/>
        </w:rPr>
      </w:pPr>
    </w:p>
    <w:p>
      <w:pPr>
        <w:ind w:left="660" w:right="40"/>
        <w:spacing w:after="0" w:line="239" w:lineRule="auto"/>
        <w:rPr>
          <w:sz w:val="20"/>
          <w:szCs w:val="20"/>
          <w:color w:val="auto"/>
        </w:rPr>
      </w:pPr>
      <w:r>
        <w:rPr>
          <w:rFonts w:ascii="Arial" w:cs="Arial" w:eastAsia="Arial" w:hAnsi="Arial"/>
          <w:sz w:val="18"/>
          <w:szCs w:val="18"/>
          <w:color w:val="auto"/>
        </w:rPr>
        <w:t>$0.1 million, and corporate debt securities of $29.1 million. Cash equivalents of $71.3 million as of December 31, 2019 consisted of money market funds of $1.7 million, and corporate debt securities of $69.6 million. Money market funds are classified within level 1 of the fair value hierarchy because they are valued using quoted market prices in active markets, whereas corporate debt securities are classified within level 2 of the fair value hierarchy because they are valued using inputs other than quoted prices that are observable for the asset or liability either directly or indirectly.</w:t>
      </w:r>
    </w:p>
    <w:p>
      <w:pPr>
        <w:spacing w:after="0" w:line="66" w:lineRule="exact"/>
        <w:rPr>
          <w:sz w:val="20"/>
          <w:szCs w:val="20"/>
          <w:color w:val="auto"/>
        </w:rPr>
      </w:pPr>
    </w:p>
    <w:p>
      <w:pPr>
        <w:ind w:left="660" w:right="20" w:firstLine="523"/>
        <w:spacing w:after="0" w:line="256" w:lineRule="auto"/>
        <w:rPr>
          <w:sz w:val="20"/>
          <w:szCs w:val="20"/>
          <w:color w:val="auto"/>
        </w:rPr>
      </w:pPr>
      <w:r>
        <w:rPr>
          <w:rFonts w:ascii="Arial" w:cs="Arial" w:eastAsia="Arial" w:hAnsi="Arial"/>
          <w:sz w:val="18"/>
          <w:szCs w:val="18"/>
          <w:b w:val="1"/>
          <w:bCs w:val="1"/>
          <w:i w:val="1"/>
          <w:iCs w:val="1"/>
          <w:color w:val="auto"/>
        </w:rPr>
        <w:t>Marketable Securities</w:t>
      </w:r>
      <w:r>
        <w:rPr>
          <w:rFonts w:ascii="Arial" w:cs="Arial" w:eastAsia="Arial" w:hAnsi="Arial"/>
          <w:sz w:val="18"/>
          <w:szCs w:val="18"/>
          <w:b w:val="1"/>
          <w:bCs w:val="1"/>
          <w:color w:val="auto"/>
        </w:rPr>
        <w:t>—</w:t>
      </w:r>
      <w:r>
        <w:rPr>
          <w:rFonts w:ascii="Arial" w:cs="Arial" w:eastAsia="Arial" w:hAnsi="Arial"/>
          <w:sz w:val="18"/>
          <w:szCs w:val="18"/>
          <w:color w:val="auto"/>
        </w:rPr>
        <w:t>Marketable securities of $31.6 million and $28.2 million as of December 31, 2018 and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respectively, consisted of corporate debt securities classified within level 2 of the fair value hierarchy because they are valued using inputs other than quoted prices that are observable for the asset or liability either directly or indirectly.</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40"/>
          </w:cols>
          <w:pgMar w:left="320" w:top="455" w:right="439" w:bottom="1440" w:gutter="0" w:footer="0" w:header="0"/>
        </w:sectPr>
      </w:pPr>
    </w:p>
    <w:bookmarkStart w:id="225" w:name="page226"/>
    <w:bookmarkEnd w:id="2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 Property and Equipment, Net</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4"/>
          </w:tcPr>
          <w:p>
            <w:pPr>
              <w:ind w:left="660"/>
              <w:spacing w:after="0"/>
              <w:rPr>
                <w:sz w:val="20"/>
                <w:szCs w:val="20"/>
                <w:color w:val="auto"/>
              </w:rPr>
            </w:pPr>
            <w:r>
              <w:rPr>
                <w:rFonts w:ascii="Arial" w:cs="Arial" w:eastAsia="Arial" w:hAnsi="Arial"/>
                <w:sz w:val="14"/>
                <w:szCs w:val="14"/>
                <w:b w:val="1"/>
                <w:bCs w:val="1"/>
                <w:color w:val="auto"/>
              </w:rPr>
              <w:t>Years Ended</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0"/>
        </w:trPr>
        <w:tc>
          <w:tcPr>
            <w:tcW w:w="8280" w:type="dxa"/>
            <w:vAlign w:val="bottom"/>
          </w:tcPr>
          <w:p>
            <w:pPr>
              <w:spacing w:after="0"/>
              <w:rPr>
                <w:sz w:val="12"/>
                <w:szCs w:val="12"/>
                <w:color w:val="auto"/>
              </w:rPr>
            </w:pPr>
          </w:p>
        </w:tc>
        <w:tc>
          <w:tcPr>
            <w:tcW w:w="134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December 31,</w:t>
            </w:r>
          </w:p>
        </w:tc>
        <w:tc>
          <w:tcPr>
            <w:tcW w:w="320" w:type="dxa"/>
            <w:vAlign w:val="bottom"/>
          </w:tcPr>
          <w:p>
            <w:pPr>
              <w:spacing w:after="0"/>
              <w:rPr>
                <w:sz w:val="12"/>
                <w:szCs w:val="12"/>
                <w:color w:val="auto"/>
              </w:rPr>
            </w:pPr>
          </w:p>
        </w:tc>
        <w:tc>
          <w:tcPr>
            <w:tcW w:w="96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r>
      <w:tr>
        <w:trPr>
          <w:trHeight w:val="177"/>
        </w:trPr>
        <w:tc>
          <w:tcPr>
            <w:tcW w:w="8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96"/>
        </w:trPr>
        <w:tc>
          <w:tcPr>
            <w:tcW w:w="8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Machinery &amp; equipment</w:t>
            </w: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1,789</w:t>
            </w:r>
          </w:p>
        </w:tc>
        <w:tc>
          <w:tcPr>
            <w:tcW w:w="4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1,898</w:t>
            </w:r>
          </w:p>
        </w:tc>
        <w:tc>
          <w:tcPr>
            <w:tcW w:w="120" w:type="dxa"/>
            <w:vAlign w:val="bottom"/>
            <w:shd w:val="clear" w:color="auto" w:fill="CCEEFF"/>
          </w:tcPr>
          <w:p>
            <w:pPr>
              <w:spacing w:after="0"/>
              <w:rPr>
                <w:sz w:val="17"/>
                <w:szCs w:val="17"/>
                <w:color w:val="auto"/>
              </w:rPr>
            </w:pP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Computers</w:t>
            </w:r>
          </w:p>
        </w:tc>
        <w:tc>
          <w:tcPr>
            <w:tcW w:w="220" w:type="dxa"/>
            <w:vAlign w:val="bottom"/>
          </w:tcPr>
          <w:p>
            <w:pPr>
              <w:spacing w:after="0"/>
              <w:rPr>
                <w:sz w:val="17"/>
                <w:szCs w:val="17"/>
                <w:color w:val="auto"/>
              </w:rPr>
            </w:pPr>
          </w:p>
        </w:tc>
        <w:tc>
          <w:tcPr>
            <w:tcW w:w="11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8</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w:t>
            </w: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 &amp; fixtures</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9</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w:t>
            </w:r>
          </w:p>
        </w:tc>
      </w:tr>
      <w:tr>
        <w:trPr>
          <w:trHeight w:val="202"/>
        </w:trPr>
        <w:tc>
          <w:tcPr>
            <w:tcW w:w="828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220" w:type="dxa"/>
            <w:vAlign w:val="bottom"/>
          </w:tcPr>
          <w:p>
            <w:pPr>
              <w:spacing w:after="0"/>
              <w:rPr>
                <w:sz w:val="17"/>
                <w:szCs w:val="17"/>
                <w:color w:val="auto"/>
              </w:rPr>
            </w:pPr>
          </w:p>
        </w:tc>
        <w:tc>
          <w:tcPr>
            <w:tcW w:w="11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67</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67</w:t>
            </w:r>
          </w:p>
        </w:tc>
      </w:tr>
      <w:tr>
        <w:trPr>
          <w:trHeight w:val="27"/>
        </w:trPr>
        <w:tc>
          <w:tcPr>
            <w:tcW w:w="8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property and equipment</w:t>
            </w:r>
          </w:p>
        </w:tc>
        <w:tc>
          <w:tcPr>
            <w:tcW w:w="2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1,873</w:t>
            </w: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1,982</w:t>
            </w:r>
          </w:p>
        </w:tc>
      </w:tr>
      <w:tr>
        <w:trPr>
          <w:trHeight w:val="203"/>
        </w:trPr>
        <w:tc>
          <w:tcPr>
            <w:tcW w:w="828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220" w:type="dxa"/>
            <w:vAlign w:val="bottom"/>
          </w:tcPr>
          <w:p>
            <w:pPr>
              <w:spacing w:after="0"/>
              <w:rPr>
                <w:sz w:val="17"/>
                <w:szCs w:val="17"/>
                <w:color w:val="auto"/>
              </w:rPr>
            </w:pPr>
          </w:p>
        </w:tc>
        <w:tc>
          <w:tcPr>
            <w:tcW w:w="1120" w:type="dxa"/>
            <w:vAlign w:val="bottom"/>
            <w:gridSpan w:val="2"/>
          </w:tcPr>
          <w:p>
            <w:pPr>
              <w:jc w:val="right"/>
              <w:ind w:right="320"/>
              <w:spacing w:after="0" w:line="202" w:lineRule="exact"/>
              <w:rPr>
                <w:sz w:val="20"/>
                <w:szCs w:val="20"/>
                <w:color w:val="auto"/>
              </w:rPr>
            </w:pPr>
            <w:r>
              <w:rPr>
                <w:rFonts w:ascii="Arial" w:cs="Arial" w:eastAsia="Arial" w:hAnsi="Arial"/>
                <w:sz w:val="18"/>
                <w:szCs w:val="18"/>
                <w:color w:val="auto"/>
              </w:rPr>
              <w:t>(855)</w:t>
            </w: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(1,243)</w:t>
            </w:r>
          </w:p>
        </w:tc>
      </w:tr>
      <w:tr>
        <w:trPr>
          <w:trHeight w:val="27"/>
        </w:trPr>
        <w:tc>
          <w:tcPr>
            <w:tcW w:w="8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2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2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1,018</w:t>
            </w:r>
          </w:p>
        </w:tc>
        <w:tc>
          <w:tcPr>
            <w:tcW w:w="540" w:type="dxa"/>
            <w:vAlign w:val="bottom"/>
            <w:gridSpan w:val="2"/>
            <w:shd w:val="clear" w:color="auto" w:fill="CCEEFF"/>
          </w:tcPr>
          <w:p>
            <w:pPr>
              <w:ind w:left="3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739</w:t>
            </w:r>
          </w:p>
        </w:tc>
      </w:tr>
      <w:tr>
        <w:trPr>
          <w:trHeight w:val="20"/>
        </w:trPr>
        <w:tc>
          <w:tcPr>
            <w:tcW w:w="8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for the years ended December 31, 2018 and 2019 was $338 and $388, respectively.</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5. Accrued Expense</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 consists of the following:</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ind w:left="700"/>
              <w:spacing w:after="0"/>
              <w:rPr>
                <w:sz w:val="20"/>
                <w:szCs w:val="20"/>
                <w:color w:val="auto"/>
              </w:rPr>
            </w:pPr>
            <w:r>
              <w:rPr>
                <w:rFonts w:ascii="Arial" w:cs="Arial" w:eastAsia="Arial" w:hAnsi="Arial"/>
                <w:sz w:val="14"/>
                <w:szCs w:val="14"/>
                <w:b w:val="1"/>
                <w:bCs w:val="1"/>
                <w:color w:val="auto"/>
              </w:rPr>
              <w:t>Years Ended</w:t>
            </w:r>
          </w:p>
        </w:tc>
        <w:tc>
          <w:tcPr>
            <w:tcW w:w="7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0"/>
        </w:trPr>
        <w:tc>
          <w:tcPr>
            <w:tcW w:w="8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00" w:type="dxa"/>
            <w:vAlign w:val="bottom"/>
            <w:gridSpan w:val="4"/>
          </w:tcPr>
          <w:p>
            <w:pPr>
              <w:spacing w:after="0" w:line="141"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r>
      <w:tr>
        <w:trPr>
          <w:trHeight w:val="177"/>
        </w:trPr>
        <w:tc>
          <w:tcPr>
            <w:tcW w:w="830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5"/>
                <w:szCs w:val="15"/>
                <w:color w:val="auto"/>
              </w:rPr>
            </w:pPr>
          </w:p>
        </w:tc>
      </w:tr>
      <w:tr>
        <w:trPr>
          <w:trHeight w:val="196"/>
        </w:trPr>
        <w:tc>
          <w:tcPr>
            <w:tcW w:w="8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Accrued bonuses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893</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1,281</w:t>
            </w:r>
          </w:p>
        </w:tc>
        <w:tc>
          <w:tcPr>
            <w:tcW w:w="60" w:type="dxa"/>
            <w:vAlign w:val="bottom"/>
            <w:shd w:val="clear" w:color="auto" w:fill="CCEEFF"/>
          </w:tcPr>
          <w:p>
            <w:pPr>
              <w:spacing w:after="0"/>
              <w:rPr>
                <w:sz w:val="17"/>
                <w:szCs w:val="17"/>
                <w:color w:val="auto"/>
              </w:rPr>
            </w:pPr>
          </w:p>
        </w:tc>
      </w:tr>
      <w:tr>
        <w:trPr>
          <w:trHeight w:val="203"/>
        </w:trPr>
        <w:tc>
          <w:tcPr>
            <w:tcW w:w="8300" w:type="dxa"/>
            <w:vAlign w:val="bottom"/>
          </w:tcPr>
          <w:p>
            <w:pPr>
              <w:spacing w:after="0" w:line="202" w:lineRule="exact"/>
              <w:rPr>
                <w:sz w:val="20"/>
                <w:szCs w:val="20"/>
                <w:color w:val="auto"/>
              </w:rPr>
            </w:pPr>
            <w:r>
              <w:rPr>
                <w:rFonts w:ascii="Arial" w:cs="Arial" w:eastAsia="Arial" w:hAnsi="Arial"/>
                <w:sz w:val="18"/>
                <w:szCs w:val="18"/>
                <w:color w:val="auto"/>
              </w:rPr>
              <w:t>Accrued vacation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279</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367</w:t>
            </w:r>
          </w:p>
        </w:tc>
      </w:tr>
      <w:tr>
        <w:trPr>
          <w:trHeight w:val="203"/>
        </w:trPr>
        <w:tc>
          <w:tcPr>
            <w:tcW w:w="8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accrued liabilities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117</w:t>
            </w: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38</w:t>
            </w:r>
          </w:p>
        </w:tc>
      </w:tr>
      <w:tr>
        <w:trPr>
          <w:trHeight w:val="210"/>
        </w:trPr>
        <w:tc>
          <w:tcPr>
            <w:tcW w:w="83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1,289</w:t>
            </w:r>
          </w:p>
        </w:tc>
        <w:tc>
          <w:tcPr>
            <w:tcW w:w="20" w:type="dxa"/>
            <w:vAlign w:val="bottom"/>
            <w:tcBorders>
              <w:bottom w:val="single" w:sz="8" w:color="auto"/>
            </w:tcBorders>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60" w:type="dxa"/>
            <w:vAlign w:val="bottom"/>
          </w:tcPr>
          <w:p>
            <w:pPr>
              <w:spacing w:after="0"/>
              <w:rPr>
                <w:sz w:val="18"/>
                <w:szCs w:val="18"/>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6. Commitments and Contingencies</w:t>
      </w:r>
    </w:p>
    <w:p>
      <w:pPr>
        <w:spacing w:after="0" w:line="104" w:lineRule="exact"/>
        <w:rPr>
          <w:sz w:val="20"/>
          <w:szCs w:val="20"/>
          <w:color w:val="auto"/>
        </w:rPr>
      </w:pPr>
    </w:p>
    <w:p>
      <w:pPr>
        <w:ind w:left="120" w:right="60" w:firstLine="551"/>
        <w:spacing w:after="0" w:line="248" w:lineRule="auto"/>
        <w:rPr>
          <w:sz w:val="20"/>
          <w:szCs w:val="20"/>
          <w:color w:val="auto"/>
        </w:rPr>
      </w:pPr>
      <w:r>
        <w:rPr>
          <w:rFonts w:ascii="Arial" w:cs="Arial" w:eastAsia="Arial" w:hAnsi="Arial"/>
          <w:sz w:val="18"/>
          <w:szCs w:val="18"/>
          <w:color w:val="auto"/>
        </w:rPr>
        <w:t>In April 2017, the Company amended an existing operating lease for 18,446 square feet of office and laboratory space in Cranbury, New Jersey, that expires in June 2022. In August 2018, the Company signed an operating lease for 6,297 square feet of additional office and laboratory space in Cranbury, New Jersey, which expires in July 2022. In September 2018, the Company signed an operating lease for 3,292 square feet of additional office and laboratory space in Bedford, Massachusetts, which expires in August 2023.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minimum lease payments under these leases are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Years Ended December 31,</w:t>
            </w:r>
          </w:p>
        </w:tc>
        <w:tc>
          <w:tcPr>
            <w:tcW w:w="6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96"/>
        </w:trPr>
        <w:tc>
          <w:tcPr>
            <w:tcW w:w="18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2020</w:t>
            </w:r>
          </w:p>
        </w:tc>
        <w:tc>
          <w:tcPr>
            <w:tcW w:w="2480" w:type="dxa"/>
            <w:vAlign w:val="bottom"/>
            <w:shd w:val="clear" w:color="auto" w:fill="CCEEFF"/>
          </w:tcPr>
          <w:p>
            <w:pPr>
              <w:spacing w:after="0"/>
              <w:rPr>
                <w:sz w:val="17"/>
                <w:szCs w:val="17"/>
                <w:color w:val="auto"/>
              </w:rPr>
            </w:pPr>
          </w:p>
        </w:tc>
        <w:tc>
          <w:tcPr>
            <w:tcW w:w="61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479</w:t>
            </w: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color w:val="auto"/>
              </w:rPr>
              <w:t>2021</w:t>
            </w:r>
          </w:p>
        </w:tc>
        <w:tc>
          <w:tcPr>
            <w:tcW w:w="248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479</w:t>
            </w:r>
          </w:p>
        </w:tc>
      </w:tr>
      <w:tr>
        <w:trPr>
          <w:trHeight w:val="203"/>
        </w:trPr>
        <w:tc>
          <w:tcPr>
            <w:tcW w:w="1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2022</w:t>
            </w:r>
          </w:p>
        </w:tc>
        <w:tc>
          <w:tcPr>
            <w:tcW w:w="2480" w:type="dxa"/>
            <w:vAlign w:val="bottom"/>
            <w:shd w:val="clear" w:color="auto" w:fill="CCEEFF"/>
          </w:tcPr>
          <w:p>
            <w:pPr>
              <w:spacing w:after="0"/>
              <w:rPr>
                <w:sz w:val="17"/>
                <w:szCs w:val="17"/>
                <w:color w:val="auto"/>
              </w:rPr>
            </w:pPr>
          </w:p>
        </w:tc>
        <w:tc>
          <w:tcPr>
            <w:tcW w:w="6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251</w:t>
            </w:r>
          </w:p>
        </w:tc>
      </w:tr>
      <w:tr>
        <w:trPr>
          <w:trHeight w:val="203"/>
        </w:trPr>
        <w:tc>
          <w:tcPr>
            <w:tcW w:w="184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2480" w:type="dxa"/>
            <w:vAlign w:val="bottom"/>
          </w:tcPr>
          <w:p>
            <w:pPr>
              <w:spacing w:after="0"/>
              <w:rPr>
                <w:sz w:val="17"/>
                <w:szCs w:val="17"/>
                <w:color w:val="auto"/>
              </w:rPr>
            </w:pPr>
          </w:p>
        </w:tc>
        <w:tc>
          <w:tcPr>
            <w:tcW w:w="6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w:t>
            </w:r>
          </w:p>
        </w:tc>
      </w:tr>
      <w:tr>
        <w:trPr>
          <w:trHeight w:val="203"/>
        </w:trPr>
        <w:tc>
          <w:tcPr>
            <w:tcW w:w="4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Thereafter</w:t>
            </w:r>
          </w:p>
        </w:tc>
        <w:tc>
          <w:tcPr>
            <w:tcW w:w="6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9"/>
        </w:trPr>
        <w:tc>
          <w:tcPr>
            <w:tcW w:w="4320" w:type="dxa"/>
            <w:vAlign w:val="bottom"/>
            <w:gridSpan w:val="2"/>
          </w:tcPr>
          <w:p>
            <w:pPr>
              <w:ind w:left="360"/>
              <w:spacing w:after="0"/>
              <w:rPr>
                <w:sz w:val="20"/>
                <w:szCs w:val="20"/>
                <w:color w:val="auto"/>
              </w:rPr>
            </w:pPr>
            <w:r>
              <w:rPr>
                <w:rFonts w:ascii="Arial" w:cs="Arial" w:eastAsia="Arial" w:hAnsi="Arial"/>
                <w:sz w:val="18"/>
                <w:szCs w:val="18"/>
                <w:color w:val="auto"/>
              </w:rPr>
              <w:t>Total future minimum lease payments</w:t>
            </w:r>
          </w:p>
        </w:tc>
        <w:tc>
          <w:tcPr>
            <w:tcW w:w="60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1,213</w:t>
            </w:r>
          </w:p>
        </w:tc>
        <w:tc>
          <w:tcPr>
            <w:tcW w:w="60" w:type="dxa"/>
            <w:vAlign w:val="bottom"/>
          </w:tcPr>
          <w:p>
            <w:pPr>
              <w:spacing w:after="0"/>
              <w:rPr>
                <w:sz w:val="18"/>
                <w:szCs w:val="18"/>
                <w:color w:val="auto"/>
              </w:rPr>
            </w:pPr>
          </w:p>
        </w:tc>
      </w:tr>
      <w:tr>
        <w:trPr>
          <w:trHeight w:val="20"/>
        </w:trPr>
        <w:tc>
          <w:tcPr>
            <w:tcW w:w="18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18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6180" w:type="dxa"/>
            <w:vAlign w:val="bottom"/>
            <w:gridSpan w:val="2"/>
          </w:tcPr>
          <w:p>
            <w:pPr>
              <w:jc w:val="right"/>
              <w:ind w:right="4730"/>
              <w:spacing w:after="0"/>
              <w:rPr>
                <w:sz w:val="20"/>
                <w:szCs w:val="20"/>
                <w:color w:val="auto"/>
              </w:rPr>
            </w:pPr>
            <w:r>
              <w:rPr>
                <w:rFonts w:ascii="Arial" w:cs="Arial" w:eastAsia="Arial" w:hAnsi="Arial"/>
                <w:sz w:val="18"/>
                <w:szCs w:val="18"/>
                <w:color w:val="auto"/>
              </w:rPr>
              <w:t>F-16</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26" w:name="page227"/>
    <w:bookmarkEnd w:id="2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Rent expense recorded during the years ended December 31, 2018 and 2019 was $479 and $580, respectively.</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2019, there were no purchase commitments with third-party suppliers.</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Contingencies</w:t>
      </w:r>
    </w:p>
    <w:p>
      <w:pPr>
        <w:spacing w:after="0" w:line="104" w:lineRule="exact"/>
        <w:rPr>
          <w:sz w:val="20"/>
          <w:szCs w:val="20"/>
          <w:color w:val="auto"/>
        </w:rPr>
      </w:pPr>
    </w:p>
    <w:p>
      <w:pPr>
        <w:ind w:left="120" w:right="320" w:firstLine="551"/>
        <w:spacing w:after="0" w:line="255" w:lineRule="auto"/>
        <w:rPr>
          <w:sz w:val="20"/>
          <w:szCs w:val="20"/>
          <w:color w:val="auto"/>
        </w:rPr>
      </w:pPr>
      <w:r>
        <w:rPr>
          <w:rFonts w:ascii="Arial" w:cs="Arial" w:eastAsia="Arial" w:hAnsi="Arial"/>
          <w:sz w:val="18"/>
          <w:szCs w:val="18"/>
          <w:color w:val="auto"/>
        </w:rPr>
        <w:t>From time to time, the Company may have certain contingent liabilities that arise in the ordinary course of its business activities. The Company accrues a liability for such matters when future expenditures are probable and such expenditures can be reasonably estimated.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7. Convertible Preferred Stock</w:t>
      </w:r>
    </w:p>
    <w:p>
      <w:pPr>
        <w:spacing w:after="0" w:line="104" w:lineRule="exact"/>
        <w:rPr>
          <w:sz w:val="20"/>
          <w:szCs w:val="20"/>
          <w:color w:val="auto"/>
        </w:rPr>
      </w:pPr>
    </w:p>
    <w:p>
      <w:pPr>
        <w:ind w:left="120" w:right="100" w:firstLine="551"/>
        <w:spacing w:after="0" w:line="243" w:lineRule="auto"/>
        <w:rPr>
          <w:sz w:val="20"/>
          <w:szCs w:val="20"/>
          <w:color w:val="auto"/>
        </w:rPr>
      </w:pPr>
      <w:r>
        <w:rPr>
          <w:rFonts w:ascii="Arial" w:cs="Arial" w:eastAsia="Arial" w:hAnsi="Arial"/>
          <w:sz w:val="18"/>
          <w:szCs w:val="18"/>
          <w:color w:val="auto"/>
        </w:rPr>
        <w:t>The Company is authorized to issue up to 120,483,538 shares of convertible preferred stock with a par value of $0.00001 per share. 8,729,029 shares have been designated as Series Seed convertible preferred stock (Series Seed Preferred), 42,526,138 shares have been designated as Series A convertible preferred stock (Series A Preferred), 40,396,799 shares have been designated as Series B convertible preferred stock (Series B Preferred) and 28,831,572 shares have been designated as Series C convertible preferred stock (Series C Preferred). At December 31, 2019, the Company had an aggregate of 120,393,150 shares of Series Seed Preferred, Series A Preferred, Series B Preferred and Series C Preferred (collectively, “Preferred Stock”) issued and outstanding.</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Preferred Stock consisted of the following (in thousands except for share data):</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Preferred Stock</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Common Stock</w:t>
            </w:r>
          </w:p>
        </w:tc>
      </w:tr>
      <w:tr>
        <w:trPr>
          <w:trHeight w:val="162"/>
        </w:trPr>
        <w:tc>
          <w:tcPr>
            <w:tcW w:w="3960" w:type="dxa"/>
            <w:vAlign w:val="bottom"/>
          </w:tcPr>
          <w:p>
            <w:pPr>
              <w:spacing w:after="0"/>
              <w:rPr>
                <w:sz w:val="14"/>
                <w:szCs w:val="14"/>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Preferred Stock</w:t>
            </w: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Issued and</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Liquidation</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Issuable Upon</w:t>
            </w:r>
          </w:p>
        </w:tc>
      </w:tr>
      <w:tr>
        <w:trPr>
          <w:trHeight w:val="177"/>
        </w:trPr>
        <w:tc>
          <w:tcPr>
            <w:tcW w:w="3960" w:type="dxa"/>
            <w:vAlign w:val="bottom"/>
          </w:tcPr>
          <w:p>
            <w:pPr>
              <w:spacing w:after="0"/>
              <w:rPr>
                <w:sz w:val="15"/>
                <w:szCs w:val="15"/>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Authorized</w:t>
            </w: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Outstanding</w:t>
            </w: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Carrying Value</w:t>
            </w:r>
          </w:p>
        </w:tc>
        <w:tc>
          <w:tcPr>
            <w:tcW w:w="200" w:type="dxa"/>
            <w:vAlign w:val="bottom"/>
          </w:tcPr>
          <w:p>
            <w:pPr>
              <w:spacing w:after="0"/>
              <w:rPr>
                <w:sz w:val="15"/>
                <w:szCs w:val="15"/>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Preference</w:t>
            </w: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Conversion</w:t>
            </w:r>
          </w:p>
        </w:tc>
      </w:tr>
      <w:tr>
        <w:trPr>
          <w:trHeight w:val="196"/>
        </w:trPr>
        <w:tc>
          <w:tcPr>
            <w:tcW w:w="3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Seed Preferred</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8,729,029</w:t>
            </w:r>
          </w:p>
        </w:tc>
        <w:tc>
          <w:tcPr>
            <w:tcW w:w="3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8,672,163</w:t>
            </w:r>
          </w:p>
        </w:tc>
        <w:tc>
          <w:tcPr>
            <w:tcW w:w="3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6"/>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3,008</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3,050</w:t>
            </w:r>
          </w:p>
        </w:tc>
        <w:tc>
          <w:tcPr>
            <w:tcW w:w="3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8,672,163</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Series A Preferred</w:t>
            </w:r>
          </w:p>
        </w:tc>
        <w:tc>
          <w:tcPr>
            <w:tcW w:w="15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42,526,138</w:t>
            </w:r>
          </w:p>
        </w:tc>
        <w:tc>
          <w:tcPr>
            <w:tcW w:w="15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42,526,138</w:t>
            </w:r>
          </w:p>
        </w:tc>
        <w:tc>
          <w:tcPr>
            <w:tcW w:w="28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30,593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30,734</w:t>
            </w: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42,526,138</w:t>
            </w: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 Preferred</w:t>
            </w:r>
          </w:p>
        </w:tc>
        <w:tc>
          <w:tcPr>
            <w:tcW w:w="15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40,396,799</w:t>
            </w:r>
          </w:p>
        </w:tc>
        <w:tc>
          <w:tcPr>
            <w:tcW w:w="15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40,396,799</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73,627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73,728</w:t>
            </w:r>
          </w:p>
        </w:tc>
        <w:tc>
          <w:tcPr>
            <w:tcW w:w="1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40,396,799</w:t>
            </w: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Series C Preferred</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28,831,572</w:t>
            </w:r>
          </w:p>
        </w:tc>
        <w:tc>
          <w:tcPr>
            <w:tcW w:w="380" w:type="dxa"/>
            <w:vAlign w:val="bottom"/>
          </w:tcPr>
          <w:p>
            <w:pPr>
              <w:spacing w:after="0"/>
              <w:rPr>
                <w:sz w:val="17"/>
                <w:szCs w:val="17"/>
                <w:color w:val="auto"/>
              </w:rPr>
            </w:pPr>
          </w:p>
        </w:tc>
        <w:tc>
          <w:tcPr>
            <w:tcW w:w="15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28,798,050</w:t>
            </w:r>
          </w:p>
        </w:tc>
        <w:tc>
          <w:tcPr>
            <w:tcW w:w="28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61,705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61,873</w:t>
            </w: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28,798,050</w:t>
            </w:r>
          </w:p>
        </w:tc>
      </w:tr>
      <w:tr>
        <w:trPr>
          <w:trHeight w:val="27"/>
        </w:trPr>
        <w:tc>
          <w:tcPr>
            <w:tcW w:w="39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39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120,483,538</w:t>
            </w:r>
          </w:p>
        </w:tc>
        <w:tc>
          <w:tcPr>
            <w:tcW w:w="3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120,393,150</w:t>
            </w:r>
          </w:p>
        </w:tc>
        <w:tc>
          <w:tcPr>
            <w:tcW w:w="28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168,933</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169,385</w:t>
            </w:r>
          </w:p>
        </w:tc>
        <w:tc>
          <w:tcPr>
            <w:tcW w:w="1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120,393,150</w:t>
            </w:r>
          </w:p>
        </w:tc>
      </w:tr>
    </w:tbl>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holders of Preferred Stock have the rights, preferences, privileges and restrictions as set forth below:</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ind w:left="660" w:right="100" w:firstLine="523"/>
        <w:spacing w:after="0" w:line="248" w:lineRule="auto"/>
        <w:rPr>
          <w:sz w:val="20"/>
          <w:szCs w:val="20"/>
          <w:color w:val="auto"/>
        </w:rPr>
      </w:pPr>
      <w:r>
        <w:rPr>
          <w:rFonts w:ascii="Arial" w:cs="Arial" w:eastAsia="Arial" w:hAnsi="Arial"/>
          <w:sz w:val="18"/>
          <w:szCs w:val="18"/>
          <w:color w:val="auto"/>
        </w:rPr>
        <w:t>The holders of Preferred Stock are entitled to receive non-cumulative dividends prior to and in preference to any declaration of payment of dividends on common stock, when and if declared by the Board of Directors. Any additional dividends will be paid ratably to holders of common and Preferred Stock, with the holders of Preferred Stock participating on an as-if converted basis. No dividends have been declared or paid as of December 31, 2019.</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Voting Rights:</w:t>
      </w:r>
    </w:p>
    <w:p>
      <w:pPr>
        <w:spacing w:after="0" w:line="104" w:lineRule="exact"/>
        <w:rPr>
          <w:sz w:val="20"/>
          <w:szCs w:val="20"/>
          <w:color w:val="auto"/>
        </w:rPr>
      </w:pPr>
    </w:p>
    <w:p>
      <w:pPr>
        <w:ind w:left="660" w:firstLine="523"/>
        <w:spacing w:after="0" w:line="276" w:lineRule="auto"/>
        <w:rPr>
          <w:sz w:val="20"/>
          <w:szCs w:val="20"/>
          <w:color w:val="auto"/>
        </w:rPr>
      </w:pPr>
      <w:r>
        <w:rPr>
          <w:rFonts w:ascii="Arial" w:cs="Arial" w:eastAsia="Arial" w:hAnsi="Arial"/>
          <w:sz w:val="18"/>
          <w:szCs w:val="18"/>
          <w:color w:val="auto"/>
        </w:rPr>
        <w:t>The holders of each share of Preferred Stock are entitled to voting rights equal to the number of shares of common stock into which the shares could be converted. As long as any</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40"/>
          </w:cols>
          <w:pgMar w:left="320" w:top="455" w:right="439" w:bottom="1440" w:gutter="0" w:footer="0" w:header="0"/>
        </w:sectPr>
      </w:pPr>
    </w:p>
    <w:bookmarkStart w:id="227" w:name="page228"/>
    <w:bookmarkEnd w:id="2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660" w:right="160"/>
        <w:spacing w:after="0" w:line="248" w:lineRule="auto"/>
        <w:rPr>
          <w:sz w:val="20"/>
          <w:szCs w:val="20"/>
          <w:color w:val="auto"/>
        </w:rPr>
      </w:pPr>
      <w:r>
        <w:rPr>
          <w:rFonts w:ascii="Arial" w:cs="Arial" w:eastAsia="Arial" w:hAnsi="Arial"/>
          <w:sz w:val="18"/>
          <w:szCs w:val="18"/>
          <w:color w:val="auto"/>
        </w:rPr>
        <w:t>shares of Preferred Stock remain outstanding, the holders of Preferred Stock, voting together as a class, shall be entitled to elect four members of the Company’s Board of Directors. The holders of common stock, voting together as a single class, shall be entitled to elect two members of the Company’s Board of Directors. Remaining members of the Company’s Board of Directors will be elected by the holders of a majority of the shares of Preferred Stock and common stock, voting together as a single class.</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04" w:lineRule="exact"/>
        <w:rPr>
          <w:sz w:val="20"/>
          <w:szCs w:val="20"/>
          <w:color w:val="auto"/>
        </w:rPr>
      </w:pPr>
    </w:p>
    <w:p>
      <w:pPr>
        <w:ind w:left="660" w:firstLine="523"/>
        <w:spacing w:after="0"/>
        <w:rPr>
          <w:sz w:val="20"/>
          <w:szCs w:val="20"/>
          <w:color w:val="auto"/>
        </w:rPr>
      </w:pPr>
      <w:r>
        <w:rPr>
          <w:rFonts w:ascii="Arial" w:cs="Arial" w:eastAsia="Arial" w:hAnsi="Arial"/>
          <w:sz w:val="18"/>
          <w:szCs w:val="18"/>
          <w:color w:val="auto"/>
        </w:rPr>
        <w:t>In the event of any liquidation, dissolution or winding up of the Company, whether voluntary or involuntary, the holders of Preferred Stock have liquidation preferences, before any distribution or payment is made to holders of any common stock, in an amount per share equal to the original issue price of $0.3517 for Series Seed Preferred, $0.7078 for Series A Preferred, $1.8251 for Series B Preferred and $2.1485 for Series C Preferred, as adjusted for stock splits, stock dividends, combinations, recapitalizations and the like, plus any declared but unpaid dividends. If the assets and funds to be distributed among the holders of Preferred Stock are insufficient to permit the payment to such holders, then the entire assets and funds of the Company legally available for distribution will be distributed ratably among the holders of Preferred Stock in proportion to the preferential amount each such holder is otherwise entitled to receive.</w:t>
      </w:r>
    </w:p>
    <w:p>
      <w:pPr>
        <w:spacing w:after="0" w:line="72" w:lineRule="exact"/>
        <w:rPr>
          <w:sz w:val="20"/>
          <w:szCs w:val="20"/>
          <w:color w:val="auto"/>
        </w:rPr>
      </w:pPr>
    </w:p>
    <w:p>
      <w:pPr>
        <w:ind w:left="660" w:firstLine="523"/>
        <w:spacing w:after="0" w:line="241" w:lineRule="auto"/>
        <w:rPr>
          <w:sz w:val="20"/>
          <w:szCs w:val="20"/>
          <w:color w:val="auto"/>
        </w:rPr>
      </w:pPr>
      <w:r>
        <w:rPr>
          <w:rFonts w:ascii="Arial" w:cs="Arial" w:eastAsia="Arial" w:hAnsi="Arial"/>
          <w:sz w:val="18"/>
          <w:szCs w:val="18"/>
          <w:color w:val="auto"/>
        </w:rPr>
        <w:t>Upon completion of the payment of the full liquidation preference of Preferred Stock, the remaining assets of the Company, if any, shall be distributed with equal priority and ratably to the holders of common stock and Preferred Stock, with the Preferred Stock being treated as if the Preferred Stock had been converted to shares of common stock at the then applicable conversion rate. Notwithstanding the foregoing, the aggregate distributions made with respect to any shares of Preferred Stock may not exceed the greater of (i) an amount equal to two times the original issue price plus any declared but unpaid dividends on such share or (ii) the amount the holder would have received if all shares of the Preferred Stock were deemed to have been converted into common stock as of immediately prior to such liquidation, dissolution or winding up of the Company.</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Conversion:</w:t>
      </w:r>
    </w:p>
    <w:p>
      <w:pPr>
        <w:spacing w:after="0" w:line="104" w:lineRule="exact"/>
        <w:rPr>
          <w:sz w:val="20"/>
          <w:szCs w:val="20"/>
          <w:color w:val="auto"/>
        </w:rPr>
      </w:pPr>
    </w:p>
    <w:p>
      <w:pPr>
        <w:ind w:left="660" w:right="80" w:firstLine="523"/>
        <w:spacing w:after="0" w:line="241" w:lineRule="auto"/>
        <w:rPr>
          <w:sz w:val="20"/>
          <w:szCs w:val="20"/>
          <w:color w:val="auto"/>
        </w:rPr>
      </w:pPr>
      <w:r>
        <w:rPr>
          <w:rFonts w:ascii="Arial" w:cs="Arial" w:eastAsia="Arial" w:hAnsi="Arial"/>
          <w:sz w:val="18"/>
          <w:szCs w:val="18"/>
          <w:color w:val="auto"/>
        </w:rPr>
        <w:t>Each share of Preferred Stock is convertible into shares of common stock, at the option of the holder, at any time after date of issuance. Each share of Preferred Stock automatically converts to the number of shares of common stock determined in accordance with the conversion rate upon the earlier of (i) written consent of two-thirds of the then outstanding shares of Preferred Stock, voting together as a single class, and written consent of the majority of the then outstanding shares of Series C Preferred or</w:t>
      </w:r>
    </w:p>
    <w:p>
      <w:pPr>
        <w:spacing w:after="0" w:line="1" w:lineRule="exact"/>
        <w:rPr>
          <w:sz w:val="20"/>
          <w:szCs w:val="20"/>
          <w:color w:val="auto"/>
        </w:rPr>
      </w:pPr>
    </w:p>
    <w:p>
      <w:pPr>
        <w:ind w:left="660" w:right="20" w:firstLine="7"/>
        <w:spacing w:after="0"/>
        <w:tabs>
          <w:tab w:leader="none" w:pos="91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closing of a public offering, in which the gross cash proceeds are at least $40,000 and the initial offering price to the public is at least $2.1485 per share (as adjusted for any stock splits, stock dividends, combinations, subdivisions, recapitalizations, reorganizations, reclassifications or the like). At December 31, 2019, the conversion price for each share of Series Seed Preferred, Series A Preferred, Series B Preferred and Series C Preferred is $0.3517, $0.7078, $1.8251 and $2.1485, respectively.</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55" w:right="459" w:bottom="1440" w:gutter="0" w:footer="0" w:header="0"/>
        </w:sectPr>
      </w:pPr>
    </w:p>
    <w:bookmarkStart w:id="228" w:name="page229"/>
    <w:bookmarkEnd w:id="2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Redemption:</w:t>
      </w:r>
    </w:p>
    <w:p>
      <w:pPr>
        <w:spacing w:after="0" w:line="104" w:lineRule="exact"/>
        <w:rPr>
          <w:sz w:val="20"/>
          <w:szCs w:val="20"/>
          <w:color w:val="auto"/>
        </w:rPr>
      </w:pPr>
    </w:p>
    <w:p>
      <w:pPr>
        <w:ind w:left="660" w:right="220" w:firstLine="523"/>
        <w:spacing w:after="0" w:line="276" w:lineRule="auto"/>
        <w:rPr>
          <w:sz w:val="20"/>
          <w:szCs w:val="20"/>
          <w:color w:val="auto"/>
        </w:rPr>
      </w:pPr>
      <w:r>
        <w:rPr>
          <w:rFonts w:ascii="Arial" w:cs="Arial" w:eastAsia="Arial" w:hAnsi="Arial"/>
          <w:sz w:val="18"/>
          <w:szCs w:val="18"/>
          <w:color w:val="auto"/>
        </w:rPr>
        <w:t>The Preferred Stock is not currently redeemable. Upon certain change in control events that are outside of the Company’s control, including liquidation, sale or transfer of control of the Company, the Preferred Stock is contingently redeemable.</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Protective Provisions:</w:t>
      </w:r>
    </w:p>
    <w:p>
      <w:pPr>
        <w:spacing w:after="0" w:line="104"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The holders of preferred stock have certain protective provisions.</w:t>
      </w:r>
    </w:p>
    <w:p>
      <w:pPr>
        <w:spacing w:after="0" w:line="104" w:lineRule="exact"/>
        <w:rPr>
          <w:sz w:val="20"/>
          <w:szCs w:val="20"/>
          <w:color w:val="auto"/>
        </w:rPr>
      </w:pPr>
    </w:p>
    <w:p>
      <w:pPr>
        <w:ind w:left="660" w:firstLine="523"/>
        <w:spacing w:after="0" w:line="243" w:lineRule="auto"/>
        <w:rPr>
          <w:sz w:val="20"/>
          <w:szCs w:val="20"/>
          <w:color w:val="auto"/>
        </w:rPr>
      </w:pPr>
      <w:r>
        <w:rPr>
          <w:rFonts w:ascii="Arial" w:cs="Arial" w:eastAsia="Arial" w:hAnsi="Arial"/>
          <w:sz w:val="18"/>
          <w:szCs w:val="18"/>
          <w:color w:val="auto"/>
        </w:rPr>
        <w:t>As long as at least twenty percent (20%) of the shares of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Preferred Stock, or take certain other actions that would alter the rights, preferences, and privileges of Preferred Stock or effect liquidation, dissolution or winding up of the Company.</w:t>
      </w:r>
    </w:p>
    <w:p>
      <w:pPr>
        <w:spacing w:after="0" w:line="66" w:lineRule="exact"/>
        <w:rPr>
          <w:sz w:val="20"/>
          <w:szCs w:val="20"/>
          <w:color w:val="auto"/>
        </w:rPr>
      </w:pPr>
    </w:p>
    <w:p>
      <w:pPr>
        <w:ind w:left="660" w:right="60" w:firstLine="523"/>
        <w:spacing w:after="0" w:line="243" w:lineRule="auto"/>
        <w:rPr>
          <w:sz w:val="20"/>
          <w:szCs w:val="20"/>
          <w:color w:val="auto"/>
        </w:rPr>
      </w:pPr>
      <w:r>
        <w:rPr>
          <w:rFonts w:ascii="Arial" w:cs="Arial" w:eastAsia="Arial" w:hAnsi="Arial"/>
          <w:sz w:val="18"/>
          <w:szCs w:val="18"/>
          <w:color w:val="auto"/>
        </w:rPr>
        <w:t>As long as at least twenty percent (20%) of the shares of Series A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the Series A Preferred without first obtaining approval of a majority of the outstanding shares of Series A Preferred.</w:t>
      </w:r>
    </w:p>
    <w:p>
      <w:pPr>
        <w:spacing w:after="0" w:line="66" w:lineRule="exact"/>
        <w:rPr>
          <w:sz w:val="20"/>
          <w:szCs w:val="20"/>
          <w:color w:val="auto"/>
        </w:rPr>
      </w:pPr>
    </w:p>
    <w:p>
      <w:pPr>
        <w:ind w:left="660" w:right="60" w:firstLine="523"/>
        <w:spacing w:after="0" w:line="243" w:lineRule="auto"/>
        <w:rPr>
          <w:sz w:val="20"/>
          <w:szCs w:val="20"/>
          <w:color w:val="auto"/>
        </w:rPr>
      </w:pPr>
      <w:r>
        <w:rPr>
          <w:rFonts w:ascii="Arial" w:cs="Arial" w:eastAsia="Arial" w:hAnsi="Arial"/>
          <w:sz w:val="18"/>
          <w:szCs w:val="18"/>
          <w:color w:val="auto"/>
        </w:rPr>
        <w:t>As long as at least twenty percent (20%) of the shares of Series B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the Series B Preferred without first obtaining approval of a majority of the outstanding shares of Series B Preferred.</w:t>
      </w:r>
    </w:p>
    <w:p>
      <w:pPr>
        <w:spacing w:after="0" w:line="66" w:lineRule="exact"/>
        <w:rPr>
          <w:sz w:val="20"/>
          <w:szCs w:val="20"/>
          <w:color w:val="auto"/>
        </w:rPr>
      </w:pPr>
    </w:p>
    <w:p>
      <w:pPr>
        <w:ind w:left="660" w:right="60" w:firstLine="523"/>
        <w:spacing w:after="0" w:line="241" w:lineRule="auto"/>
        <w:rPr>
          <w:sz w:val="20"/>
          <w:szCs w:val="20"/>
          <w:color w:val="auto"/>
        </w:rPr>
      </w:pPr>
      <w:r>
        <w:rPr>
          <w:rFonts w:ascii="Arial" w:cs="Arial" w:eastAsia="Arial" w:hAnsi="Arial"/>
          <w:sz w:val="18"/>
          <w:szCs w:val="18"/>
          <w:color w:val="auto"/>
        </w:rPr>
        <w:t>As long as at least twenty percent (20%) of the shares of Series C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the Series C Preferred or effect liquidation, dissolution or winding up of the Company, unless each share of Series C Preferred receives at least the original issue price of $2.1485 in any such transaction, without first obtaining approval of a majority of the outstanding shares of Series C Preferred.</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8. Common Stock</w:t>
      </w:r>
    </w:p>
    <w:p>
      <w:pPr>
        <w:spacing w:after="0" w:line="104" w:lineRule="exact"/>
        <w:rPr>
          <w:sz w:val="20"/>
          <w:szCs w:val="20"/>
          <w:color w:val="auto"/>
        </w:rPr>
      </w:pPr>
    </w:p>
    <w:p>
      <w:pPr>
        <w:ind w:left="120" w:right="680" w:firstLine="551"/>
        <w:spacing w:after="0" w:line="276" w:lineRule="auto"/>
        <w:rPr>
          <w:sz w:val="20"/>
          <w:szCs w:val="20"/>
          <w:color w:val="auto"/>
        </w:rPr>
      </w:pPr>
      <w:r>
        <w:rPr>
          <w:rFonts w:ascii="Arial" w:cs="Arial" w:eastAsia="Arial" w:hAnsi="Arial"/>
          <w:sz w:val="18"/>
          <w:szCs w:val="18"/>
          <w:color w:val="auto"/>
        </w:rPr>
        <w:t>The Company is authorized to issue up to 175,068,944 shares of common stock with a par value of $0.00001 per share. At December 31, 2018 and 2019, there were 15,860,018 and 16,038,590 shares issued and outstanding, respectively.</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00"/>
          </w:cols>
          <w:pgMar w:left="320" w:top="455" w:right="479" w:bottom="1440" w:gutter="0" w:footer="0" w:header="0"/>
        </w:sectPr>
      </w:pPr>
    </w:p>
    <w:bookmarkStart w:id="229" w:name="page230"/>
    <w:bookmarkEnd w:id="2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100" w:firstLine="551"/>
        <w:spacing w:after="0" w:line="276" w:lineRule="auto"/>
        <w:rPr>
          <w:sz w:val="20"/>
          <w:szCs w:val="20"/>
          <w:color w:val="auto"/>
        </w:rPr>
      </w:pPr>
      <w:r>
        <w:rPr>
          <w:rFonts w:ascii="Arial" w:cs="Arial" w:eastAsia="Arial" w:hAnsi="Arial"/>
          <w:sz w:val="18"/>
          <w:szCs w:val="18"/>
          <w:color w:val="auto"/>
        </w:rPr>
        <w:t>Common stockholders are entitled to dividends if and when declared by the Board of Directors subject to the rights of the preferred stockholders. As of December 31, 2019, no dividends on common stock had been declared by the Company.</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2018 and 2019, the Company had reserved shares of common stock for issuance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240" w:type="dxa"/>
            <w:vAlign w:val="bottom"/>
          </w:tcPr>
          <w:p>
            <w:pPr>
              <w:spacing w:after="0"/>
              <w:rPr>
                <w:sz w:val="14"/>
                <w:szCs w:val="1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824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5"/>
                <w:szCs w:val="15"/>
                <w:color w:val="auto"/>
              </w:rPr>
            </w:pPr>
          </w:p>
        </w:tc>
      </w:tr>
      <w:tr>
        <w:trPr>
          <w:trHeight w:val="196"/>
        </w:trPr>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Convertible preferred stock outstanding</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91,595,100</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120,393,150</w:t>
            </w:r>
          </w:p>
        </w:tc>
        <w:tc>
          <w:tcPr>
            <w:tcW w:w="80" w:type="dxa"/>
            <w:vAlign w:val="bottom"/>
            <w:shd w:val="clear" w:color="auto" w:fill="CCEEFF"/>
          </w:tcPr>
          <w:p>
            <w:pPr>
              <w:spacing w:after="0"/>
              <w:rPr>
                <w:sz w:val="17"/>
                <w:szCs w:val="17"/>
                <w:color w:val="auto"/>
              </w:rPr>
            </w:pP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Options issued and outstanding</w:t>
            </w:r>
          </w:p>
        </w:tc>
        <w:tc>
          <w:tcPr>
            <w:tcW w:w="1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14,140,032</w:t>
            </w:r>
          </w:p>
        </w:tc>
        <w:tc>
          <w:tcPr>
            <w:tcW w:w="1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14,573,100</w:t>
            </w: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 issued and outstanding</w:t>
            </w:r>
          </w:p>
        </w:tc>
        <w:tc>
          <w:tcPr>
            <w:tcW w:w="14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56,866</w:t>
            </w:r>
          </w:p>
        </w:tc>
        <w:tc>
          <w:tcPr>
            <w:tcW w:w="13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56,866</w:t>
            </w: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Shares available for future stock option grants</w:t>
            </w:r>
          </w:p>
        </w:tc>
        <w:tc>
          <w:tcPr>
            <w:tcW w:w="1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3,669,997</w:t>
            </w:r>
          </w:p>
        </w:tc>
        <w:tc>
          <w:tcPr>
            <w:tcW w:w="1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8,058,357</w:t>
            </w:r>
          </w:p>
        </w:tc>
      </w:tr>
      <w:tr>
        <w:trPr>
          <w:trHeight w:val="27"/>
        </w:trPr>
        <w:tc>
          <w:tcPr>
            <w:tcW w:w="824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4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109,461,995</w:t>
            </w:r>
          </w:p>
        </w:tc>
        <w:tc>
          <w:tcPr>
            <w:tcW w:w="13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143,081,473</w:t>
            </w:r>
          </w:p>
        </w:tc>
      </w:tr>
      <w:tr>
        <w:trPr>
          <w:trHeight w:val="20"/>
        </w:trPr>
        <w:tc>
          <w:tcPr>
            <w:tcW w:w="82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9. Stock Plan</w:t>
      </w:r>
    </w:p>
    <w:p>
      <w:pPr>
        <w:spacing w:after="0" w:line="104"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In 2014, the Company adopted the 2013 Stock Plan (the “Plan”). As of December 31, 2019, there were 23,363,923 shares of common stock authorized and 8,058,357 shares available for issuance under the Plan. Under the Plan, the Company may issue shares of common stock and options to purchase common stock to employees and consultants. Options granted under the Plan may be Incentive Stock Options or Non-statutory Stock Options, as determined by the Administrator at the time of grant. Stock Purchase Rights may also be granted under the Plan. The term shall be no more than ten years from the date of grant thereof. In the case of an Incentive Stock Option granted to an optionee who, at the time the option is granted, owns stock representing more than 10% of the voting power of all classes of stock of the Company or any Parent or Subsidiary, the term of the option shall be five years from the date of grant or such shorter term as may be provided in the option Agreement.</w:t>
      </w:r>
    </w:p>
    <w:p>
      <w:pPr>
        <w:spacing w:after="0" w:line="180" w:lineRule="exact"/>
        <w:rPr>
          <w:sz w:val="20"/>
          <w:szCs w:val="20"/>
          <w:color w:val="auto"/>
        </w:rPr>
      </w:pPr>
    </w:p>
    <w:p>
      <w:pPr>
        <w:ind w:left="120" w:right="80" w:firstLine="551"/>
        <w:spacing w:after="0"/>
        <w:rPr>
          <w:sz w:val="20"/>
          <w:szCs w:val="20"/>
          <w:color w:val="auto"/>
        </w:rPr>
      </w:pPr>
      <w:r>
        <w:rPr>
          <w:rFonts w:ascii="Arial" w:cs="Arial" w:eastAsia="Arial" w:hAnsi="Arial"/>
          <w:sz w:val="18"/>
          <w:szCs w:val="18"/>
          <w:color w:val="auto"/>
        </w:rPr>
        <w:t>In the case of an Incentive Stock Option, (i) granted to an employee who, at the time of grant of such option, owns stock representing more than 10% of the voting power of all classes of stock of the Company or any Parent or Subsidiary, the exercise price shall be no less than 110% of the Fair Market Value per Share on the date of grant; (ii) granted to any other employee, the per share exercise price shall be no less than 100% of the Fair Market Value per Share on the date of grant. In the case of a Non-statutory Stock Option; (i) granted to a Service Provider who, at the time of grant of such option, owns stock representing more than 10% of the voting power of all classes of stock of the Company or any Parent or Subsidiary, the exercise price shall be no less than 110% of the Fair Market Value per Share on the date of grant; (ii) granted to any other service provider, the per share exercise price shall be no less than 100% of the Fair Market Value per Share on the date of grant. Notwithstanding the foregoing, options may be granted with a per share exercise price other than as required above pursuant to a merger or other corporate transaction.</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40"/>
          </w:cols>
          <w:pgMar w:left="320" w:top="455" w:right="439" w:bottom="1440" w:gutter="0" w:footer="0" w:header="0"/>
        </w:sectPr>
      </w:pPr>
    </w:p>
    <w:bookmarkStart w:id="230" w:name="page231"/>
    <w:bookmarkEnd w:id="2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220" w:firstLine="551"/>
        <w:spacing w:after="0" w:line="276" w:lineRule="auto"/>
        <w:rPr>
          <w:sz w:val="20"/>
          <w:szCs w:val="20"/>
          <w:color w:val="auto"/>
        </w:rPr>
      </w:pPr>
      <w:r>
        <w:rPr>
          <w:rFonts w:ascii="Arial" w:cs="Arial" w:eastAsia="Arial" w:hAnsi="Arial"/>
          <w:sz w:val="18"/>
          <w:szCs w:val="18"/>
          <w:color w:val="auto"/>
        </w:rPr>
        <w:t>The options may include provisions permitting exercise of the option prior to full vesting. Any unvested shares so purchased shall be subject to repurchase by the Company at the original exercise price of the option.</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Options Outstanding</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Shares</w:t>
            </w: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4"/>
                <w:szCs w:val="14"/>
                <w:b w:val="1"/>
                <w:bCs w:val="1"/>
                <w:color w:val="auto"/>
              </w:rPr>
              <w:t>Average</w:t>
            </w: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Available</w:t>
            </w:r>
          </w:p>
        </w:tc>
        <w:tc>
          <w:tcPr>
            <w:tcW w:w="124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Contractual Life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7"/>
        </w:trPr>
        <w:tc>
          <w:tcPr>
            <w:tcW w:w="4720" w:type="dxa"/>
            <w:vAlign w:val="bottom"/>
          </w:tcPr>
          <w:p>
            <w:pPr>
              <w:spacing w:after="0"/>
              <w:rPr>
                <w:sz w:val="15"/>
                <w:szCs w:val="15"/>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for Grant</w:t>
            </w:r>
          </w:p>
        </w:tc>
        <w:tc>
          <w:tcPr>
            <w:tcW w:w="124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Price</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 years)</w:t>
            </w:r>
          </w:p>
        </w:tc>
        <w:tc>
          <w:tcPr>
            <w:tcW w:w="220" w:type="dxa"/>
            <w:vAlign w:val="bottom"/>
          </w:tcPr>
          <w:p>
            <w:pPr>
              <w:spacing w:after="0"/>
              <w:rPr>
                <w:sz w:val="15"/>
                <w:szCs w:val="15"/>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 000s)</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Balances, December 31, 2017</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6,448,937</w:t>
            </w:r>
          </w:p>
        </w:tc>
        <w:tc>
          <w:tcPr>
            <w:tcW w:w="5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11,361,092</w:t>
            </w: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0.26</w:t>
            </w:r>
          </w:p>
        </w:tc>
        <w:tc>
          <w:tcPr>
            <w:tcW w:w="4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8.56</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3,270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Shares reserved for issuance</w:t>
            </w:r>
          </w:p>
        </w:tc>
        <w:tc>
          <w:tcPr>
            <w:tcW w:w="14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granted</w:t>
            </w:r>
          </w:p>
        </w:tc>
        <w:tc>
          <w:tcPr>
            <w:tcW w:w="14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(4,215,465)</w:t>
            </w:r>
          </w:p>
        </w:tc>
        <w:tc>
          <w:tcPr>
            <w:tcW w:w="9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4,215,465</w:t>
            </w:r>
          </w:p>
        </w:tc>
        <w:tc>
          <w:tcPr>
            <w:tcW w:w="2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0.61</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Options forfeited / cancelled</w:t>
            </w:r>
          </w:p>
        </w:tc>
        <w:tc>
          <w:tcPr>
            <w:tcW w:w="14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1,436,525</w:t>
            </w:r>
          </w:p>
        </w:tc>
        <w:tc>
          <w:tcPr>
            <w:tcW w:w="12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(1,436,525)</w:t>
            </w:r>
          </w:p>
        </w:tc>
        <w:tc>
          <w:tcPr>
            <w:tcW w:w="34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0.61</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exercised</w:t>
            </w:r>
          </w:p>
        </w:tc>
        <w:tc>
          <w:tcPr>
            <w:tcW w:w="14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20" w:type="dxa"/>
            <w:vAlign w:val="bottom"/>
          </w:tcPr>
          <w:p>
            <w:pPr>
              <w:spacing w:after="0"/>
              <w:rPr>
                <w:sz w:val="20"/>
                <w:szCs w:val="20"/>
                <w:color w:val="auto"/>
              </w:rPr>
            </w:pPr>
            <w:r>
              <w:rPr>
                <w:rFonts w:ascii="Arial" w:cs="Arial" w:eastAsia="Arial" w:hAnsi="Arial"/>
                <w:sz w:val="18"/>
                <w:szCs w:val="18"/>
                <w:b w:val="1"/>
                <w:bCs w:val="1"/>
                <w:color w:val="auto"/>
              </w:rPr>
              <w:t>Balances, December 31, 2018</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3,669,997</w:t>
            </w:r>
          </w:p>
        </w:tc>
        <w:tc>
          <w:tcPr>
            <w:tcW w:w="50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14,140,032</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4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7.88</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4,118</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reserved for issuance</w:t>
            </w:r>
          </w:p>
        </w:tc>
        <w:tc>
          <w:tcPr>
            <w:tcW w:w="14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5,000,000</w:t>
            </w:r>
          </w:p>
        </w:tc>
        <w:tc>
          <w:tcPr>
            <w:tcW w:w="124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Options granted</w:t>
            </w:r>
          </w:p>
        </w:tc>
        <w:tc>
          <w:tcPr>
            <w:tcW w:w="14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(1,315,000)</w:t>
            </w:r>
          </w:p>
        </w:tc>
        <w:tc>
          <w:tcPr>
            <w:tcW w:w="9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1,315,000</w:t>
            </w:r>
          </w:p>
        </w:tc>
        <w:tc>
          <w:tcPr>
            <w:tcW w:w="260" w:type="dxa"/>
            <w:vAlign w:val="bottom"/>
          </w:tcPr>
          <w:p>
            <w:pPr>
              <w:spacing w:after="0"/>
              <w:rPr>
                <w:sz w:val="17"/>
                <w:szCs w:val="17"/>
                <w:color w:val="auto"/>
              </w:rPr>
            </w:pPr>
          </w:p>
        </w:tc>
        <w:tc>
          <w:tcPr>
            <w:tcW w:w="34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0.67</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forfeited / cancelled</w:t>
            </w:r>
          </w:p>
        </w:tc>
        <w:tc>
          <w:tcPr>
            <w:tcW w:w="14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703,360</w:t>
            </w:r>
          </w:p>
        </w:tc>
        <w:tc>
          <w:tcPr>
            <w:tcW w:w="1240" w:type="dxa"/>
            <w:vAlign w:val="bottom"/>
            <w:gridSpan w:val="3"/>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(703,360)</w:t>
            </w: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0.56</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Options exercised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7"/>
                <w:szCs w:val="17"/>
                <w:color w:val="auto"/>
              </w:rPr>
            </w:pPr>
          </w:p>
        </w:tc>
        <w:tc>
          <w:tcPr>
            <w:tcW w:w="1240" w:type="dxa"/>
            <w:vAlign w:val="bottom"/>
            <w:gridSpan w:val="3"/>
          </w:tcPr>
          <w:p>
            <w:pPr>
              <w:jc w:val="right"/>
              <w:ind w:right="220"/>
              <w:spacing w:after="0" w:line="202" w:lineRule="exact"/>
              <w:rPr>
                <w:sz w:val="20"/>
                <w:szCs w:val="20"/>
                <w:color w:val="auto"/>
              </w:rPr>
            </w:pPr>
            <w:r>
              <w:rPr>
                <w:rFonts w:ascii="Arial" w:cs="Arial" w:eastAsia="Arial" w:hAnsi="Arial"/>
                <w:sz w:val="18"/>
                <w:szCs w:val="18"/>
                <w:color w:val="auto"/>
              </w:rPr>
              <w:t>(178,572)</w:t>
            </w:r>
          </w:p>
        </w:tc>
        <w:tc>
          <w:tcPr>
            <w:tcW w:w="34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0.57</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47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Balances, December 31, 2019</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8,058,357</w:t>
            </w: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14,573,100</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0.39</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7.08</w:t>
            </w:r>
          </w:p>
        </w:tc>
        <w:tc>
          <w:tcPr>
            <w:tcW w:w="3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5,048</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b w:val="1"/>
                <w:bCs w:val="1"/>
                <w:color w:val="auto"/>
              </w:rPr>
              <w:t>At December 31, 2019</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2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Vested</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9,884,600</w:t>
            </w: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0.32</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6.59</w:t>
            </w:r>
          </w:p>
        </w:tc>
        <w:tc>
          <w:tcPr>
            <w:tcW w:w="3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4,197</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360"/>
              <w:spacing w:after="0"/>
              <w:rPr>
                <w:sz w:val="20"/>
                <w:szCs w:val="20"/>
                <w:color w:val="auto"/>
              </w:rPr>
            </w:pPr>
            <w:r>
              <w:rPr>
                <w:rFonts w:ascii="Arial" w:cs="Arial" w:eastAsia="Arial" w:hAnsi="Arial"/>
                <w:sz w:val="18"/>
                <w:szCs w:val="18"/>
                <w:color w:val="auto"/>
              </w:rPr>
              <w:t>Exercisable</w:t>
            </w: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gridSpan w:val="2"/>
            <w:vMerge w:val="restart"/>
          </w:tcPr>
          <w:p>
            <w:pPr>
              <w:ind w:left="220"/>
              <w:spacing w:after="0"/>
              <w:rPr>
                <w:sz w:val="20"/>
                <w:szCs w:val="20"/>
                <w:color w:val="auto"/>
              </w:rPr>
            </w:pPr>
            <w:r>
              <w:rPr>
                <w:rFonts w:ascii="Arial" w:cs="Arial" w:eastAsia="Arial" w:hAnsi="Arial"/>
                <w:sz w:val="18"/>
                <w:szCs w:val="18"/>
                <w:color w:val="auto"/>
                <w:w w:val="99"/>
              </w:rPr>
              <w:t>$</w:t>
            </w:r>
          </w:p>
        </w:tc>
        <w:tc>
          <w:tcPr>
            <w:tcW w:w="96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rPr>
              <w:t>0.34</w:t>
            </w: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6.72</w:t>
            </w:r>
          </w:p>
        </w:tc>
        <w:tc>
          <w:tcPr>
            <w:tcW w:w="36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4,648</w:t>
            </w:r>
          </w:p>
        </w:tc>
        <w:tc>
          <w:tcPr>
            <w:tcW w:w="0" w:type="dxa"/>
            <w:vAlign w:val="bottom"/>
          </w:tcPr>
          <w:p>
            <w:pPr>
              <w:spacing w:after="0" w:line="20" w:lineRule="exact"/>
              <w:rPr>
                <w:sz w:val="1"/>
                <w:szCs w:val="1"/>
                <w:color w:val="auto"/>
              </w:rPr>
            </w:pPr>
          </w:p>
        </w:tc>
      </w:tr>
      <w:tr>
        <w:trPr>
          <w:trHeight w:val="197"/>
        </w:trPr>
        <w:tc>
          <w:tcPr>
            <w:tcW w:w="472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11,509,852</w:t>
            </w:r>
          </w:p>
        </w:tc>
        <w:tc>
          <w:tcPr>
            <w:tcW w:w="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400" w:firstLine="551"/>
        <w:spacing w:after="0" w:line="255" w:lineRule="auto"/>
        <w:rPr>
          <w:sz w:val="20"/>
          <w:szCs w:val="20"/>
          <w:color w:val="auto"/>
        </w:rPr>
      </w:pPr>
      <w:r>
        <w:rPr>
          <w:rFonts w:ascii="Arial" w:cs="Arial" w:eastAsia="Arial" w:hAnsi="Arial"/>
          <w:sz w:val="18"/>
          <w:szCs w:val="18"/>
          <w:color w:val="auto"/>
        </w:rPr>
        <w:t>The aggregate intrinsic value of options vested and exercisable as of December 31, 2019 is calculated based on the difference between the exercise price and the current fair value of our common stock. The intrinsic value of options exercised in 2019 was $20. There were no stock option exercises in 2018.</w:t>
      </w:r>
    </w:p>
    <w:p>
      <w:pPr>
        <w:spacing w:after="0" w:line="164" w:lineRule="exact"/>
        <w:rPr>
          <w:sz w:val="20"/>
          <w:szCs w:val="20"/>
          <w:color w:val="auto"/>
        </w:rPr>
      </w:pPr>
    </w:p>
    <w:p>
      <w:pPr>
        <w:ind w:left="120" w:right="200" w:firstLine="551"/>
        <w:spacing w:after="0" w:line="276" w:lineRule="auto"/>
        <w:rPr>
          <w:sz w:val="20"/>
          <w:szCs w:val="20"/>
          <w:color w:val="auto"/>
        </w:rPr>
      </w:pPr>
      <w:r>
        <w:rPr>
          <w:rFonts w:ascii="Arial" w:cs="Arial" w:eastAsia="Arial" w:hAnsi="Arial"/>
          <w:sz w:val="18"/>
          <w:szCs w:val="18"/>
          <w:color w:val="auto"/>
        </w:rPr>
        <w:t>At December 31, 2019, the total compensation cost related to nonvested service-based awards not yet recognized is $1,481. The weighted-average period over which the nonvested awards is expected to be recognized is 1.9 years.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for Employees</w:t>
      </w:r>
    </w:p>
    <w:p>
      <w:pPr>
        <w:spacing w:after="0" w:line="104" w:lineRule="exact"/>
        <w:rPr>
          <w:sz w:val="20"/>
          <w:szCs w:val="20"/>
          <w:color w:val="auto"/>
        </w:rPr>
      </w:pPr>
    </w:p>
    <w:p>
      <w:pPr>
        <w:ind w:left="120" w:right="220" w:firstLine="551"/>
        <w:spacing w:after="0" w:line="248" w:lineRule="auto"/>
        <w:rPr>
          <w:sz w:val="20"/>
          <w:szCs w:val="20"/>
          <w:color w:val="auto"/>
        </w:rPr>
      </w:pPr>
      <w:r>
        <w:rPr>
          <w:rFonts w:ascii="Arial" w:cs="Arial" w:eastAsia="Arial" w:hAnsi="Arial"/>
          <w:sz w:val="18"/>
          <w:szCs w:val="18"/>
          <w:color w:val="auto"/>
        </w:rPr>
        <w:t>Employee options generally vest over four years. Stock-based compensation expense recognized during the years ended December 31, 2018 and 2019 for stock-based awards granted to employees based on the grant date fair value estimated in accordance with the provisions of ASC 718 was $847 and $854, respectively. The unrecognized compensation cost as of December 31, 2019 is expected to be recognized over a weighted-average amortization period of 2.0 years.</w:t>
      </w:r>
    </w:p>
    <w:p>
      <w:pPr>
        <w:spacing w:after="0" w:line="170" w:lineRule="exact"/>
        <w:rPr>
          <w:sz w:val="20"/>
          <w:szCs w:val="20"/>
          <w:color w:val="auto"/>
        </w:rPr>
      </w:pPr>
    </w:p>
    <w:p>
      <w:pPr>
        <w:ind w:left="120" w:right="840" w:firstLine="551"/>
        <w:spacing w:after="0" w:line="276" w:lineRule="auto"/>
        <w:rPr>
          <w:sz w:val="20"/>
          <w:szCs w:val="20"/>
          <w:color w:val="auto"/>
        </w:rPr>
      </w:pPr>
      <w:r>
        <w:rPr>
          <w:rFonts w:ascii="Arial" w:cs="Arial" w:eastAsia="Arial" w:hAnsi="Arial"/>
          <w:sz w:val="18"/>
          <w:szCs w:val="18"/>
          <w:color w:val="auto"/>
        </w:rPr>
        <w:t>The Company estimated the fair value of stock options using the Black-Scholes options valuation model. The fair value of employee stock options is being amortized on a straight-line basis over the</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40"/>
          </w:cols>
          <w:pgMar w:left="320" w:top="455" w:right="439" w:bottom="1440" w:gutter="0" w:footer="0" w:header="0"/>
        </w:sectPr>
      </w:pPr>
    </w:p>
    <w:bookmarkStart w:id="231" w:name="page232"/>
    <w:bookmarkEnd w:id="2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requisite service period of the awards. The fair value of employee stock options was estimated using the following assumptions: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7040" w:type="dxa"/>
            <w:vAlign w:val="bottom"/>
          </w:tcPr>
          <w:p>
            <w:pPr>
              <w:spacing w:after="0"/>
              <w:rPr>
                <w:sz w:val="15"/>
                <w:szCs w:val="15"/>
                <w:color w:val="auto"/>
              </w:rPr>
            </w:pPr>
          </w:p>
        </w:tc>
        <w:tc>
          <w:tcPr>
            <w:tcW w:w="2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1020" w:type="dxa"/>
            <w:vAlign w:val="bottom"/>
            <w:tcBorders>
              <w:bottom w:val="single" w:sz="8" w:color="auto"/>
            </w:tcBorders>
          </w:tcPr>
          <w:p>
            <w:pPr>
              <w:spacing w:after="0"/>
              <w:rPr>
                <w:sz w:val="15"/>
                <w:szCs w:val="15"/>
                <w:color w:val="auto"/>
              </w:rPr>
            </w:pPr>
          </w:p>
        </w:tc>
      </w:tr>
      <w:tr>
        <w:trPr>
          <w:trHeight w:val="155"/>
        </w:trPr>
        <w:tc>
          <w:tcPr>
            <w:tcW w:w="7040" w:type="dxa"/>
            <w:vAlign w:val="bottom"/>
            <w:tcBorders>
              <w:bottom w:val="single" w:sz="8" w:color="CCEEFF"/>
            </w:tcBorders>
          </w:tcPr>
          <w:p>
            <w:pPr>
              <w:spacing w:after="0"/>
              <w:rPr>
                <w:sz w:val="13"/>
                <w:szCs w:val="13"/>
                <w:color w:val="auto"/>
              </w:rPr>
            </w:pPr>
          </w:p>
        </w:tc>
        <w:tc>
          <w:tcPr>
            <w:tcW w:w="18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3"/>
                <w:szCs w:val="13"/>
                <w:color w:val="auto"/>
              </w:rPr>
            </w:pPr>
          </w:p>
        </w:tc>
        <w:tc>
          <w:tcPr>
            <w:tcW w:w="1880" w:type="dxa"/>
            <w:vAlign w:val="bottom"/>
            <w:tcBorders>
              <w:bottom w:val="single" w:sz="8" w:color="auto"/>
            </w:tcBorders>
            <w:gridSpan w:val="2"/>
          </w:tcPr>
          <w:p>
            <w:pPr>
              <w:jc w:val="center"/>
              <w:spacing w:after="0" w:line="155" w:lineRule="exact"/>
              <w:rPr>
                <w:sz w:val="20"/>
                <w:szCs w:val="20"/>
                <w:color w:val="auto"/>
              </w:rPr>
            </w:pPr>
            <w:r>
              <w:rPr>
                <w:rFonts w:ascii="Arial" w:cs="Arial" w:eastAsia="Arial" w:hAnsi="Arial"/>
                <w:sz w:val="14"/>
                <w:szCs w:val="14"/>
                <w:b w:val="1"/>
                <w:bCs w:val="1"/>
                <w:color w:val="auto"/>
              </w:rPr>
              <w:t>2019</w:t>
            </w:r>
          </w:p>
        </w:tc>
      </w:tr>
      <w:tr>
        <w:trPr>
          <w:trHeight w:val="196"/>
        </w:trPr>
        <w:tc>
          <w:tcPr>
            <w:tcW w:w="7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grant date fair value of common stock</w:t>
            </w:r>
          </w:p>
        </w:tc>
        <w:tc>
          <w:tcPr>
            <w:tcW w:w="18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97"/>
              </w:rPr>
              <w:t>$0.61</w:t>
            </w:r>
          </w:p>
        </w:tc>
        <w:tc>
          <w:tcPr>
            <w:tcW w:w="220" w:type="dxa"/>
            <w:vAlign w:val="bottom"/>
            <w:shd w:val="clear" w:color="auto" w:fill="CCEEFF"/>
          </w:tcPr>
          <w:p>
            <w:pPr>
              <w:spacing w:after="0"/>
              <w:rPr>
                <w:sz w:val="17"/>
                <w:szCs w:val="17"/>
                <w:color w:val="auto"/>
              </w:rPr>
            </w:pPr>
          </w:p>
        </w:tc>
        <w:tc>
          <w:tcPr>
            <w:tcW w:w="1880" w:type="dxa"/>
            <w:vAlign w:val="bottom"/>
            <w:gridSpan w:val="2"/>
            <w:shd w:val="clear" w:color="auto" w:fill="CCEEFF"/>
          </w:tcPr>
          <w:p>
            <w:pPr>
              <w:jc w:val="center"/>
              <w:spacing w:after="0" w:line="196" w:lineRule="exact"/>
              <w:rPr>
                <w:sz w:val="20"/>
                <w:szCs w:val="20"/>
                <w:color w:val="auto"/>
              </w:rPr>
            </w:pPr>
            <w:r>
              <w:rPr>
                <w:rFonts w:ascii="Arial" w:cs="Arial" w:eastAsia="Arial" w:hAnsi="Arial"/>
                <w:sz w:val="18"/>
                <w:szCs w:val="18"/>
                <w:color w:val="auto"/>
              </w:rPr>
              <w:t>$0.67</w:t>
            </w: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2100" w:type="dxa"/>
            <w:vAlign w:val="bottom"/>
            <w:gridSpan w:val="2"/>
          </w:tcPr>
          <w:p>
            <w:pPr>
              <w:jc w:val="center"/>
              <w:ind w:right="200"/>
              <w:spacing w:after="0" w:line="202" w:lineRule="exact"/>
              <w:rPr>
                <w:sz w:val="20"/>
                <w:szCs w:val="20"/>
                <w:color w:val="auto"/>
              </w:rPr>
            </w:pPr>
            <w:r>
              <w:rPr>
                <w:rFonts w:ascii="Arial" w:cs="Arial" w:eastAsia="Arial" w:hAnsi="Arial"/>
                <w:sz w:val="18"/>
                <w:szCs w:val="18"/>
                <w:color w:val="auto"/>
                <w:w w:val="99"/>
              </w:rPr>
              <w:t>2.68% – 2.83%</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1.49%</w:t>
            </w:r>
          </w:p>
        </w:tc>
        <w:tc>
          <w:tcPr>
            <w:tcW w:w="1020" w:type="dxa"/>
            <w:vAlign w:val="bottom"/>
          </w:tcPr>
          <w:p>
            <w:pPr>
              <w:ind w:left="20"/>
              <w:spacing w:after="0" w:line="202" w:lineRule="exact"/>
              <w:rPr>
                <w:sz w:val="20"/>
                <w:szCs w:val="20"/>
                <w:color w:val="auto"/>
              </w:rPr>
            </w:pPr>
            <w:r>
              <w:rPr>
                <w:rFonts w:ascii="Arial" w:cs="Arial" w:eastAsia="Arial" w:hAnsi="Arial"/>
                <w:sz w:val="18"/>
                <w:szCs w:val="18"/>
                <w:color w:val="auto"/>
              </w:rPr>
              <w:t>– 2.51%</w:t>
            </w: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(in years)</w:t>
            </w:r>
          </w:p>
        </w:tc>
        <w:tc>
          <w:tcPr>
            <w:tcW w:w="188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rPr>
              <w:t>5.99</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w:t>
            </w:r>
          </w:p>
        </w:tc>
        <w:tc>
          <w:tcPr>
            <w:tcW w:w="1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6.37</w:t>
            </w:r>
          </w:p>
        </w:tc>
      </w:tr>
      <w:tr>
        <w:trPr>
          <w:trHeight w:val="203"/>
        </w:trPr>
        <w:tc>
          <w:tcPr>
            <w:tcW w:w="7040" w:type="dxa"/>
            <w:vAlign w:val="bottom"/>
          </w:tcPr>
          <w:p>
            <w:pPr>
              <w:spacing w:after="0" w:line="202" w:lineRule="exact"/>
              <w:rPr>
                <w:sz w:val="20"/>
                <w:szCs w:val="20"/>
                <w:color w:val="auto"/>
              </w:rPr>
            </w:pPr>
            <w:r>
              <w:rPr>
                <w:rFonts w:ascii="Arial" w:cs="Arial" w:eastAsia="Arial" w:hAnsi="Arial"/>
                <w:sz w:val="18"/>
                <w:szCs w:val="18"/>
                <w:color w:val="auto"/>
              </w:rPr>
              <w:t>Dividend yield</w:t>
            </w:r>
          </w:p>
        </w:tc>
        <w:tc>
          <w:tcPr>
            <w:tcW w:w="1880" w:type="dxa"/>
            <w:vAlign w:val="bottom"/>
          </w:tcPr>
          <w:p>
            <w:pPr>
              <w:jc w:val="center"/>
              <w:spacing w:after="0" w:line="202" w:lineRule="exact"/>
              <w:rPr>
                <w:sz w:val="20"/>
                <w:szCs w:val="20"/>
                <w:color w:val="auto"/>
              </w:rPr>
            </w:pPr>
            <w:r>
              <w:rPr>
                <w:rFonts w:ascii="Arial" w:cs="Arial" w:eastAsia="Arial" w:hAnsi="Arial"/>
                <w:sz w:val="18"/>
                <w:szCs w:val="18"/>
                <w:color w:val="auto"/>
                <w:w w:val="99"/>
              </w:rPr>
              <w:t>0%</w:t>
            </w:r>
          </w:p>
        </w:tc>
        <w:tc>
          <w:tcPr>
            <w:tcW w:w="220" w:type="dxa"/>
            <w:vAlign w:val="bottom"/>
          </w:tcPr>
          <w:p>
            <w:pPr>
              <w:spacing w:after="0"/>
              <w:rPr>
                <w:sz w:val="17"/>
                <w:szCs w:val="17"/>
                <w:color w:val="auto"/>
              </w:rPr>
            </w:pPr>
          </w:p>
        </w:tc>
        <w:tc>
          <w:tcPr>
            <w:tcW w:w="188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0%</w:t>
            </w:r>
          </w:p>
        </w:tc>
      </w:tr>
      <w:tr>
        <w:trPr>
          <w:trHeight w:val="203"/>
        </w:trPr>
        <w:tc>
          <w:tcPr>
            <w:tcW w:w="7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2100" w:type="dxa"/>
            <w:vAlign w:val="bottom"/>
            <w:gridSpan w:val="2"/>
            <w:shd w:val="clear" w:color="auto" w:fill="CCEEFF"/>
          </w:tcPr>
          <w:p>
            <w:pPr>
              <w:jc w:val="center"/>
              <w:ind w:right="200"/>
              <w:spacing w:after="0" w:line="202" w:lineRule="exact"/>
              <w:rPr>
                <w:sz w:val="20"/>
                <w:szCs w:val="20"/>
                <w:color w:val="auto"/>
              </w:rPr>
            </w:pPr>
            <w:r>
              <w:rPr>
                <w:rFonts w:ascii="Arial" w:cs="Arial" w:eastAsia="Arial" w:hAnsi="Arial"/>
                <w:sz w:val="18"/>
                <w:szCs w:val="18"/>
                <w:color w:val="auto"/>
                <w:w w:val="99"/>
              </w:rPr>
              <w:t>63.74% – 81.20%</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72.07%</w:t>
            </w:r>
          </w:p>
        </w:tc>
        <w:tc>
          <w:tcPr>
            <w:tcW w:w="1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72.69%</w:t>
            </w:r>
          </w:p>
        </w:tc>
      </w:tr>
    </w:tbl>
    <w:p>
      <w:pPr>
        <w:spacing w:after="0" w:line="85" w:lineRule="exact"/>
        <w:rPr>
          <w:sz w:val="20"/>
          <w:szCs w:val="20"/>
          <w:color w:val="auto"/>
        </w:rPr>
      </w:pPr>
    </w:p>
    <w:p>
      <w:pPr>
        <w:jc w:val="both"/>
        <w:ind w:left="660" w:right="660" w:firstLine="523"/>
        <w:spacing w:after="0" w:line="255"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Company uses the simplified method to calculate expected term described in the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Commission’s Staff Accounting Bulletin No. 107, which takes into account vesting term and expiration date of the options.</w:t>
      </w:r>
    </w:p>
    <w:p>
      <w:pPr>
        <w:spacing w:after="0" w:line="56" w:lineRule="exact"/>
        <w:rPr>
          <w:sz w:val="20"/>
          <w:szCs w:val="20"/>
          <w:color w:val="auto"/>
        </w:rPr>
      </w:pPr>
    </w:p>
    <w:p>
      <w:pPr>
        <w:ind w:left="660" w:right="640" w:firstLine="523"/>
        <w:spacing w:after="0" w:line="276" w:lineRule="auto"/>
        <w:rPr>
          <w:sz w:val="20"/>
          <w:szCs w:val="20"/>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Volatility is based on an average of the historical volatilities of comparable publicly traded companies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w:t>
      </w:r>
    </w:p>
    <w:p>
      <w:pPr>
        <w:spacing w:after="0" w:line="37" w:lineRule="exact"/>
        <w:rPr>
          <w:sz w:val="20"/>
          <w:szCs w:val="20"/>
          <w:color w:val="auto"/>
        </w:rPr>
      </w:pPr>
    </w:p>
    <w:p>
      <w:pPr>
        <w:ind w:left="660" w:right="560" w:firstLine="523"/>
        <w:spacing w:after="0" w:line="276" w:lineRule="auto"/>
        <w:rPr>
          <w:sz w:val="20"/>
          <w:szCs w:val="20"/>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The risk-free rate is based on the U.S. Treasury yields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the option.</w:t>
      </w:r>
    </w:p>
    <w:p>
      <w:pPr>
        <w:spacing w:after="0" w:line="37" w:lineRule="exact"/>
        <w:rPr>
          <w:sz w:val="20"/>
          <w:szCs w:val="20"/>
          <w:color w:val="auto"/>
        </w:rPr>
      </w:pPr>
    </w:p>
    <w:p>
      <w:pPr>
        <w:ind w:left="660" w:right="60" w:firstLine="523"/>
        <w:spacing w:after="0" w:line="276" w:lineRule="auto"/>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 The Company has never declared or paid any cash dividends and does not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and therefore, used an expected dividend yield of zero in the valuation model.</w:t>
      </w:r>
    </w:p>
    <w:p>
      <w:pPr>
        <w:spacing w:after="0" w:line="145" w:lineRule="exact"/>
        <w:rPr>
          <w:sz w:val="20"/>
          <w:szCs w:val="20"/>
          <w:color w:val="auto"/>
        </w:rPr>
      </w:pPr>
    </w:p>
    <w:p>
      <w:pPr>
        <w:ind w:left="120" w:right="100" w:firstLine="551"/>
        <w:spacing w:after="0" w:line="245" w:lineRule="auto"/>
        <w:rPr>
          <w:sz w:val="20"/>
          <w:szCs w:val="20"/>
          <w:color w:val="auto"/>
        </w:rPr>
      </w:pPr>
      <w:r>
        <w:rPr>
          <w:rFonts w:ascii="Arial" w:cs="Arial" w:eastAsia="Arial" w:hAnsi="Arial"/>
          <w:sz w:val="18"/>
          <w:szCs w:val="18"/>
          <w:color w:val="auto"/>
        </w:rPr>
        <w:t>During the year ended December 31, 2018, the Company granted 626,610 stock options at a grant-date fair value of $0.49 per share to an executive that vests only upon the attainment of certain liquidity events. The Company does not believe that it is probable that the performance condition will be satisfied and did not record any stock compensation expense in the years ended December 31, 2018 and 2019 for this option grant. The unrecognized compensation cost associated with this award was $305, a portion of which will be cumulatively caught-up upon achievement of the liquidity event.</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 for Non-Employees</w:t>
      </w:r>
    </w:p>
    <w:p>
      <w:pPr>
        <w:spacing w:after="0" w:line="104" w:lineRule="exact"/>
        <w:rPr>
          <w:sz w:val="20"/>
          <w:szCs w:val="20"/>
          <w:color w:val="auto"/>
        </w:rPr>
      </w:pPr>
    </w:p>
    <w:p>
      <w:pPr>
        <w:jc w:val="both"/>
        <w:ind w:left="120" w:right="480" w:firstLine="551"/>
        <w:spacing w:after="0" w:line="255" w:lineRule="auto"/>
        <w:rPr>
          <w:sz w:val="20"/>
          <w:szCs w:val="20"/>
          <w:color w:val="auto"/>
        </w:rPr>
      </w:pPr>
      <w:r>
        <w:rPr>
          <w:rFonts w:ascii="Arial" w:cs="Arial" w:eastAsia="Arial" w:hAnsi="Arial"/>
          <w:sz w:val="18"/>
          <w:szCs w:val="18"/>
          <w:color w:val="auto"/>
        </w:rPr>
        <w:t>Stock-based compensation expense related to stock options granted to non-employees is recognized as the stock options are earned. The Company believes that the estimated fair value of the stock options is more readily measurable than the fair value of the services. There were no stock options granted to non-employees during the years ended December 31, 2018 and 2019.</w:t>
      </w:r>
    </w:p>
    <w:p>
      <w:pPr>
        <w:spacing w:after="0" w:line="164" w:lineRule="exact"/>
        <w:rPr>
          <w:sz w:val="20"/>
          <w:szCs w:val="20"/>
          <w:color w:val="auto"/>
        </w:rPr>
      </w:pPr>
    </w:p>
    <w:p>
      <w:pPr>
        <w:ind w:left="120" w:right="200" w:firstLine="551"/>
        <w:spacing w:after="0" w:line="255" w:lineRule="auto"/>
        <w:rPr>
          <w:sz w:val="20"/>
          <w:szCs w:val="20"/>
          <w:color w:val="auto"/>
        </w:rPr>
      </w:pPr>
      <w:r>
        <w:rPr>
          <w:rFonts w:ascii="Arial" w:cs="Arial" w:eastAsia="Arial" w:hAnsi="Arial"/>
          <w:sz w:val="18"/>
          <w:szCs w:val="18"/>
          <w:color w:val="auto"/>
        </w:rPr>
        <w:t>Non-employee options generally vest over two to three years. Stock-based compensation expense is remeasured every reporting period as the options vest in accordance with the provisions of ASC 505-50. Stock compensation expense recognized during the years ended December 31, 2018 and 2019 for stock-based awards granted to non-employees was $232 and $54, respectively.</w:t>
      </w:r>
    </w:p>
    <w:p>
      <w:pPr>
        <w:spacing w:after="0" w:line="164" w:lineRule="exact"/>
        <w:rPr>
          <w:sz w:val="20"/>
          <w:szCs w:val="20"/>
          <w:color w:val="auto"/>
        </w:rPr>
      </w:pPr>
    </w:p>
    <w:p>
      <w:pPr>
        <w:ind w:left="120" w:right="520" w:firstLine="551"/>
        <w:spacing w:after="0" w:line="276" w:lineRule="auto"/>
        <w:rPr>
          <w:sz w:val="20"/>
          <w:szCs w:val="20"/>
          <w:color w:val="auto"/>
        </w:rPr>
      </w:pPr>
      <w:r>
        <w:rPr>
          <w:rFonts w:ascii="Arial" w:cs="Arial" w:eastAsia="Arial" w:hAnsi="Arial"/>
          <w:sz w:val="18"/>
          <w:szCs w:val="18"/>
          <w:color w:val="auto"/>
        </w:rPr>
        <w:t>No income tax benefits have been recognized relating to stock-based compensation expenses and no tax benefits have been realized from exercised stock options.</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40"/>
          </w:cols>
          <w:pgMar w:left="320" w:top="455" w:right="439" w:bottom="1440" w:gutter="0" w:footer="0" w:header="0"/>
        </w:sectPr>
      </w:pPr>
    </w:p>
    <w:bookmarkStart w:id="232" w:name="page233"/>
    <w:bookmarkEnd w:id="2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Total Stock-Based Compensation</w:t>
      </w:r>
    </w:p>
    <w:p>
      <w:pPr>
        <w:spacing w:after="0" w:line="104" w:lineRule="exact"/>
        <w:rPr>
          <w:sz w:val="20"/>
          <w:szCs w:val="20"/>
          <w:color w:val="auto"/>
        </w:rPr>
      </w:pPr>
    </w:p>
    <w:p>
      <w:pPr>
        <w:ind w:left="120" w:right="200" w:firstLine="551"/>
        <w:spacing w:after="0" w:line="276" w:lineRule="auto"/>
        <w:rPr>
          <w:sz w:val="20"/>
          <w:szCs w:val="20"/>
          <w:color w:val="auto"/>
        </w:rPr>
      </w:pPr>
      <w:r>
        <w:rPr>
          <w:rFonts w:ascii="Arial" w:cs="Arial" w:eastAsia="Arial" w:hAnsi="Arial"/>
          <w:sz w:val="18"/>
          <w:szCs w:val="18"/>
          <w:color w:val="auto"/>
        </w:rPr>
        <w:t>Total stock-based compensation expense recorded under ASC 718 and ASC 505-50 related to options granted to employees and nonemployees was allocated to research and development and general and administrative expense as follows:</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2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Years Ended</w:t>
            </w:r>
          </w:p>
        </w:tc>
        <w:tc>
          <w:tcPr>
            <w:tcW w:w="7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0"/>
        </w:trPr>
        <w:tc>
          <w:tcPr>
            <w:tcW w:w="8240" w:type="dxa"/>
            <w:vAlign w:val="bottom"/>
          </w:tcPr>
          <w:p>
            <w:pPr>
              <w:spacing w:after="0"/>
              <w:rPr>
                <w:sz w:val="12"/>
                <w:szCs w:val="12"/>
                <w:color w:val="auto"/>
              </w:rPr>
            </w:pPr>
          </w:p>
        </w:tc>
        <w:tc>
          <w:tcPr>
            <w:tcW w:w="178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December 31,</w:t>
            </w:r>
          </w:p>
        </w:tc>
        <w:tc>
          <w:tcPr>
            <w:tcW w:w="94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2"/>
                <w:szCs w:val="12"/>
                <w:color w:val="auto"/>
              </w:rPr>
            </w:pPr>
          </w:p>
        </w:tc>
      </w:tr>
      <w:tr>
        <w:trPr>
          <w:trHeight w:val="177"/>
        </w:trPr>
        <w:tc>
          <w:tcPr>
            <w:tcW w:w="8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2018</w:t>
            </w:r>
          </w:p>
        </w:tc>
        <w:tc>
          <w:tcPr>
            <w:tcW w:w="8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CCEEFF"/>
            </w:tcBorders>
          </w:tcPr>
          <w:p>
            <w:pPr>
              <w:spacing w:after="0"/>
              <w:rPr>
                <w:sz w:val="15"/>
                <w:szCs w:val="15"/>
                <w:color w:val="auto"/>
              </w:rPr>
            </w:pPr>
          </w:p>
        </w:tc>
      </w:tr>
      <w:tr>
        <w:trPr>
          <w:trHeight w:val="196"/>
        </w:trPr>
        <w:tc>
          <w:tcPr>
            <w:tcW w:w="8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314</w:t>
            </w: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6"/>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302</w:t>
            </w:r>
          </w:p>
        </w:tc>
        <w:tc>
          <w:tcPr>
            <w:tcW w:w="60" w:type="dxa"/>
            <w:vAlign w:val="bottom"/>
            <w:shd w:val="clear" w:color="auto" w:fill="CCEEFF"/>
          </w:tcPr>
          <w:p>
            <w:pPr>
              <w:spacing w:after="0"/>
              <w:rPr>
                <w:sz w:val="17"/>
                <w:szCs w:val="17"/>
                <w:color w:val="auto"/>
              </w:rPr>
            </w:pPr>
          </w:p>
        </w:tc>
      </w:tr>
      <w:tr>
        <w:trPr>
          <w:trHeight w:val="210"/>
        </w:trPr>
        <w:tc>
          <w:tcPr>
            <w:tcW w:w="824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765</w:t>
            </w:r>
          </w:p>
        </w:tc>
        <w:tc>
          <w:tcPr>
            <w:tcW w:w="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606</w:t>
            </w:r>
          </w:p>
        </w:tc>
        <w:tc>
          <w:tcPr>
            <w:tcW w:w="60" w:type="dxa"/>
            <w:vAlign w:val="bottom"/>
          </w:tcPr>
          <w:p>
            <w:pPr>
              <w:spacing w:after="0"/>
              <w:rPr>
                <w:sz w:val="18"/>
                <w:szCs w:val="18"/>
                <w:color w:val="auto"/>
              </w:rPr>
            </w:pPr>
          </w:p>
        </w:tc>
      </w:tr>
      <w:tr>
        <w:trPr>
          <w:trHeight w:val="203"/>
        </w:trPr>
        <w:tc>
          <w:tcPr>
            <w:tcW w:w="824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stock-based compensation</w:t>
            </w:r>
          </w:p>
        </w:tc>
        <w:tc>
          <w:tcPr>
            <w:tcW w:w="20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1,079</w:t>
            </w:r>
          </w:p>
        </w:tc>
        <w:tc>
          <w:tcPr>
            <w:tcW w:w="8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908</w:t>
            </w:r>
          </w:p>
        </w:tc>
        <w:tc>
          <w:tcPr>
            <w:tcW w:w="60" w:type="dxa"/>
            <w:vAlign w:val="bottom"/>
            <w:shd w:val="clear" w:color="auto" w:fill="CCEEFF"/>
          </w:tcPr>
          <w:p>
            <w:pPr>
              <w:spacing w:after="0"/>
              <w:rPr>
                <w:sz w:val="17"/>
                <w:szCs w:val="17"/>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10. Income Taxes</w:t>
      </w:r>
    </w:p>
    <w:p>
      <w:pPr>
        <w:spacing w:after="0" w:line="104" w:lineRule="exact"/>
        <w:rPr>
          <w:sz w:val="20"/>
          <w:szCs w:val="20"/>
          <w:color w:val="auto"/>
        </w:rPr>
      </w:pPr>
    </w:p>
    <w:p>
      <w:pPr>
        <w:jc w:val="both"/>
        <w:ind w:left="120" w:right="300" w:firstLine="551"/>
        <w:spacing w:after="0" w:line="248" w:lineRule="auto"/>
        <w:rPr>
          <w:sz w:val="20"/>
          <w:szCs w:val="20"/>
          <w:color w:val="auto"/>
        </w:rPr>
      </w:pPr>
      <w:r>
        <w:rPr>
          <w:rFonts w:ascii="Arial" w:cs="Arial" w:eastAsia="Arial" w:hAnsi="Arial"/>
          <w:sz w:val="18"/>
          <w:szCs w:val="18"/>
          <w:color w:val="auto"/>
        </w:rPr>
        <w:t>The provision for income taxes consisted of current state taxes of $3 and $ 8 for the years ended December 31, 2018 and 2019, respectively. The effective tax rate for the Company for the year ended December 31, 2018 and for the year ended December 31, 2019 was zero percent. A reconciliation of income tax computed at the statutory federal income tax rate to the provision (benefit) for income taxes included in the accompanying statements of operations for the Company is as follows:</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780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Years Ended</w:t>
            </w:r>
          </w:p>
        </w:tc>
        <w:tc>
          <w:tcPr>
            <w:tcW w:w="9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7800" w:type="dxa"/>
            <w:vAlign w:val="bottom"/>
          </w:tcPr>
          <w:p>
            <w:pPr>
              <w:spacing w:after="0"/>
              <w:rPr>
                <w:sz w:val="12"/>
                <w:szCs w:val="12"/>
                <w:color w:val="auto"/>
              </w:rPr>
            </w:pPr>
          </w:p>
        </w:tc>
        <w:tc>
          <w:tcPr>
            <w:tcW w:w="2060" w:type="dxa"/>
            <w:vAlign w:val="bottom"/>
            <w:gridSpan w:val="2"/>
          </w:tcPr>
          <w:p>
            <w:pPr>
              <w:jc w:val="center"/>
              <w:ind w:right="1048"/>
              <w:spacing w:after="0" w:line="141" w:lineRule="exact"/>
              <w:rPr>
                <w:sz w:val="20"/>
                <w:szCs w:val="20"/>
                <w:color w:val="auto"/>
              </w:rPr>
            </w:pPr>
            <w:r>
              <w:rPr>
                <w:rFonts w:ascii="Arial" w:cs="Arial" w:eastAsia="Arial" w:hAnsi="Arial"/>
                <w:sz w:val="14"/>
                <w:szCs w:val="14"/>
                <w:b w:val="1"/>
                <w:bCs w:val="1"/>
                <w:color w:val="auto"/>
              </w:rPr>
              <w:t>December 31,</w:t>
            </w:r>
          </w:p>
        </w:tc>
        <w:tc>
          <w:tcPr>
            <w:tcW w:w="9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780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2018</w:t>
            </w:r>
          </w:p>
        </w:tc>
        <w:tc>
          <w:tcPr>
            <w:tcW w:w="112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7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Expected provision at statutory federal rate</w:t>
            </w:r>
          </w:p>
        </w:tc>
        <w:tc>
          <w:tcPr>
            <w:tcW w:w="2060" w:type="dxa"/>
            <w:vAlign w:val="bottom"/>
            <w:gridSpan w:val="2"/>
            <w:shd w:val="clear" w:color="auto" w:fill="CCEEFF"/>
          </w:tcPr>
          <w:p>
            <w:pPr>
              <w:jc w:val="right"/>
              <w:ind w:right="888"/>
              <w:spacing w:after="0" w:line="196" w:lineRule="exact"/>
              <w:rPr>
                <w:sz w:val="20"/>
                <w:szCs w:val="20"/>
                <w:color w:val="auto"/>
              </w:rPr>
            </w:pPr>
            <w:r>
              <w:rPr>
                <w:rFonts w:ascii="Arial" w:cs="Arial" w:eastAsia="Arial" w:hAnsi="Arial"/>
                <w:sz w:val="18"/>
                <w:szCs w:val="18"/>
                <w:color w:val="auto"/>
              </w:rPr>
              <w:t>21%</w:t>
            </w:r>
          </w:p>
        </w:tc>
        <w:tc>
          <w:tcPr>
            <w:tcW w:w="11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State tax—net of federal benefit</w:t>
            </w:r>
          </w:p>
        </w:tc>
        <w:tc>
          <w:tcPr>
            <w:tcW w:w="2060" w:type="dxa"/>
            <w:vAlign w:val="bottom"/>
            <w:gridSpan w:val="2"/>
          </w:tcPr>
          <w:p>
            <w:pPr>
              <w:jc w:val="right"/>
              <w:ind w:right="888"/>
              <w:spacing w:after="0" w:line="202" w:lineRule="exact"/>
              <w:rPr>
                <w:sz w:val="20"/>
                <w:szCs w:val="20"/>
                <w:color w:val="auto"/>
              </w:rPr>
            </w:pPr>
            <w:r>
              <w:rPr>
                <w:rFonts w:ascii="Arial" w:cs="Arial" w:eastAsia="Arial" w:hAnsi="Arial"/>
                <w:sz w:val="18"/>
                <w:szCs w:val="18"/>
                <w:color w:val="auto"/>
              </w:rPr>
              <w:t>8%</w:t>
            </w: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Tax credits</w:t>
            </w:r>
          </w:p>
        </w:tc>
        <w:tc>
          <w:tcPr>
            <w:tcW w:w="2060" w:type="dxa"/>
            <w:vAlign w:val="bottom"/>
            <w:gridSpan w:val="2"/>
            <w:shd w:val="clear" w:color="auto" w:fill="CCEEFF"/>
          </w:tcPr>
          <w:p>
            <w:pPr>
              <w:jc w:val="right"/>
              <w:ind w:right="888"/>
              <w:spacing w:after="0" w:line="202" w:lineRule="exact"/>
              <w:rPr>
                <w:sz w:val="20"/>
                <w:szCs w:val="20"/>
                <w:color w:val="auto"/>
              </w:rPr>
            </w:pPr>
            <w:r>
              <w:rPr>
                <w:rFonts w:ascii="Arial" w:cs="Arial" w:eastAsia="Arial" w:hAnsi="Arial"/>
                <w:sz w:val="18"/>
                <w:szCs w:val="18"/>
                <w:color w:val="auto"/>
              </w:rPr>
              <w:t>1%</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3"/>
        </w:trPr>
        <w:tc>
          <w:tcPr>
            <w:tcW w:w="780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2060" w:type="dxa"/>
            <w:vAlign w:val="bottom"/>
            <w:gridSpan w:val="2"/>
          </w:tcPr>
          <w:p>
            <w:pPr>
              <w:jc w:val="right"/>
              <w:ind w:right="888"/>
              <w:spacing w:after="0" w:line="202" w:lineRule="exact"/>
              <w:rPr>
                <w:sz w:val="20"/>
                <w:szCs w:val="20"/>
                <w:color w:val="auto"/>
              </w:rPr>
            </w:pPr>
            <w:r>
              <w:rPr>
                <w:rFonts w:ascii="Arial" w:cs="Arial" w:eastAsia="Arial" w:hAnsi="Arial"/>
                <w:sz w:val="18"/>
                <w:szCs w:val="18"/>
                <w:color w:val="auto"/>
              </w:rPr>
              <w:t>-1%</w:t>
            </w:r>
          </w:p>
        </w:tc>
        <w:tc>
          <w:tcPr>
            <w:tcW w:w="11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7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Changes in valuation allowance</w:t>
            </w:r>
          </w:p>
        </w:tc>
        <w:tc>
          <w:tcPr>
            <w:tcW w:w="2060" w:type="dxa"/>
            <w:vAlign w:val="bottom"/>
            <w:gridSpan w:val="2"/>
            <w:shd w:val="clear" w:color="auto" w:fill="CCEEFF"/>
          </w:tcPr>
          <w:p>
            <w:pPr>
              <w:jc w:val="right"/>
              <w:ind w:right="888"/>
              <w:spacing w:after="0" w:line="202" w:lineRule="exact"/>
              <w:rPr>
                <w:sz w:val="20"/>
                <w:szCs w:val="20"/>
                <w:color w:val="auto"/>
              </w:rPr>
            </w:pPr>
            <w:r>
              <w:rPr>
                <w:rFonts w:ascii="Arial" w:cs="Arial" w:eastAsia="Arial" w:hAnsi="Arial"/>
                <w:sz w:val="18"/>
                <w:szCs w:val="18"/>
                <w:color w:val="auto"/>
              </w:rPr>
              <w:t>-29%</w:t>
            </w:r>
          </w:p>
        </w:tc>
        <w:tc>
          <w:tcPr>
            <w:tcW w:w="11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7800" w:type="dxa"/>
            <w:vAlign w:val="bottom"/>
            <w:vMerge w:val="restart"/>
          </w:tcPr>
          <w:p>
            <w:pPr>
              <w:spacing w:after="0"/>
              <w:rPr>
                <w:sz w:val="20"/>
                <w:szCs w:val="20"/>
                <w:color w:val="auto"/>
              </w:rPr>
            </w:pPr>
            <w:r>
              <w:rPr>
                <w:rFonts w:ascii="Arial" w:cs="Arial" w:eastAsia="Arial" w:hAnsi="Arial"/>
                <w:sz w:val="18"/>
                <w:szCs w:val="18"/>
                <w:color w:val="auto"/>
              </w:rPr>
              <w:t>Effective income tax rate</w:t>
            </w:r>
          </w:p>
        </w:tc>
        <w:tc>
          <w:tcPr>
            <w:tcW w:w="9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00" w:type="dxa"/>
            <w:vAlign w:val="bottom"/>
            <w:vMerge w:val="continue"/>
          </w:tcPr>
          <w:p>
            <w:pPr>
              <w:spacing w:after="0"/>
              <w:rPr>
                <w:sz w:val="18"/>
                <w:szCs w:val="18"/>
                <w:color w:val="auto"/>
              </w:rPr>
            </w:pPr>
          </w:p>
        </w:tc>
        <w:tc>
          <w:tcPr>
            <w:tcW w:w="2060" w:type="dxa"/>
            <w:vAlign w:val="bottom"/>
            <w:gridSpan w:val="2"/>
          </w:tcPr>
          <w:p>
            <w:pPr>
              <w:jc w:val="right"/>
              <w:ind w:right="888"/>
              <w:spacing w:after="0"/>
              <w:rPr>
                <w:sz w:val="20"/>
                <w:szCs w:val="20"/>
                <w:color w:val="auto"/>
              </w:rPr>
            </w:pPr>
            <w:r>
              <w:rPr>
                <w:rFonts w:ascii="Arial" w:cs="Arial" w:eastAsia="Arial" w:hAnsi="Arial"/>
                <w:sz w:val="18"/>
                <w:szCs w:val="18"/>
                <w:color w:val="auto"/>
              </w:rPr>
              <w:t>0%</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78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both"/>
        <w:ind w:left="120" w:right="140" w:firstLine="551"/>
        <w:spacing w:after="0" w:line="255" w:lineRule="auto"/>
        <w:rPr>
          <w:sz w:val="20"/>
          <w:szCs w:val="20"/>
          <w:color w:val="auto"/>
        </w:rPr>
      </w:pPr>
      <w:r>
        <w:rPr>
          <w:rFonts w:ascii="Arial" w:cs="Arial" w:eastAsia="Arial" w:hAnsi="Arial"/>
          <w:sz w:val="18"/>
          <w:szCs w:val="18"/>
          <w:color w:val="auto"/>
        </w:rPr>
        <w:t>For the years ended December 31, 2018 and 2019, the Company’s effective tax rate is below the federal statutory income tax rate of 21% primarily due to state income taxes, net of federal benefit and the Company’s position to establish a full valuation allowance on its deferred tax assets.</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40"/>
          </w:cols>
          <w:pgMar w:left="320" w:top="455" w:right="439" w:bottom="1440" w:gutter="0" w:footer="0" w:header="0"/>
        </w:sectPr>
      </w:pPr>
    </w:p>
    <w:bookmarkStart w:id="233" w:name="page234"/>
    <w:bookmarkEnd w:id="2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320" w:firstLine="551"/>
        <w:spacing w:after="0" w:line="276" w:lineRule="auto"/>
        <w:rPr>
          <w:sz w:val="20"/>
          <w:szCs w:val="20"/>
          <w:color w:val="auto"/>
        </w:rPr>
      </w:pPr>
      <w:r>
        <w:rPr>
          <w:rFonts w:ascii="Arial" w:cs="Arial" w:eastAsia="Arial" w:hAnsi="Arial"/>
          <w:sz w:val="18"/>
          <w:szCs w:val="18"/>
          <w:color w:val="auto"/>
        </w:rPr>
        <w:t>The tax effects of temporary differences and carryforwards that give rise to significant portions of the net deferred tax assets are presented below:</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3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rPr>
              <w:t>Years Ended</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0"/>
        </w:trPr>
        <w:tc>
          <w:tcPr>
            <w:tcW w:w="8360" w:type="dxa"/>
            <w:vAlign w:val="bottom"/>
          </w:tcPr>
          <w:p>
            <w:pPr>
              <w:spacing w:after="0"/>
              <w:rPr>
                <w:sz w:val="12"/>
                <w:szCs w:val="12"/>
                <w:color w:val="auto"/>
              </w:rPr>
            </w:pPr>
          </w:p>
        </w:tc>
        <w:tc>
          <w:tcPr>
            <w:tcW w:w="1300" w:type="dxa"/>
            <w:vAlign w:val="bottom"/>
            <w:gridSpan w:val="4"/>
          </w:tcPr>
          <w:p>
            <w:pPr>
              <w:ind w:left="20"/>
              <w:spacing w:after="0" w:line="141"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2"/>
                <w:szCs w:val="12"/>
                <w:color w:val="auto"/>
              </w:rPr>
            </w:pPr>
          </w:p>
        </w:tc>
        <w:tc>
          <w:tcPr>
            <w:tcW w:w="96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r>
      <w:tr>
        <w:trPr>
          <w:trHeight w:val="177"/>
        </w:trPr>
        <w:tc>
          <w:tcPr>
            <w:tcW w:w="83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Net operating loss carryforwards</w:t>
            </w:r>
          </w:p>
        </w:tc>
        <w:tc>
          <w:tcPr>
            <w:tcW w:w="2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340"/>
              <w:spacing w:after="0" w:line="202" w:lineRule="exact"/>
              <w:rPr>
                <w:sz w:val="20"/>
                <w:szCs w:val="20"/>
                <w:color w:val="auto"/>
              </w:rPr>
            </w:pPr>
            <w:r>
              <w:rPr>
                <w:rFonts w:ascii="Arial" w:cs="Arial" w:eastAsia="Arial" w:hAnsi="Arial"/>
                <w:sz w:val="18"/>
                <w:szCs w:val="18"/>
                <w:color w:val="auto"/>
              </w:rPr>
              <w:t>12,098</w:t>
            </w:r>
          </w:p>
        </w:tc>
        <w:tc>
          <w:tcPr>
            <w:tcW w:w="50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18,707</w:t>
            </w: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Stock compensation</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315</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473</w:t>
            </w: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 credits</w:t>
            </w:r>
          </w:p>
        </w:tc>
        <w:tc>
          <w:tcPr>
            <w:tcW w:w="22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1,115</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1,497</w:t>
            </w: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Accruals and reserves</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353</w:t>
            </w: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490</w:t>
            </w:r>
          </w:p>
        </w:tc>
      </w:tr>
      <w:tr>
        <w:trPr>
          <w:trHeight w:val="209"/>
        </w:trPr>
        <w:tc>
          <w:tcPr>
            <w:tcW w:w="836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13,881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21,167</w:t>
            </w:r>
          </w:p>
        </w:tc>
        <w:tc>
          <w:tcPr>
            <w:tcW w:w="120" w:type="dxa"/>
            <w:vAlign w:val="bottom"/>
          </w:tcPr>
          <w:p>
            <w:pPr>
              <w:spacing w:after="0"/>
              <w:rPr>
                <w:sz w:val="18"/>
                <w:szCs w:val="18"/>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Valuation allowance</w:t>
            </w:r>
          </w:p>
        </w:tc>
        <w:tc>
          <w:tcPr>
            <w:tcW w:w="2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(13,812)</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(21,106)</w:t>
            </w:r>
          </w:p>
        </w:tc>
      </w:tr>
      <w:tr>
        <w:trPr>
          <w:trHeight w:val="217"/>
        </w:trPr>
        <w:tc>
          <w:tcPr>
            <w:tcW w:w="8360" w:type="dxa"/>
            <w:vAlign w:val="bottom"/>
          </w:tcPr>
          <w:p>
            <w:pPr>
              <w:spacing w:after="0"/>
              <w:rPr>
                <w:sz w:val="20"/>
                <w:szCs w:val="20"/>
                <w:color w:val="auto"/>
              </w:rPr>
            </w:pPr>
            <w:r>
              <w:rPr>
                <w:rFonts w:ascii="Arial" w:cs="Arial" w:eastAsia="Arial" w:hAnsi="Arial"/>
                <w:sz w:val="18"/>
                <w:szCs w:val="18"/>
                <w:color w:val="auto"/>
              </w:rPr>
              <w:t>Deferred tax assets recognized</w:t>
            </w: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8"/>
                <w:szCs w:val="18"/>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tax liabilities: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Fixed assets and depreciation</w:t>
            </w:r>
          </w:p>
        </w:tc>
        <w:tc>
          <w:tcPr>
            <w:tcW w:w="220" w:type="dxa"/>
            <w:vAlign w:val="bottom"/>
          </w:tcPr>
          <w:p>
            <w:pPr>
              <w:spacing w:after="0"/>
              <w:rPr>
                <w:sz w:val="17"/>
                <w:szCs w:val="17"/>
                <w:color w:val="auto"/>
              </w:rPr>
            </w:pPr>
          </w:p>
        </w:tc>
        <w:tc>
          <w:tcPr>
            <w:tcW w:w="108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(69)</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(61)</w:t>
            </w:r>
          </w:p>
        </w:tc>
      </w:tr>
      <w:tr>
        <w:trPr>
          <w:trHeight w:val="27"/>
        </w:trPr>
        <w:tc>
          <w:tcPr>
            <w:tcW w:w="8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deferred tax liabilities</w:t>
            </w:r>
          </w:p>
        </w:tc>
        <w:tc>
          <w:tcPr>
            <w:tcW w:w="220" w:type="dxa"/>
            <w:vAlign w:val="bottom"/>
            <w:shd w:val="clear" w:color="auto" w:fill="CCEEFF"/>
          </w:tcPr>
          <w:p>
            <w:pPr>
              <w:spacing w:after="0"/>
              <w:rPr>
                <w:sz w:val="17"/>
                <w:szCs w:val="17"/>
                <w:color w:val="auto"/>
              </w:rPr>
            </w:pPr>
          </w:p>
        </w:tc>
        <w:tc>
          <w:tcPr>
            <w:tcW w:w="108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(69)</w:t>
            </w: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(61)</w:t>
            </w:r>
          </w:p>
        </w:tc>
      </w:tr>
      <w:tr>
        <w:trPr>
          <w:trHeight w:val="209"/>
        </w:trPr>
        <w:tc>
          <w:tcPr>
            <w:tcW w:w="8360" w:type="dxa"/>
            <w:vAlign w:val="bottom"/>
          </w:tcPr>
          <w:p>
            <w:pPr>
              <w:spacing w:after="0"/>
              <w:rPr>
                <w:sz w:val="20"/>
                <w:szCs w:val="20"/>
                <w:color w:val="auto"/>
              </w:rPr>
            </w:pPr>
            <w:r>
              <w:rPr>
                <w:rFonts w:ascii="Arial" w:cs="Arial" w:eastAsia="Arial" w:hAnsi="Arial"/>
                <w:sz w:val="18"/>
                <w:szCs w:val="18"/>
                <w:color w:val="auto"/>
              </w:rPr>
              <w:t>Net deferred tax assets</w:t>
            </w: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380" w:firstLine="551"/>
        <w:spacing w:after="0" w:line="276" w:lineRule="auto"/>
        <w:rPr>
          <w:sz w:val="20"/>
          <w:szCs w:val="20"/>
          <w:color w:val="auto"/>
        </w:rPr>
      </w:pPr>
      <w:r>
        <w:rPr>
          <w:rFonts w:ascii="Arial" w:cs="Arial" w:eastAsia="Arial" w:hAnsi="Arial"/>
          <w:sz w:val="18"/>
          <w:szCs w:val="18"/>
          <w:color w:val="auto"/>
        </w:rPr>
        <w:t>The Company has recorded a valuation allowance for its deferred tax assets that it does not believe will be realizable at a more likely than not level based on analysis of all available sources of taxable income.</w:t>
      </w:r>
    </w:p>
    <w:p>
      <w:pPr>
        <w:spacing w:after="0" w:line="145" w:lineRule="exact"/>
        <w:rPr>
          <w:sz w:val="20"/>
          <w:szCs w:val="20"/>
          <w:color w:val="auto"/>
        </w:rPr>
      </w:pPr>
    </w:p>
    <w:p>
      <w:pPr>
        <w:ind w:left="120" w:right="40" w:firstLine="551"/>
        <w:spacing w:after="0" w:line="239" w:lineRule="auto"/>
        <w:rPr>
          <w:sz w:val="20"/>
          <w:szCs w:val="20"/>
          <w:color w:val="auto"/>
        </w:rPr>
      </w:pPr>
      <w:r>
        <w:rPr>
          <w:rFonts w:ascii="Arial" w:cs="Arial" w:eastAsia="Arial" w:hAnsi="Arial"/>
          <w:sz w:val="18"/>
          <w:szCs w:val="18"/>
          <w:color w:val="auto"/>
        </w:rPr>
        <w:t>At December 31, 2018 and 2019, the Company had net operating loss carryforwards of $43,045 and $66,352, respectively. At December 31, 2018, the Company had state net operating loss carryforwards for New Jersey, California and Massachusetts of approximately $ 38,822, $4,912 and $363, respectively. At December 31, 2019, the Company had state net operating loss carryforwards for New Jersey, California and Massachusetts of approximately $61,503, $4,912 and $901, respectively. The federal and state net operating loss carryforwards expire beginning in the year 2033. The Company also has federal and state research and development credit carryforward of approximately $1,658 and $2,169, respectively, at December 31, 2018 and 2019. The federal credits will begin to expire in 2034 if not utilized. The California state credits carryforward indefinitely and the New Jersey state credits expire starting in 2021. The above net operating losses and research and development credits are subject to Sections 382 and 383 of the Internal Revenue Code. In the event of a change in ownership as defined by these code sections, the usage of the net operating losses and research and development credits may be limited.</w:t>
      </w:r>
    </w:p>
    <w:p>
      <w:pPr>
        <w:spacing w:after="0" w:line="180"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The Company accrues interest and penalties related to unrecognized tax benefits in the Provision for income taxes line item in the statements of operations and comprehensive loss. As of December 31, 2018 and 2019, the Company had not accrued any interest or penalties related to uncertain tax positions.</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55" w:right="439" w:bottom="1440" w:gutter="0" w:footer="0" w:header="0"/>
        </w:sectPr>
      </w:pPr>
    </w:p>
    <w:bookmarkStart w:id="234" w:name="page235"/>
    <w:bookmarkEnd w:id="2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60" w:firstLine="551"/>
        <w:spacing w:after="0" w:line="255" w:lineRule="auto"/>
        <w:rPr>
          <w:sz w:val="20"/>
          <w:szCs w:val="20"/>
          <w:color w:val="auto"/>
        </w:rPr>
      </w:pPr>
      <w:r>
        <w:rPr>
          <w:rFonts w:ascii="Arial" w:cs="Arial" w:eastAsia="Arial" w:hAnsi="Arial"/>
          <w:sz w:val="18"/>
          <w:szCs w:val="18"/>
          <w:color w:val="auto"/>
        </w:rPr>
        <w:t>If the ending balance of $415 and $ 543 of unrecognized tax benefits as of December 31, 2018 and 2019, respectively, were recognized, none of the recognition would affect the income tax rate. The following table summarizes the activity related to the Company’s unrecognized tax benefits: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Years Ended</w:t>
            </w:r>
          </w:p>
        </w:tc>
        <w:tc>
          <w:tcPr>
            <w:tcW w:w="7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0"/>
        </w:trPr>
        <w:tc>
          <w:tcPr>
            <w:tcW w:w="8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3"/>
          </w:tcPr>
          <w:p>
            <w:pPr>
              <w:spacing w:after="0" w:line="141" w:lineRule="exact"/>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12"/>
                <w:szCs w:val="12"/>
                <w:color w:val="auto"/>
              </w:rPr>
            </w:pPr>
          </w:p>
        </w:tc>
        <w:tc>
          <w:tcPr>
            <w:tcW w:w="96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r>
      <w:tr>
        <w:trPr>
          <w:trHeight w:val="177"/>
        </w:trPr>
        <w:tc>
          <w:tcPr>
            <w:tcW w:w="80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5"/>
                <w:szCs w:val="15"/>
                <w:color w:val="auto"/>
              </w:rPr>
            </w:pPr>
          </w:p>
        </w:tc>
        <w:tc>
          <w:tcPr>
            <w:tcW w:w="9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96"/>
        </w:trPr>
        <w:tc>
          <w:tcPr>
            <w:tcW w:w="80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Unrecognized tax benefits, beginning of year</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252</w:t>
            </w: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17"/>
                <w:szCs w:val="17"/>
                <w:color w:val="auto"/>
              </w:rPr>
            </w:pPr>
          </w:p>
        </w:tc>
      </w:tr>
      <w:tr>
        <w:trPr>
          <w:trHeight w:val="203"/>
        </w:trPr>
        <w:tc>
          <w:tcPr>
            <w:tcW w:w="8080" w:type="dxa"/>
            <w:vAlign w:val="bottom"/>
          </w:tcPr>
          <w:p>
            <w:pPr>
              <w:spacing w:after="0" w:line="202" w:lineRule="exact"/>
              <w:rPr>
                <w:sz w:val="20"/>
                <w:szCs w:val="20"/>
                <w:color w:val="auto"/>
              </w:rPr>
            </w:pPr>
            <w:r>
              <w:rPr>
                <w:rFonts w:ascii="Arial" w:cs="Arial" w:eastAsia="Arial" w:hAnsi="Arial"/>
                <w:sz w:val="18"/>
                <w:szCs w:val="18"/>
                <w:color w:val="auto"/>
              </w:rPr>
              <w:t>Reductions based on prior year tax positions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(31)</w:t>
            </w:r>
          </w:p>
        </w:tc>
      </w:tr>
      <w:tr>
        <w:trPr>
          <w:trHeight w:val="203"/>
        </w:trPr>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Additions based on current year tax positions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163</w:t>
            </w: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159</w:t>
            </w:r>
          </w:p>
        </w:tc>
      </w:tr>
      <w:tr>
        <w:trPr>
          <w:trHeight w:val="209"/>
        </w:trPr>
        <w:tc>
          <w:tcPr>
            <w:tcW w:w="8080" w:type="dxa"/>
            <w:vAlign w:val="bottom"/>
          </w:tcPr>
          <w:p>
            <w:pPr>
              <w:spacing w:after="0"/>
              <w:rPr>
                <w:sz w:val="20"/>
                <w:szCs w:val="20"/>
                <w:color w:val="auto"/>
              </w:rPr>
            </w:pPr>
            <w:r>
              <w:rPr>
                <w:rFonts w:ascii="Arial" w:cs="Arial" w:eastAsia="Arial" w:hAnsi="Arial"/>
                <w:sz w:val="18"/>
                <w:szCs w:val="18"/>
                <w:color w:val="auto"/>
              </w:rPr>
              <w:t>Unrecognized tax benefits, end of year</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w:t>
            </w:r>
          </w:p>
        </w:tc>
        <w:tc>
          <w:tcPr>
            <w:tcW w:w="20" w:type="dxa"/>
            <w:vAlign w:val="bottom"/>
            <w:tcBorders>
              <w:bottom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120" w:type="dxa"/>
            <w:vAlign w:val="bottom"/>
          </w:tcPr>
          <w:p>
            <w:pPr>
              <w:spacing w:after="0"/>
              <w:rPr>
                <w:sz w:val="18"/>
                <w:szCs w:val="18"/>
                <w:color w:val="auto"/>
              </w:rPr>
            </w:pPr>
          </w:p>
        </w:tc>
      </w:tr>
      <w:tr>
        <w:trPr>
          <w:trHeight w:val="20"/>
        </w:trPr>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900" w:firstLine="551"/>
        <w:spacing w:after="0" w:line="276" w:lineRule="auto"/>
        <w:rPr>
          <w:sz w:val="20"/>
          <w:szCs w:val="20"/>
          <w:color w:val="auto"/>
        </w:rPr>
      </w:pPr>
      <w:r>
        <w:rPr>
          <w:rFonts w:ascii="Arial" w:cs="Arial" w:eastAsia="Arial" w:hAnsi="Arial"/>
          <w:sz w:val="18"/>
          <w:szCs w:val="18"/>
          <w:color w:val="auto"/>
        </w:rPr>
        <w:t>The Company does not anticipate any material change in its unrecognized tax benefits over the next twelve months. The unrecognized tax benefits may change during the next year for items that arise in the ordinary course of business.</w:t>
      </w:r>
    </w:p>
    <w:p>
      <w:pPr>
        <w:spacing w:after="0" w:line="145" w:lineRule="exact"/>
        <w:rPr>
          <w:sz w:val="20"/>
          <w:szCs w:val="20"/>
          <w:color w:val="auto"/>
        </w:rPr>
      </w:pPr>
    </w:p>
    <w:p>
      <w:pPr>
        <w:jc w:val="both"/>
        <w:ind w:left="120" w:right="60" w:firstLine="551"/>
        <w:spacing w:after="0" w:line="255" w:lineRule="auto"/>
        <w:rPr>
          <w:sz w:val="20"/>
          <w:szCs w:val="20"/>
          <w:color w:val="auto"/>
        </w:rPr>
      </w:pPr>
      <w:r>
        <w:rPr>
          <w:rFonts w:ascii="Arial" w:cs="Arial" w:eastAsia="Arial" w:hAnsi="Arial"/>
          <w:sz w:val="18"/>
          <w:szCs w:val="18"/>
          <w:color w:val="auto"/>
        </w:rPr>
        <w:t>The Company files U.S. federal and state income tax returns with varying statutes of limitations. The Company’s tax years 2013 to 2019 will remain open for examination by the federal and state authorities for three and four years, respectively, from the date of utilization of any net operating loss credits.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11. Net Loss per Share and Unaudited Pro Forma Net Loss Per Share</w:t>
      </w:r>
    </w:p>
    <w:p>
      <w:pPr>
        <w:spacing w:after="0" w:line="104" w:lineRule="exact"/>
        <w:rPr>
          <w:sz w:val="20"/>
          <w:szCs w:val="20"/>
          <w:color w:val="auto"/>
        </w:rPr>
      </w:pPr>
    </w:p>
    <w:p>
      <w:pPr>
        <w:jc w:val="both"/>
        <w:ind w:left="120" w:right="80" w:firstLine="551"/>
        <w:spacing w:after="0" w:line="276" w:lineRule="auto"/>
        <w:rPr>
          <w:sz w:val="20"/>
          <w:szCs w:val="20"/>
          <w:color w:val="auto"/>
        </w:rPr>
      </w:pPr>
      <w:r>
        <w:rPr>
          <w:rFonts w:ascii="Arial" w:cs="Arial" w:eastAsia="Arial" w:hAnsi="Arial"/>
          <w:sz w:val="18"/>
          <w:szCs w:val="18"/>
          <w:color w:val="auto"/>
        </w:rPr>
        <w:t>The following outstanding potentially dilutive common stock equivalents have been excluded from the calculation of diluted net loss per share for the periods presented due to their antidilutive effect:</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63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80" w:type="dxa"/>
            <w:vAlign w:val="bottom"/>
            <w:gridSpan w:val="7"/>
          </w:tcPr>
          <w:p>
            <w:pPr>
              <w:jc w:val="right"/>
              <w:ind w:right="1000"/>
              <w:spacing w:after="0"/>
              <w:rPr>
                <w:sz w:val="20"/>
                <w:szCs w:val="20"/>
                <w:color w:val="auto"/>
              </w:rPr>
            </w:pPr>
            <w:r>
              <w:rPr>
                <w:rFonts w:ascii="Arial" w:cs="Arial" w:eastAsia="Arial" w:hAnsi="Arial"/>
                <w:sz w:val="14"/>
                <w:szCs w:val="14"/>
                <w:b w:val="1"/>
                <w:bCs w:val="1"/>
                <w:color w:val="auto"/>
              </w:rPr>
              <w:t>Years Ended</w:t>
            </w:r>
          </w:p>
        </w:tc>
      </w:tr>
      <w:tr>
        <w:trPr>
          <w:trHeight w:val="140"/>
        </w:trPr>
        <w:tc>
          <w:tcPr>
            <w:tcW w:w="63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Borders>
              <w:top w:val="single" w:sz="8" w:color="auto"/>
            </w:tcBorders>
            <w:gridSpan w:val="3"/>
          </w:tcPr>
          <w:p>
            <w:pPr>
              <w:jc w:val="right"/>
              <w:ind w:right="320"/>
              <w:spacing w:after="0" w:line="141" w:lineRule="exact"/>
              <w:rPr>
                <w:sz w:val="20"/>
                <w:szCs w:val="20"/>
                <w:color w:val="auto"/>
              </w:rPr>
            </w:pPr>
            <w:r>
              <w:rPr>
                <w:rFonts w:ascii="Arial" w:cs="Arial" w:eastAsia="Arial" w:hAnsi="Arial"/>
                <w:sz w:val="14"/>
                <w:szCs w:val="14"/>
                <w:b w:val="1"/>
                <w:bCs w:val="1"/>
                <w:color w:val="auto"/>
              </w:rPr>
              <w:t>December 31,</w:t>
            </w:r>
          </w:p>
        </w:tc>
        <w:tc>
          <w:tcPr>
            <w:tcW w:w="1280" w:type="dxa"/>
            <w:vAlign w:val="bottom"/>
            <w:tcBorders>
              <w:top w:val="single" w:sz="8" w:color="auto"/>
            </w:tcBorders>
            <w:gridSpan w:val="4"/>
          </w:tcPr>
          <w:p>
            <w:pPr>
              <w:jc w:val="right"/>
              <w:ind w:right="160"/>
              <w:spacing w:after="0" w:line="141" w:lineRule="exact"/>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12"/>
                <w:szCs w:val="12"/>
                <w:color w:val="auto"/>
              </w:rPr>
            </w:pPr>
          </w:p>
        </w:tc>
      </w:tr>
      <w:tr>
        <w:trPr>
          <w:trHeight w:val="177"/>
        </w:trPr>
        <w:tc>
          <w:tcPr>
            <w:tcW w:w="6300" w:type="dxa"/>
            <w:vAlign w:val="bottom"/>
            <w:tcBorders>
              <w:bottom w:val="single" w:sz="8" w:color="CCEEFF"/>
            </w:tcBorders>
          </w:tcPr>
          <w:p>
            <w:pPr>
              <w:spacing w:after="0"/>
              <w:rPr>
                <w:sz w:val="15"/>
                <w:szCs w:val="15"/>
                <w:color w:val="auto"/>
              </w:rPr>
            </w:pPr>
          </w:p>
        </w:tc>
        <w:tc>
          <w:tcPr>
            <w:tcW w:w="18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r>
      <w:tr>
        <w:trPr>
          <w:trHeight w:val="196"/>
        </w:trPr>
        <w:tc>
          <w:tcPr>
            <w:tcW w:w="6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Convertible preferred stock (as converted)</w:t>
            </w: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91,595,100</w:t>
            </w:r>
          </w:p>
        </w:tc>
        <w:tc>
          <w:tcPr>
            <w:tcW w:w="160" w:type="dxa"/>
            <w:vAlign w:val="bottom"/>
            <w:shd w:val="clear" w:color="auto" w:fill="CCEEFF"/>
          </w:tcPr>
          <w:p>
            <w:pPr>
              <w:spacing w:after="0"/>
              <w:rPr>
                <w:sz w:val="17"/>
                <w:szCs w:val="17"/>
                <w:color w:val="auto"/>
              </w:rPr>
            </w:pPr>
          </w:p>
        </w:tc>
        <w:tc>
          <w:tcPr>
            <w:tcW w:w="128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120,393,150</w:t>
            </w:r>
          </w:p>
        </w:tc>
        <w:tc>
          <w:tcPr>
            <w:tcW w:w="80" w:type="dxa"/>
            <w:vAlign w:val="bottom"/>
            <w:shd w:val="clear" w:color="auto" w:fill="CCEEFF"/>
          </w:tcPr>
          <w:p>
            <w:pPr>
              <w:spacing w:after="0"/>
              <w:rPr>
                <w:sz w:val="17"/>
                <w:szCs w:val="17"/>
                <w:color w:val="auto"/>
              </w:rPr>
            </w:pP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Warrants to purchase common stock</w:t>
            </w: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56,866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right"/>
              <w:ind w:right="80"/>
              <w:spacing w:after="0" w:line="202" w:lineRule="exact"/>
              <w:rPr>
                <w:sz w:val="20"/>
                <w:szCs w:val="20"/>
                <w:color w:val="auto"/>
              </w:rPr>
            </w:pPr>
            <w:r>
              <w:rPr>
                <w:rFonts w:ascii="Arial" w:cs="Arial" w:eastAsia="Arial" w:hAnsi="Arial"/>
                <w:sz w:val="18"/>
                <w:szCs w:val="18"/>
                <w:color w:val="auto"/>
              </w:rPr>
              <w:t>56,866</w:t>
            </w:r>
          </w:p>
        </w:tc>
      </w:tr>
      <w:tr>
        <w:trPr>
          <w:trHeight w:val="203"/>
        </w:trPr>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stock options issued and outstanding</w:t>
            </w: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2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14,140,032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14,573,100</w:t>
            </w:r>
          </w:p>
        </w:tc>
      </w:tr>
      <w:tr>
        <w:trPr>
          <w:trHeight w:val="210"/>
        </w:trPr>
        <w:tc>
          <w:tcPr>
            <w:tcW w:w="6300" w:type="dxa"/>
            <w:vAlign w:val="bottom"/>
          </w:tcPr>
          <w:p>
            <w:pPr>
              <w:spacing w:after="0"/>
              <w:rPr>
                <w:sz w:val="20"/>
                <w:szCs w:val="20"/>
                <w:color w:val="auto"/>
              </w:rPr>
            </w:pPr>
            <w:r>
              <w:rPr>
                <w:rFonts w:ascii="Arial" w:cs="Arial" w:eastAsia="Arial" w:hAnsi="Arial"/>
                <w:sz w:val="18"/>
                <w:szCs w:val="18"/>
                <w:color w:val="auto"/>
              </w:rPr>
              <w:t>Total</w:t>
            </w: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105,791,998</w:t>
            </w:r>
          </w:p>
        </w:tc>
        <w:tc>
          <w:tcPr>
            <w:tcW w:w="160" w:type="dxa"/>
            <w:vAlign w:val="bottom"/>
          </w:tcPr>
          <w:p>
            <w:pPr>
              <w:spacing w:after="0"/>
              <w:rPr>
                <w:sz w:val="18"/>
                <w:szCs w:val="18"/>
                <w:color w:val="auto"/>
              </w:rPr>
            </w:pPr>
          </w:p>
        </w:tc>
        <w:tc>
          <w:tcPr>
            <w:tcW w:w="1280" w:type="dxa"/>
            <w:vAlign w:val="bottom"/>
            <w:tcBorders>
              <w:top w:val="single" w:sz="8" w:color="auto"/>
              <w:bottom w:val="single" w:sz="8" w:color="auto"/>
            </w:tcBorders>
            <w:gridSpan w:val="4"/>
          </w:tcPr>
          <w:p>
            <w:pPr>
              <w:jc w:val="right"/>
              <w:spacing w:after="0"/>
              <w:rPr>
                <w:sz w:val="20"/>
                <w:szCs w:val="20"/>
                <w:color w:val="auto"/>
              </w:rPr>
            </w:pPr>
            <w:r>
              <w:rPr>
                <w:rFonts w:ascii="Arial" w:cs="Arial" w:eastAsia="Arial" w:hAnsi="Arial"/>
                <w:sz w:val="18"/>
                <w:szCs w:val="18"/>
                <w:color w:val="auto"/>
              </w:rPr>
              <w:t>135,023,116</w:t>
            </w:r>
          </w:p>
        </w:tc>
        <w:tc>
          <w:tcPr>
            <w:tcW w:w="80" w:type="dxa"/>
            <w:vAlign w:val="bottom"/>
          </w:tcPr>
          <w:p>
            <w:pPr>
              <w:spacing w:after="0"/>
              <w:rPr>
                <w:sz w:val="18"/>
                <w:szCs w:val="18"/>
                <w:color w:val="auto"/>
              </w:rPr>
            </w:pPr>
          </w:p>
        </w:tc>
      </w:tr>
      <w:tr>
        <w:trPr>
          <w:trHeight w:val="20"/>
        </w:trPr>
        <w:tc>
          <w:tcPr>
            <w:tcW w:w="6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9"/>
        </w:trPr>
        <w:tc>
          <w:tcPr>
            <w:tcW w:w="6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Years Ended</w:t>
            </w:r>
          </w:p>
        </w:tc>
        <w:tc>
          <w:tcPr>
            <w:tcW w:w="9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0"/>
        </w:trPr>
        <w:tc>
          <w:tcPr>
            <w:tcW w:w="63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520" w:type="dxa"/>
            <w:vAlign w:val="bottom"/>
            <w:gridSpan w:val="4"/>
          </w:tcPr>
          <w:p>
            <w:pPr>
              <w:jc w:val="right"/>
              <w:ind w:right="540"/>
              <w:spacing w:after="0" w:line="141" w:lineRule="exact"/>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2"/>
                <w:szCs w:val="12"/>
                <w:color w:val="auto"/>
              </w:rPr>
            </w:pPr>
          </w:p>
        </w:tc>
        <w:tc>
          <w:tcPr>
            <w:tcW w:w="1020" w:type="dxa"/>
            <w:vAlign w:val="bottom"/>
            <w:gridSpan w:val="2"/>
          </w:tcPr>
          <w:p>
            <w:pPr>
              <w:jc w:val="right"/>
              <w:spacing w:after="0" w:line="141" w:lineRule="exact"/>
              <w:rPr>
                <w:sz w:val="20"/>
                <w:szCs w:val="20"/>
                <w:color w:val="auto"/>
              </w:rPr>
            </w:pPr>
            <w:r>
              <w:rPr>
                <w:rFonts w:ascii="Arial" w:cs="Arial" w:eastAsia="Arial" w:hAnsi="Arial"/>
                <w:sz w:val="14"/>
                <w:szCs w:val="14"/>
                <w:b w:val="1"/>
                <w:bCs w:val="1"/>
                <w:color w:val="auto"/>
              </w:rPr>
              <w:t>December 31,</w:t>
            </w:r>
          </w:p>
        </w:tc>
        <w:tc>
          <w:tcPr>
            <w:tcW w:w="120" w:type="dxa"/>
            <w:vAlign w:val="bottom"/>
            <w:gridSpan w:val="2"/>
          </w:tcPr>
          <w:p>
            <w:pPr>
              <w:spacing w:after="0"/>
              <w:rPr>
                <w:sz w:val="12"/>
                <w:szCs w:val="12"/>
                <w:color w:val="auto"/>
              </w:rPr>
            </w:pPr>
          </w:p>
        </w:tc>
      </w:tr>
      <w:tr>
        <w:trPr>
          <w:trHeight w:val="177"/>
        </w:trPr>
        <w:tc>
          <w:tcPr>
            <w:tcW w:w="6300" w:type="dxa"/>
            <w:vAlign w:val="bottom"/>
            <w:tcBorders>
              <w:bottom w:val="single" w:sz="8" w:color="CCEEFF"/>
            </w:tcBorders>
          </w:tcPr>
          <w:p>
            <w:pPr>
              <w:spacing w:after="0"/>
              <w:rPr>
                <w:sz w:val="15"/>
                <w:szCs w:val="15"/>
                <w:color w:val="auto"/>
              </w:rPr>
            </w:pPr>
          </w:p>
        </w:tc>
        <w:tc>
          <w:tcPr>
            <w:tcW w:w="18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2018</w:t>
            </w:r>
          </w:p>
        </w:tc>
        <w:tc>
          <w:tcPr>
            <w:tcW w:w="36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r>
      <w:tr>
        <w:trPr>
          <w:trHeight w:val="196"/>
        </w:trPr>
        <w:tc>
          <w:tcPr>
            <w:tcW w:w="6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(17,538)</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(25,352)</w:t>
            </w:r>
          </w:p>
        </w:tc>
        <w:tc>
          <w:tcPr>
            <w:tcW w:w="120" w:type="dxa"/>
            <w:vAlign w:val="bottom"/>
            <w:gridSpan w:val="2"/>
            <w:shd w:val="clear" w:color="auto" w:fill="CCEEFF"/>
          </w:tcPr>
          <w:p>
            <w:pPr>
              <w:spacing w:after="0"/>
              <w:rPr>
                <w:sz w:val="17"/>
                <w:szCs w:val="17"/>
                <w:color w:val="auto"/>
              </w:rPr>
            </w:pP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Weighted-average number of shares—basic and diluted</w:t>
            </w: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88"/>
              <w:spacing w:after="0" w:line="202" w:lineRule="exact"/>
              <w:rPr>
                <w:sz w:val="20"/>
                <w:szCs w:val="20"/>
                <w:color w:val="auto"/>
              </w:rPr>
            </w:pPr>
            <w:r>
              <w:rPr>
                <w:rFonts w:ascii="Arial" w:cs="Arial" w:eastAsia="Arial" w:hAnsi="Arial"/>
                <w:sz w:val="18"/>
                <w:szCs w:val="18"/>
                <w:color w:val="auto"/>
                <w:w w:val="97"/>
              </w:rPr>
              <w:t>15,860,018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w w:val="99"/>
              </w:rPr>
              <w:t>15,980,859</w:t>
            </w:r>
          </w:p>
        </w:tc>
        <w:tc>
          <w:tcPr>
            <w:tcW w:w="80" w:type="dxa"/>
            <w:vAlign w:val="bottom"/>
          </w:tcPr>
          <w:p>
            <w:pPr>
              <w:spacing w:after="0"/>
              <w:rPr>
                <w:sz w:val="17"/>
                <w:szCs w:val="17"/>
                <w:color w:val="auto"/>
              </w:rPr>
            </w:pPr>
          </w:p>
        </w:tc>
      </w:tr>
      <w:tr>
        <w:trPr>
          <w:trHeight w:val="27"/>
        </w:trPr>
        <w:tc>
          <w:tcPr>
            <w:tcW w:w="6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02"/>
        </w:trPr>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share—basic and diluted</w:t>
            </w:r>
          </w:p>
        </w:tc>
        <w:tc>
          <w:tcPr>
            <w:tcW w:w="1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28"/>
              <w:spacing w:after="0" w:line="202" w:lineRule="exact"/>
              <w:rPr>
                <w:sz w:val="20"/>
                <w:szCs w:val="20"/>
                <w:color w:val="auto"/>
              </w:rPr>
            </w:pPr>
            <w:r>
              <w:rPr>
                <w:rFonts w:ascii="Arial" w:cs="Arial" w:eastAsia="Arial" w:hAnsi="Arial"/>
                <w:sz w:val="18"/>
                <w:szCs w:val="18"/>
                <w:color w:val="auto"/>
              </w:rPr>
              <w:t>(1.11)</w:t>
            </w:r>
          </w:p>
        </w:tc>
        <w:tc>
          <w:tcPr>
            <w:tcW w:w="1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(1.59)</w:t>
            </w:r>
          </w:p>
        </w:tc>
      </w:tr>
    </w:tbl>
    <w:p>
      <w:pPr>
        <w:spacing w:after="0" w:line="30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04" w:lineRule="exact"/>
        <w:rPr>
          <w:sz w:val="20"/>
          <w:szCs w:val="20"/>
          <w:color w:val="auto"/>
        </w:rPr>
      </w:pPr>
    </w:p>
    <w:p>
      <w:pPr>
        <w:ind w:left="120" w:right="300" w:firstLine="551"/>
        <w:spacing w:after="0" w:line="255" w:lineRule="auto"/>
        <w:rPr>
          <w:sz w:val="20"/>
          <w:szCs w:val="20"/>
          <w:color w:val="auto"/>
        </w:rPr>
      </w:pPr>
      <w:r>
        <w:rPr>
          <w:rFonts w:ascii="Arial" w:cs="Arial" w:eastAsia="Arial" w:hAnsi="Arial"/>
          <w:sz w:val="18"/>
          <w:szCs w:val="18"/>
          <w:color w:val="auto"/>
        </w:rPr>
        <w:t>The unaudited pro forma net loss per share is computed using the weighted-average number of shares of common stock outstanding after giving pro forma effect to the conversion of all issued and outstanding shares of convertible preferred stock during the year ended December 31, 2019 into</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140"/>
          </w:cols>
          <w:pgMar w:left="320" w:top="455" w:right="439" w:bottom="1440" w:gutter="0" w:footer="0" w:header="0"/>
        </w:sectPr>
      </w:pPr>
    </w:p>
    <w:bookmarkStart w:id="235" w:name="page236"/>
    <w:bookmarkEnd w:id="2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Notes to Financial Statements</w:t>
      </w:r>
    </w:p>
    <w:p>
      <w:pPr>
        <w:ind w:left="4400"/>
        <w:spacing w:after="0" w:line="234" w:lineRule="auto"/>
        <w:rPr>
          <w:sz w:val="20"/>
          <w:szCs w:val="20"/>
          <w:color w:val="auto"/>
        </w:rPr>
      </w:pPr>
      <w:r>
        <w:rPr>
          <w:rFonts w:ascii="Arial" w:cs="Arial" w:eastAsia="Arial" w:hAnsi="Arial"/>
          <w:sz w:val="18"/>
          <w:szCs w:val="18"/>
          <w:b w:val="1"/>
          <w:bCs w:val="1"/>
          <w:color w:val="auto"/>
        </w:rPr>
        <w:t>December 31, 2018 and 2019</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320"/>
        <w:spacing w:after="0" w:line="276" w:lineRule="auto"/>
        <w:rPr>
          <w:sz w:val="20"/>
          <w:szCs w:val="20"/>
          <w:color w:val="auto"/>
        </w:rPr>
      </w:pPr>
      <w:r>
        <w:rPr>
          <w:rFonts w:ascii="Arial" w:cs="Arial" w:eastAsia="Arial" w:hAnsi="Arial"/>
          <w:sz w:val="18"/>
          <w:szCs w:val="18"/>
          <w:color w:val="auto"/>
        </w:rPr>
        <w:t>shares of common stock as if such conversion had occurred at January 1, 2019, inclusive of 28,020,172 shares of Series D convertible preferred stock issued in July 2020.</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Year Ended</w:t>
            </w:r>
          </w:p>
        </w:tc>
      </w:tr>
      <w:tr>
        <w:trPr>
          <w:trHeight w:val="162"/>
        </w:trPr>
        <w:tc>
          <w:tcPr>
            <w:tcW w:w="9760" w:type="dxa"/>
            <w:vAlign w:val="bottom"/>
          </w:tcPr>
          <w:p>
            <w:pPr>
              <w:spacing w:after="0"/>
              <w:rPr>
                <w:sz w:val="14"/>
                <w:szCs w:val="14"/>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December 31,</w:t>
            </w:r>
          </w:p>
        </w:tc>
      </w:tr>
      <w:tr>
        <w:trPr>
          <w:trHeight w:val="177"/>
        </w:trPr>
        <w:tc>
          <w:tcPr>
            <w:tcW w:w="97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r>
      <w:tr>
        <w:trPr>
          <w:trHeight w:val="196"/>
        </w:trPr>
        <w:tc>
          <w:tcPr>
            <w:tcW w:w="9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(25,352)</w:t>
            </w:r>
          </w:p>
        </w:tc>
        <w:tc>
          <w:tcPr>
            <w:tcW w:w="120" w:type="dxa"/>
            <w:vAlign w:val="bottom"/>
            <w:shd w:val="clear" w:color="auto" w:fill="CCEEFF"/>
          </w:tcPr>
          <w:p>
            <w:pPr>
              <w:spacing w:after="0"/>
              <w:rPr>
                <w:sz w:val="17"/>
                <w:szCs w:val="17"/>
                <w:color w:val="auto"/>
              </w:rPr>
            </w:pPr>
          </w:p>
        </w:tc>
      </w:tr>
      <w:tr>
        <w:trPr>
          <w:trHeight w:val="209"/>
        </w:trPr>
        <w:tc>
          <w:tcPr>
            <w:tcW w:w="9760" w:type="dxa"/>
            <w:vAlign w:val="bottom"/>
          </w:tcPr>
          <w:p>
            <w:pPr>
              <w:spacing w:after="0"/>
              <w:rPr>
                <w:sz w:val="20"/>
                <w:szCs w:val="20"/>
                <w:color w:val="auto"/>
              </w:rPr>
            </w:pPr>
            <w:r>
              <w:rPr>
                <w:rFonts w:ascii="Arial" w:cs="Arial" w:eastAsia="Arial" w:hAnsi="Arial"/>
                <w:sz w:val="18"/>
                <w:szCs w:val="18"/>
                <w:color w:val="auto"/>
              </w:rPr>
              <w:t>Weighted-average number of shares—basic and diluted</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15,980,859</w:t>
            </w:r>
          </w:p>
        </w:tc>
        <w:tc>
          <w:tcPr>
            <w:tcW w:w="120" w:type="dxa"/>
            <w:vAlign w:val="bottom"/>
          </w:tcPr>
          <w:p>
            <w:pPr>
              <w:spacing w:after="0"/>
              <w:rPr>
                <w:sz w:val="18"/>
                <w:szCs w:val="18"/>
                <w:color w:val="auto"/>
              </w:rPr>
            </w:pPr>
          </w:p>
        </w:tc>
      </w:tr>
      <w:tr>
        <w:trPr>
          <w:trHeight w:val="203"/>
        </w:trPr>
        <w:tc>
          <w:tcPr>
            <w:tcW w:w="9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 Assumed weighted-average effect of conversion of convertible preferred stock (unaudited)</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9"/>
              </w:rPr>
              <w:t>148,413,322</w:t>
            </w:r>
          </w:p>
        </w:tc>
      </w:tr>
      <w:tr>
        <w:trPr>
          <w:trHeight w:val="217"/>
        </w:trPr>
        <w:tc>
          <w:tcPr>
            <w:tcW w:w="9760" w:type="dxa"/>
            <w:vAlign w:val="bottom"/>
          </w:tcPr>
          <w:p>
            <w:pPr>
              <w:spacing w:after="0"/>
              <w:rPr>
                <w:sz w:val="20"/>
                <w:szCs w:val="20"/>
                <w:color w:val="auto"/>
              </w:rPr>
            </w:pPr>
            <w:r>
              <w:rPr>
                <w:rFonts w:ascii="Arial" w:cs="Arial" w:eastAsia="Arial" w:hAnsi="Arial"/>
                <w:sz w:val="18"/>
                <w:szCs w:val="18"/>
                <w:color w:val="auto"/>
              </w:rPr>
              <w:t>Pro Forma weighted-average number of shares—basic and diluted</w:t>
            </w: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164,394,181</w:t>
            </w:r>
          </w:p>
        </w:tc>
        <w:tc>
          <w:tcPr>
            <w:tcW w:w="120" w:type="dxa"/>
            <w:vAlign w:val="bottom"/>
          </w:tcPr>
          <w:p>
            <w:pPr>
              <w:spacing w:after="0"/>
              <w:rPr>
                <w:sz w:val="18"/>
                <w:szCs w:val="18"/>
                <w:color w:val="auto"/>
              </w:rPr>
            </w:pPr>
          </w:p>
        </w:tc>
      </w:tr>
      <w:tr>
        <w:trPr>
          <w:trHeight w:val="203"/>
        </w:trPr>
        <w:tc>
          <w:tcPr>
            <w:tcW w:w="9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net loss per share—basic and diluted</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(0.15)</w:t>
            </w: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12. Related Parties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has a consulting agreement with a member of the Board of Directors. Consulting fees paid in the year ended</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31, 2018 and 2019 were $100. There were no amounts owed under the consulting agreement at December 31, 2018 or 2019.</w:t>
      </w: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13. Subsequent Events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Subsequent events have been evaluated through June 26, 2020, which is the date the financial statements were issued.</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55" w:right="439" w:bottom="1440" w:gutter="0" w:footer="0" w:header="0"/>
        </w:sectPr>
      </w:pPr>
    </w:p>
    <w:bookmarkStart w:id="236" w:name="page237"/>
    <w:bookmarkEnd w:id="2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Balance Sheets</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Pro forma</w:t>
            </w:r>
          </w:p>
        </w:tc>
      </w:tr>
      <w:tr>
        <w:trPr>
          <w:trHeight w:val="162"/>
        </w:trPr>
        <w:tc>
          <w:tcPr>
            <w:tcW w:w="7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9"/>
              </w:rPr>
              <w:t>June 30,</w:t>
            </w: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June 30,</w:t>
            </w:r>
          </w:p>
        </w:tc>
      </w:tr>
      <w:tr>
        <w:trPr>
          <w:trHeight w:val="162"/>
        </w:trPr>
        <w:tc>
          <w:tcPr>
            <w:tcW w:w="7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right"/>
              <w:ind w:right="152"/>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77"/>
        </w:trPr>
        <w:tc>
          <w:tcPr>
            <w:tcW w:w="7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(unaudited)</w:t>
            </w: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r>
      <w:tr>
        <w:trPr>
          <w:trHeight w:val="183"/>
        </w:trPr>
        <w:tc>
          <w:tcPr>
            <w:tcW w:w="73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Cash and cash equivalents</w:t>
            </w: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73,278</w:t>
            </w:r>
          </w:p>
        </w:tc>
        <w:tc>
          <w:tcPr>
            <w:tcW w:w="3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78,051</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148,021</w:t>
            </w:r>
          </w:p>
        </w:tc>
      </w:tr>
      <w:tr>
        <w:trPr>
          <w:trHeight w:val="203"/>
        </w:trPr>
        <w:tc>
          <w:tcPr>
            <w:tcW w:w="7320" w:type="dxa"/>
            <w:vAlign w:val="bottom"/>
          </w:tcPr>
          <w:p>
            <w:pPr>
              <w:ind w:left="360"/>
              <w:spacing w:after="0" w:line="202" w:lineRule="exact"/>
              <w:rPr>
                <w:sz w:val="20"/>
                <w:szCs w:val="20"/>
                <w:color w:val="auto"/>
              </w:rPr>
            </w:pPr>
            <w:r>
              <w:rPr>
                <w:rFonts w:ascii="Arial" w:cs="Arial" w:eastAsia="Arial" w:hAnsi="Arial"/>
                <w:sz w:val="18"/>
                <w:szCs w:val="18"/>
                <w:color w:val="auto"/>
              </w:rPr>
              <w:t>Short-term marketable securities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28,208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8,085</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8,085</w:t>
            </w:r>
          </w:p>
        </w:tc>
      </w:tr>
      <w:tr>
        <w:trPr>
          <w:trHeight w:val="203"/>
        </w:trPr>
        <w:tc>
          <w:tcPr>
            <w:tcW w:w="7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607</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651</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651</w:t>
            </w:r>
          </w:p>
        </w:tc>
      </w:tr>
      <w:tr>
        <w:trPr>
          <w:trHeight w:val="210"/>
        </w:trPr>
        <w:tc>
          <w:tcPr>
            <w:tcW w:w="732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102,093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86,787</w:t>
            </w:r>
          </w:p>
        </w:tc>
        <w:tc>
          <w:tcPr>
            <w:tcW w:w="4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156,757</w:t>
            </w:r>
          </w:p>
        </w:tc>
        <w:tc>
          <w:tcPr>
            <w:tcW w:w="120" w:type="dxa"/>
            <w:vAlign w:val="bottom"/>
          </w:tcPr>
          <w:p>
            <w:pPr>
              <w:spacing w:after="0"/>
              <w:rPr>
                <w:sz w:val="18"/>
                <w:szCs w:val="18"/>
                <w:color w:val="auto"/>
              </w:rPr>
            </w:pP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739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609</w:t>
            </w: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Deferred offering costs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1,505</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1,475</w:t>
            </w: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201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201</w:t>
            </w:r>
          </w:p>
        </w:tc>
      </w:tr>
      <w:tr>
        <w:trPr>
          <w:trHeight w:val="209"/>
        </w:trPr>
        <w:tc>
          <w:tcPr>
            <w:tcW w:w="7320" w:type="dxa"/>
            <w:vAlign w:val="bottom"/>
          </w:tcPr>
          <w:p>
            <w:pPr>
              <w:spacing w:after="0"/>
              <w:rPr>
                <w:sz w:val="20"/>
                <w:szCs w:val="20"/>
                <w:color w:val="auto"/>
              </w:rPr>
            </w:pPr>
            <w:r>
              <w:rPr>
                <w:rFonts w:ascii="Arial" w:cs="Arial" w:eastAsia="Arial" w:hAnsi="Arial"/>
                <w:sz w:val="18"/>
                <w:szCs w:val="18"/>
                <w:color w:val="auto"/>
              </w:rPr>
              <w:t>Total assets</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103,033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89,102</w:t>
            </w: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159,042</w:t>
            </w:r>
          </w:p>
        </w:tc>
        <w:tc>
          <w:tcPr>
            <w:tcW w:w="120" w:type="dxa"/>
            <w:vAlign w:val="bottom"/>
          </w:tcPr>
          <w:p>
            <w:pPr>
              <w:spacing w:after="0"/>
              <w:rPr>
                <w:sz w:val="18"/>
                <w:szCs w:val="18"/>
                <w:color w:val="auto"/>
              </w:rPr>
            </w:pPr>
          </w:p>
        </w:tc>
      </w:tr>
      <w:tr>
        <w:trPr>
          <w:trHeight w:val="20"/>
        </w:trPr>
        <w:tc>
          <w:tcPr>
            <w:tcW w:w="7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73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Convertible Preferred Stock, and Stockholders’ (Deficit) Equity</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Accounts payable</w:t>
            </w: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2,837</w:t>
            </w:r>
          </w:p>
        </w:tc>
        <w:tc>
          <w:tcPr>
            <w:tcW w:w="3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2,146</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2,146</w:t>
            </w:r>
          </w:p>
        </w:tc>
      </w:tr>
      <w:tr>
        <w:trPr>
          <w:trHeight w:val="203"/>
        </w:trPr>
        <w:tc>
          <w:tcPr>
            <w:tcW w:w="7320" w:type="dxa"/>
            <w:vAlign w:val="bottom"/>
          </w:tcPr>
          <w:p>
            <w:pPr>
              <w:ind w:left="360"/>
              <w:spacing w:after="0" w:line="202" w:lineRule="exact"/>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1,686</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2,937</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2,907</w:t>
            </w:r>
          </w:p>
        </w:tc>
      </w:tr>
      <w:tr>
        <w:trPr>
          <w:trHeight w:val="27"/>
        </w:trPr>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3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current liabilities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4,523</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5,083</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5,053</w:t>
            </w:r>
          </w:p>
        </w:tc>
      </w:tr>
      <w:tr>
        <w:trPr>
          <w:trHeight w:val="203"/>
        </w:trPr>
        <w:tc>
          <w:tcPr>
            <w:tcW w:w="7320" w:type="dxa"/>
            <w:vAlign w:val="bottom"/>
          </w:tcPr>
          <w:p>
            <w:pPr>
              <w:spacing w:after="0" w:line="202" w:lineRule="exact"/>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94</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94</w:t>
            </w:r>
          </w:p>
        </w:tc>
      </w:tr>
      <w:tr>
        <w:trPr>
          <w:trHeight w:val="27"/>
        </w:trPr>
        <w:tc>
          <w:tcPr>
            <w:tcW w:w="7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4,574</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5,177</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5,147</w:t>
            </w:r>
          </w:p>
        </w:tc>
      </w:tr>
      <w:tr>
        <w:trPr>
          <w:trHeight w:val="187"/>
        </w:trPr>
        <w:tc>
          <w:tcPr>
            <w:tcW w:w="7320" w:type="dxa"/>
            <w:vAlign w:val="bottom"/>
          </w:tcPr>
          <w:p>
            <w:pPr>
              <w:spacing w:after="0" w:line="187" w:lineRule="exact"/>
              <w:rPr>
                <w:sz w:val="20"/>
                <w:szCs w:val="20"/>
                <w:color w:val="auto"/>
              </w:rPr>
            </w:pPr>
            <w:r>
              <w:rPr>
                <w:rFonts w:ascii="Arial" w:cs="Arial" w:eastAsia="Arial" w:hAnsi="Arial"/>
                <w:sz w:val="18"/>
                <w:szCs w:val="18"/>
                <w:color w:val="auto"/>
              </w:rPr>
              <w:t>Convertible preferred stock, accumulated liquidation value of $169,385, $169,385, and $0</w:t>
            </w:r>
          </w:p>
        </w:tc>
        <w:tc>
          <w:tcPr>
            <w:tcW w:w="1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02"/>
        </w:trPr>
        <w:tc>
          <w:tcPr>
            <w:tcW w:w="7320" w:type="dxa"/>
            <w:vAlign w:val="bottom"/>
          </w:tcPr>
          <w:p>
            <w:pPr>
              <w:ind w:left="180"/>
              <w:spacing w:after="0" w:line="202" w:lineRule="exact"/>
              <w:rPr>
                <w:sz w:val="20"/>
                <w:szCs w:val="20"/>
                <w:color w:val="auto"/>
              </w:rPr>
            </w:pPr>
            <w:r>
              <w:rPr>
                <w:rFonts w:ascii="Arial" w:cs="Arial" w:eastAsia="Arial" w:hAnsi="Arial"/>
                <w:sz w:val="18"/>
                <w:szCs w:val="18"/>
                <w:color w:val="auto"/>
              </w:rPr>
              <w:t>at December 31, 2019, June 30, 2020 (unaudited), and pro forma June 30, 2020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5"/>
        </w:trPr>
        <w:tc>
          <w:tcPr>
            <w:tcW w:w="7320" w:type="dxa"/>
            <w:vAlign w:val="bottom"/>
          </w:tcPr>
          <w:p>
            <w:pPr>
              <w:ind w:left="180"/>
              <w:spacing w:after="0"/>
              <w:rPr>
                <w:sz w:val="20"/>
                <w:szCs w:val="20"/>
                <w:color w:val="auto"/>
              </w:rPr>
            </w:pPr>
            <w:r>
              <w:rPr>
                <w:rFonts w:ascii="Arial" w:cs="Arial" w:eastAsia="Arial" w:hAnsi="Arial"/>
                <w:sz w:val="18"/>
                <w:szCs w:val="18"/>
                <w:color w:val="auto"/>
              </w:rPr>
              <w:t>(unaudited), respectively (see Note 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168,933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168,933</w:t>
            </w:r>
          </w:p>
        </w:tc>
        <w:tc>
          <w:tcPr>
            <w:tcW w:w="100" w:type="dxa"/>
            <w:vAlign w:val="bottom"/>
          </w:tcPr>
          <w:p>
            <w:pPr>
              <w:spacing w:after="0"/>
              <w:rPr>
                <w:sz w:val="19"/>
                <w:szCs w:val="19"/>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Stockholders’ (deficit) equity:</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80"/>
        </w:trPr>
        <w:tc>
          <w:tcPr>
            <w:tcW w:w="7320" w:type="dxa"/>
            <w:vAlign w:val="bottom"/>
          </w:tcPr>
          <w:p>
            <w:pPr>
              <w:ind w:left="360"/>
              <w:spacing w:after="0" w:line="180" w:lineRule="exact"/>
              <w:rPr>
                <w:sz w:val="20"/>
                <w:szCs w:val="20"/>
                <w:color w:val="auto"/>
              </w:rPr>
            </w:pPr>
            <w:r>
              <w:rPr>
                <w:rFonts w:ascii="Arial" w:cs="Arial" w:eastAsia="Arial" w:hAnsi="Arial"/>
                <w:sz w:val="18"/>
                <w:szCs w:val="18"/>
                <w:color w:val="auto"/>
              </w:rPr>
              <w:t>Common stock, $0.00001 par value, 175,068,944, 175,068,944, and 175,068,944</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03"/>
        </w:trPr>
        <w:tc>
          <w:tcPr>
            <w:tcW w:w="7320" w:type="dxa"/>
            <w:vAlign w:val="bottom"/>
          </w:tcPr>
          <w:p>
            <w:pPr>
              <w:ind w:left="540"/>
              <w:spacing w:after="0" w:line="202" w:lineRule="exact"/>
              <w:rPr>
                <w:sz w:val="20"/>
                <w:szCs w:val="20"/>
                <w:color w:val="auto"/>
              </w:rPr>
            </w:pPr>
            <w:r>
              <w:rPr>
                <w:rFonts w:ascii="Arial" w:cs="Arial" w:eastAsia="Arial" w:hAnsi="Arial"/>
                <w:sz w:val="18"/>
                <w:szCs w:val="18"/>
                <w:color w:val="auto"/>
              </w:rPr>
              <w:t>shares authorized; 16,038,590, 16,038,590, and 164,451,912 shares issued and</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7320" w:type="dxa"/>
            <w:vAlign w:val="bottom"/>
          </w:tcPr>
          <w:p>
            <w:pPr>
              <w:ind w:left="540"/>
              <w:spacing w:after="0" w:line="202" w:lineRule="exact"/>
              <w:rPr>
                <w:sz w:val="20"/>
                <w:szCs w:val="20"/>
                <w:color w:val="auto"/>
              </w:rPr>
            </w:pPr>
            <w:r>
              <w:rPr>
                <w:rFonts w:ascii="Arial" w:cs="Arial" w:eastAsia="Arial" w:hAnsi="Arial"/>
                <w:sz w:val="18"/>
                <w:szCs w:val="18"/>
                <w:color w:val="auto"/>
              </w:rPr>
              <w:t>outstanding at December 31, 2019, June 30, 2020 (unaudited), and pro forma June</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25"/>
        </w:trPr>
        <w:tc>
          <w:tcPr>
            <w:tcW w:w="7320" w:type="dxa"/>
            <w:vAlign w:val="bottom"/>
          </w:tcPr>
          <w:p>
            <w:pPr>
              <w:ind w:left="540"/>
              <w:spacing w:after="0"/>
              <w:rPr>
                <w:sz w:val="20"/>
                <w:szCs w:val="20"/>
                <w:color w:val="auto"/>
              </w:rPr>
            </w:pPr>
            <w:r>
              <w:rPr>
                <w:rFonts w:ascii="Arial" w:cs="Arial" w:eastAsia="Arial" w:hAnsi="Arial"/>
                <w:sz w:val="18"/>
                <w:szCs w:val="18"/>
                <w:color w:val="auto"/>
              </w:rPr>
              <w:t>30, 2020 (unaudited), respectively</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r>
      <w:tr>
        <w:trPr>
          <w:trHeight w:val="203"/>
        </w:trPr>
        <w:tc>
          <w:tcPr>
            <w:tcW w:w="7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4,969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5,648</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244,549</w:t>
            </w:r>
          </w:p>
        </w:tc>
      </w:tr>
      <w:tr>
        <w:trPr>
          <w:trHeight w:val="203"/>
        </w:trPr>
        <w:tc>
          <w:tcPr>
            <w:tcW w:w="7320" w:type="dxa"/>
            <w:vAlign w:val="bottom"/>
          </w:tcPr>
          <w:p>
            <w:pPr>
              <w:ind w:left="360"/>
              <w:spacing w:after="0" w:line="202" w:lineRule="exact"/>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(75,440)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(90,661)</w:t>
            </w:r>
          </w:p>
        </w:tc>
        <w:tc>
          <w:tcPr>
            <w:tcW w:w="10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(90,661)</w:t>
            </w:r>
          </w:p>
        </w:tc>
      </w:tr>
      <w:tr>
        <w:trPr>
          <w:trHeight w:val="203"/>
        </w:trPr>
        <w:tc>
          <w:tcPr>
            <w:tcW w:w="73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w:t>
            </w:r>
          </w:p>
        </w:tc>
      </w:tr>
      <w:tr>
        <w:trPr>
          <w:trHeight w:val="217"/>
        </w:trPr>
        <w:tc>
          <w:tcPr>
            <w:tcW w:w="7320" w:type="dxa"/>
            <w:vAlign w:val="bottom"/>
          </w:tcPr>
          <w:p>
            <w:pPr>
              <w:ind w:left="720"/>
              <w:spacing w:after="0"/>
              <w:rPr>
                <w:sz w:val="20"/>
                <w:szCs w:val="20"/>
                <w:color w:val="auto"/>
              </w:rPr>
            </w:pPr>
            <w:r>
              <w:rPr>
                <w:rFonts w:ascii="Arial" w:cs="Arial" w:eastAsia="Arial" w:hAnsi="Arial"/>
                <w:sz w:val="18"/>
                <w:szCs w:val="18"/>
                <w:color w:val="auto"/>
              </w:rPr>
              <w:t>Total stockholders’ (deficit) equity</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(70,474)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(85,008)</w:t>
            </w:r>
          </w:p>
        </w:tc>
        <w:tc>
          <w:tcPr>
            <w:tcW w:w="4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153,895</w:t>
            </w:r>
          </w:p>
        </w:tc>
        <w:tc>
          <w:tcPr>
            <w:tcW w:w="120" w:type="dxa"/>
            <w:vAlign w:val="bottom"/>
          </w:tcPr>
          <w:p>
            <w:pPr>
              <w:spacing w:after="0"/>
              <w:rPr>
                <w:sz w:val="18"/>
                <w:szCs w:val="18"/>
                <w:color w:val="auto"/>
              </w:rPr>
            </w:pPr>
          </w:p>
        </w:tc>
      </w:tr>
      <w:tr>
        <w:trPr>
          <w:trHeight w:val="203"/>
        </w:trPr>
        <w:tc>
          <w:tcPr>
            <w:tcW w:w="73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liabilities, convertible preferred stock, and stockholders’ (deficit) equity</w:t>
            </w:r>
          </w:p>
        </w:tc>
        <w:tc>
          <w:tcPr>
            <w:tcW w:w="36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103,033</w:t>
            </w:r>
          </w:p>
        </w:tc>
        <w:tc>
          <w:tcPr>
            <w:tcW w:w="30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89,102</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159,042</w:t>
            </w:r>
          </w:p>
        </w:tc>
      </w:tr>
      <w:tr>
        <w:trPr>
          <w:trHeight w:val="20"/>
        </w:trPr>
        <w:tc>
          <w:tcPr>
            <w:tcW w:w="7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9"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55" w:right="439" w:bottom="1440" w:gutter="0" w:footer="0" w:header="0"/>
        </w:sectPr>
      </w:pPr>
    </w:p>
    <w:bookmarkStart w:id="237" w:name="page238"/>
    <w:bookmarkEnd w:id="2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Operations and Comprehensive Loss</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6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Six Months</w:t>
            </w: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Six Months</w:t>
            </w:r>
          </w:p>
        </w:tc>
      </w:tr>
      <w:tr>
        <w:trPr>
          <w:trHeight w:val="162"/>
        </w:trPr>
        <w:tc>
          <w:tcPr>
            <w:tcW w:w="6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Ended</w:t>
            </w:r>
          </w:p>
        </w:tc>
      </w:tr>
      <w:tr>
        <w:trPr>
          <w:trHeight w:val="162"/>
        </w:trPr>
        <w:tc>
          <w:tcPr>
            <w:tcW w:w="65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6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rPr>
              <w:t>June 30, 2019</w:t>
            </w: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June 30, 2020</w:t>
            </w:r>
          </w:p>
        </w:tc>
      </w:tr>
      <w:tr>
        <w:trPr>
          <w:trHeight w:val="177"/>
        </w:trPr>
        <w:tc>
          <w:tcPr>
            <w:tcW w:w="6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rPr>
              <w:t>(unaudited)</w:t>
            </w: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(unaudited)</w:t>
            </w:r>
          </w:p>
        </w:tc>
      </w:tr>
      <w:tr>
        <w:trPr>
          <w:trHeight w:val="183"/>
        </w:trPr>
        <w:tc>
          <w:tcPr>
            <w:tcW w:w="652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Operating Expenses:</w:t>
            </w:r>
          </w:p>
        </w:tc>
        <w:tc>
          <w:tcPr>
            <w:tcW w:w="15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6520" w:type="dxa"/>
            <w:vAlign w:val="bottom"/>
          </w:tcPr>
          <w:p>
            <w:pPr>
              <w:ind w:left="360"/>
              <w:spacing w:after="0" w:line="202" w:lineRule="exact"/>
              <w:rPr>
                <w:sz w:val="20"/>
                <w:szCs w:val="20"/>
                <w:color w:val="auto"/>
              </w:rPr>
            </w:pPr>
            <w:r>
              <w:rPr>
                <w:rFonts w:ascii="Arial" w:cs="Arial" w:eastAsia="Arial" w:hAnsi="Arial"/>
                <w:sz w:val="18"/>
                <w:szCs w:val="18"/>
                <w:color w:val="auto"/>
              </w:rPr>
              <w:t>Research and development</w:t>
            </w:r>
          </w:p>
        </w:tc>
        <w:tc>
          <w:tcPr>
            <w:tcW w:w="17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10,165</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11,760</w:t>
            </w:r>
          </w:p>
        </w:tc>
      </w:tr>
      <w:tr>
        <w:trPr>
          <w:trHeight w:val="203"/>
        </w:trPr>
        <w:tc>
          <w:tcPr>
            <w:tcW w:w="6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General and administrative</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2,676</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3,979</w:t>
            </w:r>
          </w:p>
        </w:tc>
      </w:tr>
      <w:tr>
        <w:trPr>
          <w:trHeight w:val="217"/>
        </w:trPr>
        <w:tc>
          <w:tcPr>
            <w:tcW w:w="6520" w:type="dxa"/>
            <w:vAlign w:val="bottom"/>
          </w:tcPr>
          <w:p>
            <w:pPr>
              <w:ind w:left="720"/>
              <w:spacing w:after="0"/>
              <w:rPr>
                <w:sz w:val="20"/>
                <w:szCs w:val="20"/>
                <w:color w:val="auto"/>
              </w:rPr>
            </w:pPr>
            <w:r>
              <w:rPr>
                <w:rFonts w:ascii="Arial" w:cs="Arial" w:eastAsia="Arial" w:hAnsi="Arial"/>
                <w:sz w:val="18"/>
                <w:szCs w:val="18"/>
                <w:color w:val="auto"/>
              </w:rPr>
              <w:t>Total operating expenses</w:t>
            </w:r>
          </w:p>
        </w:tc>
        <w:tc>
          <w:tcPr>
            <w:tcW w:w="158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12,841</w:t>
            </w:r>
          </w:p>
        </w:tc>
        <w:tc>
          <w:tcPr>
            <w:tcW w:w="6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15,739</w:t>
            </w:r>
          </w:p>
        </w:tc>
        <w:tc>
          <w:tcPr>
            <w:tcW w:w="120" w:type="dxa"/>
            <w:vAlign w:val="bottom"/>
          </w:tcPr>
          <w:p>
            <w:pPr>
              <w:spacing w:after="0"/>
              <w:rPr>
                <w:sz w:val="18"/>
                <w:szCs w:val="18"/>
                <w:color w:val="auto"/>
              </w:rPr>
            </w:pPr>
          </w:p>
        </w:tc>
      </w:tr>
      <w:tr>
        <w:trPr>
          <w:trHeight w:val="203"/>
        </w:trPr>
        <w:tc>
          <w:tcPr>
            <w:tcW w:w="6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Loss from operations</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580"/>
              <w:spacing w:after="0" w:line="202" w:lineRule="exact"/>
              <w:rPr>
                <w:sz w:val="20"/>
                <w:szCs w:val="20"/>
                <w:color w:val="auto"/>
              </w:rPr>
            </w:pPr>
            <w:r>
              <w:rPr>
                <w:rFonts w:ascii="Arial" w:cs="Arial" w:eastAsia="Arial" w:hAnsi="Arial"/>
                <w:sz w:val="18"/>
                <w:szCs w:val="18"/>
                <w:color w:val="auto"/>
              </w:rPr>
              <w:t>(12,841)</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(15,739)</w:t>
            </w:r>
          </w:p>
        </w:tc>
      </w:tr>
      <w:tr>
        <w:trPr>
          <w:trHeight w:val="203"/>
        </w:trPr>
        <w:tc>
          <w:tcPr>
            <w:tcW w:w="6520" w:type="dxa"/>
            <w:vAlign w:val="bottom"/>
          </w:tcPr>
          <w:p>
            <w:pPr>
              <w:spacing w:after="0" w:line="202" w:lineRule="exact"/>
              <w:rPr>
                <w:sz w:val="20"/>
                <w:szCs w:val="20"/>
                <w:color w:val="auto"/>
              </w:rPr>
            </w:pPr>
            <w:r>
              <w:rPr>
                <w:rFonts w:ascii="Arial" w:cs="Arial" w:eastAsia="Arial" w:hAnsi="Arial"/>
                <w:sz w:val="18"/>
                <w:szCs w:val="18"/>
                <w:color w:val="auto"/>
              </w:rPr>
              <w:t>Other income (expense):</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Interest income, net</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714</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563</w:t>
            </w:r>
          </w:p>
        </w:tc>
      </w:tr>
      <w:tr>
        <w:trPr>
          <w:trHeight w:val="203"/>
        </w:trPr>
        <w:tc>
          <w:tcPr>
            <w:tcW w:w="6520" w:type="dxa"/>
            <w:vAlign w:val="bottom"/>
          </w:tcPr>
          <w:p>
            <w:pPr>
              <w:ind w:left="360"/>
              <w:spacing w:after="0" w:line="202" w:lineRule="exact"/>
              <w:rPr>
                <w:sz w:val="20"/>
                <w:szCs w:val="20"/>
                <w:color w:val="auto"/>
              </w:rPr>
            </w:pPr>
            <w:r>
              <w:rPr>
                <w:rFonts w:ascii="Arial" w:cs="Arial" w:eastAsia="Arial" w:hAnsi="Arial"/>
                <w:sz w:val="18"/>
                <w:szCs w:val="18"/>
                <w:color w:val="auto"/>
              </w:rPr>
              <w:t>Other income (expense)</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ind w:right="13"/>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w:t>
            </w:r>
          </w:p>
        </w:tc>
      </w:tr>
      <w:tr>
        <w:trPr>
          <w:trHeight w:val="27"/>
        </w:trPr>
        <w:tc>
          <w:tcPr>
            <w:tcW w:w="65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65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Total other income (expense)</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714</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520</w:t>
            </w:r>
          </w:p>
        </w:tc>
      </w:tr>
      <w:tr>
        <w:trPr>
          <w:trHeight w:val="210"/>
        </w:trPr>
        <w:tc>
          <w:tcPr>
            <w:tcW w:w="6520" w:type="dxa"/>
            <w:vAlign w:val="bottom"/>
          </w:tcPr>
          <w:p>
            <w:pPr>
              <w:ind w:left="360"/>
              <w:spacing w:after="0"/>
              <w:rPr>
                <w:sz w:val="20"/>
                <w:szCs w:val="20"/>
                <w:color w:val="auto"/>
              </w:rPr>
            </w:pPr>
            <w:r>
              <w:rPr>
                <w:rFonts w:ascii="Arial" w:cs="Arial" w:eastAsia="Arial" w:hAnsi="Arial"/>
                <w:sz w:val="18"/>
                <w:szCs w:val="18"/>
                <w:color w:val="auto"/>
              </w:rPr>
              <w:t>Loss before provision for income taxes</w:t>
            </w:r>
          </w:p>
        </w:tc>
        <w:tc>
          <w:tcPr>
            <w:tcW w:w="1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(12,127)</w:t>
            </w:r>
          </w:p>
        </w:tc>
        <w:tc>
          <w:tcPr>
            <w:tcW w:w="6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(15,219)</w:t>
            </w:r>
          </w:p>
        </w:tc>
        <w:tc>
          <w:tcPr>
            <w:tcW w:w="120" w:type="dxa"/>
            <w:vAlign w:val="bottom"/>
          </w:tcPr>
          <w:p>
            <w:pPr>
              <w:spacing w:after="0"/>
              <w:rPr>
                <w:sz w:val="18"/>
                <w:szCs w:val="18"/>
                <w:color w:val="auto"/>
              </w:rPr>
            </w:pPr>
          </w:p>
        </w:tc>
      </w:tr>
      <w:tr>
        <w:trPr>
          <w:trHeight w:val="203"/>
        </w:trPr>
        <w:tc>
          <w:tcPr>
            <w:tcW w:w="652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Provision for income taxes</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w:t>
            </w:r>
          </w:p>
        </w:tc>
      </w:tr>
      <w:tr>
        <w:trPr>
          <w:trHeight w:val="209"/>
        </w:trPr>
        <w:tc>
          <w:tcPr>
            <w:tcW w:w="652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5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(12,129)</w:t>
            </w:r>
          </w:p>
        </w:tc>
        <w:tc>
          <w:tcPr>
            <w:tcW w:w="6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(15,221)</w:t>
            </w:r>
          </w:p>
        </w:tc>
        <w:tc>
          <w:tcPr>
            <w:tcW w:w="120" w:type="dxa"/>
            <w:vAlign w:val="bottom"/>
          </w:tcPr>
          <w:p>
            <w:pPr>
              <w:spacing w:after="0"/>
              <w:rPr>
                <w:sz w:val="18"/>
                <w:szCs w:val="18"/>
                <w:color w:val="auto"/>
              </w:rPr>
            </w:pPr>
          </w:p>
        </w:tc>
      </w:tr>
      <w:tr>
        <w:trPr>
          <w:trHeight w:val="203"/>
        </w:trPr>
        <w:tc>
          <w:tcPr>
            <w:tcW w:w="6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Unrealized gains on marketable securities, net of tax</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w:t>
            </w:r>
          </w:p>
        </w:tc>
      </w:tr>
      <w:tr>
        <w:trPr>
          <w:trHeight w:val="210"/>
        </w:trPr>
        <w:tc>
          <w:tcPr>
            <w:tcW w:w="6520" w:type="dxa"/>
            <w:vAlign w:val="bottom"/>
          </w:tcPr>
          <w:p>
            <w:pPr>
              <w:ind w:left="360"/>
              <w:spacing w:after="0"/>
              <w:rPr>
                <w:sz w:val="20"/>
                <w:szCs w:val="20"/>
                <w:color w:val="auto"/>
              </w:rPr>
            </w:pPr>
            <w:r>
              <w:rPr>
                <w:rFonts w:ascii="Arial" w:cs="Arial" w:eastAsia="Arial" w:hAnsi="Arial"/>
                <w:sz w:val="18"/>
                <w:szCs w:val="18"/>
                <w:color w:val="auto"/>
              </w:rPr>
              <w:t>Comprehensive loss</w:t>
            </w:r>
          </w:p>
        </w:tc>
        <w:tc>
          <w:tcPr>
            <w:tcW w:w="15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(12,113)</w:t>
            </w:r>
          </w:p>
        </w:tc>
        <w:tc>
          <w:tcPr>
            <w:tcW w:w="6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(15,213)</w:t>
            </w:r>
          </w:p>
        </w:tc>
        <w:tc>
          <w:tcPr>
            <w:tcW w:w="120" w:type="dxa"/>
            <w:vAlign w:val="bottom"/>
          </w:tcPr>
          <w:p>
            <w:pPr>
              <w:spacing w:after="0"/>
              <w:rPr>
                <w:sz w:val="18"/>
                <w:szCs w:val="18"/>
                <w:color w:val="auto"/>
              </w:rPr>
            </w:pPr>
          </w:p>
        </w:tc>
      </w:tr>
      <w:tr>
        <w:trPr>
          <w:trHeight w:val="20"/>
        </w:trPr>
        <w:tc>
          <w:tcPr>
            <w:tcW w:w="65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652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Net loss per share — basic and diluted</w:t>
            </w:r>
          </w:p>
        </w:tc>
        <w:tc>
          <w:tcPr>
            <w:tcW w:w="17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640"/>
              <w:spacing w:after="0" w:line="196" w:lineRule="exact"/>
              <w:rPr>
                <w:sz w:val="20"/>
                <w:szCs w:val="20"/>
                <w:color w:val="auto"/>
              </w:rPr>
            </w:pPr>
            <w:r>
              <w:rPr>
                <w:rFonts w:ascii="Arial" w:cs="Arial" w:eastAsia="Arial" w:hAnsi="Arial"/>
                <w:sz w:val="18"/>
                <w:szCs w:val="18"/>
                <w:color w:val="auto"/>
              </w:rPr>
              <w:t>(0.76)</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(0.95)</w:t>
            </w:r>
          </w:p>
        </w:tc>
      </w:tr>
      <w:tr>
        <w:trPr>
          <w:trHeight w:val="203"/>
        </w:trPr>
        <w:tc>
          <w:tcPr>
            <w:tcW w:w="6520" w:type="dxa"/>
            <w:vAlign w:val="bottom"/>
          </w:tcPr>
          <w:p>
            <w:pPr>
              <w:ind w:left="360"/>
              <w:spacing w:after="0" w:line="202" w:lineRule="exact"/>
              <w:rPr>
                <w:sz w:val="20"/>
                <w:szCs w:val="20"/>
                <w:color w:val="auto"/>
              </w:rPr>
            </w:pPr>
            <w:r>
              <w:rPr>
                <w:rFonts w:ascii="Arial" w:cs="Arial" w:eastAsia="Arial" w:hAnsi="Arial"/>
                <w:sz w:val="18"/>
                <w:szCs w:val="18"/>
                <w:color w:val="auto"/>
              </w:rPr>
              <w:t>Weighted-average common shares outstanding</w:t>
            </w: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w w:val="97"/>
              </w:rPr>
              <w:t>15,922,173</w:t>
            </w:r>
          </w:p>
        </w:tc>
        <w:tc>
          <w:tcPr>
            <w:tcW w:w="120" w:type="dxa"/>
            <w:vAlign w:val="bottom"/>
          </w:tcPr>
          <w:p>
            <w:pPr>
              <w:spacing w:after="0"/>
              <w:rPr>
                <w:sz w:val="17"/>
                <w:szCs w:val="17"/>
                <w:color w:val="auto"/>
              </w:rPr>
            </w:pPr>
          </w:p>
        </w:tc>
        <w:tc>
          <w:tcPr>
            <w:tcW w:w="11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16,038,590</w:t>
            </w:r>
          </w:p>
        </w:tc>
      </w:tr>
      <w:tr>
        <w:trPr>
          <w:trHeight w:val="203"/>
        </w:trPr>
        <w:tc>
          <w:tcPr>
            <w:tcW w:w="65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Pro forma net loss per share - basic and diluted</w:t>
            </w:r>
          </w:p>
        </w:tc>
        <w:tc>
          <w:tcPr>
            <w:tcW w:w="1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(0.09)</w:t>
            </w:r>
          </w:p>
        </w:tc>
      </w:tr>
      <w:tr>
        <w:trPr>
          <w:trHeight w:val="243"/>
        </w:trPr>
        <w:tc>
          <w:tcPr>
            <w:tcW w:w="6520" w:type="dxa"/>
            <w:vAlign w:val="bottom"/>
          </w:tcPr>
          <w:p>
            <w:pPr>
              <w:ind w:left="360"/>
              <w:spacing w:after="0"/>
              <w:rPr>
                <w:sz w:val="20"/>
                <w:szCs w:val="20"/>
                <w:color w:val="auto"/>
              </w:rPr>
            </w:pPr>
            <w:r>
              <w:rPr>
                <w:rFonts w:ascii="Arial" w:cs="Arial" w:eastAsia="Arial" w:hAnsi="Arial"/>
                <w:sz w:val="18"/>
                <w:szCs w:val="18"/>
                <w:color w:val="auto"/>
              </w:rPr>
              <w:t>Pro forma weighted-average common shares outstanding</w:t>
            </w: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164,451,912</w:t>
            </w:r>
          </w:p>
        </w:tc>
      </w:tr>
    </w:tbl>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40"/>
          </w:cols>
          <w:pgMar w:left="320" w:top="455" w:right="439" w:bottom="1440" w:gutter="0" w:footer="0" w:header="0"/>
        </w:sectPr>
      </w:pPr>
    </w:p>
    <w:bookmarkStart w:id="238" w:name="page239"/>
    <w:bookmarkEnd w:id="2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Convertible Preferred Stock and Stockholders’ (Deficit) Equity</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amounts)</w:t>
      </w:r>
    </w:p>
    <w:p>
      <w:pPr>
        <w:spacing w:after="0" w:line="22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2260" w:type="dxa"/>
            <w:vAlign w:val="bottom"/>
            <w:tcBorders>
              <w:right w:val="single" w:sz="8" w:color="auto"/>
            </w:tcBorders>
            <w:gridSpan w:val="6"/>
            <w:vMerge w:val="restart"/>
          </w:tcPr>
          <w:p>
            <w:pPr>
              <w:jc w:val="right"/>
              <w:ind w:right="800"/>
              <w:spacing w:after="0"/>
              <w:rPr>
                <w:sz w:val="20"/>
                <w:szCs w:val="20"/>
                <w:color w:val="auto"/>
              </w:rPr>
            </w:pPr>
            <w:r>
              <w:rPr>
                <w:rFonts w:ascii="Arial" w:cs="Arial" w:eastAsia="Arial" w:hAnsi="Arial"/>
                <w:sz w:val="14"/>
                <w:szCs w:val="14"/>
                <w:b w:val="1"/>
                <w:bCs w:val="1"/>
                <w:color w:val="auto"/>
              </w:rPr>
              <w:t>Convertible</w:t>
            </w:r>
          </w:p>
        </w:tc>
        <w:tc>
          <w:tcPr>
            <w:tcW w:w="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200" w:type="dxa"/>
            <w:vAlign w:val="bottom"/>
          </w:tcPr>
          <w:p>
            <w:pPr>
              <w:spacing w:after="0"/>
              <w:rPr>
                <w:sz w:val="8"/>
                <w:szCs w:val="8"/>
                <w:color w:val="auto"/>
              </w:rPr>
            </w:pPr>
          </w:p>
        </w:tc>
        <w:tc>
          <w:tcPr>
            <w:tcW w:w="2260" w:type="dxa"/>
            <w:vAlign w:val="bottom"/>
            <w:tcBorders>
              <w:right w:val="single" w:sz="8" w:color="auto"/>
            </w:tcBorders>
            <w:gridSpan w:val="6"/>
            <w:vMerge w:val="continue"/>
          </w:tcPr>
          <w:p>
            <w:pPr>
              <w:spacing w:after="0"/>
              <w:rPr>
                <w:sz w:val="8"/>
                <w:szCs w:val="8"/>
                <w:color w:val="auto"/>
              </w:rPr>
            </w:pPr>
          </w:p>
        </w:tc>
        <w:tc>
          <w:tcPr>
            <w:tcW w:w="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gridSpan w:val="2"/>
            <w:vMerge w:val="restart"/>
          </w:tcPr>
          <w:p>
            <w:pPr>
              <w:jc w:val="right"/>
              <w:ind w:right="40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2200" w:type="dxa"/>
            <w:vAlign w:val="bottom"/>
          </w:tcPr>
          <w:p>
            <w:pPr>
              <w:spacing w:after="0"/>
              <w:rPr>
                <w:sz w:val="5"/>
                <w:szCs w:val="5"/>
                <w:color w:val="auto"/>
              </w:rPr>
            </w:pPr>
          </w:p>
        </w:tc>
        <w:tc>
          <w:tcPr>
            <w:tcW w:w="2260" w:type="dxa"/>
            <w:vAlign w:val="bottom"/>
            <w:tcBorders>
              <w:right w:val="single" w:sz="8" w:color="auto"/>
            </w:tcBorders>
            <w:gridSpan w:val="6"/>
            <w:vMerge w:val="restart"/>
          </w:tcPr>
          <w:p>
            <w:pPr>
              <w:jc w:val="right"/>
              <w:ind w:right="660"/>
              <w:spacing w:after="0"/>
              <w:rPr>
                <w:sz w:val="20"/>
                <w:szCs w:val="20"/>
                <w:color w:val="auto"/>
              </w:rPr>
            </w:pPr>
            <w:r>
              <w:rPr>
                <w:rFonts w:ascii="Arial" w:cs="Arial" w:eastAsia="Arial" w:hAnsi="Arial"/>
                <w:sz w:val="14"/>
                <w:szCs w:val="14"/>
                <w:b w:val="1"/>
                <w:bCs w:val="1"/>
                <w:color w:val="auto"/>
              </w:rPr>
              <w:t>Preferred Stock</w:t>
            </w:r>
          </w:p>
        </w:tc>
        <w:tc>
          <w:tcPr>
            <w:tcW w:w="40" w:type="dxa"/>
            <w:vAlign w:val="bottom"/>
          </w:tcPr>
          <w:p>
            <w:pPr>
              <w:spacing w:after="0"/>
              <w:rPr>
                <w:sz w:val="5"/>
                <w:szCs w:val="5"/>
                <w:color w:val="auto"/>
              </w:rPr>
            </w:pPr>
          </w:p>
        </w:tc>
        <w:tc>
          <w:tcPr>
            <w:tcW w:w="1440" w:type="dxa"/>
            <w:vAlign w:val="bottom"/>
            <w:gridSpan w:val="3"/>
            <w:vMerge w:val="restart"/>
          </w:tcPr>
          <w:p>
            <w:pPr>
              <w:jc w:val="center"/>
              <w:ind w:left="212"/>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9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200" w:type="dxa"/>
            <w:vAlign w:val="bottom"/>
          </w:tcPr>
          <w:p>
            <w:pPr>
              <w:spacing w:after="0"/>
              <w:rPr>
                <w:sz w:val="9"/>
                <w:szCs w:val="9"/>
                <w:color w:val="auto"/>
              </w:rPr>
            </w:pPr>
          </w:p>
        </w:tc>
        <w:tc>
          <w:tcPr>
            <w:tcW w:w="2260" w:type="dxa"/>
            <w:vAlign w:val="bottom"/>
            <w:tcBorders>
              <w:right w:val="single" w:sz="8" w:color="auto"/>
            </w:tcBorders>
            <w:gridSpan w:val="6"/>
            <w:vMerge w:val="continue"/>
          </w:tcPr>
          <w:p>
            <w:pPr>
              <w:spacing w:after="0"/>
              <w:rPr>
                <w:sz w:val="9"/>
                <w:szCs w:val="9"/>
                <w:color w:val="auto"/>
              </w:rPr>
            </w:pPr>
          </w:p>
        </w:tc>
        <w:tc>
          <w:tcPr>
            <w:tcW w:w="4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Additional</w:t>
            </w: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Comprehensive</w:t>
            </w:r>
          </w:p>
        </w:tc>
        <w:tc>
          <w:tcPr>
            <w:tcW w:w="60" w:type="dxa"/>
            <w:vAlign w:val="bottom"/>
          </w:tcPr>
          <w:p>
            <w:pPr>
              <w:spacing w:after="0"/>
              <w:rPr>
                <w:sz w:val="9"/>
                <w:szCs w:val="9"/>
                <w:color w:val="auto"/>
              </w:rPr>
            </w:pPr>
          </w:p>
        </w:tc>
        <w:tc>
          <w:tcPr>
            <w:tcW w:w="10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9"/>
                <w:szCs w:val="9"/>
                <w:color w:val="auto"/>
              </w:rPr>
            </w:pPr>
          </w:p>
        </w:tc>
        <w:tc>
          <w:tcPr>
            <w:tcW w:w="1160" w:type="dxa"/>
            <w:vAlign w:val="bottom"/>
            <w:gridSpan w:val="3"/>
            <w:vMerge w:val="restart"/>
          </w:tcPr>
          <w:p>
            <w:pPr>
              <w:jc w:val="right"/>
              <w:ind w:right="81"/>
              <w:spacing w:after="0"/>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32"/>
        </w:trPr>
        <w:tc>
          <w:tcPr>
            <w:tcW w:w="220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20" w:type="dxa"/>
            <w:vAlign w:val="bottom"/>
            <w:tcBorders>
              <w:top w:val="single" w:sz="8" w:color="auto"/>
            </w:tcBorders>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20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1020" w:type="dxa"/>
            <w:vAlign w:val="bottom"/>
            <w:gridSpan w:val="3"/>
            <w:vMerge w:val="continue"/>
          </w:tcPr>
          <w:p>
            <w:pPr>
              <w:spacing w:after="0"/>
              <w:rPr>
                <w:sz w:val="2"/>
                <w:szCs w:val="2"/>
                <w:color w:val="auto"/>
              </w:rPr>
            </w:pPr>
          </w:p>
        </w:tc>
        <w:tc>
          <w:tcPr>
            <w:tcW w:w="60" w:type="dxa"/>
            <w:vAlign w:val="bottom"/>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200" w:type="dxa"/>
            <w:vAlign w:val="bottom"/>
          </w:tcPr>
          <w:p>
            <w:pPr>
              <w:spacing w:after="0"/>
              <w:rPr>
                <w:sz w:val="15"/>
                <w:szCs w:val="15"/>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5"/>
                <w:szCs w:val="15"/>
                <w:color w:val="auto"/>
              </w:rPr>
            </w:pPr>
          </w:p>
        </w:tc>
        <w:tc>
          <w:tcPr>
            <w:tcW w:w="1200" w:type="dxa"/>
            <w:vAlign w:val="bottom"/>
            <w:gridSpan w:val="2"/>
          </w:tcPr>
          <w:p>
            <w:pPr>
              <w:ind w:left="30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5"/>
                <w:szCs w:val="15"/>
                <w:color w:val="auto"/>
              </w:rPr>
            </w:pPr>
          </w:p>
        </w:tc>
        <w:tc>
          <w:tcPr>
            <w:tcW w:w="1140" w:type="dxa"/>
            <w:vAlign w:val="bottom"/>
            <w:gridSpan w:val="3"/>
          </w:tcPr>
          <w:p>
            <w:pPr>
              <w:spacing w:after="0"/>
              <w:rPr>
                <w:sz w:val="20"/>
                <w:szCs w:val="20"/>
                <w:color w:val="auto"/>
              </w:rPr>
            </w:pPr>
            <w:r>
              <w:rPr>
                <w:rFonts w:ascii="Arial" w:cs="Arial" w:eastAsia="Arial" w:hAnsi="Arial"/>
                <w:sz w:val="14"/>
                <w:szCs w:val="14"/>
                <w:b w:val="1"/>
                <w:bCs w:val="1"/>
                <w:color w:val="auto"/>
              </w:rPr>
              <w:t>Paid-in Capital</w:t>
            </w:r>
          </w:p>
        </w:tc>
        <w:tc>
          <w:tcPr>
            <w:tcW w:w="12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Income (Loss)</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261"/>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5"/>
                <w:szCs w:val="15"/>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rPr>
              <w:t>(Deficit) Equity</w:t>
            </w:r>
          </w:p>
        </w:tc>
        <w:tc>
          <w:tcPr>
            <w:tcW w:w="0" w:type="dxa"/>
            <w:vAlign w:val="bottom"/>
          </w:tcPr>
          <w:p>
            <w:pPr>
              <w:spacing w:after="0"/>
              <w:rPr>
                <w:sz w:val="1"/>
                <w:szCs w:val="1"/>
                <w:color w:val="auto"/>
              </w:rPr>
            </w:pPr>
          </w:p>
        </w:tc>
      </w:tr>
      <w:tr>
        <w:trPr>
          <w:trHeight w:val="160"/>
        </w:trPr>
        <w:tc>
          <w:tcPr>
            <w:tcW w:w="2200" w:type="dxa"/>
            <w:vAlign w:val="bottom"/>
            <w:tcBorders>
              <w:top w:val="single" w:sz="8" w:color="CCEEFF"/>
            </w:tcBorders>
            <w:shd w:val="clear" w:color="auto" w:fill="CCEEFF"/>
          </w:tcPr>
          <w:p>
            <w:pPr>
              <w:spacing w:after="0" w:line="160" w:lineRule="exact"/>
              <w:rPr>
                <w:sz w:val="20"/>
                <w:szCs w:val="20"/>
                <w:color w:val="auto"/>
              </w:rPr>
            </w:pPr>
            <w:r>
              <w:rPr>
                <w:rFonts w:ascii="Arial" w:cs="Arial" w:eastAsia="Arial" w:hAnsi="Arial"/>
                <w:sz w:val="18"/>
                <w:szCs w:val="18"/>
                <w:color w:val="auto"/>
              </w:rPr>
              <w:t>Balance at December 31,</w:t>
            </w:r>
          </w:p>
        </w:tc>
        <w:tc>
          <w:tcPr>
            <w:tcW w:w="11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right w:val="single" w:sz="8" w:color="auto"/>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0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2018</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91,595,100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107,228</w:t>
            </w:r>
          </w:p>
        </w:tc>
        <w:tc>
          <w:tcPr>
            <w:tcW w:w="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15,860,018</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3,961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(50,088)</w:t>
            </w: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(46,140)</w:t>
            </w:r>
          </w:p>
        </w:tc>
        <w:tc>
          <w:tcPr>
            <w:tcW w:w="0" w:type="dxa"/>
            <w:vAlign w:val="bottom"/>
          </w:tcPr>
          <w:p>
            <w:pPr>
              <w:spacing w:after="0"/>
              <w:rPr>
                <w:sz w:val="1"/>
                <w:szCs w:val="1"/>
                <w:color w:val="auto"/>
              </w:rPr>
            </w:pPr>
          </w:p>
        </w:tc>
      </w:tr>
      <w:tr>
        <w:trPr>
          <w:trHeight w:val="187"/>
        </w:trPr>
        <w:tc>
          <w:tcPr>
            <w:tcW w:w="2200" w:type="dxa"/>
            <w:vAlign w:val="bottom"/>
          </w:tcPr>
          <w:p>
            <w:pPr>
              <w:spacing w:after="0" w:line="187" w:lineRule="exact"/>
              <w:rPr>
                <w:sz w:val="20"/>
                <w:szCs w:val="20"/>
                <w:color w:val="auto"/>
              </w:rPr>
            </w:pPr>
            <w:r>
              <w:rPr>
                <w:rFonts w:ascii="Arial" w:cs="Arial" w:eastAsia="Arial" w:hAnsi="Arial"/>
                <w:sz w:val="18"/>
                <w:szCs w:val="18"/>
                <w:color w:val="auto"/>
              </w:rPr>
              <w:t>Exercise of stock options</w:t>
            </w: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200" w:type="dxa"/>
            <w:vAlign w:val="bottom"/>
          </w:tcPr>
          <w:p>
            <w:pPr>
              <w:ind w:left="180"/>
              <w:spacing w:after="0"/>
              <w:rPr>
                <w:sz w:val="20"/>
                <w:szCs w:val="20"/>
                <w:color w:val="auto"/>
              </w:rPr>
            </w:pPr>
            <w:r>
              <w:rPr>
                <w:rFonts w:ascii="Arial" w:cs="Arial" w:eastAsia="Arial" w:hAnsi="Arial"/>
                <w:sz w:val="18"/>
                <w:szCs w:val="18"/>
                <w:color w:val="auto"/>
              </w:rPr>
              <w:t>(unaudited)</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178,572</w:t>
            </w:r>
          </w:p>
        </w:tc>
        <w:tc>
          <w:tcPr>
            <w:tcW w:w="24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80"/>
        </w:trPr>
        <w:tc>
          <w:tcPr>
            <w:tcW w:w="220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Stock-based</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compensation expense</w:t>
            </w: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(unaudited)</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430</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03"/>
        </w:trPr>
        <w:tc>
          <w:tcPr>
            <w:tcW w:w="2200" w:type="dxa"/>
            <w:vAlign w:val="bottom"/>
          </w:tcPr>
          <w:p>
            <w:pPr>
              <w:spacing w:after="0" w:line="202" w:lineRule="exact"/>
              <w:rPr>
                <w:sz w:val="20"/>
                <w:szCs w:val="20"/>
                <w:color w:val="auto"/>
              </w:rPr>
            </w:pPr>
            <w:r>
              <w:rPr>
                <w:rFonts w:ascii="Arial" w:cs="Arial" w:eastAsia="Arial" w:hAnsi="Arial"/>
                <w:sz w:val="18"/>
                <w:szCs w:val="18"/>
                <w:color w:val="auto"/>
              </w:rPr>
              <w:t>Net loss (unaudited)</w:t>
            </w: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right w:val="single" w:sz="8" w:color="auto"/>
            </w:tcBorders>
            <w:gridSpan w:val="2"/>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200" w:type="dxa"/>
            <w:vAlign w:val="bottom"/>
            <w:gridSpan w:val="2"/>
          </w:tcPr>
          <w:p>
            <w:pPr>
              <w:jc w:val="center"/>
              <w:ind w:left="492"/>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3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ind w:left="62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6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(12,129)</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(12,129)</w:t>
            </w:r>
          </w:p>
        </w:tc>
        <w:tc>
          <w:tcPr>
            <w:tcW w:w="0" w:type="dxa"/>
            <w:vAlign w:val="bottom"/>
          </w:tcPr>
          <w:p>
            <w:pPr>
              <w:spacing w:after="0"/>
              <w:rPr>
                <w:sz w:val="1"/>
                <w:szCs w:val="1"/>
                <w:color w:val="auto"/>
              </w:rPr>
            </w:pPr>
          </w:p>
        </w:tc>
      </w:tr>
      <w:tr>
        <w:trPr>
          <w:trHeight w:val="180"/>
        </w:trPr>
        <w:tc>
          <w:tcPr>
            <w:tcW w:w="220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Unrealized gain on</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available for sale</w:t>
            </w: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 (unaudited)</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left="492"/>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9"/>
        </w:trPr>
        <w:tc>
          <w:tcPr>
            <w:tcW w:w="2200" w:type="dxa"/>
            <w:vAlign w:val="bottom"/>
          </w:tcPr>
          <w:p>
            <w:pPr>
              <w:spacing w:after="0"/>
              <w:rPr>
                <w:sz w:val="20"/>
                <w:szCs w:val="20"/>
                <w:color w:val="auto"/>
              </w:rPr>
            </w:pPr>
            <w:r>
              <w:rPr>
                <w:rFonts w:ascii="Arial" w:cs="Arial" w:eastAsia="Arial" w:hAnsi="Arial"/>
                <w:sz w:val="18"/>
                <w:szCs w:val="18"/>
                <w:color w:val="auto"/>
              </w:rPr>
              <w:t>Balance at June 30, 2019</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91,595,100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107,228</w:t>
            </w:r>
          </w:p>
        </w:tc>
        <w:tc>
          <w:tcPr>
            <w:tcW w:w="1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16,038,590</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4,491</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(62,217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(57,723</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200" w:type="dxa"/>
            <w:vAlign w:val="bottom"/>
            <w:shd w:val="clear" w:color="auto" w:fill="CCEEFF"/>
          </w:tcPr>
          <w:p>
            <w:pPr>
              <w:spacing w:after="0" w:line="174" w:lineRule="exact"/>
              <w:rPr>
                <w:sz w:val="20"/>
                <w:szCs w:val="20"/>
                <w:color w:val="auto"/>
              </w:rPr>
            </w:pPr>
            <w:r>
              <w:rPr>
                <w:rFonts w:ascii="Arial" w:cs="Arial" w:eastAsia="Arial" w:hAnsi="Arial"/>
                <w:sz w:val="18"/>
                <w:szCs w:val="18"/>
                <w:color w:val="auto"/>
              </w:rPr>
              <w:t>Balance at December 31,</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120,393,150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168,933</w:t>
            </w:r>
          </w:p>
        </w:tc>
        <w:tc>
          <w:tcPr>
            <w:tcW w:w="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16,038,590</w:t>
            </w:r>
          </w:p>
        </w:tc>
        <w:tc>
          <w:tcPr>
            <w:tcW w:w="2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4,969</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(75,440)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(70,474)</w:t>
            </w:r>
          </w:p>
        </w:tc>
        <w:tc>
          <w:tcPr>
            <w:tcW w:w="0" w:type="dxa"/>
            <w:vAlign w:val="bottom"/>
          </w:tcPr>
          <w:p>
            <w:pPr>
              <w:spacing w:after="0"/>
              <w:rPr>
                <w:sz w:val="1"/>
                <w:szCs w:val="1"/>
                <w:color w:val="auto"/>
              </w:rPr>
            </w:pPr>
          </w:p>
        </w:tc>
      </w:tr>
      <w:tr>
        <w:trPr>
          <w:trHeight w:val="187"/>
        </w:trPr>
        <w:tc>
          <w:tcPr>
            <w:tcW w:w="2200" w:type="dxa"/>
            <w:vAlign w:val="bottom"/>
          </w:tcPr>
          <w:p>
            <w:pPr>
              <w:spacing w:after="0" w:line="187" w:lineRule="exact"/>
              <w:rPr>
                <w:sz w:val="20"/>
                <w:szCs w:val="20"/>
                <w:color w:val="auto"/>
              </w:rPr>
            </w:pPr>
            <w:r>
              <w:rPr>
                <w:rFonts w:ascii="Arial" w:cs="Arial" w:eastAsia="Arial" w:hAnsi="Arial"/>
                <w:sz w:val="18"/>
                <w:szCs w:val="18"/>
                <w:color w:val="auto"/>
              </w:rPr>
              <w:t>Stock-based</w:t>
            </w: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00" w:type="dxa"/>
            <w:vAlign w:val="bottom"/>
          </w:tcPr>
          <w:p>
            <w:pPr>
              <w:ind w:left="180"/>
              <w:spacing w:after="0" w:line="202" w:lineRule="exact"/>
              <w:rPr>
                <w:sz w:val="20"/>
                <w:szCs w:val="20"/>
                <w:color w:val="auto"/>
              </w:rPr>
            </w:pPr>
            <w:r>
              <w:rPr>
                <w:rFonts w:ascii="Arial" w:cs="Arial" w:eastAsia="Arial" w:hAnsi="Arial"/>
                <w:sz w:val="18"/>
                <w:szCs w:val="18"/>
                <w:color w:val="auto"/>
              </w:rPr>
              <w:t>compensation expense</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200" w:type="dxa"/>
            <w:vAlign w:val="bottom"/>
          </w:tcPr>
          <w:p>
            <w:pPr>
              <w:ind w:left="180"/>
              <w:spacing w:after="0"/>
              <w:rPr>
                <w:sz w:val="20"/>
                <w:szCs w:val="20"/>
                <w:color w:val="auto"/>
              </w:rPr>
            </w:pPr>
            <w:r>
              <w:rPr>
                <w:rFonts w:ascii="Arial" w:cs="Arial" w:eastAsia="Arial" w:hAnsi="Arial"/>
                <w:sz w:val="18"/>
                <w:szCs w:val="18"/>
                <w:color w:val="auto"/>
              </w:rPr>
              <w:t>(unaudited)</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0" w:type="dxa"/>
            <w:vAlign w:val="bottom"/>
            <w:gridSpan w:val="2"/>
          </w:tcPr>
          <w:p>
            <w:pPr>
              <w:jc w:val="center"/>
              <w:ind w:left="492"/>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679</w:t>
            </w:r>
          </w:p>
        </w:tc>
        <w:tc>
          <w:tcPr>
            <w:tcW w:w="2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679</w:t>
            </w: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(unaudited)</w:t>
            </w: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left="492"/>
              <w:spacing w:after="0" w:line="202" w:lineRule="exact"/>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17"/>
                <w:szCs w:val="17"/>
                <w:color w:val="auto"/>
              </w:rPr>
            </w:pPr>
          </w:p>
        </w:tc>
        <w:tc>
          <w:tcPr>
            <w:tcW w:w="3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ind w:left="62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(15,221)</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(15,221)</w:t>
            </w:r>
          </w:p>
        </w:tc>
        <w:tc>
          <w:tcPr>
            <w:tcW w:w="0" w:type="dxa"/>
            <w:vAlign w:val="bottom"/>
          </w:tcPr>
          <w:p>
            <w:pPr>
              <w:spacing w:after="0"/>
              <w:rPr>
                <w:sz w:val="1"/>
                <w:szCs w:val="1"/>
                <w:color w:val="auto"/>
              </w:rPr>
            </w:pPr>
          </w:p>
        </w:tc>
      </w:tr>
      <w:tr>
        <w:trPr>
          <w:trHeight w:val="180"/>
        </w:trPr>
        <w:tc>
          <w:tcPr>
            <w:tcW w:w="2200" w:type="dxa"/>
            <w:vAlign w:val="bottom"/>
          </w:tcPr>
          <w:p>
            <w:pPr>
              <w:spacing w:after="0" w:line="180" w:lineRule="exact"/>
              <w:rPr>
                <w:sz w:val="20"/>
                <w:szCs w:val="20"/>
                <w:color w:val="auto"/>
              </w:rPr>
            </w:pPr>
            <w:r>
              <w:rPr>
                <w:rFonts w:ascii="Arial" w:cs="Arial" w:eastAsia="Arial" w:hAnsi="Arial"/>
                <w:sz w:val="18"/>
                <w:szCs w:val="18"/>
                <w:color w:val="auto"/>
              </w:rPr>
              <w:t>Unrealized gain on</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00" w:type="dxa"/>
            <w:vAlign w:val="bottom"/>
          </w:tcPr>
          <w:p>
            <w:pPr>
              <w:ind w:left="180"/>
              <w:spacing w:after="0" w:line="202" w:lineRule="exact"/>
              <w:rPr>
                <w:sz w:val="20"/>
                <w:szCs w:val="20"/>
                <w:color w:val="auto"/>
              </w:rPr>
            </w:pPr>
            <w:r>
              <w:rPr>
                <w:rFonts w:ascii="Arial" w:cs="Arial" w:eastAsia="Arial" w:hAnsi="Arial"/>
                <w:sz w:val="18"/>
                <w:szCs w:val="18"/>
                <w:color w:val="auto"/>
              </w:rPr>
              <w:t>available for sale</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200" w:type="dxa"/>
            <w:vAlign w:val="bottom"/>
          </w:tcPr>
          <w:p>
            <w:pPr>
              <w:ind w:left="180"/>
              <w:spacing w:after="0"/>
              <w:rPr>
                <w:sz w:val="20"/>
                <w:szCs w:val="20"/>
                <w:color w:val="auto"/>
              </w:rPr>
            </w:pPr>
            <w:r>
              <w:rPr>
                <w:rFonts w:ascii="Arial" w:cs="Arial" w:eastAsia="Arial" w:hAnsi="Arial"/>
                <w:sz w:val="18"/>
                <w:szCs w:val="18"/>
                <w:color w:val="auto"/>
              </w:rPr>
              <w:t>investments (unaudited)</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jc w:val="center"/>
              <w:ind w:left="612"/>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22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Balance at June 30, 2020</w:t>
            </w: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120,393,150</w:t>
            </w:r>
          </w:p>
        </w:tc>
        <w:tc>
          <w:tcPr>
            <w:tcW w:w="12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168,933</w:t>
            </w:r>
          </w:p>
        </w:tc>
        <w:tc>
          <w:tcPr>
            <w:tcW w:w="4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16,038,590</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w:t>
            </w:r>
          </w:p>
        </w:tc>
        <w:tc>
          <w:tcPr>
            <w:tcW w:w="18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w w:val="99"/>
              </w:rPr>
              <w:t>$</w:t>
            </w:r>
          </w:p>
        </w:tc>
        <w:tc>
          <w:tcPr>
            <w:tcW w:w="10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5,648</w:t>
            </w:r>
          </w:p>
        </w:tc>
        <w:tc>
          <w:tcPr>
            <w:tcW w:w="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5</w:t>
            </w:r>
          </w:p>
        </w:tc>
        <w:tc>
          <w:tcPr>
            <w:tcW w:w="24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(90,661)</w:t>
            </w:r>
          </w:p>
        </w:tc>
        <w:tc>
          <w:tcPr>
            <w:tcW w:w="280" w:type="dxa"/>
            <w:vAlign w:val="bottom"/>
            <w:gridSpan w:val="2"/>
            <w:shd w:val="clear" w:color="auto" w:fill="CCEEFF"/>
          </w:tcPr>
          <w:p>
            <w:pPr>
              <w:ind w:left="6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(85,008)</w:t>
            </w:r>
          </w:p>
        </w:tc>
        <w:tc>
          <w:tcPr>
            <w:tcW w:w="0" w:type="dxa"/>
            <w:vAlign w:val="bottom"/>
          </w:tcPr>
          <w:p>
            <w:pPr>
              <w:spacing w:after="0"/>
              <w:rPr>
                <w:sz w:val="1"/>
                <w:szCs w:val="1"/>
                <w:color w:val="auto"/>
              </w:rPr>
            </w:pPr>
          </w:p>
        </w:tc>
      </w:tr>
      <w:tr>
        <w:trPr>
          <w:trHeight w:val="187"/>
        </w:trPr>
        <w:tc>
          <w:tcPr>
            <w:tcW w:w="2200" w:type="dxa"/>
            <w:vAlign w:val="bottom"/>
          </w:tcPr>
          <w:p>
            <w:pPr>
              <w:spacing w:after="0" w:line="187" w:lineRule="exact"/>
              <w:rPr>
                <w:sz w:val="20"/>
                <w:szCs w:val="20"/>
                <w:color w:val="auto"/>
              </w:rPr>
            </w:pPr>
            <w:r>
              <w:rPr>
                <w:rFonts w:ascii="Arial" w:cs="Arial" w:eastAsia="Arial" w:hAnsi="Arial"/>
                <w:sz w:val="18"/>
                <w:szCs w:val="18"/>
                <w:color w:val="auto"/>
              </w:rPr>
              <w:t>Issuance of Series D</w:t>
            </w: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00" w:type="dxa"/>
            <w:vAlign w:val="bottom"/>
          </w:tcPr>
          <w:p>
            <w:pPr>
              <w:ind w:left="180"/>
              <w:spacing w:after="0" w:line="202" w:lineRule="exact"/>
              <w:rPr>
                <w:sz w:val="20"/>
                <w:szCs w:val="20"/>
                <w:color w:val="auto"/>
              </w:rPr>
            </w:pPr>
            <w:r>
              <w:rPr>
                <w:rFonts w:ascii="Arial" w:cs="Arial" w:eastAsia="Arial" w:hAnsi="Arial"/>
                <w:sz w:val="18"/>
                <w:szCs w:val="18"/>
                <w:color w:val="auto"/>
              </w:rPr>
              <w:t>Convertible Preferred</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200" w:type="dxa"/>
            <w:vAlign w:val="bottom"/>
          </w:tcPr>
          <w:p>
            <w:pPr>
              <w:ind w:left="180"/>
              <w:spacing w:after="0"/>
              <w:rPr>
                <w:sz w:val="20"/>
                <w:szCs w:val="20"/>
                <w:color w:val="auto"/>
              </w:rPr>
            </w:pPr>
            <w:r>
              <w:rPr>
                <w:rFonts w:ascii="Arial" w:cs="Arial" w:eastAsia="Arial" w:hAnsi="Arial"/>
                <w:sz w:val="18"/>
                <w:szCs w:val="18"/>
                <w:color w:val="auto"/>
              </w:rPr>
              <w:t>Stock (unaudited)</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28,020,172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8"/>
                <w:szCs w:val="18"/>
                <w:color w:val="auto"/>
              </w:rPr>
              <w:t>69,970</w:t>
            </w:r>
          </w:p>
        </w:tc>
        <w:tc>
          <w:tcPr>
            <w:tcW w:w="40" w:type="dxa"/>
            <w:vAlign w:val="bottom"/>
          </w:tcPr>
          <w:p>
            <w:pPr>
              <w:spacing w:after="0"/>
              <w:rPr>
                <w:sz w:val="19"/>
                <w:szCs w:val="19"/>
                <w:color w:val="auto"/>
              </w:rPr>
            </w:pPr>
          </w:p>
        </w:tc>
        <w:tc>
          <w:tcPr>
            <w:tcW w:w="1200" w:type="dxa"/>
            <w:vAlign w:val="bottom"/>
            <w:gridSpan w:val="2"/>
          </w:tcPr>
          <w:p>
            <w:pPr>
              <w:jc w:val="center"/>
              <w:ind w:left="492"/>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3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0"/>
        </w:trPr>
        <w:tc>
          <w:tcPr>
            <w:tcW w:w="2200" w:type="dxa"/>
            <w:vAlign w:val="bottom"/>
            <w:shd w:val="clear" w:color="auto" w:fill="CCEEFF"/>
          </w:tcPr>
          <w:p>
            <w:pPr>
              <w:spacing w:after="0" w:line="180" w:lineRule="exact"/>
              <w:rPr>
                <w:sz w:val="20"/>
                <w:szCs w:val="20"/>
                <w:color w:val="auto"/>
              </w:rPr>
            </w:pPr>
            <w:r>
              <w:rPr>
                <w:rFonts w:ascii="Arial" w:cs="Arial" w:eastAsia="Arial" w:hAnsi="Arial"/>
                <w:sz w:val="18"/>
                <w:szCs w:val="18"/>
                <w:color w:val="auto"/>
              </w:rPr>
              <w:t>Conversion of convertible</w:t>
            </w: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4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preferred stock into</w:t>
            </w: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rPr>
              <w:t>common stock</w:t>
            </w: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(unaudited)</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(148,413,322)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(238,903)</w:t>
            </w:r>
          </w:p>
        </w:tc>
        <w:tc>
          <w:tcPr>
            <w:tcW w:w="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148,413,322</w:t>
            </w:r>
          </w:p>
        </w:tc>
        <w:tc>
          <w:tcPr>
            <w:tcW w:w="24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238,901</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238,903</w:t>
            </w:r>
          </w:p>
        </w:tc>
        <w:tc>
          <w:tcPr>
            <w:tcW w:w="0" w:type="dxa"/>
            <w:vAlign w:val="bottom"/>
          </w:tcPr>
          <w:p>
            <w:pPr>
              <w:spacing w:after="0"/>
              <w:rPr>
                <w:sz w:val="1"/>
                <w:szCs w:val="1"/>
                <w:color w:val="auto"/>
              </w:rPr>
            </w:pPr>
          </w:p>
        </w:tc>
      </w:tr>
      <w:tr>
        <w:trPr>
          <w:trHeight w:val="187"/>
        </w:trPr>
        <w:tc>
          <w:tcPr>
            <w:tcW w:w="2200" w:type="dxa"/>
            <w:vAlign w:val="bottom"/>
          </w:tcPr>
          <w:p>
            <w:pPr>
              <w:spacing w:after="0" w:line="187" w:lineRule="exact"/>
              <w:rPr>
                <w:sz w:val="20"/>
                <w:szCs w:val="20"/>
                <w:color w:val="auto"/>
              </w:rPr>
            </w:pPr>
            <w:r>
              <w:rPr>
                <w:rFonts w:ascii="Arial" w:cs="Arial" w:eastAsia="Arial" w:hAnsi="Arial"/>
                <w:sz w:val="18"/>
                <w:szCs w:val="18"/>
                <w:color w:val="auto"/>
              </w:rPr>
              <w:t>Pro forma balance at</w:t>
            </w:r>
          </w:p>
        </w:tc>
        <w:tc>
          <w:tcPr>
            <w:tcW w:w="11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200" w:type="dxa"/>
            <w:vAlign w:val="bottom"/>
          </w:tcPr>
          <w:p>
            <w:pPr>
              <w:ind w:left="180"/>
              <w:spacing w:after="0"/>
              <w:rPr>
                <w:sz w:val="20"/>
                <w:szCs w:val="20"/>
                <w:color w:val="auto"/>
              </w:rPr>
            </w:pPr>
            <w:r>
              <w:rPr>
                <w:rFonts w:ascii="Arial" w:cs="Arial" w:eastAsia="Arial" w:hAnsi="Arial"/>
                <w:sz w:val="18"/>
                <w:szCs w:val="18"/>
                <w:color w:val="auto"/>
              </w:rPr>
              <w:t>June 30, 2020</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164,451,912</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2</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244,549</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(90,661)</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1"/>
              <w:spacing w:after="0"/>
              <w:rPr>
                <w:sz w:val="20"/>
                <w:szCs w:val="20"/>
                <w:color w:val="auto"/>
              </w:rPr>
            </w:pPr>
            <w:r>
              <w:rPr>
                <w:rFonts w:ascii="Arial" w:cs="Arial" w:eastAsia="Arial" w:hAnsi="Arial"/>
                <w:sz w:val="18"/>
                <w:szCs w:val="18"/>
                <w:color w:val="auto"/>
              </w:rPr>
              <w:t>153,895</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140"/>
          </w:cols>
          <w:pgMar w:left="320" w:top="455" w:right="439" w:bottom="1440" w:gutter="0" w:footer="0" w:header="0"/>
        </w:sectPr>
      </w:pPr>
    </w:p>
    <w:bookmarkStart w:id="239" w:name="page240"/>
    <w:bookmarkEnd w:id="2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Condensed Statements of Cash Flows</w:t>
      </w:r>
    </w:p>
    <w:p>
      <w:pPr>
        <w:jc w:val="center"/>
        <w:ind w:right="-9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4"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8360" w:type="dxa"/>
            <w:vAlign w:val="bottom"/>
          </w:tcPr>
          <w:p>
            <w:pPr>
              <w:spacing w:after="0"/>
              <w:rPr>
                <w:sz w:val="14"/>
                <w:szCs w:val="14"/>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Six Months</w:t>
            </w:r>
          </w:p>
        </w:tc>
        <w:tc>
          <w:tcPr>
            <w:tcW w:w="28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Six Months</w:t>
            </w:r>
          </w:p>
        </w:tc>
      </w:tr>
      <w:tr>
        <w:trPr>
          <w:trHeight w:val="162"/>
        </w:trPr>
        <w:tc>
          <w:tcPr>
            <w:tcW w:w="8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rPr>
              <w:t>Ended</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Ended</w:t>
            </w:r>
          </w:p>
        </w:tc>
      </w:tr>
      <w:tr>
        <w:trPr>
          <w:trHeight w:val="162"/>
        </w:trPr>
        <w:tc>
          <w:tcPr>
            <w:tcW w:w="836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2019</w:t>
            </w:r>
          </w:p>
        </w:tc>
        <w:tc>
          <w:tcPr>
            <w:tcW w:w="2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 2020</w:t>
            </w:r>
          </w:p>
        </w:tc>
      </w:tr>
      <w:tr>
        <w:trPr>
          <w:trHeight w:val="177"/>
        </w:trPr>
        <w:tc>
          <w:tcPr>
            <w:tcW w:w="8360" w:type="dxa"/>
            <w:vAlign w:val="bottom"/>
          </w:tcPr>
          <w:p>
            <w:pPr>
              <w:spacing w:after="0"/>
              <w:rPr>
                <w:sz w:val="15"/>
                <w:szCs w:val="15"/>
                <w:color w:val="auto"/>
              </w:rPr>
            </w:pPr>
          </w:p>
        </w:tc>
        <w:tc>
          <w:tcPr>
            <w:tcW w:w="13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280" w:type="dxa"/>
            <w:vAlign w:val="bottom"/>
          </w:tcPr>
          <w:p>
            <w:pPr>
              <w:spacing w:after="0"/>
              <w:rPr>
                <w:sz w:val="15"/>
                <w:szCs w:val="15"/>
                <w:color w:val="auto"/>
              </w:rPr>
            </w:pPr>
          </w:p>
        </w:tc>
        <w:tc>
          <w:tcPr>
            <w:tcW w:w="10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(unaudited)</w:t>
            </w:r>
          </w:p>
        </w:tc>
      </w:tr>
      <w:tr>
        <w:trPr>
          <w:trHeight w:val="183"/>
        </w:trPr>
        <w:tc>
          <w:tcPr>
            <w:tcW w:w="83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Net loss</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(12,129)</w:t>
            </w:r>
          </w:p>
        </w:tc>
        <w:tc>
          <w:tcPr>
            <w:tcW w:w="46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(15,221)</w:t>
            </w: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Stock based compensation</w:t>
            </w:r>
          </w:p>
        </w:tc>
        <w:tc>
          <w:tcPr>
            <w:tcW w:w="180" w:type="dxa"/>
            <w:vAlign w:val="bottom"/>
          </w:tcPr>
          <w:p>
            <w:pPr>
              <w:spacing w:after="0"/>
              <w:rPr>
                <w:sz w:val="17"/>
                <w:szCs w:val="17"/>
                <w:color w:val="auto"/>
              </w:rPr>
            </w:pP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430</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679</w:t>
            </w: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Depreciation</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186</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182</w:t>
            </w: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Amortization of premiums on marketable securities</w:t>
            </w:r>
          </w:p>
        </w:tc>
        <w:tc>
          <w:tcPr>
            <w:tcW w:w="180" w:type="dxa"/>
            <w:vAlign w:val="bottom"/>
          </w:tcPr>
          <w:p>
            <w:pPr>
              <w:spacing w:after="0"/>
              <w:rPr>
                <w:sz w:val="17"/>
                <w:szCs w:val="17"/>
                <w:color w:val="auto"/>
              </w:rPr>
            </w:pP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35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147</w:t>
            </w:r>
          </w:p>
        </w:tc>
      </w:tr>
      <w:tr>
        <w:trPr>
          <w:trHeight w:val="203"/>
        </w:trPr>
        <w:tc>
          <w:tcPr>
            <w:tcW w:w="836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43</w:t>
            </w:r>
          </w:p>
        </w:tc>
      </w:tr>
      <w:tr>
        <w:trPr>
          <w:trHeight w:val="203"/>
        </w:trPr>
        <w:tc>
          <w:tcPr>
            <w:tcW w:w="8360" w:type="dxa"/>
            <w:vAlign w:val="bottom"/>
          </w:tcPr>
          <w:p>
            <w:pPr>
              <w:ind w:left="720"/>
              <w:spacing w:after="0" w:line="202" w:lineRule="exact"/>
              <w:rPr>
                <w:sz w:val="20"/>
                <w:szCs w:val="20"/>
                <w:color w:val="auto"/>
              </w:rPr>
            </w:pPr>
            <w:r>
              <w:rPr>
                <w:rFonts w:ascii="Arial" w:cs="Arial" w:eastAsia="Arial" w:hAnsi="Arial"/>
                <w:sz w:val="18"/>
                <w:szCs w:val="18"/>
                <w:color w:val="auto"/>
              </w:rPr>
              <w:t>Prepaid expenses and other assets</w:t>
            </w:r>
          </w:p>
        </w:tc>
        <w:tc>
          <w:tcPr>
            <w:tcW w:w="180" w:type="dxa"/>
            <w:vAlign w:val="bottom"/>
          </w:tcPr>
          <w:p>
            <w:pPr>
              <w:spacing w:after="0"/>
              <w:rPr>
                <w:sz w:val="17"/>
                <w:szCs w:val="17"/>
                <w:color w:val="auto"/>
              </w:rPr>
            </w:pPr>
          </w:p>
        </w:tc>
        <w:tc>
          <w:tcPr>
            <w:tcW w:w="11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(95)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(44)</w:t>
            </w:r>
          </w:p>
        </w:tc>
      </w:tr>
      <w:tr>
        <w:trPr>
          <w:trHeight w:val="203"/>
        </w:trPr>
        <w:tc>
          <w:tcPr>
            <w:tcW w:w="8360" w:type="dxa"/>
            <w:vAlign w:val="bottom"/>
            <w:shd w:val="clear" w:color="auto" w:fill="CCEEFF"/>
          </w:tcPr>
          <w:p>
            <w:pPr>
              <w:ind w:left="720"/>
              <w:spacing w:after="0" w:line="202" w:lineRule="exact"/>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137</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(1,205)</w:t>
            </w:r>
          </w:p>
        </w:tc>
      </w:tr>
      <w:tr>
        <w:trPr>
          <w:trHeight w:val="210"/>
        </w:trPr>
        <w:tc>
          <w:tcPr>
            <w:tcW w:w="8360" w:type="dxa"/>
            <w:vAlign w:val="bottom"/>
          </w:tcPr>
          <w:p>
            <w:pPr>
              <w:ind w:left="720"/>
              <w:spacing w:after="0" w:line="202" w:lineRule="exact"/>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385</w:t>
            </w:r>
          </w:p>
        </w:tc>
        <w:tc>
          <w:tcPr>
            <w:tcW w:w="120" w:type="dxa"/>
            <w:vAlign w:val="bottom"/>
          </w:tcPr>
          <w:p>
            <w:pPr>
              <w:spacing w:after="0"/>
              <w:rPr>
                <w:sz w:val="18"/>
                <w:szCs w:val="18"/>
                <w:color w:val="auto"/>
              </w:rPr>
            </w:pPr>
          </w:p>
        </w:tc>
      </w:tr>
      <w:tr>
        <w:trPr>
          <w:trHeight w:val="203"/>
        </w:trPr>
        <w:tc>
          <w:tcPr>
            <w:tcW w:w="836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cash used in operating activities</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(11,211)</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(15,034)</w:t>
            </w:r>
          </w:p>
        </w:tc>
      </w:tr>
      <w:tr>
        <w:trPr>
          <w:trHeight w:val="209"/>
        </w:trPr>
        <w:tc>
          <w:tcPr>
            <w:tcW w:w="83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Acquisition of property and equipment</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(101)</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(51)</w:t>
            </w: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Purchase of marketable securities</w:t>
            </w:r>
          </w:p>
        </w:tc>
        <w:tc>
          <w:tcPr>
            <w:tcW w:w="180" w:type="dxa"/>
            <w:vAlign w:val="bottom"/>
          </w:tcPr>
          <w:p>
            <w:pPr>
              <w:spacing w:after="0"/>
              <w:rPr>
                <w:sz w:val="17"/>
                <w:szCs w:val="17"/>
                <w:color w:val="auto"/>
              </w:rPr>
            </w:pPr>
          </w:p>
        </w:tc>
        <w:tc>
          <w:tcPr>
            <w:tcW w:w="112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(10,735)</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(14,618)</w:t>
            </w: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Maturities of marketable securities</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33,610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34,600</w:t>
            </w:r>
          </w:p>
        </w:tc>
      </w:tr>
      <w:tr>
        <w:trPr>
          <w:trHeight w:val="217"/>
        </w:trPr>
        <w:tc>
          <w:tcPr>
            <w:tcW w:w="8360" w:type="dxa"/>
            <w:vAlign w:val="bottom"/>
          </w:tcPr>
          <w:p>
            <w:pPr>
              <w:ind w:left="1080"/>
              <w:spacing w:after="0"/>
              <w:rPr>
                <w:sz w:val="20"/>
                <w:szCs w:val="20"/>
                <w:color w:val="auto"/>
              </w:rPr>
            </w:pPr>
            <w:r>
              <w:rPr>
                <w:rFonts w:ascii="Arial" w:cs="Arial" w:eastAsia="Arial" w:hAnsi="Arial"/>
                <w:sz w:val="18"/>
                <w:szCs w:val="18"/>
                <w:color w:val="auto"/>
              </w:rPr>
              <w:t>Net cash provided by investing activities</w:t>
            </w: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22,774</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19,931</w:t>
            </w:r>
          </w:p>
        </w:tc>
        <w:tc>
          <w:tcPr>
            <w:tcW w:w="120" w:type="dxa"/>
            <w:vAlign w:val="bottom"/>
          </w:tcPr>
          <w:p>
            <w:pPr>
              <w:spacing w:after="0"/>
              <w:rPr>
                <w:sz w:val="18"/>
                <w:szCs w:val="18"/>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color w:val="auto"/>
              </w:rPr>
              <w:t>Payment of deferred offering costs</w:t>
            </w:r>
          </w:p>
        </w:tc>
        <w:tc>
          <w:tcPr>
            <w:tcW w:w="180" w:type="dxa"/>
            <w:vAlign w:val="bottom"/>
          </w:tcPr>
          <w:p>
            <w:pPr>
              <w:spacing w:after="0"/>
              <w:rPr>
                <w:sz w:val="17"/>
                <w:szCs w:val="17"/>
                <w:color w:val="auto"/>
              </w:rPr>
            </w:pPr>
          </w:p>
        </w:tc>
        <w:tc>
          <w:tcPr>
            <w:tcW w:w="11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(124)</w:t>
            </w:r>
          </w:p>
        </w:tc>
      </w:tr>
      <w:tr>
        <w:trPr>
          <w:trHeight w:val="202"/>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Proceeds from exercise of stock options</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100</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r>
      <w:tr>
        <w:trPr>
          <w:trHeight w:val="217"/>
        </w:trPr>
        <w:tc>
          <w:tcPr>
            <w:tcW w:w="8360" w:type="dxa"/>
            <w:vAlign w:val="bottom"/>
          </w:tcPr>
          <w:p>
            <w:pPr>
              <w:ind w:left="108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8"/>
                <w:szCs w:val="18"/>
                <w:color w:val="auto"/>
              </w:rPr>
            </w:pPr>
          </w:p>
        </w:tc>
      </w:tr>
      <w:tr>
        <w:trPr>
          <w:trHeight w:val="203"/>
        </w:trPr>
        <w:tc>
          <w:tcPr>
            <w:tcW w:w="8360" w:type="dxa"/>
            <w:vAlign w:val="bottom"/>
            <w:shd w:val="clear" w:color="auto" w:fill="CCEEFF"/>
          </w:tcPr>
          <w:p>
            <w:pPr>
              <w:ind w:left="1080"/>
              <w:spacing w:after="0" w:line="202" w:lineRule="exact"/>
              <w:rPr>
                <w:sz w:val="20"/>
                <w:szCs w:val="20"/>
                <w:color w:val="auto"/>
              </w:rPr>
            </w:pPr>
            <w:r>
              <w:rPr>
                <w:rFonts w:ascii="Arial" w:cs="Arial" w:eastAsia="Arial" w:hAnsi="Arial"/>
                <w:sz w:val="18"/>
                <w:szCs w:val="18"/>
                <w:color w:val="auto"/>
              </w:rPr>
              <w:t>Net increase in cash and cash equivalents</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11,663</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4,773</w:t>
            </w:r>
          </w:p>
        </w:tc>
      </w:tr>
      <w:tr>
        <w:trPr>
          <w:trHeight w:val="203"/>
        </w:trPr>
        <w:tc>
          <w:tcPr>
            <w:tcW w:w="8360" w:type="dxa"/>
            <w:vAlign w:val="bottom"/>
          </w:tcPr>
          <w:p>
            <w:pPr>
              <w:spacing w:after="0" w:line="202" w:lineRule="exact"/>
              <w:rPr>
                <w:sz w:val="20"/>
                <w:szCs w:val="20"/>
                <w:color w:val="auto"/>
              </w:rPr>
            </w:pPr>
            <w:r>
              <w:rPr>
                <w:rFonts w:ascii="Arial" w:cs="Arial" w:eastAsia="Arial" w:hAnsi="Arial"/>
                <w:sz w:val="18"/>
                <w:szCs w:val="18"/>
                <w:b w:val="1"/>
                <w:bCs w:val="1"/>
                <w:color w:val="auto"/>
              </w:rPr>
              <w:t>Cash and cash equivalents</w:t>
            </w: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Cash and cash equivalents - beginning of period</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340"/>
              <w:spacing w:after="0" w:line="202" w:lineRule="exact"/>
              <w:rPr>
                <w:sz w:val="20"/>
                <w:szCs w:val="20"/>
                <w:color w:val="auto"/>
              </w:rPr>
            </w:pPr>
            <w:r>
              <w:rPr>
                <w:rFonts w:ascii="Arial" w:cs="Arial" w:eastAsia="Arial" w:hAnsi="Arial"/>
                <w:sz w:val="18"/>
                <w:szCs w:val="18"/>
                <w:color w:val="auto"/>
              </w:rPr>
              <w:t>30,307</w:t>
            </w: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73,278</w:t>
            </w:r>
          </w:p>
        </w:tc>
      </w:tr>
      <w:tr>
        <w:trPr>
          <w:trHeight w:val="210"/>
        </w:trPr>
        <w:tc>
          <w:tcPr>
            <w:tcW w:w="8360" w:type="dxa"/>
            <w:vAlign w:val="bottom"/>
          </w:tcPr>
          <w:p>
            <w:pPr>
              <w:spacing w:after="0"/>
              <w:rPr>
                <w:sz w:val="20"/>
                <w:szCs w:val="20"/>
                <w:color w:val="auto"/>
              </w:rPr>
            </w:pPr>
            <w:r>
              <w:rPr>
                <w:rFonts w:ascii="Arial" w:cs="Arial" w:eastAsia="Arial" w:hAnsi="Arial"/>
                <w:sz w:val="18"/>
                <w:szCs w:val="18"/>
                <w:color w:val="auto"/>
              </w:rPr>
              <w:t>Cash and cash equivalents - end of period</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41,970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78,051</w:t>
            </w:r>
          </w:p>
        </w:tc>
        <w:tc>
          <w:tcPr>
            <w:tcW w:w="120" w:type="dxa"/>
            <w:vAlign w:val="bottom"/>
          </w:tcPr>
          <w:p>
            <w:pPr>
              <w:spacing w:after="0"/>
              <w:rPr>
                <w:sz w:val="18"/>
                <w:szCs w:val="18"/>
                <w:color w:val="auto"/>
              </w:rPr>
            </w:pPr>
          </w:p>
        </w:tc>
      </w:tr>
      <w:tr>
        <w:trPr>
          <w:trHeight w:val="20"/>
        </w:trPr>
        <w:tc>
          <w:tcPr>
            <w:tcW w:w="8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8360" w:type="dxa"/>
            <w:vAlign w:val="bottom"/>
          </w:tcPr>
          <w:p>
            <w:pPr>
              <w:ind w:left="360"/>
              <w:spacing w:after="0" w:line="202" w:lineRule="exact"/>
              <w:rPr>
                <w:sz w:val="20"/>
                <w:szCs w:val="20"/>
                <w:color w:val="auto"/>
              </w:rPr>
            </w:pPr>
            <w:r>
              <w:rPr>
                <w:rFonts w:ascii="Arial" w:cs="Arial" w:eastAsia="Arial" w:hAnsi="Arial"/>
                <w:sz w:val="18"/>
                <w:szCs w:val="18"/>
                <w:color w:val="auto"/>
              </w:rPr>
              <w:t>Cash paid for income tax</w:t>
            </w:r>
          </w:p>
        </w:tc>
        <w:tc>
          <w:tcPr>
            <w:tcW w:w="18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40"/>
              <w:spacing w:after="0" w:line="202" w:lineRule="exact"/>
              <w:rPr>
                <w:sz w:val="20"/>
                <w:szCs w:val="20"/>
                <w:color w:val="auto"/>
              </w:rPr>
            </w:pPr>
            <w:r>
              <w:rPr>
                <w:rFonts w:ascii="Arial" w:cs="Arial" w:eastAsia="Arial" w:hAnsi="Arial"/>
                <w:sz w:val="18"/>
                <w:szCs w:val="18"/>
                <w:color w:val="auto"/>
              </w:rPr>
              <w:t>2</w:t>
            </w:r>
          </w:p>
        </w:tc>
        <w:tc>
          <w:tcPr>
            <w:tcW w:w="460" w:type="dxa"/>
            <w:vAlign w:val="bottom"/>
            <w:gridSpan w:val="2"/>
          </w:tcPr>
          <w:p>
            <w:pPr>
              <w:ind w:left="280"/>
              <w:spacing w:after="0" w:line="202" w:lineRule="exact"/>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w:t>
            </w:r>
          </w:p>
        </w:tc>
      </w:tr>
      <w:tr>
        <w:trPr>
          <w:trHeight w:val="203"/>
        </w:trPr>
        <w:tc>
          <w:tcPr>
            <w:tcW w:w="8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Supplemental disclosures of noncash financing activities</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43"/>
        </w:trPr>
        <w:tc>
          <w:tcPr>
            <w:tcW w:w="8360" w:type="dxa"/>
            <w:vAlign w:val="bottom"/>
          </w:tcPr>
          <w:p>
            <w:pPr>
              <w:ind w:left="360"/>
              <w:spacing w:after="0"/>
              <w:rPr>
                <w:sz w:val="20"/>
                <w:szCs w:val="20"/>
                <w:color w:val="auto"/>
              </w:rPr>
            </w:pPr>
            <w:r>
              <w:rPr>
                <w:rFonts w:ascii="Arial" w:cs="Arial" w:eastAsia="Arial" w:hAnsi="Arial"/>
                <w:sz w:val="18"/>
                <w:szCs w:val="18"/>
                <w:color w:val="auto"/>
              </w:rPr>
              <w:t>Unpaid offering costs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1,382</w:t>
            </w:r>
          </w:p>
        </w:tc>
      </w:tr>
    </w:tbl>
    <w:p>
      <w:pPr>
        <w:spacing w:after="0" w:line="15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these condensed financial statements.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40"/>
          </w:cols>
          <w:pgMar w:left="320" w:top="455" w:right="439" w:bottom="1440" w:gutter="0" w:footer="0" w:header="0"/>
        </w:sectPr>
      </w:pPr>
    </w:p>
    <w:bookmarkStart w:id="240" w:name="page241"/>
    <w:bookmarkEnd w:id="2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PMV Pharmaceuticals, Inc.</w:t>
      </w:r>
    </w:p>
    <w:p>
      <w:pPr>
        <w:spacing w:after="0" w:line="1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Condensed Financial Statements</w:t>
      </w:r>
    </w:p>
    <w:p>
      <w:pPr>
        <w:jc w:val="center"/>
        <w:ind w:right="-219"/>
        <w:spacing w:after="0" w:line="234" w:lineRule="auto"/>
        <w:rPr>
          <w:sz w:val="20"/>
          <w:szCs w:val="20"/>
          <w:color w:val="auto"/>
        </w:rPr>
      </w:pPr>
      <w:r>
        <w:rPr>
          <w:rFonts w:ascii="Arial" w:cs="Arial" w:eastAsia="Arial" w:hAnsi="Arial"/>
          <w:sz w:val="18"/>
          <w:szCs w:val="18"/>
          <w:b w:val="1"/>
          <w:bCs w:val="1"/>
          <w:color w:val="auto"/>
        </w:rPr>
        <w:t>(unaudited)</w:t>
      </w:r>
    </w:p>
    <w:p>
      <w:pPr>
        <w:spacing w:after="0" w:line="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 Formation and Business of the Company</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Organization</w:t>
      </w:r>
    </w:p>
    <w:p>
      <w:pPr>
        <w:spacing w:after="0" w:line="104" w:lineRule="exact"/>
        <w:rPr>
          <w:sz w:val="20"/>
          <w:szCs w:val="20"/>
          <w:color w:val="auto"/>
        </w:rPr>
      </w:pPr>
    </w:p>
    <w:p>
      <w:pPr>
        <w:ind w:left="120" w:right="180" w:firstLine="551"/>
        <w:spacing w:after="0" w:line="248" w:lineRule="auto"/>
        <w:rPr>
          <w:sz w:val="20"/>
          <w:szCs w:val="20"/>
          <w:color w:val="auto"/>
        </w:rPr>
      </w:pPr>
      <w:r>
        <w:rPr>
          <w:rFonts w:ascii="Arial" w:cs="Arial" w:eastAsia="Arial" w:hAnsi="Arial"/>
          <w:sz w:val="18"/>
          <w:szCs w:val="18"/>
          <w:color w:val="auto"/>
        </w:rPr>
        <w:t>PMV Pharmaceuticals, Inc. (the “Company”) was incorporated in the state of Delaware in March 2013. Since inception, the Company has devoted substantially all of its time and efforts to performing research and development activities and raising capital. The Company is a precision oncology company pioneering the discovery and development of small molecule, tumor-agnostic therapies targeting p53 mutations. The Company’s headquarters are located in Cranbury, New Jersey.</w:t>
      </w:r>
    </w:p>
    <w:p>
      <w:pPr>
        <w:spacing w:after="0" w:line="170" w:lineRule="exact"/>
        <w:rPr>
          <w:sz w:val="20"/>
          <w:szCs w:val="20"/>
          <w:color w:val="auto"/>
        </w:rPr>
      </w:pPr>
    </w:p>
    <w:p>
      <w:pPr>
        <w:ind w:left="120" w:right="140" w:firstLine="551"/>
        <w:spacing w:after="0"/>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technical risks associated with the successful research, development and manufacturing of product candidates, development by competitors of new technological innovations, dependence on key personnel, protection of proprietary technology, compliance with government regulations and the ability to secure additional capital to fund operations. Current and future programs will require significant research and development efforts, including extensive preclinical and clinical testing and regulatory approval prior to commercialization. These efforts require significant amounts of additional capital, adequate personnel and infrastructure. Even if the Company’s product development efforts are successful, it is uncertain when, if ever, the Company will realize significant revenue from product sales.</w:t>
      </w:r>
    </w:p>
    <w:p>
      <w:pPr>
        <w:spacing w:after="0" w:line="180" w:lineRule="exact"/>
        <w:rPr>
          <w:sz w:val="20"/>
          <w:szCs w:val="20"/>
          <w:color w:val="auto"/>
        </w:rPr>
      </w:pPr>
    </w:p>
    <w:p>
      <w:pPr>
        <w:ind w:left="120" w:right="40" w:firstLine="551"/>
        <w:spacing w:after="0" w:line="241" w:lineRule="auto"/>
        <w:rPr>
          <w:sz w:val="20"/>
          <w:szCs w:val="20"/>
          <w:color w:val="auto"/>
        </w:rPr>
      </w:pPr>
      <w:r>
        <w:rPr>
          <w:rFonts w:ascii="Arial" w:cs="Arial" w:eastAsia="Arial" w:hAnsi="Arial"/>
          <w:sz w:val="18"/>
          <w:szCs w:val="18"/>
          <w:color w:val="auto"/>
        </w:rPr>
        <w:t>The Company has incurred net losses and negative cash flows from operations. During the six months ended June 30, 2020, the Company incurred a net loss of $15,221 and used $15,034 of cash for operations. At June 30, 2020, the Company had accumulated deficit of $90,661. Cash, cash equivalents and short-term marketable securities at June 30, 2020 were $86,136. Management expects to incur substantial additional operating losses for the next several years and will need to obtain additional debt or equity financings in order to complete development of its products, obtain regulatory approvals, launch and commercialize its products and continue research and development programs. The Company believes it has adequate cash and financial resources to operate for at least the next twelve months from the date of issuance of these financial statements.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 Summary of Significant Accounting Policies</w:t>
      </w:r>
    </w:p>
    <w:p>
      <w:pPr>
        <w:spacing w:after="0" w:line="104" w:lineRule="exact"/>
        <w:rPr>
          <w:sz w:val="20"/>
          <w:szCs w:val="20"/>
          <w:color w:val="auto"/>
        </w:rPr>
      </w:pPr>
    </w:p>
    <w:p>
      <w:pPr>
        <w:jc w:val="both"/>
        <w:ind w:left="120" w:right="100" w:firstLine="551"/>
        <w:spacing w:after="0" w:line="255" w:lineRule="auto"/>
        <w:rPr>
          <w:sz w:val="20"/>
          <w:szCs w:val="20"/>
          <w:color w:val="auto"/>
        </w:rPr>
      </w:pPr>
      <w:r>
        <w:rPr>
          <w:rFonts w:ascii="Arial" w:cs="Arial" w:eastAsia="Arial" w:hAnsi="Arial"/>
          <w:sz w:val="18"/>
          <w:szCs w:val="18"/>
          <w:color w:val="auto"/>
        </w:rPr>
        <w:t>The Company’s significant accounting policies are disclosed in the audited financial statements for the year ended December 31, 2019, included elsewhere in this prospectus. Since the date of those financial statements, there have been no changes to its significant accounting policies except as noted below.</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ind w:left="120" w:firstLine="551"/>
        <w:spacing w:after="0" w:line="260" w:lineRule="auto"/>
        <w:rPr>
          <w:sz w:val="20"/>
          <w:szCs w:val="20"/>
          <w:color w:val="auto"/>
        </w:rPr>
      </w:pPr>
      <w:r>
        <w:rPr>
          <w:rFonts w:ascii="Arial" w:cs="Arial" w:eastAsia="Arial" w:hAnsi="Arial"/>
          <w:sz w:val="17"/>
          <w:szCs w:val="17"/>
          <w:color w:val="auto"/>
        </w:rPr>
        <w:t>The unaudited interim condensed financial statements have been prepared on the same basis as the audited financial statements. In the opinion of the Company’s management, the accompanying unaudited interim consolidated financial statements contain all adjustments that are necessary to present fairly the Company’s financial position as of June 30, 2020, the results of its operations and other comprehensive loss for the six months ended June 30, 2020 and 2019, convertible preferred stock and stockholders’ deficit for the six months ended June 30, 2020 and 2019 and cash flows for the six months ended June 30, 2020 and 2019. Such adjustments are of a normal and recurring nature. The results for the six months ended June 30, 2020 are not necessarily indicative of the results for the</w:t>
      </w:r>
    </w:p>
    <w:p>
      <w:pPr>
        <w:spacing w:after="0" w:line="9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020"/>
          </w:cols>
          <w:pgMar w:left="320" w:top="455" w:right="559" w:bottom="1440" w:gutter="0" w:footer="0" w:header="0"/>
        </w:sectPr>
      </w:pPr>
    </w:p>
    <w:bookmarkStart w:id="241" w:name="page242"/>
    <w:bookmarkEnd w:id="2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year ending December 31, 2020, or for any future period. These interim financial statements should be read in conjunction with the audited financial statements as of and for the year ended December 31, 2019, and the notes thereto, which are included elsewhere in this prospectus.</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Cash, Cash Equivalents and Marketable Securities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Management considers all highly liquid investments with original maturities of three months or less to be cash equivalents.</w:t>
      </w:r>
    </w:p>
    <w:p>
      <w:pPr>
        <w:spacing w:after="0" w:line="212" w:lineRule="exact"/>
        <w:rPr>
          <w:sz w:val="20"/>
          <w:szCs w:val="20"/>
          <w:color w:val="auto"/>
        </w:rPr>
      </w:pPr>
    </w:p>
    <w:p>
      <w:pPr>
        <w:ind w:left="120" w:right="80" w:firstLine="551"/>
        <w:spacing w:after="0" w:line="241" w:lineRule="auto"/>
        <w:rPr>
          <w:sz w:val="20"/>
          <w:szCs w:val="20"/>
          <w:color w:val="auto"/>
        </w:rPr>
      </w:pPr>
      <w:r>
        <w:rPr>
          <w:rFonts w:ascii="Arial" w:cs="Arial" w:eastAsia="Arial" w:hAnsi="Arial"/>
          <w:sz w:val="18"/>
          <w:szCs w:val="18"/>
          <w:color w:val="auto"/>
        </w:rPr>
        <w:t>The Company’s marketable debt securities have been classified and accounted for as available-for-sale. The Company classifies its marketable debt securities as either short-term or long-term based on each instrument’s underlying contractual maturity date. Marketable debt securities with maturities of 12 months or less are classified as short-term and marketable debt securities with maturities greater than 12 months are classified as long-term. The Company’s marketable debt securities are carried at fair value, with unrealized gains and losses, net of taxes, reported as a component of accumulated other comprehensive loss in stockholders’ deficit. Premiums and discounts on marketable debt securities are amortized into earnings over the life of the security. For the six-months ended June 30, 2019 and 2020, the Company recorded $35 and $147 of amortization, respectively.</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Comprehensive Income/Loss</w:t>
      </w:r>
    </w:p>
    <w:p>
      <w:pPr>
        <w:spacing w:after="0" w:line="104" w:lineRule="exact"/>
        <w:rPr>
          <w:sz w:val="20"/>
          <w:szCs w:val="20"/>
          <w:color w:val="auto"/>
        </w:rPr>
      </w:pPr>
    </w:p>
    <w:p>
      <w:pPr>
        <w:ind w:left="120" w:right="40" w:firstLine="551"/>
        <w:spacing w:after="0" w:line="255" w:lineRule="auto"/>
        <w:rPr>
          <w:sz w:val="20"/>
          <w:szCs w:val="20"/>
          <w:color w:val="auto"/>
        </w:rPr>
      </w:pPr>
      <w:r>
        <w:rPr>
          <w:rFonts w:ascii="Arial" w:cs="Arial" w:eastAsia="Arial" w:hAnsi="Arial"/>
          <w:sz w:val="18"/>
          <w:szCs w:val="18"/>
          <w:color w:val="auto"/>
        </w:rPr>
        <w:t>The Company recorded $16 and $8 in other comprehensive income related to unrealized gains on marketable securities, net of tax for the six-months ended June 30, 2019 and 2020, respectively. The Company presents comprehensive income in a single statement within its financial statements.</w:t>
      </w: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Unaudited Pro Forma Financial Information</w:t>
      </w:r>
    </w:p>
    <w:p>
      <w:pPr>
        <w:spacing w:after="0" w:line="104" w:lineRule="exact"/>
        <w:rPr>
          <w:sz w:val="20"/>
          <w:szCs w:val="20"/>
          <w:color w:val="auto"/>
        </w:rPr>
      </w:pPr>
    </w:p>
    <w:p>
      <w:pPr>
        <w:ind w:left="120" w:right="260" w:firstLine="551"/>
        <w:spacing w:after="0" w:line="245" w:lineRule="auto"/>
        <w:rPr>
          <w:sz w:val="20"/>
          <w:szCs w:val="20"/>
          <w:color w:val="auto"/>
        </w:rPr>
      </w:pPr>
      <w:r>
        <w:rPr>
          <w:rFonts w:ascii="Arial" w:cs="Arial" w:eastAsia="Arial" w:hAnsi="Arial"/>
          <w:sz w:val="18"/>
          <w:szCs w:val="18"/>
          <w:color w:val="auto"/>
        </w:rPr>
        <w:t>The unaudited pro forma net loss per share is computed using the weighted-average number of shares of common stock outstanding after giving pro forma effect to the conversion of all issued and outstanding shares of convertible preferred stock during the year ended December 31, 2019 into shares of common stock as if such conversion had occurred at January 1, 2020, inclusive of 28,020,172 shares of common stock issuable upon the conversion of the Company’s Series D convertible preferred stock (“Series D Preferred Stock”) issued in July 2020.</w:t>
      </w:r>
    </w:p>
    <w:p>
      <w:pPr>
        <w:spacing w:after="0" w:line="172" w:lineRule="exact"/>
        <w:rPr>
          <w:sz w:val="20"/>
          <w:szCs w:val="20"/>
          <w:color w:val="auto"/>
        </w:rPr>
      </w:pPr>
    </w:p>
    <w:p>
      <w:pPr>
        <w:ind w:left="120" w:firstLine="551"/>
        <w:spacing w:after="0" w:line="276" w:lineRule="auto"/>
        <w:rPr>
          <w:sz w:val="20"/>
          <w:szCs w:val="20"/>
          <w:color w:val="auto"/>
        </w:rPr>
      </w:pPr>
      <w:r>
        <w:rPr>
          <w:rFonts w:ascii="Arial" w:cs="Arial" w:eastAsia="Arial" w:hAnsi="Arial"/>
          <w:sz w:val="18"/>
          <w:szCs w:val="18"/>
          <w:color w:val="auto"/>
        </w:rPr>
        <w:t>Upon the closing of the Company’s qualified initial public offering (see Note 6), all of the outstanding shares of convertible preferred stock will automatically convert into shares of common</w:t>
      </w:r>
    </w:p>
    <w:p>
      <w:pPr>
        <w:spacing w:after="0" w:line="7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100"/>
          </w:cols>
          <w:pgMar w:left="320" w:top="455" w:right="479" w:bottom="1440" w:gutter="0" w:footer="0" w:header="0"/>
        </w:sectPr>
      </w:pPr>
    </w:p>
    <w:bookmarkStart w:id="242" w:name="page243"/>
    <w:bookmarkEnd w:id="2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jc w:val="center"/>
        <w:ind w:right="-1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line="243" w:lineRule="auto"/>
        <w:rPr>
          <w:sz w:val="20"/>
          <w:szCs w:val="20"/>
          <w:color w:val="auto"/>
        </w:rPr>
      </w:pPr>
      <w:r>
        <w:rPr>
          <w:rFonts w:ascii="Arial" w:cs="Arial" w:eastAsia="Arial" w:hAnsi="Arial"/>
          <w:sz w:val="18"/>
          <w:szCs w:val="18"/>
          <w:color w:val="auto"/>
        </w:rPr>
        <w:t>stock. The unaudited pro forma condensed balance sheet and the unaudited pro forma condensed statements of convertible preferred stock and stockholders’ (deficit) equity give pro forma effect to the issuance and sale in July 2020 of an aggregate of 28,020,172 shares of the Company’s Series D Preferred Stock for gross proceeds of $70,000 and the conversion of all issued and outstanding shares of convertible preferred stock as of June 30, 2020 into shares of common stock, inclusive of 28,020,172 shares of common stock issuable upon the conversion of the Company’s Series D Preferred Stock issued in July 2020. The shares of common stock expected to be issued and the proceeds expected to be received in the initial public offering (“IPO”) are excluded from such pro forma financial information.</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104" w:lineRule="exact"/>
        <w:rPr>
          <w:sz w:val="20"/>
          <w:szCs w:val="20"/>
          <w:color w:val="auto"/>
        </w:rPr>
      </w:pPr>
    </w:p>
    <w:p>
      <w:pPr>
        <w:ind w:left="120" w:firstLine="551"/>
        <w:spacing w:after="0" w:line="248" w:lineRule="auto"/>
        <w:rPr>
          <w:sz w:val="20"/>
          <w:szCs w:val="20"/>
          <w:color w:val="auto"/>
        </w:rPr>
      </w:pPr>
      <w:r>
        <w:rPr>
          <w:rFonts w:ascii="Arial" w:cs="Arial" w:eastAsia="Arial" w:hAnsi="Arial"/>
          <w:sz w:val="18"/>
          <w:szCs w:val="18"/>
          <w:color w:val="auto"/>
        </w:rPr>
        <w:t>The Company capitalizes incremental legal, professional, accounting, and other third-party fees that are directly associated with the planned IPO as other non-current assets until the IPO is consummated. After consummation of the IPO, these costs will be recorded in stockholders’ deficit as a reduction of additional paid-in-capital generated from the offering. If the Company terminates its plan for an IPO, any costs deferred will be expensed immediately. As of June 30, 2020, deferred offering costs were $1,475.</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104"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 – Stock Compensation: Improvements to Nonemployee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 Accounting </w:t>
      </w:r>
      <w:r>
        <w:rPr>
          <w:rFonts w:ascii="Arial" w:cs="Arial" w:eastAsia="Arial" w:hAnsi="Arial"/>
          <w:sz w:val="18"/>
          <w:szCs w:val="18"/>
          <w:color w:val="auto"/>
        </w:rPr>
        <w:t>(which currently only includes share-based payments to employees) to include share-based payments issued to</w:t>
      </w:r>
      <w:r>
        <w:rPr>
          <w:rFonts w:ascii="Arial" w:cs="Arial" w:eastAsia="Arial" w:hAnsi="Arial"/>
          <w:sz w:val="18"/>
          <w:szCs w:val="18"/>
          <w:i w:val="1"/>
          <w:iCs w:val="1"/>
          <w:color w:val="auto"/>
        </w:rPr>
        <w:t xml:space="preserve"> </w:t>
      </w:r>
      <w:r>
        <w:rPr>
          <w:rFonts w:ascii="Arial" w:cs="Arial" w:eastAsia="Arial" w:hAnsi="Arial"/>
          <w:sz w:val="18"/>
          <w:szCs w:val="18"/>
          <w:color w:val="auto"/>
        </w:rPr>
        <w:t>nonemployees for goods or services. Consequently, the accounting for share-based payments to nonemployees and employees will be substantially aligned. The ASU supersedes Subtopic 505-50, Equity—Equity-Based Payments to Non-Employees. The pronouncement is effective for the Company in the annual period beginning after December 15, 2019, and early adoption is permitted. The Company adopted this guidance on January 1, 2020. The adoption of this standard did not have a material impact on the Company’s financial statements.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Recently Issued Accounting Standards Not Yet Adopted</w:t>
      </w:r>
    </w:p>
    <w:p>
      <w:pPr>
        <w:spacing w:after="0" w:line="104" w:lineRule="exact"/>
        <w:rPr>
          <w:sz w:val="20"/>
          <w:szCs w:val="20"/>
          <w:color w:val="auto"/>
        </w:rPr>
      </w:pPr>
    </w:p>
    <w:p>
      <w:pPr>
        <w:ind w:left="120" w:right="120" w:firstLine="551"/>
        <w:spacing w:after="0" w:line="241" w:lineRule="auto"/>
        <w:rPr>
          <w:sz w:val="20"/>
          <w:szCs w:val="20"/>
          <w:color w:val="auto"/>
        </w:rPr>
      </w:pPr>
      <w:r>
        <w:rPr>
          <w:rFonts w:ascii="Arial" w:cs="Arial" w:eastAsia="Arial" w:hAnsi="Arial"/>
          <w:sz w:val="18"/>
          <w:szCs w:val="18"/>
          <w:color w:val="auto"/>
        </w:rPr>
        <w:t>In December 2019, the FASB issued ASU 2019-12, Income Taxes – Simplifying the Accounting for Income Taxes. The new guidance simplifies the accounting for income taxes by removing several exceptions in the current standard and adding guidance to reduce complexity in certain areas, such as requiring that an entity reflect the effect of an enacted change in tax laws or rates in the annual effective tax rate computation in the interim period that includes the enactment date. The new standard is effective for fiscal years beginning after December 15, 2021, and interim periods within fiscal years beginning after December 15, 2022 for all non-public entities, with early adoption permitted. The Company is currently assessing the impact that adopting this standard will have on its financial statements.</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Concentration of Credit Risk and Other Risks and Uncertainties</w:t>
      </w:r>
    </w:p>
    <w:p>
      <w:pPr>
        <w:spacing w:after="0" w:line="104" w:lineRule="exact"/>
        <w:rPr>
          <w:sz w:val="20"/>
          <w:szCs w:val="20"/>
          <w:color w:val="auto"/>
        </w:rPr>
      </w:pPr>
    </w:p>
    <w:p>
      <w:pPr>
        <w:ind w:left="120" w:right="160" w:firstLine="551"/>
        <w:spacing w:after="0" w:line="255"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of cash and cash equivalents and marketable securities. Cash and cash equivalents includes a checking account held at one financial institution. At times, such deposits may be in excess</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100"/>
          </w:cols>
          <w:pgMar w:left="320" w:top="455" w:right="479" w:bottom="1440" w:gutter="0" w:footer="0" w:header="0"/>
        </w:sectPr>
      </w:pPr>
    </w:p>
    <w:bookmarkStart w:id="243" w:name="page244"/>
    <w:bookmarkEnd w:id="2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of insured limits. The Company has not experienced any losses on its deposits of cash and cash equivalents. The Company’s marketable debt securities are carried at fair value with unrealized gains and losses. Any investments with unrealized losses are considered to be temporarily impaired.</w:t>
      </w:r>
    </w:p>
    <w:p>
      <w:pPr>
        <w:spacing w:after="0" w:line="164" w:lineRule="exact"/>
        <w:rPr>
          <w:sz w:val="20"/>
          <w:szCs w:val="20"/>
          <w:color w:val="auto"/>
        </w:rPr>
      </w:pPr>
    </w:p>
    <w:p>
      <w:pPr>
        <w:ind w:left="120" w:right="320" w:firstLine="551"/>
        <w:spacing w:after="0" w:line="248" w:lineRule="auto"/>
        <w:rPr>
          <w:sz w:val="20"/>
          <w:szCs w:val="20"/>
          <w:color w:val="auto"/>
        </w:rPr>
      </w:pPr>
      <w:r>
        <w:rPr>
          <w:rFonts w:ascii="Arial" w:cs="Arial" w:eastAsia="Arial" w:hAnsi="Arial"/>
          <w:sz w:val="18"/>
          <w:szCs w:val="18"/>
          <w:color w:val="auto"/>
        </w:rPr>
        <w:t>The Company’s future results of operations involve a number of risks and uncertainties. Factors that could affect the Company’s future operating results and cause actual results to vary materially from expectations include, but are not limited to, rapid technological change, uncertainty of market acceptance of the product, competition from substitute products and larger companies, protection of proprietary technology, any future strategic relationships and dependence on key individuals.</w:t>
      </w:r>
    </w:p>
    <w:p>
      <w:pPr>
        <w:spacing w:after="0" w:line="170" w:lineRule="exact"/>
        <w:rPr>
          <w:sz w:val="20"/>
          <w:szCs w:val="20"/>
          <w:color w:val="auto"/>
        </w:rPr>
      </w:pPr>
    </w:p>
    <w:p>
      <w:pPr>
        <w:ind w:left="120" w:right="200" w:firstLine="551"/>
        <w:spacing w:after="0" w:line="248" w:lineRule="auto"/>
        <w:rPr>
          <w:sz w:val="20"/>
          <w:szCs w:val="20"/>
          <w:color w:val="auto"/>
        </w:rPr>
      </w:pPr>
      <w:r>
        <w:rPr>
          <w:rFonts w:ascii="Arial" w:cs="Arial" w:eastAsia="Arial" w:hAnsi="Arial"/>
          <w:sz w:val="18"/>
          <w:szCs w:val="18"/>
          <w:color w:val="auto"/>
        </w:rPr>
        <w:t>Products developed by the Company require clearances from the U.S. Food and Drug Administration or other international regulatory agencies prior to commercial sales. There can be no assurance the Company’s product candidates will receive the necessary clearances. If the Company is denied clearance, clearance is delayed or it is unable to maintain clearance, it could have a materially adverse impact on the Company.</w:t>
      </w:r>
    </w:p>
    <w:p>
      <w:pPr>
        <w:spacing w:after="0" w:line="170" w:lineRule="exact"/>
        <w:rPr>
          <w:sz w:val="20"/>
          <w:szCs w:val="20"/>
          <w:color w:val="auto"/>
        </w:rPr>
      </w:pPr>
    </w:p>
    <w:p>
      <w:pPr>
        <w:ind w:left="120" w:right="20" w:firstLine="551"/>
        <w:spacing w:after="0" w:line="241" w:lineRule="auto"/>
        <w:rPr>
          <w:sz w:val="20"/>
          <w:szCs w:val="20"/>
          <w:color w:val="auto"/>
        </w:rPr>
      </w:pPr>
      <w:r>
        <w:rPr>
          <w:rFonts w:ascii="Arial" w:cs="Arial" w:eastAsia="Arial" w:hAnsi="Arial"/>
          <w:sz w:val="18"/>
          <w:szCs w:val="18"/>
          <w:color w:val="auto"/>
        </w:rPr>
        <w:t>In January 2020, the World Health Organization declared the outbreak of a novel coronavirus (COVID-19) as a “Public Health Emergency of International Concern,” which continues to spread throughout the world and has adversely impacted global commercial activity and contributed to significant declines and volatility in financial markets. The COVID-19 outbreak and government responses are creating disruption in global supply chains and adversely impacting many industries. The outbreak could have a continued material adverse impact on economic and market conditions and trigger a period of global economic slowdown. The Company continues to monitor the impact of the COVID-19 outbreak closely. The extent to which the COVID-19 outbreak will impact its operations or financial results is uncertain.</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3. Financial Instruments and Fair Value Measurements</w:t>
      </w:r>
    </w:p>
    <w:p>
      <w:pPr>
        <w:spacing w:after="0" w:line="104" w:lineRule="exact"/>
        <w:rPr>
          <w:sz w:val="20"/>
          <w:szCs w:val="20"/>
          <w:color w:val="auto"/>
        </w:rPr>
      </w:pPr>
    </w:p>
    <w:p>
      <w:pPr>
        <w:ind w:left="120" w:right="200" w:firstLine="551"/>
        <w:spacing w:after="0" w:line="255" w:lineRule="auto"/>
        <w:rPr>
          <w:sz w:val="20"/>
          <w:szCs w:val="20"/>
          <w:color w:val="auto"/>
        </w:rPr>
      </w:pPr>
      <w:r>
        <w:rPr>
          <w:rFonts w:ascii="Arial" w:cs="Arial" w:eastAsia="Arial" w:hAnsi="Arial"/>
          <w:sz w:val="18"/>
          <w:szCs w:val="18"/>
          <w:color w:val="auto"/>
        </w:rPr>
        <w:t>The Company’s financial instruments consist of money market funds, U.S. government debt securities and corporate debt securities. The following tables show the Company’s cash equivalents and available-for-sale securities’ carrying amounts and fair values at December 31, 2019 and June 30, 2020:</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5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11"/>
          </w:tcPr>
          <w:p>
            <w:pPr>
              <w:jc w:val="center"/>
              <w:ind w:right="880"/>
              <w:spacing w:after="0"/>
              <w:rPr>
                <w:sz w:val="20"/>
                <w:szCs w:val="20"/>
                <w:color w:val="auto"/>
              </w:rPr>
            </w:pPr>
            <w:r>
              <w:rPr>
                <w:rFonts w:ascii="Arial" w:cs="Arial" w:eastAsia="Arial" w:hAnsi="Arial"/>
                <w:sz w:val="14"/>
                <w:szCs w:val="14"/>
                <w:b w:val="1"/>
                <w:bCs w:val="1"/>
                <w:color w:val="auto"/>
              </w:rPr>
              <w:t>As of June 30, 2020 (unaudited)</w:t>
            </w:r>
          </w:p>
        </w:tc>
        <w:tc>
          <w:tcPr>
            <w:tcW w:w="3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0"/>
        </w:trPr>
        <w:tc>
          <w:tcPr>
            <w:tcW w:w="5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720" w:type="dxa"/>
            <w:vAlign w:val="bottom"/>
            <w:gridSpan w:val="4"/>
          </w:tcPr>
          <w:p>
            <w:pPr>
              <w:ind w:left="20"/>
              <w:spacing w:after="0" w:line="141" w:lineRule="exact"/>
              <w:rPr>
                <w:sz w:val="20"/>
                <w:szCs w:val="20"/>
                <w:color w:val="auto"/>
              </w:rPr>
            </w:pPr>
            <w:r>
              <w:rPr>
                <w:rFonts w:ascii="Arial" w:cs="Arial" w:eastAsia="Arial" w:hAnsi="Arial"/>
                <w:sz w:val="14"/>
                <w:szCs w:val="14"/>
                <w:b w:val="1"/>
                <w:bCs w:val="1"/>
                <w:color w:val="auto"/>
              </w:rPr>
              <w:t>Quoted priced in</w:t>
            </w:r>
          </w:p>
        </w:tc>
        <w:tc>
          <w:tcPr>
            <w:tcW w:w="60" w:type="dxa"/>
            <w:vAlign w:val="bottom"/>
          </w:tcPr>
          <w:p>
            <w:pPr>
              <w:spacing w:after="0"/>
              <w:rPr>
                <w:sz w:val="12"/>
                <w:szCs w:val="12"/>
                <w:color w:val="auto"/>
              </w:rPr>
            </w:pPr>
          </w:p>
        </w:tc>
        <w:tc>
          <w:tcPr>
            <w:tcW w:w="1420" w:type="dxa"/>
            <w:vAlign w:val="bottom"/>
            <w:gridSpan w:val="4"/>
          </w:tcPr>
          <w:p>
            <w:pPr>
              <w:spacing w:after="0" w:line="141" w:lineRule="exact"/>
              <w:rPr>
                <w:sz w:val="20"/>
                <w:szCs w:val="20"/>
                <w:color w:val="auto"/>
              </w:rPr>
            </w:pPr>
            <w:r>
              <w:rPr>
                <w:rFonts w:ascii="Arial" w:cs="Arial" w:eastAsia="Arial" w:hAnsi="Arial"/>
                <w:sz w:val="14"/>
                <w:szCs w:val="14"/>
                <w:b w:val="1"/>
                <w:bCs w:val="1"/>
                <w:color w:val="auto"/>
              </w:rPr>
              <w:t>Significant other</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55"/>
              <w:spacing w:after="0" w:line="141"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2"/>
                <w:szCs w:val="12"/>
                <w:color w:val="auto"/>
              </w:rPr>
            </w:pPr>
          </w:p>
        </w:tc>
      </w:tr>
      <w:tr>
        <w:trPr>
          <w:trHeight w:val="162"/>
        </w:trPr>
        <w:tc>
          <w:tcPr>
            <w:tcW w:w="5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gridSpan w:val="4"/>
          </w:tcPr>
          <w:p>
            <w:pPr>
              <w:jc w:val="center"/>
              <w:ind w:right="560"/>
              <w:spacing w:after="0"/>
              <w:rPr>
                <w:sz w:val="20"/>
                <w:szCs w:val="20"/>
                <w:color w:val="auto"/>
              </w:rPr>
            </w:pPr>
            <w:r>
              <w:rPr>
                <w:rFonts w:ascii="Arial" w:cs="Arial" w:eastAsia="Arial" w:hAnsi="Arial"/>
                <w:sz w:val="14"/>
                <w:szCs w:val="14"/>
                <w:b w:val="1"/>
                <w:bCs w:val="1"/>
                <w:color w:val="auto"/>
              </w:rPr>
              <w:t>active markets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rPr>
              <w:t>observable</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unobservable</w:t>
            </w:r>
          </w:p>
        </w:tc>
      </w:tr>
      <w:tr>
        <w:trPr>
          <w:trHeight w:val="177"/>
        </w:trPr>
        <w:tc>
          <w:tcPr>
            <w:tcW w:w="5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8"/>
              </w:rPr>
              <w:t>Fair Value</w:t>
            </w: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rPr>
              <w:t>(level 1)</w:t>
            </w:r>
          </w:p>
        </w:tc>
        <w:tc>
          <w:tcPr>
            <w:tcW w:w="60" w:type="dxa"/>
            <w:vAlign w:val="bottom"/>
          </w:tcPr>
          <w:p>
            <w:pPr>
              <w:spacing w:after="0"/>
              <w:rPr>
                <w:sz w:val="15"/>
                <w:szCs w:val="15"/>
                <w:color w:val="auto"/>
              </w:rPr>
            </w:pPr>
          </w:p>
        </w:tc>
        <w:tc>
          <w:tcPr>
            <w:tcW w:w="1420" w:type="dxa"/>
            <w:vAlign w:val="bottom"/>
            <w:gridSpan w:val="4"/>
          </w:tcPr>
          <w:p>
            <w:pPr>
              <w:ind w:left="60"/>
              <w:spacing w:after="0"/>
              <w:rPr>
                <w:sz w:val="20"/>
                <w:szCs w:val="20"/>
                <w:color w:val="auto"/>
              </w:rPr>
            </w:pPr>
            <w:r>
              <w:rPr>
                <w:rFonts w:ascii="Arial" w:cs="Arial" w:eastAsia="Arial" w:hAnsi="Arial"/>
                <w:sz w:val="14"/>
                <w:szCs w:val="14"/>
                <w:b w:val="1"/>
                <w:bCs w:val="1"/>
                <w:color w:val="auto"/>
              </w:rPr>
              <w:t>inputs (level 2)</w:t>
            </w: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inputs (level 3)</w:t>
            </w:r>
          </w:p>
        </w:tc>
      </w:tr>
      <w:tr>
        <w:trPr>
          <w:trHeight w:val="163"/>
        </w:trPr>
        <w:tc>
          <w:tcPr>
            <w:tcW w:w="5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96"/>
              </w:rPr>
              <w:t>Assets</w:t>
            </w:r>
          </w:p>
        </w:tc>
        <w:tc>
          <w:tcPr>
            <w:tcW w:w="238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56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3"/>
        </w:trPr>
        <w:tc>
          <w:tcPr>
            <w:tcW w:w="2920" w:type="dxa"/>
            <w:vAlign w:val="bottom"/>
            <w:gridSpan w:val="2"/>
          </w:tcPr>
          <w:p>
            <w:pPr>
              <w:spacing w:after="0" w:line="202" w:lineRule="exact"/>
              <w:rPr>
                <w:sz w:val="20"/>
                <w:szCs w:val="20"/>
                <w:color w:val="auto"/>
              </w:rPr>
            </w:pPr>
            <w:r>
              <w:rPr>
                <w:rFonts w:ascii="Arial" w:cs="Arial" w:eastAsia="Arial" w:hAnsi="Arial"/>
                <w:sz w:val="18"/>
                <w:szCs w:val="18"/>
                <w:color w:val="auto"/>
              </w:rPr>
              <w:t>Money market funds</w:t>
            </w:r>
          </w:p>
        </w:tc>
        <w:tc>
          <w:tcPr>
            <w:tcW w:w="186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48,657</w:t>
            </w:r>
          </w:p>
        </w:tc>
        <w:tc>
          <w:tcPr>
            <w:tcW w:w="1260" w:type="dxa"/>
            <w:vAlign w:val="bottom"/>
            <w:gridSpan w:val="5"/>
          </w:tcPr>
          <w:p>
            <w:pPr>
              <w:jc w:val="right"/>
              <w:ind w:right="260"/>
              <w:spacing w:after="0" w:line="202" w:lineRule="exact"/>
              <w:rPr>
                <w:sz w:val="20"/>
                <w:szCs w:val="20"/>
                <w:color w:val="auto"/>
              </w:rPr>
            </w:pPr>
            <w:r>
              <w:rPr>
                <w:rFonts w:ascii="Arial" w:cs="Arial" w:eastAsia="Arial" w:hAnsi="Arial"/>
                <w:sz w:val="18"/>
                <w:szCs w:val="18"/>
                <w:color w:val="auto"/>
              </w:rPr>
              <w:t>48,657</w:t>
            </w: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3"/>
          </w:tcPr>
          <w:p>
            <w:pPr>
              <w:jc w:val="right"/>
              <w:ind w:right="560"/>
              <w:spacing w:after="0" w:line="202" w:lineRule="exact"/>
              <w:rPr>
                <w:sz w:val="20"/>
                <w:szCs w:val="20"/>
                <w:color w:val="auto"/>
              </w:rPr>
            </w:pPr>
            <w:r>
              <w:rPr>
                <w:rFonts w:ascii="Arial" w:cs="Arial" w:eastAsia="Arial" w:hAnsi="Arial"/>
                <w:sz w:val="18"/>
                <w:szCs w:val="18"/>
                <w:color w:val="auto"/>
              </w:rPr>
              <w:t>48,657</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 debt securities</w:t>
            </w:r>
          </w:p>
        </w:tc>
        <w:tc>
          <w:tcPr>
            <w:tcW w:w="186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32,081</w:t>
            </w:r>
          </w:p>
        </w:tc>
        <w:tc>
          <w:tcPr>
            <w:tcW w:w="1260" w:type="dxa"/>
            <w:vAlign w:val="bottom"/>
            <w:gridSpan w:val="5"/>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32,086</w:t>
            </w: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ind w:right="56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32,086</w:t>
            </w: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9"/>
        </w:trPr>
        <w:tc>
          <w:tcPr>
            <w:tcW w:w="2920" w:type="dxa"/>
            <w:vAlign w:val="bottom"/>
            <w:gridSpan w:val="2"/>
          </w:tcPr>
          <w:p>
            <w:pPr>
              <w:ind w:left="360"/>
              <w:spacing w:after="0"/>
              <w:rPr>
                <w:sz w:val="20"/>
                <w:szCs w:val="20"/>
                <w:color w:val="auto"/>
              </w:rPr>
            </w:pPr>
            <w:r>
              <w:rPr>
                <w:rFonts w:ascii="Arial" w:cs="Arial" w:eastAsia="Arial" w:hAnsi="Arial"/>
                <w:sz w:val="18"/>
                <w:szCs w:val="18"/>
                <w:color w:val="auto"/>
              </w:rPr>
              <w:t>Total assets</w:t>
            </w:r>
          </w:p>
        </w:tc>
        <w:tc>
          <w:tcPr>
            <w:tcW w:w="9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80,738</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4"/>
              </w:rPr>
              <w:t>$ 80,743</w:t>
            </w: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48,657</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32,086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412"/>
        </w:trPr>
        <w:tc>
          <w:tcPr>
            <w:tcW w:w="5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As of December 31, 2019</w:t>
            </w:r>
          </w:p>
        </w:tc>
        <w:tc>
          <w:tcPr>
            <w:tcW w:w="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0"/>
        </w:trPr>
        <w:tc>
          <w:tcPr>
            <w:tcW w:w="5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60" w:type="dxa"/>
            <w:vAlign w:val="bottom"/>
            <w:gridSpan w:val="5"/>
          </w:tcPr>
          <w:p>
            <w:pPr>
              <w:spacing w:after="0" w:line="141" w:lineRule="exact"/>
              <w:rPr>
                <w:sz w:val="20"/>
                <w:szCs w:val="20"/>
                <w:color w:val="auto"/>
              </w:rPr>
            </w:pPr>
            <w:r>
              <w:rPr>
                <w:rFonts w:ascii="Arial" w:cs="Arial" w:eastAsia="Arial" w:hAnsi="Arial"/>
                <w:sz w:val="14"/>
                <w:szCs w:val="14"/>
                <w:b w:val="1"/>
                <w:bCs w:val="1"/>
                <w:color w:val="auto"/>
              </w:rPr>
              <w:t>Quoted Priced in</w:t>
            </w:r>
          </w:p>
        </w:tc>
        <w:tc>
          <w:tcPr>
            <w:tcW w:w="1480" w:type="dxa"/>
            <w:vAlign w:val="bottom"/>
            <w:gridSpan w:val="5"/>
          </w:tcPr>
          <w:p>
            <w:pPr>
              <w:spacing w:after="0" w:line="141" w:lineRule="exact"/>
              <w:rPr>
                <w:sz w:val="20"/>
                <w:szCs w:val="20"/>
                <w:color w:val="auto"/>
              </w:rPr>
            </w:pPr>
            <w:r>
              <w:rPr>
                <w:rFonts w:ascii="Arial" w:cs="Arial" w:eastAsia="Arial" w:hAnsi="Arial"/>
                <w:sz w:val="14"/>
                <w:szCs w:val="14"/>
                <w:b w:val="1"/>
                <w:bCs w:val="1"/>
                <w:color w:val="auto"/>
              </w:rPr>
              <w:t>Significant Other</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right"/>
              <w:ind w:right="75"/>
              <w:spacing w:after="0" w:line="141" w:lineRule="exact"/>
              <w:rPr>
                <w:sz w:val="20"/>
                <w:szCs w:val="20"/>
                <w:color w:val="auto"/>
              </w:rPr>
            </w:pPr>
            <w:r>
              <w:rPr>
                <w:rFonts w:ascii="Arial" w:cs="Arial" w:eastAsia="Arial" w:hAnsi="Arial"/>
                <w:sz w:val="14"/>
                <w:szCs w:val="14"/>
                <w:b w:val="1"/>
                <w:bCs w:val="1"/>
                <w:color w:val="auto"/>
              </w:rPr>
              <w:t>Significant</w:t>
            </w:r>
          </w:p>
        </w:tc>
        <w:tc>
          <w:tcPr>
            <w:tcW w:w="60" w:type="dxa"/>
            <w:vAlign w:val="bottom"/>
          </w:tcPr>
          <w:p>
            <w:pPr>
              <w:spacing w:after="0"/>
              <w:rPr>
                <w:sz w:val="12"/>
                <w:szCs w:val="12"/>
                <w:color w:val="auto"/>
              </w:rPr>
            </w:pPr>
          </w:p>
        </w:tc>
      </w:tr>
      <w:tr>
        <w:trPr>
          <w:trHeight w:val="162"/>
        </w:trPr>
        <w:tc>
          <w:tcPr>
            <w:tcW w:w="5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Fair</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gridSpan w:val="4"/>
          </w:tcPr>
          <w:p>
            <w:pPr>
              <w:ind w:left="20"/>
              <w:spacing w:after="0"/>
              <w:rPr>
                <w:sz w:val="20"/>
                <w:szCs w:val="20"/>
                <w:color w:val="auto"/>
              </w:rPr>
            </w:pPr>
            <w:r>
              <w:rPr>
                <w:rFonts w:ascii="Arial" w:cs="Arial" w:eastAsia="Arial" w:hAnsi="Arial"/>
                <w:sz w:val="14"/>
                <w:szCs w:val="14"/>
                <w:b w:val="1"/>
                <w:bCs w:val="1"/>
                <w:color w:val="auto"/>
              </w:rPr>
              <w:t>Active Markets</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rPr>
              <w:t>Observable</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Unobservable</w:t>
            </w:r>
          </w:p>
        </w:tc>
      </w:tr>
      <w:tr>
        <w:trPr>
          <w:trHeight w:val="177"/>
        </w:trPr>
        <w:tc>
          <w:tcPr>
            <w:tcW w:w="5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gridSpan w:val="3"/>
          </w:tcPr>
          <w:p>
            <w:pPr>
              <w:ind w:left="120"/>
              <w:spacing w:after="0"/>
              <w:rPr>
                <w:sz w:val="20"/>
                <w:szCs w:val="20"/>
                <w:color w:val="auto"/>
              </w:rPr>
            </w:pPr>
            <w:r>
              <w:rPr>
                <w:rFonts w:ascii="Arial" w:cs="Arial" w:eastAsia="Arial" w:hAnsi="Arial"/>
                <w:sz w:val="14"/>
                <w:szCs w:val="14"/>
                <w:b w:val="1"/>
                <w:bCs w:val="1"/>
                <w:color w:val="auto"/>
              </w:rPr>
              <w:t>(Level 1)</w:t>
            </w:r>
          </w:p>
        </w:tc>
        <w:tc>
          <w:tcPr>
            <w:tcW w:w="1480" w:type="dxa"/>
            <w:vAlign w:val="bottom"/>
            <w:gridSpan w:val="5"/>
          </w:tcPr>
          <w:p>
            <w:pPr>
              <w:ind w:left="60"/>
              <w:spacing w:after="0"/>
              <w:rPr>
                <w:sz w:val="20"/>
                <w:szCs w:val="20"/>
                <w:color w:val="auto"/>
              </w:rPr>
            </w:pPr>
            <w:r>
              <w:rPr>
                <w:rFonts w:ascii="Arial" w:cs="Arial" w:eastAsia="Arial" w:hAnsi="Arial"/>
                <w:sz w:val="14"/>
                <w:szCs w:val="14"/>
                <w:b w:val="1"/>
                <w:bCs w:val="1"/>
                <w:color w:val="auto"/>
              </w:rPr>
              <w:t>Inputs (Level 2)</w:t>
            </w:r>
          </w:p>
        </w:tc>
        <w:tc>
          <w:tcPr>
            <w:tcW w:w="300" w:type="dxa"/>
            <w:vAlign w:val="bottom"/>
          </w:tcPr>
          <w:p>
            <w:pPr>
              <w:spacing w:after="0"/>
              <w:rPr>
                <w:sz w:val="15"/>
                <w:szCs w:val="15"/>
                <w:color w:val="auto"/>
              </w:rPr>
            </w:pPr>
          </w:p>
        </w:tc>
        <w:tc>
          <w:tcPr>
            <w:tcW w:w="112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Inputs (Level 3)</w:t>
            </w:r>
          </w:p>
        </w:tc>
      </w:tr>
      <w:tr>
        <w:trPr>
          <w:trHeight w:val="163"/>
        </w:trPr>
        <w:tc>
          <w:tcPr>
            <w:tcW w:w="54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color w:val="auto"/>
                <w:w w:val="96"/>
              </w:rPr>
              <w:t>Assets</w:t>
            </w:r>
          </w:p>
        </w:tc>
        <w:tc>
          <w:tcPr>
            <w:tcW w:w="2380" w:type="dxa"/>
            <w:vAlign w:val="bottom"/>
            <w:tcBorders>
              <w:top w:val="single" w:sz="8" w:color="CCEEFF"/>
              <w:bottom w:val="single" w:sz="8" w:color="CCEEFF"/>
            </w:tcBorders>
            <w:shd w:val="clear" w:color="auto" w:fill="CCEEFF"/>
          </w:tcPr>
          <w:p>
            <w:pPr>
              <w:spacing w:after="0"/>
              <w:rPr>
                <w:sz w:val="14"/>
                <w:szCs w:val="14"/>
                <w:color w:val="auto"/>
              </w:rPr>
            </w:pPr>
          </w:p>
        </w:tc>
        <w:tc>
          <w:tcPr>
            <w:tcW w:w="90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auto"/>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auto"/>
              <w:bottom w:val="single" w:sz="8" w:color="CCEEFF"/>
            </w:tcBorders>
            <w:shd w:val="clear" w:color="auto" w:fill="CCEEFF"/>
          </w:tcPr>
          <w:p>
            <w:pPr>
              <w:spacing w:after="0"/>
              <w:rPr>
                <w:sz w:val="14"/>
                <w:szCs w:val="14"/>
                <w:color w:val="auto"/>
              </w:rPr>
            </w:pPr>
          </w:p>
        </w:tc>
        <w:tc>
          <w:tcPr>
            <w:tcW w:w="64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6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100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80" w:type="dxa"/>
            <w:vAlign w:val="bottom"/>
            <w:tcBorders>
              <w:top w:val="single" w:sz="8" w:color="auto"/>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30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auto"/>
              <w:bottom w:val="single" w:sz="8" w:color="CCEEFF"/>
            </w:tcBorders>
            <w:shd w:val="clear" w:color="auto" w:fill="CCEEFF"/>
          </w:tcPr>
          <w:p>
            <w:pPr>
              <w:spacing w:after="0"/>
              <w:rPr>
                <w:sz w:val="14"/>
                <w:szCs w:val="14"/>
                <w:color w:val="auto"/>
              </w:rPr>
            </w:pPr>
          </w:p>
        </w:tc>
        <w:tc>
          <w:tcPr>
            <w:tcW w:w="120" w:type="dxa"/>
            <w:vAlign w:val="bottom"/>
            <w:tcBorders>
              <w:top w:val="single" w:sz="8" w:color="auto"/>
              <w:bottom w:val="single" w:sz="8" w:color="CCEEFF"/>
            </w:tcBorders>
            <w:shd w:val="clear" w:color="auto" w:fill="CCEEFF"/>
          </w:tcPr>
          <w:p>
            <w:pPr>
              <w:spacing w:after="0"/>
              <w:rPr>
                <w:sz w:val="14"/>
                <w:szCs w:val="14"/>
                <w:color w:val="auto"/>
              </w:rPr>
            </w:pPr>
          </w:p>
        </w:tc>
        <w:tc>
          <w:tcPr>
            <w:tcW w:w="900" w:type="dxa"/>
            <w:vAlign w:val="bottom"/>
            <w:tcBorders>
              <w:top w:val="single" w:sz="8" w:color="auto"/>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203"/>
        </w:trPr>
        <w:tc>
          <w:tcPr>
            <w:tcW w:w="2920" w:type="dxa"/>
            <w:vAlign w:val="bottom"/>
            <w:gridSpan w:val="2"/>
          </w:tcPr>
          <w:p>
            <w:pPr>
              <w:spacing w:after="0" w:line="202" w:lineRule="exact"/>
              <w:rPr>
                <w:sz w:val="20"/>
                <w:szCs w:val="20"/>
                <w:color w:val="auto"/>
              </w:rPr>
            </w:pPr>
            <w:r>
              <w:rPr>
                <w:rFonts w:ascii="Arial" w:cs="Arial" w:eastAsia="Arial" w:hAnsi="Arial"/>
                <w:sz w:val="18"/>
                <w:szCs w:val="18"/>
                <w:color w:val="auto"/>
              </w:rPr>
              <w:t>Money market funds</w:t>
            </w:r>
          </w:p>
        </w:tc>
        <w:tc>
          <w:tcPr>
            <w:tcW w:w="1860" w:type="dxa"/>
            <w:vAlign w:val="bottom"/>
            <w:gridSpan w:val="3"/>
          </w:tcPr>
          <w:p>
            <w:pPr>
              <w:jc w:val="right"/>
              <w:ind w:right="300"/>
              <w:spacing w:after="0" w:line="202" w:lineRule="exact"/>
              <w:rPr>
                <w:sz w:val="20"/>
                <w:szCs w:val="20"/>
                <w:color w:val="auto"/>
              </w:rPr>
            </w:pPr>
            <w:r>
              <w:rPr>
                <w:rFonts w:ascii="Arial" w:cs="Arial" w:eastAsia="Arial" w:hAnsi="Arial"/>
                <w:sz w:val="18"/>
                <w:szCs w:val="18"/>
                <w:color w:val="auto"/>
              </w:rPr>
              <w:t>1,680</w:t>
            </w:r>
          </w:p>
        </w:tc>
        <w:tc>
          <w:tcPr>
            <w:tcW w:w="100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1,680</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1,680</w:t>
            </w:r>
          </w:p>
        </w:tc>
        <w:tc>
          <w:tcPr>
            <w:tcW w:w="5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29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Corporate debt securities</w:t>
            </w:r>
          </w:p>
        </w:tc>
        <w:tc>
          <w:tcPr>
            <w:tcW w:w="1860" w:type="dxa"/>
            <w:vAlign w:val="bottom"/>
            <w:gridSpan w:val="3"/>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97,819</w:t>
            </w:r>
          </w:p>
        </w:tc>
        <w:tc>
          <w:tcPr>
            <w:tcW w:w="100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97,816</w:t>
            </w:r>
          </w:p>
        </w:tc>
        <w:tc>
          <w:tcPr>
            <w:tcW w:w="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0" w:type="dxa"/>
            <w:vAlign w:val="bottom"/>
            <w:gridSpan w:val="3"/>
            <w:shd w:val="clear" w:color="auto" w:fill="CCEEFF"/>
          </w:tcPr>
          <w:p>
            <w:pPr>
              <w:jc w:val="right"/>
              <w:ind w:right="60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97,816</w:t>
            </w: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10"/>
        </w:trPr>
        <w:tc>
          <w:tcPr>
            <w:tcW w:w="2920" w:type="dxa"/>
            <w:vAlign w:val="bottom"/>
            <w:gridSpan w:val="2"/>
          </w:tcPr>
          <w:p>
            <w:pPr>
              <w:ind w:left="360"/>
              <w:spacing w:after="0"/>
              <w:rPr>
                <w:sz w:val="20"/>
                <w:szCs w:val="20"/>
                <w:color w:val="auto"/>
              </w:rPr>
            </w:pPr>
            <w:r>
              <w:rPr>
                <w:rFonts w:ascii="Arial" w:cs="Arial" w:eastAsia="Arial" w:hAnsi="Arial"/>
                <w:sz w:val="18"/>
                <w:szCs w:val="18"/>
                <w:color w:val="auto"/>
              </w:rPr>
              <w:t>Total assets</w:t>
            </w:r>
          </w:p>
        </w:tc>
        <w:tc>
          <w:tcPr>
            <w:tcW w:w="90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99,499</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99,496</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1,680</w:t>
            </w: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97,816</w:t>
            </w: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375"/>
        </w:trPr>
        <w:tc>
          <w:tcPr>
            <w:tcW w:w="5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gridSpan w:val="3"/>
          </w:tcPr>
          <w:p>
            <w:pPr>
              <w:jc w:val="right"/>
              <w:ind w:right="360"/>
              <w:spacing w:after="0"/>
              <w:rPr>
                <w:sz w:val="20"/>
                <w:szCs w:val="20"/>
                <w:color w:val="auto"/>
              </w:rPr>
            </w:pPr>
            <w:r>
              <w:rPr>
                <w:rFonts w:ascii="Arial" w:cs="Arial" w:eastAsia="Arial" w:hAnsi="Arial"/>
                <w:sz w:val="18"/>
                <w:szCs w:val="18"/>
                <w:color w:val="auto"/>
              </w:rPr>
              <w:t>F-34</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44" w:name="page245"/>
    <w:bookmarkEnd w:id="2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660" w:right="140" w:firstLine="523"/>
        <w:spacing w:after="0" w:line="243" w:lineRule="auto"/>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 Cash equivalents of $71.3 million as of December 31, 2019 consisted of money market funds of $1.7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and corporate debt securities of $69.6 million. Cash equivalents of $72.7 million as of June 30, 2020 consisted of money market funds of $48.7 million and corporate debt securities of $24.0 million. Money market funds are classified within level 1 of the fair value hierarchy because they are valued using quoted market prices in active markets, whereas corporate securities are classified within level 2 of the fair value hierarchy because they are valued using inputs other than quoted prices that are observable for the asset or liability either directly or indirectly.</w:t>
      </w:r>
    </w:p>
    <w:p>
      <w:pPr>
        <w:spacing w:after="0" w:line="66" w:lineRule="exact"/>
        <w:rPr>
          <w:sz w:val="20"/>
          <w:szCs w:val="20"/>
          <w:color w:val="auto"/>
        </w:rPr>
      </w:pPr>
    </w:p>
    <w:p>
      <w:pPr>
        <w:ind w:left="660" w:right="380" w:firstLine="523"/>
        <w:spacing w:after="0" w:line="255" w:lineRule="auto"/>
        <w:rPr>
          <w:sz w:val="20"/>
          <w:szCs w:val="20"/>
          <w:color w:val="auto"/>
        </w:rPr>
      </w:pPr>
      <w:r>
        <w:rPr>
          <w:rFonts w:ascii="Arial" w:cs="Arial" w:eastAsia="Arial" w:hAnsi="Arial"/>
          <w:sz w:val="18"/>
          <w:szCs w:val="18"/>
          <w:b w:val="1"/>
          <w:bCs w:val="1"/>
          <w:i w:val="1"/>
          <w:iCs w:val="1"/>
          <w:color w:val="auto"/>
        </w:rPr>
        <w:t xml:space="preserve">Marketable Securities </w:t>
      </w:r>
      <w:r>
        <w:rPr>
          <w:rFonts w:ascii="Arial" w:cs="Arial" w:eastAsia="Arial" w:hAnsi="Arial"/>
          <w:sz w:val="18"/>
          <w:szCs w:val="18"/>
          <w:color w:val="auto"/>
        </w:rPr>
        <w:t>— Marketable securities of $28.2 million and $8.1 million as of December 31, 2019 and June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respectively, consisted of corporate debt securities classified within level 2 of the fair value hierarchy because they are valued using inputs other than quoted prices that are observable for the asset or liability either directly or indirectly.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4. Property and Equipment, Net</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55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June 30,</w:t>
            </w:r>
          </w:p>
        </w:tc>
      </w:tr>
      <w:tr>
        <w:trPr>
          <w:trHeight w:val="162"/>
        </w:trPr>
        <w:tc>
          <w:tcPr>
            <w:tcW w:w="55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4"/>
                <w:szCs w:val="14"/>
                <w:color w:val="auto"/>
              </w:rPr>
            </w:pPr>
          </w:p>
        </w:tc>
        <w:tc>
          <w:tcPr>
            <w:tcW w:w="700" w:type="dxa"/>
            <w:vAlign w:val="bottom"/>
          </w:tcPr>
          <w:p>
            <w:pPr>
              <w:jc w:val="right"/>
              <w:ind w:right="154"/>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77"/>
        </w:trPr>
        <w:tc>
          <w:tcPr>
            <w:tcW w:w="554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32"/>
              <w:spacing w:after="0"/>
              <w:rPr>
                <w:sz w:val="20"/>
                <w:szCs w:val="20"/>
                <w:color w:val="auto"/>
              </w:rPr>
            </w:pPr>
            <w:r>
              <w:rPr>
                <w:rFonts w:ascii="Arial" w:cs="Arial" w:eastAsia="Arial" w:hAnsi="Arial"/>
                <w:sz w:val="14"/>
                <w:szCs w:val="14"/>
                <w:b w:val="1"/>
                <w:bCs w:val="1"/>
                <w:color w:val="auto"/>
              </w:rPr>
              <w:t>2019</w:t>
            </w:r>
          </w:p>
        </w:tc>
        <w:tc>
          <w:tcPr>
            <w:tcW w:w="640" w:type="dxa"/>
            <w:vAlign w:val="bottom"/>
          </w:tcPr>
          <w:p>
            <w:pPr>
              <w:spacing w:after="0"/>
              <w:rPr>
                <w:sz w:val="15"/>
                <w:szCs w:val="15"/>
                <w:color w:val="auto"/>
              </w:rPr>
            </w:pPr>
          </w:p>
        </w:tc>
        <w:tc>
          <w:tcPr>
            <w:tcW w:w="920" w:type="dxa"/>
            <w:vAlign w:val="bottom"/>
            <w:gridSpan w:val="3"/>
          </w:tcPr>
          <w:p>
            <w:pPr>
              <w:spacing w:after="0"/>
              <w:rPr>
                <w:sz w:val="20"/>
                <w:szCs w:val="20"/>
                <w:color w:val="auto"/>
              </w:rPr>
            </w:pPr>
            <w:r>
              <w:rPr>
                <w:rFonts w:ascii="Arial" w:cs="Arial" w:eastAsia="Arial" w:hAnsi="Arial"/>
                <w:sz w:val="14"/>
                <w:szCs w:val="14"/>
                <w:b w:val="1"/>
                <w:bCs w:val="1"/>
                <w:color w:val="auto"/>
              </w:rPr>
              <w:t>(unaudited)</w:t>
            </w:r>
          </w:p>
        </w:tc>
      </w:tr>
      <w:tr>
        <w:trPr>
          <w:trHeight w:val="196"/>
        </w:trPr>
        <w:tc>
          <w:tcPr>
            <w:tcW w:w="5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Machinery &amp; equipment</w:t>
            </w:r>
          </w:p>
        </w:tc>
        <w:tc>
          <w:tcPr>
            <w:tcW w:w="29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1,898</w:t>
            </w: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1,950</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Computers</w:t>
            </w:r>
          </w:p>
        </w:tc>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640"/>
              <w:spacing w:after="0" w:line="202"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7"/>
                <w:szCs w:val="17"/>
                <w:color w:val="auto"/>
              </w:rPr>
            </w:pPr>
          </w:p>
        </w:tc>
        <w:tc>
          <w:tcPr>
            <w:tcW w:w="8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8</w:t>
            </w:r>
          </w:p>
        </w:tc>
      </w:tr>
      <w:tr>
        <w:trPr>
          <w:trHeight w:val="203"/>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Furniture &amp; fixtures</w:t>
            </w:r>
          </w:p>
        </w:tc>
        <w:tc>
          <w:tcPr>
            <w:tcW w:w="2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9</w:t>
            </w:r>
          </w:p>
        </w:tc>
      </w:tr>
      <w:tr>
        <w:trPr>
          <w:trHeight w:val="210"/>
        </w:trPr>
        <w:tc>
          <w:tcPr>
            <w:tcW w:w="5540" w:type="dxa"/>
            <w:vAlign w:val="bottom"/>
          </w:tcPr>
          <w:p>
            <w:pPr>
              <w:spacing w:after="0" w:line="202" w:lineRule="exact"/>
              <w:rPr>
                <w:sz w:val="20"/>
                <w:szCs w:val="20"/>
                <w:color w:val="auto"/>
              </w:rPr>
            </w:pPr>
            <w:r>
              <w:rPr>
                <w:rFonts w:ascii="Arial" w:cs="Arial" w:eastAsia="Arial" w:hAnsi="Arial"/>
                <w:sz w:val="18"/>
                <w:szCs w:val="18"/>
                <w:color w:val="auto"/>
              </w:rPr>
              <w:t>Leasehold improvements</w:t>
            </w:r>
          </w:p>
        </w:tc>
        <w:tc>
          <w:tcPr>
            <w:tcW w:w="29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w:t>
            </w:r>
          </w:p>
        </w:tc>
        <w:tc>
          <w:tcPr>
            <w:tcW w:w="6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67</w:t>
            </w:r>
          </w:p>
        </w:tc>
        <w:tc>
          <w:tcPr>
            <w:tcW w:w="120" w:type="dxa"/>
            <w:vAlign w:val="bottom"/>
          </w:tcPr>
          <w:p>
            <w:pPr>
              <w:spacing w:after="0"/>
              <w:rPr>
                <w:sz w:val="18"/>
                <w:szCs w:val="18"/>
                <w:color w:val="auto"/>
              </w:rPr>
            </w:pPr>
          </w:p>
        </w:tc>
      </w:tr>
      <w:tr>
        <w:trPr>
          <w:trHeight w:val="203"/>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property and equipment</w:t>
            </w:r>
          </w:p>
        </w:tc>
        <w:tc>
          <w:tcPr>
            <w:tcW w:w="2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1,982</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2,034</w:t>
            </w:r>
          </w:p>
        </w:tc>
      </w:tr>
      <w:tr>
        <w:trPr>
          <w:trHeight w:val="203"/>
        </w:trPr>
        <w:tc>
          <w:tcPr>
            <w:tcW w:w="554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2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right"/>
              <w:ind w:right="580"/>
              <w:spacing w:after="0" w:line="202" w:lineRule="exact"/>
              <w:rPr>
                <w:sz w:val="20"/>
                <w:szCs w:val="20"/>
                <w:color w:val="auto"/>
              </w:rPr>
            </w:pPr>
            <w:r>
              <w:rPr>
                <w:rFonts w:ascii="Arial" w:cs="Arial" w:eastAsia="Arial" w:hAnsi="Arial"/>
                <w:sz w:val="18"/>
                <w:szCs w:val="18"/>
                <w:color w:val="auto"/>
              </w:rPr>
              <w:t>(1,243)</w:t>
            </w:r>
          </w:p>
        </w:tc>
        <w:tc>
          <w:tcPr>
            <w:tcW w:w="100" w:type="dxa"/>
            <w:vAlign w:val="bottom"/>
          </w:tcPr>
          <w:p>
            <w:pPr>
              <w:spacing w:after="0"/>
              <w:rPr>
                <w:sz w:val="17"/>
                <w:szCs w:val="17"/>
                <w:color w:val="auto"/>
              </w:rPr>
            </w:pPr>
          </w:p>
        </w:tc>
        <w:tc>
          <w:tcPr>
            <w:tcW w:w="8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(1,425)</w:t>
            </w:r>
          </w:p>
        </w:tc>
      </w:tr>
      <w:tr>
        <w:trPr>
          <w:trHeight w:val="27"/>
        </w:trPr>
        <w:tc>
          <w:tcPr>
            <w:tcW w:w="55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55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Property and equipment, net</w:t>
            </w:r>
          </w:p>
        </w:tc>
        <w:tc>
          <w:tcPr>
            <w:tcW w:w="3180" w:type="dxa"/>
            <w:vAlign w:val="bottom"/>
            <w:gridSpan w:val="2"/>
            <w:shd w:val="clear" w:color="auto" w:fill="CCEEFF"/>
          </w:tcPr>
          <w:p>
            <w:pPr>
              <w:ind w:left="2980"/>
              <w:spacing w:after="0" w:line="202"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line="202" w:lineRule="exact"/>
              <w:rPr>
                <w:sz w:val="20"/>
                <w:szCs w:val="20"/>
                <w:color w:val="auto"/>
              </w:rPr>
            </w:pPr>
            <w:r>
              <w:rPr>
                <w:rFonts w:ascii="Arial" w:cs="Arial" w:eastAsia="Arial" w:hAnsi="Arial"/>
                <w:sz w:val="18"/>
                <w:szCs w:val="18"/>
                <w:color w:val="auto"/>
              </w:rPr>
              <w:t>739</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609</w:t>
            </w:r>
          </w:p>
        </w:tc>
      </w:tr>
      <w:tr>
        <w:trPr>
          <w:trHeight w:val="20"/>
        </w:trPr>
        <w:tc>
          <w:tcPr>
            <w:tcW w:w="55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expense for the six months ended June 30, 2019 and 2020 was $186 and $182, respectively.</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5. Accrued Expenses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Accrued expenses consists of the following:</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Six Months Ended</w:t>
            </w:r>
          </w:p>
        </w:tc>
      </w:tr>
      <w:tr>
        <w:trPr>
          <w:trHeight w:val="162"/>
        </w:trPr>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June 30,</w:t>
            </w:r>
          </w:p>
        </w:tc>
      </w:tr>
      <w:tr>
        <w:trPr>
          <w:trHeight w:val="162"/>
        </w:trPr>
        <w:tc>
          <w:tcPr>
            <w:tcW w:w="7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center"/>
              <w:ind w:right="76"/>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77"/>
        </w:trPr>
        <w:tc>
          <w:tcPr>
            <w:tcW w:w="7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jc w:val="right"/>
              <w:ind w:right="213"/>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(unaudited)</w:t>
            </w:r>
          </w:p>
        </w:tc>
      </w:tr>
      <w:tr>
        <w:trPr>
          <w:trHeight w:val="196"/>
        </w:trPr>
        <w:tc>
          <w:tcPr>
            <w:tcW w:w="78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Accrued bonuses</w:t>
            </w: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1,281</w:t>
            </w:r>
          </w:p>
        </w:tc>
        <w:tc>
          <w:tcPr>
            <w:tcW w:w="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924</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7840" w:type="dxa"/>
            <w:vAlign w:val="bottom"/>
          </w:tcPr>
          <w:p>
            <w:pPr>
              <w:spacing w:after="0" w:line="202" w:lineRule="exact"/>
              <w:rPr>
                <w:sz w:val="20"/>
                <w:szCs w:val="20"/>
                <w:color w:val="auto"/>
              </w:rPr>
            </w:pPr>
            <w:r>
              <w:rPr>
                <w:rFonts w:ascii="Arial" w:cs="Arial" w:eastAsia="Arial" w:hAnsi="Arial"/>
                <w:sz w:val="18"/>
                <w:szCs w:val="18"/>
                <w:color w:val="auto"/>
              </w:rPr>
              <w:t>Accrued vacation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367</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554</w:t>
            </w: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Accrued legal and professional services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868</w:t>
            </w:r>
          </w:p>
        </w:tc>
      </w:tr>
      <w:tr>
        <w:trPr>
          <w:trHeight w:val="203"/>
        </w:trPr>
        <w:tc>
          <w:tcPr>
            <w:tcW w:w="7840" w:type="dxa"/>
            <w:vAlign w:val="bottom"/>
          </w:tcPr>
          <w:p>
            <w:pPr>
              <w:spacing w:after="0" w:line="202" w:lineRule="exact"/>
              <w:rPr>
                <w:sz w:val="20"/>
                <w:szCs w:val="20"/>
                <w:color w:val="auto"/>
              </w:rPr>
            </w:pPr>
            <w:r>
              <w:rPr>
                <w:rFonts w:ascii="Arial" w:cs="Arial" w:eastAsia="Arial" w:hAnsi="Arial"/>
                <w:sz w:val="18"/>
                <w:szCs w:val="18"/>
                <w:color w:val="auto"/>
              </w:rPr>
              <w:t>Accrued research and development costs</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476</w:t>
            </w:r>
          </w:p>
        </w:tc>
      </w:tr>
      <w:tr>
        <w:trPr>
          <w:trHeight w:val="203"/>
        </w:trPr>
        <w:tc>
          <w:tcPr>
            <w:tcW w:w="7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accrued liabiities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38</w:t>
            </w: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115</w:t>
            </w:r>
          </w:p>
        </w:tc>
      </w:tr>
      <w:tr>
        <w:trPr>
          <w:trHeight w:val="210"/>
        </w:trPr>
        <w:tc>
          <w:tcPr>
            <w:tcW w:w="78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1,686</w:t>
            </w:r>
          </w:p>
        </w:tc>
        <w:tc>
          <w:tcPr>
            <w:tcW w:w="20" w:type="dxa"/>
            <w:vAlign w:val="bottom"/>
            <w:tcBorders>
              <w:bottom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2,937</w:t>
            </w:r>
          </w:p>
        </w:tc>
        <w:tc>
          <w:tcPr>
            <w:tcW w:w="60" w:type="dxa"/>
            <w:vAlign w:val="bottom"/>
          </w:tcPr>
          <w:p>
            <w:pPr>
              <w:spacing w:after="0"/>
              <w:rPr>
                <w:sz w:val="18"/>
                <w:szCs w:val="18"/>
                <w:color w:val="auto"/>
              </w:rPr>
            </w:pPr>
          </w:p>
        </w:tc>
      </w:tr>
      <w:tr>
        <w:trPr>
          <w:trHeight w:val="20"/>
        </w:trPr>
        <w:tc>
          <w:tcPr>
            <w:tcW w:w="7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6. Convertible Preferred Stock</w:t>
      </w:r>
    </w:p>
    <w:p>
      <w:pPr>
        <w:spacing w:after="0" w:line="104" w:lineRule="exact"/>
        <w:rPr>
          <w:sz w:val="20"/>
          <w:szCs w:val="20"/>
          <w:color w:val="auto"/>
        </w:rPr>
      </w:pPr>
    </w:p>
    <w:p>
      <w:pPr>
        <w:ind w:left="120" w:right="520" w:firstLine="551"/>
        <w:spacing w:after="0" w:line="276" w:lineRule="auto"/>
        <w:rPr>
          <w:sz w:val="20"/>
          <w:szCs w:val="20"/>
          <w:color w:val="auto"/>
        </w:rPr>
      </w:pPr>
      <w:r>
        <w:rPr>
          <w:rFonts w:ascii="Arial" w:cs="Arial" w:eastAsia="Arial" w:hAnsi="Arial"/>
          <w:sz w:val="18"/>
          <w:szCs w:val="18"/>
          <w:color w:val="auto"/>
        </w:rPr>
        <w:t>The Company is authorized to issue up to 120,483,538 shares of convertible preferred stock with a par value of $0.00001 per share. 8,729,029 shares have been designated as Series Seed convertible</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40"/>
          </w:cols>
          <w:pgMar w:left="320" w:top="455" w:right="439" w:bottom="1440" w:gutter="0" w:footer="0" w:header="0"/>
        </w:sectPr>
      </w:pPr>
    </w:p>
    <w:bookmarkStart w:id="245" w:name="page246"/>
    <w:bookmarkEnd w:id="2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120"/>
        <w:spacing w:after="0" w:line="245" w:lineRule="auto"/>
        <w:rPr>
          <w:sz w:val="20"/>
          <w:szCs w:val="20"/>
          <w:color w:val="auto"/>
        </w:rPr>
      </w:pPr>
      <w:r>
        <w:rPr>
          <w:rFonts w:ascii="Arial" w:cs="Arial" w:eastAsia="Arial" w:hAnsi="Arial"/>
          <w:sz w:val="18"/>
          <w:szCs w:val="18"/>
          <w:color w:val="auto"/>
        </w:rPr>
        <w:t>preferred stock (Series Seed Preferred), 42,526,138 shares have been designated as Series A convertible preferred stock (Series A Preferred), 40,396,799 shares have been designated as Series B convertible preferred stock (Series B Preferred) and 28,831,572 shares have been designated as Series C convertible preferred stock (Series C Preferred). As of June 30, 2020, the Company had an aggregate of 120,393,150 shares of Series Seed Preferred, Series A Preferred, Series B Preferred and Series C Preferred, (collectively, “Preferred Stock”) issued and outstanding.</w:t>
      </w:r>
    </w:p>
    <w:p>
      <w:pPr>
        <w:spacing w:after="0" w:line="2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and June 30, 2020, the Preferred Stock consisted of the following (in thousands, except for share data):</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39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Preferred Stock</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Common Stock</w:t>
            </w:r>
          </w:p>
        </w:tc>
      </w:tr>
      <w:tr>
        <w:trPr>
          <w:trHeight w:val="162"/>
        </w:trPr>
        <w:tc>
          <w:tcPr>
            <w:tcW w:w="3960" w:type="dxa"/>
            <w:vAlign w:val="bottom"/>
          </w:tcPr>
          <w:p>
            <w:pPr>
              <w:spacing w:after="0"/>
              <w:rPr>
                <w:sz w:val="14"/>
                <w:szCs w:val="14"/>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Preferred Stock</w:t>
            </w: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Issued and</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Liquidation</w:t>
            </w:r>
          </w:p>
        </w:tc>
        <w:tc>
          <w:tcPr>
            <w:tcW w:w="12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Issuable Upon</w:t>
            </w:r>
          </w:p>
        </w:tc>
      </w:tr>
      <w:tr>
        <w:trPr>
          <w:trHeight w:val="177"/>
        </w:trPr>
        <w:tc>
          <w:tcPr>
            <w:tcW w:w="3960" w:type="dxa"/>
            <w:vAlign w:val="bottom"/>
          </w:tcPr>
          <w:p>
            <w:pPr>
              <w:spacing w:after="0"/>
              <w:rPr>
                <w:sz w:val="15"/>
                <w:szCs w:val="15"/>
                <w:color w:val="auto"/>
              </w:rPr>
            </w:pPr>
          </w:p>
        </w:tc>
        <w:tc>
          <w:tcPr>
            <w:tcW w:w="15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Authorized</w:t>
            </w: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Outstanding</w:t>
            </w: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Carrying Value</w:t>
            </w:r>
          </w:p>
        </w:tc>
        <w:tc>
          <w:tcPr>
            <w:tcW w:w="200" w:type="dxa"/>
            <w:vAlign w:val="bottom"/>
          </w:tcPr>
          <w:p>
            <w:pPr>
              <w:spacing w:after="0"/>
              <w:rPr>
                <w:sz w:val="15"/>
                <w:szCs w:val="15"/>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Preference</w:t>
            </w:r>
          </w:p>
        </w:tc>
        <w:tc>
          <w:tcPr>
            <w:tcW w:w="12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Conversion</w:t>
            </w:r>
          </w:p>
        </w:tc>
      </w:tr>
      <w:tr>
        <w:trPr>
          <w:trHeight w:val="196"/>
        </w:trPr>
        <w:tc>
          <w:tcPr>
            <w:tcW w:w="3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Series Seed Preferred</w:t>
            </w: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8,729,029</w:t>
            </w:r>
          </w:p>
        </w:tc>
        <w:tc>
          <w:tcPr>
            <w:tcW w:w="38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8,672,163</w:t>
            </w:r>
          </w:p>
        </w:tc>
        <w:tc>
          <w:tcPr>
            <w:tcW w:w="3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96"/>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3,008</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3,050</w:t>
            </w:r>
          </w:p>
        </w:tc>
        <w:tc>
          <w:tcPr>
            <w:tcW w:w="3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8,672,163</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Series A Preferred</w:t>
            </w:r>
          </w:p>
        </w:tc>
        <w:tc>
          <w:tcPr>
            <w:tcW w:w="15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42,526,138</w:t>
            </w:r>
          </w:p>
        </w:tc>
        <w:tc>
          <w:tcPr>
            <w:tcW w:w="15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42,526,138</w:t>
            </w:r>
          </w:p>
        </w:tc>
        <w:tc>
          <w:tcPr>
            <w:tcW w:w="28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30,593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30,734</w:t>
            </w: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42,526,138</w:t>
            </w:r>
          </w:p>
        </w:tc>
      </w:tr>
      <w:tr>
        <w:trPr>
          <w:trHeight w:val="203"/>
        </w:trPr>
        <w:tc>
          <w:tcPr>
            <w:tcW w:w="39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Series B Preferred</w:t>
            </w:r>
          </w:p>
        </w:tc>
        <w:tc>
          <w:tcPr>
            <w:tcW w:w="15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40,396,799</w:t>
            </w:r>
          </w:p>
        </w:tc>
        <w:tc>
          <w:tcPr>
            <w:tcW w:w="15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40,396,799</w:t>
            </w: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73,627</w:t>
            </w: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73,728</w:t>
            </w:r>
          </w:p>
        </w:tc>
        <w:tc>
          <w:tcPr>
            <w:tcW w:w="1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40,396,799</w:t>
            </w: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Series C Preferred</w:t>
            </w: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28,831,572</w:t>
            </w:r>
          </w:p>
        </w:tc>
        <w:tc>
          <w:tcPr>
            <w:tcW w:w="380" w:type="dxa"/>
            <w:vAlign w:val="bottom"/>
          </w:tcPr>
          <w:p>
            <w:pPr>
              <w:spacing w:after="0"/>
              <w:rPr>
                <w:sz w:val="17"/>
                <w:szCs w:val="17"/>
                <w:color w:val="auto"/>
              </w:rPr>
            </w:pPr>
          </w:p>
        </w:tc>
        <w:tc>
          <w:tcPr>
            <w:tcW w:w="15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28,798,050</w:t>
            </w:r>
          </w:p>
        </w:tc>
        <w:tc>
          <w:tcPr>
            <w:tcW w:w="280" w:type="dxa"/>
            <w:vAlign w:val="bottom"/>
          </w:tcPr>
          <w:p>
            <w:pPr>
              <w:spacing w:after="0"/>
              <w:rPr>
                <w:sz w:val="17"/>
                <w:szCs w:val="17"/>
                <w:color w:val="auto"/>
              </w:rPr>
            </w:pPr>
          </w:p>
        </w:tc>
        <w:tc>
          <w:tcPr>
            <w:tcW w:w="100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61,705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61,873</w:t>
            </w:r>
          </w:p>
        </w:tc>
        <w:tc>
          <w:tcPr>
            <w:tcW w:w="128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28,798,050</w:t>
            </w:r>
          </w:p>
        </w:tc>
      </w:tr>
      <w:tr>
        <w:trPr>
          <w:trHeight w:val="27"/>
        </w:trPr>
        <w:tc>
          <w:tcPr>
            <w:tcW w:w="396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39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120,483,538</w:t>
            </w:r>
          </w:p>
        </w:tc>
        <w:tc>
          <w:tcPr>
            <w:tcW w:w="380" w:type="dxa"/>
            <w:vAlign w:val="bottom"/>
            <w:shd w:val="clear" w:color="auto" w:fill="CCEEFF"/>
          </w:tcPr>
          <w:p>
            <w:pPr>
              <w:spacing w:after="0"/>
              <w:rPr>
                <w:sz w:val="17"/>
                <w:szCs w:val="17"/>
                <w:color w:val="auto"/>
              </w:rPr>
            </w:pPr>
          </w:p>
        </w:tc>
        <w:tc>
          <w:tcPr>
            <w:tcW w:w="154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120,393,150</w:t>
            </w:r>
          </w:p>
        </w:tc>
        <w:tc>
          <w:tcPr>
            <w:tcW w:w="280" w:type="dxa"/>
            <w:vAlign w:val="bottom"/>
            <w:shd w:val="clear" w:color="auto" w:fill="CCEEFF"/>
          </w:tcPr>
          <w:p>
            <w:pPr>
              <w:jc w:val="right"/>
              <w:ind w:right="96"/>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80"/>
              <w:spacing w:after="0" w:line="202" w:lineRule="exact"/>
              <w:rPr>
                <w:sz w:val="20"/>
                <w:szCs w:val="20"/>
                <w:color w:val="auto"/>
              </w:rPr>
            </w:pPr>
            <w:r>
              <w:rPr>
                <w:rFonts w:ascii="Arial" w:cs="Arial" w:eastAsia="Arial" w:hAnsi="Arial"/>
                <w:sz w:val="18"/>
                <w:szCs w:val="18"/>
                <w:color w:val="auto"/>
              </w:rPr>
              <w:t>168,933</w:t>
            </w:r>
          </w:p>
        </w:tc>
        <w:tc>
          <w:tcPr>
            <w:tcW w:w="3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80"/>
              <w:spacing w:after="0" w:line="202" w:lineRule="exact"/>
              <w:rPr>
                <w:sz w:val="20"/>
                <w:szCs w:val="20"/>
                <w:color w:val="auto"/>
              </w:rPr>
            </w:pPr>
            <w:r>
              <w:rPr>
                <w:rFonts w:ascii="Arial" w:cs="Arial" w:eastAsia="Arial" w:hAnsi="Arial"/>
                <w:sz w:val="18"/>
                <w:szCs w:val="18"/>
                <w:color w:val="auto"/>
              </w:rPr>
              <w:t>169,385</w:t>
            </w:r>
          </w:p>
        </w:tc>
        <w:tc>
          <w:tcPr>
            <w:tcW w:w="128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120,393,150</w:t>
            </w:r>
          </w:p>
        </w:tc>
      </w:tr>
    </w:tbl>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holders of Preferred Stock have the rights, preferences, privileges and restrictions as set forth below:</w:t>
      </w:r>
    </w:p>
    <w:p>
      <w:pPr>
        <w:spacing w:after="0" w:line="32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Dividends:</w:t>
      </w:r>
    </w:p>
    <w:p>
      <w:pPr>
        <w:spacing w:after="0" w:line="104" w:lineRule="exact"/>
        <w:rPr>
          <w:sz w:val="20"/>
          <w:szCs w:val="20"/>
          <w:color w:val="auto"/>
        </w:rPr>
      </w:pPr>
    </w:p>
    <w:p>
      <w:pPr>
        <w:ind w:left="660" w:right="100" w:firstLine="523"/>
        <w:spacing w:after="0" w:line="248" w:lineRule="auto"/>
        <w:rPr>
          <w:sz w:val="20"/>
          <w:szCs w:val="20"/>
          <w:color w:val="auto"/>
        </w:rPr>
      </w:pPr>
      <w:r>
        <w:rPr>
          <w:rFonts w:ascii="Arial" w:cs="Arial" w:eastAsia="Arial" w:hAnsi="Arial"/>
          <w:sz w:val="18"/>
          <w:szCs w:val="18"/>
          <w:color w:val="auto"/>
        </w:rPr>
        <w:t>The holders of Preferred Stock are entitled to receive non-cumulative dividends prior to and in preference to any declaration of payment of dividends on common stock, when and if declared by the Board of Directors. Any additional dividends will be paid ratably to holders of common and Preferred Stock, with the holders of Preferred Stock participating on an as-if converted basis. No dividends have been declared or paid as of June 30, 2020.</w:t>
      </w:r>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Voting Rights:</w:t>
      </w:r>
    </w:p>
    <w:p>
      <w:pPr>
        <w:spacing w:after="0" w:line="104" w:lineRule="exact"/>
        <w:rPr>
          <w:sz w:val="20"/>
          <w:szCs w:val="20"/>
          <w:color w:val="auto"/>
        </w:rPr>
      </w:pPr>
    </w:p>
    <w:p>
      <w:pPr>
        <w:ind w:left="660" w:firstLine="523"/>
        <w:spacing w:after="0" w:line="243" w:lineRule="auto"/>
        <w:rPr>
          <w:sz w:val="20"/>
          <w:szCs w:val="20"/>
          <w:color w:val="auto"/>
        </w:rPr>
      </w:pPr>
      <w:r>
        <w:rPr>
          <w:rFonts w:ascii="Arial" w:cs="Arial" w:eastAsia="Arial" w:hAnsi="Arial"/>
          <w:sz w:val="18"/>
          <w:szCs w:val="18"/>
          <w:color w:val="auto"/>
        </w:rPr>
        <w:t>The holders of each share of Preferred Stock are entitled to voting rights equal to the number of shares of common stock into which the shares could be converted. As long as any shares of Preferred Stock remain outstanding, the holders of Preferred Stock, voting together as a class, shall be entitled to elect four members of the Company’s Board of Directors. The holders of common stock, voting together as a single class, shall be entitled to elect two members of the Company’s Board of Directors. Remaining members of the Company’s Board of Directors will be elected by the holders of a majority of the shares of Preferred Stock and common stock, voting together as a single class.</w:t>
      </w:r>
    </w:p>
    <w:p>
      <w:pPr>
        <w:spacing w:after="0" w:line="28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Liquidation Rights:</w:t>
      </w:r>
    </w:p>
    <w:p>
      <w:pPr>
        <w:spacing w:after="0" w:line="104" w:lineRule="exact"/>
        <w:rPr>
          <w:sz w:val="20"/>
          <w:szCs w:val="20"/>
          <w:color w:val="auto"/>
        </w:rPr>
      </w:pPr>
    </w:p>
    <w:p>
      <w:pPr>
        <w:jc w:val="both"/>
        <w:ind w:left="660" w:right="260" w:firstLine="523"/>
        <w:spacing w:after="0" w:line="248" w:lineRule="auto"/>
        <w:rPr>
          <w:sz w:val="20"/>
          <w:szCs w:val="20"/>
          <w:color w:val="auto"/>
        </w:rPr>
      </w:pPr>
      <w:r>
        <w:rPr>
          <w:rFonts w:ascii="Arial" w:cs="Arial" w:eastAsia="Arial" w:hAnsi="Arial"/>
          <w:sz w:val="18"/>
          <w:szCs w:val="18"/>
          <w:color w:val="auto"/>
        </w:rPr>
        <w:t>In the event of any liquidation, dissolution or winding up of the Company, whether voluntary or involuntary, the holders of Preferred Stock have liquidation preferences, before any distribution or payment is made to holders of any common stock, in an amount per share equal to the original issue price of $0.3517 for Series Seed Preferred, $0.7078 for Series A Preferred, $1.8251 for Series B Preferred and $2.1485 for Series C Preferred, as adjusted for stock splits, stock</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40"/>
          </w:cols>
          <w:pgMar w:left="320" w:top="455" w:right="439" w:bottom="1440" w:gutter="0" w:footer="0" w:header="0"/>
        </w:sectPr>
      </w:pPr>
    </w:p>
    <w:bookmarkStart w:id="246" w:name="page247"/>
    <w:bookmarkEnd w:id="2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660" w:right="80"/>
        <w:spacing w:after="0" w:line="248" w:lineRule="auto"/>
        <w:rPr>
          <w:sz w:val="20"/>
          <w:szCs w:val="20"/>
          <w:color w:val="auto"/>
        </w:rPr>
      </w:pPr>
      <w:r>
        <w:rPr>
          <w:rFonts w:ascii="Arial" w:cs="Arial" w:eastAsia="Arial" w:hAnsi="Arial"/>
          <w:sz w:val="18"/>
          <w:szCs w:val="18"/>
          <w:color w:val="auto"/>
        </w:rPr>
        <w:t>dividends, combinations, recapitalizations and the like, plus any declared but unpaid dividends. If the assets and funds to be distributed among the holders of Preferred Stock are insufficient to permit the payment to such holders, then the entire assets and funds of the Company legally available for distribution will be distributed ratably among the holders of Preferred Stock in proportion to the preferential amount each such holder is otherwise entitled to receive.</w:t>
      </w:r>
    </w:p>
    <w:p>
      <w:pPr>
        <w:spacing w:after="0" w:line="62" w:lineRule="exact"/>
        <w:rPr>
          <w:sz w:val="20"/>
          <w:szCs w:val="20"/>
          <w:color w:val="auto"/>
        </w:rPr>
      </w:pPr>
    </w:p>
    <w:p>
      <w:pPr>
        <w:ind w:left="660" w:firstLine="523"/>
        <w:spacing w:after="0" w:line="241" w:lineRule="auto"/>
        <w:rPr>
          <w:sz w:val="20"/>
          <w:szCs w:val="20"/>
          <w:color w:val="auto"/>
        </w:rPr>
      </w:pPr>
      <w:r>
        <w:rPr>
          <w:rFonts w:ascii="Arial" w:cs="Arial" w:eastAsia="Arial" w:hAnsi="Arial"/>
          <w:sz w:val="18"/>
          <w:szCs w:val="18"/>
          <w:color w:val="auto"/>
        </w:rPr>
        <w:t>Upon completion of the payment of the full liquidation preference of Preferred Stock, the remaining assets of the Company, if any, shall be distributed with equal priority and ratably to the holders of common stock and Preferred Stock, with the Preferred Stock being treated as if the Preferred Stock had been converted to shares of common stock at the then applicable conversion rate. Notwithstanding the foregoing, the aggregate distributions made with respect to any shares of Preferred Stock may not exceed the greater of (i) an amount equal to two times the original issue price plus any declared but unpaid dividends on such share or (ii) the amount the holder would have received if all shares of the Preferred Stock were deemed to have been converted into common stock as of immediately prior to such liquidation, dissolution or winding up of the Company.</w:t>
      </w:r>
    </w:p>
    <w:p>
      <w:pPr>
        <w:spacing w:after="0" w:line="2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Conversion:</w:t>
      </w:r>
    </w:p>
    <w:p>
      <w:pPr>
        <w:spacing w:after="0" w:line="104" w:lineRule="exact"/>
        <w:rPr>
          <w:sz w:val="20"/>
          <w:szCs w:val="20"/>
          <w:color w:val="auto"/>
        </w:rPr>
      </w:pPr>
    </w:p>
    <w:p>
      <w:pPr>
        <w:ind w:left="660" w:right="80" w:firstLine="523"/>
        <w:spacing w:after="0" w:line="241" w:lineRule="auto"/>
        <w:rPr>
          <w:sz w:val="20"/>
          <w:szCs w:val="20"/>
          <w:color w:val="auto"/>
        </w:rPr>
      </w:pPr>
      <w:r>
        <w:rPr>
          <w:rFonts w:ascii="Arial" w:cs="Arial" w:eastAsia="Arial" w:hAnsi="Arial"/>
          <w:sz w:val="18"/>
          <w:szCs w:val="18"/>
          <w:color w:val="auto"/>
        </w:rPr>
        <w:t>Each share of Preferred Stock is convertible into shares of common stock, at the option of the holder, at any time after date of issuance. Each share of Preferred Stock automatically converts to the number of shares of common stock determined in accordance with the conversion rate upon the earlier of (i) written consent of two-thirds of the then outstanding shares of Preferred Stock, voting together as a single class, and written consent of the majority of the then outstanding shares of Series C Preferred or</w:t>
      </w:r>
    </w:p>
    <w:p>
      <w:pPr>
        <w:spacing w:after="0" w:line="1" w:lineRule="exact"/>
        <w:rPr>
          <w:sz w:val="20"/>
          <w:szCs w:val="20"/>
          <w:color w:val="auto"/>
        </w:rPr>
      </w:pPr>
    </w:p>
    <w:p>
      <w:pPr>
        <w:ind w:left="660" w:right="20" w:firstLine="7"/>
        <w:spacing w:after="0"/>
        <w:tabs>
          <w:tab w:leader="none" w:pos="91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closing of a public offering, in which the gross cash proceeds are at least $40,000 and the initial offering price to the public is at least $2.1485 per share (as adjusted for any stock splits, stock dividends, combinations, subdivisions, recapitalizations, reorganizations, reclassifications or the like). At June 30, 2020, the conversion price for each share of Series Seed Preferred, Series A Preferred, Series B Preferred and Series C Preferred is $0.3517, $0.7078, $1.8251 and $2.1485, respectively.</w:t>
      </w:r>
    </w:p>
    <w:p>
      <w:pPr>
        <w:spacing w:after="0" w:line="2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Redemption:</w:t>
      </w:r>
    </w:p>
    <w:p>
      <w:pPr>
        <w:spacing w:after="0" w:line="104" w:lineRule="exact"/>
        <w:rPr>
          <w:sz w:val="20"/>
          <w:szCs w:val="20"/>
          <w:color w:val="auto"/>
        </w:rPr>
      </w:pPr>
    </w:p>
    <w:p>
      <w:pPr>
        <w:ind w:left="660" w:right="240" w:firstLine="523"/>
        <w:spacing w:after="0" w:line="276" w:lineRule="auto"/>
        <w:rPr>
          <w:sz w:val="20"/>
          <w:szCs w:val="20"/>
          <w:color w:val="auto"/>
        </w:rPr>
      </w:pPr>
      <w:r>
        <w:rPr>
          <w:rFonts w:ascii="Arial" w:cs="Arial" w:eastAsia="Arial" w:hAnsi="Arial"/>
          <w:sz w:val="18"/>
          <w:szCs w:val="18"/>
          <w:color w:val="auto"/>
        </w:rPr>
        <w:t>The Preferred Stock is not currently redeemable. Upon certain change in control events that are outside of the Company’s control, including liquidation, sale or transfer of control of the Company, the Preferred Stock is contingently redeemable.</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Protective Provisions:</w:t>
      </w:r>
    </w:p>
    <w:p>
      <w:pPr>
        <w:spacing w:after="0" w:line="104" w:lineRule="exact"/>
        <w:rPr>
          <w:sz w:val="20"/>
          <w:szCs w:val="20"/>
          <w:color w:val="auto"/>
        </w:rPr>
      </w:pPr>
    </w:p>
    <w:p>
      <w:pPr>
        <w:ind w:left="1180"/>
        <w:spacing w:after="0"/>
        <w:rPr>
          <w:sz w:val="20"/>
          <w:szCs w:val="20"/>
          <w:color w:val="auto"/>
        </w:rPr>
      </w:pPr>
      <w:r>
        <w:rPr>
          <w:rFonts w:ascii="Arial" w:cs="Arial" w:eastAsia="Arial" w:hAnsi="Arial"/>
          <w:sz w:val="18"/>
          <w:szCs w:val="18"/>
          <w:color w:val="auto"/>
        </w:rPr>
        <w:t>The holders of preferred stock have certain protective provisions.</w:t>
      </w:r>
    </w:p>
    <w:p>
      <w:pPr>
        <w:spacing w:after="0" w:line="104" w:lineRule="exact"/>
        <w:rPr>
          <w:sz w:val="20"/>
          <w:szCs w:val="20"/>
          <w:color w:val="auto"/>
        </w:rPr>
      </w:pPr>
    </w:p>
    <w:p>
      <w:pPr>
        <w:ind w:left="660" w:right="20" w:firstLine="523"/>
        <w:spacing w:after="0" w:line="243" w:lineRule="auto"/>
        <w:rPr>
          <w:sz w:val="20"/>
          <w:szCs w:val="20"/>
          <w:color w:val="auto"/>
        </w:rPr>
      </w:pPr>
      <w:r>
        <w:rPr>
          <w:rFonts w:ascii="Arial" w:cs="Arial" w:eastAsia="Arial" w:hAnsi="Arial"/>
          <w:sz w:val="18"/>
          <w:szCs w:val="18"/>
          <w:color w:val="auto"/>
        </w:rPr>
        <w:t>As long as at least twenty percent (20%) of the shares of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Preferred Stock, or take certain other actions that would alter the rights, preferences, and privileges of Preferred Stock or effect liquidation, dissolution or winding up of the Company.</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120"/>
          </w:cols>
          <w:pgMar w:left="320" w:top="455" w:right="459" w:bottom="1440" w:gutter="0" w:footer="0" w:header="0"/>
        </w:sectPr>
      </w:pPr>
    </w:p>
    <w:bookmarkStart w:id="247" w:name="page248"/>
    <w:bookmarkEnd w:id="2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660" w:right="100" w:firstLine="523"/>
        <w:spacing w:after="0" w:line="243" w:lineRule="auto"/>
        <w:rPr>
          <w:sz w:val="20"/>
          <w:szCs w:val="20"/>
          <w:color w:val="auto"/>
        </w:rPr>
      </w:pPr>
      <w:r>
        <w:rPr>
          <w:rFonts w:ascii="Arial" w:cs="Arial" w:eastAsia="Arial" w:hAnsi="Arial"/>
          <w:sz w:val="18"/>
          <w:szCs w:val="18"/>
          <w:color w:val="auto"/>
        </w:rPr>
        <w:t>As long as at least twenty percent (20%) of the shares of Series A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the Series A Preferred without first obtaining approval of a majority of the outstanding shares of Series A Preferred.</w:t>
      </w:r>
    </w:p>
    <w:p>
      <w:pPr>
        <w:spacing w:after="0" w:line="66" w:lineRule="exact"/>
        <w:rPr>
          <w:sz w:val="20"/>
          <w:szCs w:val="20"/>
          <w:color w:val="auto"/>
        </w:rPr>
      </w:pPr>
    </w:p>
    <w:p>
      <w:pPr>
        <w:ind w:left="660" w:right="100" w:firstLine="523"/>
        <w:spacing w:after="0" w:line="243" w:lineRule="auto"/>
        <w:rPr>
          <w:sz w:val="20"/>
          <w:szCs w:val="20"/>
          <w:color w:val="auto"/>
        </w:rPr>
      </w:pPr>
      <w:r>
        <w:rPr>
          <w:rFonts w:ascii="Arial" w:cs="Arial" w:eastAsia="Arial" w:hAnsi="Arial"/>
          <w:sz w:val="18"/>
          <w:szCs w:val="18"/>
          <w:color w:val="auto"/>
        </w:rPr>
        <w:t>As long as at least twenty percent (20%) of the shares of Series B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the Series B Preferred without first obtaining approval of a majority of the outstanding shares of Series B Preferred.</w:t>
      </w:r>
    </w:p>
    <w:p>
      <w:pPr>
        <w:spacing w:after="0" w:line="66" w:lineRule="exact"/>
        <w:rPr>
          <w:sz w:val="20"/>
          <w:szCs w:val="20"/>
          <w:color w:val="auto"/>
        </w:rPr>
      </w:pPr>
    </w:p>
    <w:p>
      <w:pPr>
        <w:ind w:left="660" w:right="100" w:firstLine="523"/>
        <w:spacing w:after="0" w:line="241" w:lineRule="auto"/>
        <w:rPr>
          <w:sz w:val="20"/>
          <w:szCs w:val="20"/>
          <w:color w:val="auto"/>
        </w:rPr>
      </w:pPr>
      <w:r>
        <w:rPr>
          <w:rFonts w:ascii="Arial" w:cs="Arial" w:eastAsia="Arial" w:hAnsi="Arial"/>
          <w:sz w:val="18"/>
          <w:szCs w:val="18"/>
          <w:color w:val="auto"/>
        </w:rPr>
        <w:t>As long as at least twenty percent (20%) of the shares of Series C Preferred Stock originally issued remain outstanding (as adjusted for any stock splits, stock dividends, combinations, subdivisions, recapitalizations, reorganizations, reclassifications or the like), the Company shall not, either directly or by amendment, merger, consolidation, reclassification or otherwise, amend, alter or repeal any provision of the Company’s Certificate of Incorporation or Bylaws in a manner that would adversely alter the rights, preferences, and privileges of the Series C Preferred or effect liquidation, dissolution or winding up of the Company, unless each share of Series C Preferred receives at least the original issue price of $2.1485 in any such transaction, without first obtaining approval of a majority of the outstanding shares of Series C Preferred.</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7. Common Stock</w:t>
      </w:r>
    </w:p>
    <w:p>
      <w:pPr>
        <w:spacing w:after="0" w:line="104" w:lineRule="exact"/>
        <w:rPr>
          <w:sz w:val="20"/>
          <w:szCs w:val="20"/>
          <w:color w:val="auto"/>
        </w:rPr>
      </w:pPr>
    </w:p>
    <w:p>
      <w:pPr>
        <w:ind w:left="120" w:right="720" w:firstLine="551"/>
        <w:spacing w:after="0" w:line="276" w:lineRule="auto"/>
        <w:rPr>
          <w:sz w:val="20"/>
          <w:szCs w:val="20"/>
          <w:color w:val="auto"/>
        </w:rPr>
      </w:pPr>
      <w:r>
        <w:rPr>
          <w:rFonts w:ascii="Arial" w:cs="Arial" w:eastAsia="Arial" w:hAnsi="Arial"/>
          <w:sz w:val="18"/>
          <w:szCs w:val="18"/>
          <w:color w:val="auto"/>
        </w:rPr>
        <w:t>The Company is authorized to issue up to 175,068,944 shares of common stock with a par value of $0.00001 per share. At December 31, 2019 and June 30, 2020, there were 16,038,590 and 16,038,590 shares issued and outstanding, respectively.</w:t>
      </w:r>
    </w:p>
    <w:p>
      <w:pPr>
        <w:spacing w:after="0" w:line="145" w:lineRule="exact"/>
        <w:rPr>
          <w:sz w:val="20"/>
          <w:szCs w:val="20"/>
          <w:color w:val="auto"/>
        </w:rPr>
      </w:pPr>
    </w:p>
    <w:p>
      <w:pPr>
        <w:ind w:left="120" w:right="100" w:firstLine="551"/>
        <w:spacing w:after="0" w:line="276" w:lineRule="auto"/>
        <w:rPr>
          <w:sz w:val="20"/>
          <w:szCs w:val="20"/>
          <w:color w:val="auto"/>
        </w:rPr>
      </w:pPr>
      <w:r>
        <w:rPr>
          <w:rFonts w:ascii="Arial" w:cs="Arial" w:eastAsia="Arial" w:hAnsi="Arial"/>
          <w:sz w:val="18"/>
          <w:szCs w:val="18"/>
          <w:color w:val="auto"/>
        </w:rPr>
        <w:t>Common stockholders are entitled to dividends if and when declared by the Board of Directors subject to the rights of the preferred stockholders. As of June 30, 2020, no dividends on common stock had been declared by the Company.</w:t>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 December 31, 2019 and June 30, 2020, the Company had reserved shares of common stock for issuance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48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December 31,</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June 30, 2020</w:t>
            </w:r>
          </w:p>
        </w:tc>
      </w:tr>
      <w:tr>
        <w:trPr>
          <w:trHeight w:val="177"/>
        </w:trPr>
        <w:tc>
          <w:tcPr>
            <w:tcW w:w="4480" w:type="dxa"/>
            <w:vAlign w:val="bottom"/>
          </w:tcPr>
          <w:p>
            <w:pPr>
              <w:spacing w:after="0"/>
              <w:rPr>
                <w:sz w:val="15"/>
                <w:szCs w:val="15"/>
                <w:color w:val="auto"/>
              </w:rPr>
            </w:pPr>
          </w:p>
        </w:tc>
        <w:tc>
          <w:tcPr>
            <w:tcW w:w="5020" w:type="dxa"/>
            <w:vAlign w:val="bottom"/>
            <w:gridSpan w:val="2"/>
          </w:tcPr>
          <w:p>
            <w:pPr>
              <w:jc w:val="right"/>
              <w:ind w:right="375"/>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(unaudited)</w:t>
            </w:r>
          </w:p>
        </w:tc>
      </w:tr>
      <w:tr>
        <w:trPr>
          <w:trHeight w:val="196"/>
        </w:trPr>
        <w:tc>
          <w:tcPr>
            <w:tcW w:w="44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Convertible preferred stock outstanding</w:t>
            </w:r>
          </w:p>
        </w:tc>
        <w:tc>
          <w:tcPr>
            <w:tcW w:w="37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120,393,150</w:t>
            </w:r>
          </w:p>
        </w:tc>
        <w:tc>
          <w:tcPr>
            <w:tcW w:w="16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120,393,150</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Options issued and outstanding</w:t>
            </w:r>
          </w:p>
        </w:tc>
        <w:tc>
          <w:tcPr>
            <w:tcW w:w="518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14,573,100</w:t>
            </w:r>
          </w:p>
        </w:tc>
        <w:tc>
          <w:tcPr>
            <w:tcW w:w="1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20,653,300</w:t>
            </w: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Warrants issued and outstanding</w:t>
            </w:r>
          </w:p>
        </w:tc>
        <w:tc>
          <w:tcPr>
            <w:tcW w:w="5180" w:type="dxa"/>
            <w:vAlign w:val="bottom"/>
            <w:gridSpan w:val="3"/>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56,866</w:t>
            </w:r>
          </w:p>
        </w:tc>
        <w:tc>
          <w:tcPr>
            <w:tcW w:w="13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56,866</w:t>
            </w:r>
          </w:p>
        </w:tc>
      </w:tr>
      <w:tr>
        <w:trPr>
          <w:trHeight w:val="203"/>
        </w:trPr>
        <w:tc>
          <w:tcPr>
            <w:tcW w:w="4480" w:type="dxa"/>
            <w:vAlign w:val="bottom"/>
          </w:tcPr>
          <w:p>
            <w:pPr>
              <w:spacing w:after="0" w:line="202" w:lineRule="exact"/>
              <w:rPr>
                <w:sz w:val="20"/>
                <w:szCs w:val="20"/>
                <w:color w:val="auto"/>
              </w:rPr>
            </w:pPr>
            <w:r>
              <w:rPr>
                <w:rFonts w:ascii="Arial" w:cs="Arial" w:eastAsia="Arial" w:hAnsi="Arial"/>
                <w:sz w:val="18"/>
                <w:szCs w:val="18"/>
                <w:color w:val="auto"/>
              </w:rPr>
              <w:t>Shares available for future stock option grants</w:t>
            </w:r>
          </w:p>
        </w:tc>
        <w:tc>
          <w:tcPr>
            <w:tcW w:w="3760" w:type="dxa"/>
            <w:vAlign w:val="bottom"/>
          </w:tcPr>
          <w:p>
            <w:pPr>
              <w:spacing w:after="0"/>
              <w:rPr>
                <w:sz w:val="17"/>
                <w:szCs w:val="17"/>
                <w:color w:val="auto"/>
              </w:rPr>
            </w:pPr>
          </w:p>
        </w:tc>
        <w:tc>
          <w:tcPr>
            <w:tcW w:w="14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8,058,357</w:t>
            </w:r>
          </w:p>
        </w:tc>
        <w:tc>
          <w:tcPr>
            <w:tcW w:w="1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1,978,157</w:t>
            </w:r>
          </w:p>
        </w:tc>
      </w:tr>
      <w:tr>
        <w:trPr>
          <w:trHeight w:val="27"/>
        </w:trPr>
        <w:tc>
          <w:tcPr>
            <w:tcW w:w="44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3"/>
        </w:trPr>
        <w:tc>
          <w:tcPr>
            <w:tcW w:w="4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376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143,081,473</w:t>
            </w:r>
          </w:p>
        </w:tc>
        <w:tc>
          <w:tcPr>
            <w:tcW w:w="13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143,081,473</w:t>
            </w:r>
          </w:p>
        </w:tc>
      </w:tr>
      <w:tr>
        <w:trPr>
          <w:trHeight w:val="20"/>
        </w:trPr>
        <w:tc>
          <w:tcPr>
            <w:tcW w:w="44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63"/>
        </w:trPr>
        <w:tc>
          <w:tcPr>
            <w:tcW w:w="4480" w:type="dxa"/>
            <w:vAlign w:val="bottom"/>
          </w:tcPr>
          <w:p>
            <w:pPr>
              <w:spacing w:after="0"/>
              <w:rPr>
                <w:sz w:val="24"/>
                <w:szCs w:val="24"/>
                <w:color w:val="auto"/>
              </w:rPr>
            </w:pPr>
          </w:p>
        </w:tc>
        <w:tc>
          <w:tcPr>
            <w:tcW w:w="5180" w:type="dxa"/>
            <w:vAlign w:val="bottom"/>
            <w:gridSpan w:val="3"/>
          </w:tcPr>
          <w:p>
            <w:pPr>
              <w:jc w:val="right"/>
              <w:ind w:right="3980"/>
              <w:spacing w:after="0"/>
              <w:rPr>
                <w:sz w:val="20"/>
                <w:szCs w:val="20"/>
                <w:color w:val="auto"/>
              </w:rPr>
            </w:pPr>
            <w:r>
              <w:rPr>
                <w:rFonts w:ascii="Arial" w:cs="Arial" w:eastAsia="Arial" w:hAnsi="Arial"/>
                <w:sz w:val="18"/>
                <w:szCs w:val="18"/>
                <w:color w:val="auto"/>
              </w:rPr>
              <w:t>F-38</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140"/>
          </w:cols>
          <w:pgMar w:left="320" w:top="455" w:right="439" w:bottom="1440" w:gutter="0" w:footer="0" w:header="0"/>
        </w:sectPr>
      </w:pPr>
    </w:p>
    <w:bookmarkStart w:id="248" w:name="page249"/>
    <w:bookmarkEnd w:id="2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(unaudited)</w:t>
      </w:r>
    </w:p>
    <w:p>
      <w:pPr>
        <w:jc w:val="center"/>
        <w:ind w:right="-1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8. Stock Plan</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 2014, the Company adopted the 2013 Stock Plan (the “Plan”). As of June 30, 2020, there were 23,363,923 shares of common stock authorized and 1,978,157 shares available for issuance under the Plan. Under the Plan, the Company may issue shares of common stock and options to purchase common stock to employees and consultants. Options granted under the Plan may be Incentive Stock Options or Non-statutory Stock Options, as determined by the Administrator at the time of grant. Stock Purchase Rights may also be granted under the Plan. The term shall be no more than ten years from the date of grant thereof. In the case of an Incentive Stock Option granted to an optionee who, at the time the option is granted, owns stock representing more than 10% of the voting power of all classes of stock of the Company or any Parent or Subsidiary, the term of the option shall be five years from the date of grant or such shorter term as may be provided in the option Agreement.</w:t>
      </w:r>
    </w:p>
    <w:p>
      <w:pPr>
        <w:spacing w:after="0" w:line="180" w:lineRule="exact"/>
        <w:rPr>
          <w:sz w:val="20"/>
          <w:szCs w:val="20"/>
          <w:color w:val="auto"/>
        </w:rPr>
      </w:pPr>
    </w:p>
    <w:p>
      <w:pPr>
        <w:ind w:left="120" w:right="20" w:firstLine="551"/>
        <w:spacing w:after="0"/>
        <w:rPr>
          <w:sz w:val="20"/>
          <w:szCs w:val="20"/>
          <w:color w:val="auto"/>
        </w:rPr>
      </w:pPr>
      <w:r>
        <w:rPr>
          <w:rFonts w:ascii="Arial" w:cs="Arial" w:eastAsia="Arial" w:hAnsi="Arial"/>
          <w:sz w:val="18"/>
          <w:szCs w:val="18"/>
          <w:color w:val="auto"/>
        </w:rPr>
        <w:t>In the case of an Incentive Stock Option, (i) granted to an employee who, at the time of grant of such option, owns stock representing more than 10% of the voting power of all classes of stock of the Company or any Parent or Subsidiary, the exercise price shall be no less than 110% of the Fair Market Value per Share on the date of grant; (ii) granted to any other employee, the per share exercise price shall be no less than 100% of the Fair Market Value per Share on the date of grant. In the case of a Non-statutory Stock Option; (i) granted to a Service Provider who, at the time of grant of such option, owns stock representing more than 10% of the voting power of all classes of stock of the Company or any Parent or Subsidiary, the exercise price shall be no less than 110% of the Fair Market Value per Share on the date of grant; (ii) granted to any other service provider, the per share exercise price shall be no less than 100% of the Fair Market Value per Share on the date of grant. Notwithstanding the foregoing, options may be granted with a per share exercise price other than as required above pursuant to a merger or other corporate transaction.</w:t>
      </w:r>
    </w:p>
    <w:p>
      <w:pPr>
        <w:spacing w:after="0" w:line="1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080"/>
          </w:cols>
          <w:pgMar w:left="320" w:top="455" w:right="499" w:bottom="1440" w:gutter="0" w:footer="0" w:header="0"/>
        </w:sectPr>
      </w:pPr>
    </w:p>
    <w:bookmarkStart w:id="249" w:name="page250"/>
    <w:bookmarkEnd w:id="2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right="220" w:firstLine="551"/>
        <w:spacing w:after="0" w:line="276" w:lineRule="auto"/>
        <w:rPr>
          <w:sz w:val="20"/>
          <w:szCs w:val="20"/>
          <w:color w:val="auto"/>
        </w:rPr>
      </w:pPr>
      <w:r>
        <w:rPr>
          <w:rFonts w:ascii="Arial" w:cs="Arial" w:eastAsia="Arial" w:hAnsi="Arial"/>
          <w:sz w:val="18"/>
          <w:szCs w:val="18"/>
          <w:color w:val="auto"/>
        </w:rPr>
        <w:t>The options may include provisions permitting exercise of the option prior to full vesting. Any unvested shares so purchased shall be subject to repurchase by the Company at the original exercise price of the option.</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4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Options Outstanding</w:t>
            </w: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47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40" w:type="dxa"/>
            <w:vAlign w:val="bottom"/>
            <w:gridSpan w:val="2"/>
          </w:tcPr>
          <w:p>
            <w:pPr>
              <w:jc w:val="center"/>
              <w:ind w:right="220"/>
              <w:spacing w:after="0" w:line="141" w:lineRule="exact"/>
              <w:rPr>
                <w:sz w:val="20"/>
                <w:szCs w:val="20"/>
                <w:color w:val="auto"/>
              </w:rPr>
            </w:pPr>
            <w:r>
              <w:rPr>
                <w:rFonts w:ascii="Arial" w:cs="Arial" w:eastAsia="Arial" w:hAnsi="Arial"/>
                <w:sz w:val="14"/>
                <w:szCs w:val="14"/>
                <w:b w:val="1"/>
                <w:bCs w:val="1"/>
                <w:color w:val="auto"/>
              </w:rPr>
              <w:t>Weighted-</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Weighted</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4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Shares</w:t>
            </w:r>
          </w:p>
        </w:tc>
        <w:tc>
          <w:tcPr>
            <w:tcW w:w="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Average</w:t>
            </w:r>
          </w:p>
        </w:tc>
        <w:tc>
          <w:tcPr>
            <w:tcW w:w="13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Remaining</w:t>
            </w:r>
          </w:p>
        </w:tc>
        <w:tc>
          <w:tcPr>
            <w:tcW w:w="220" w:type="dxa"/>
            <w:vAlign w:val="bottom"/>
          </w:tcPr>
          <w:p>
            <w:pPr>
              <w:spacing w:after="0"/>
              <w:rPr>
                <w:sz w:val="14"/>
                <w:szCs w:val="14"/>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4720" w:type="dxa"/>
            <w:vAlign w:val="bottom"/>
          </w:tcPr>
          <w:p>
            <w:pPr>
              <w:spacing w:after="0"/>
              <w:rPr>
                <w:sz w:val="14"/>
                <w:szCs w:val="14"/>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Available</w:t>
            </w:r>
          </w:p>
        </w:tc>
        <w:tc>
          <w:tcPr>
            <w:tcW w:w="12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10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rPr>
              <w:t>Exercise</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Contractual Life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77"/>
        </w:trPr>
        <w:tc>
          <w:tcPr>
            <w:tcW w:w="4720" w:type="dxa"/>
            <w:vAlign w:val="bottom"/>
          </w:tcPr>
          <w:p>
            <w:pPr>
              <w:spacing w:after="0"/>
              <w:rPr>
                <w:sz w:val="15"/>
                <w:szCs w:val="15"/>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for Grant</w:t>
            </w:r>
          </w:p>
        </w:tc>
        <w:tc>
          <w:tcPr>
            <w:tcW w:w="12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rPr>
              <w:t>Price</w:t>
            </w:r>
          </w:p>
        </w:tc>
        <w:tc>
          <w:tcPr>
            <w:tcW w:w="13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 years)</w:t>
            </w:r>
          </w:p>
        </w:tc>
        <w:tc>
          <w:tcPr>
            <w:tcW w:w="220" w:type="dxa"/>
            <w:vAlign w:val="bottom"/>
          </w:tcPr>
          <w:p>
            <w:pPr>
              <w:spacing w:after="0"/>
              <w:rPr>
                <w:sz w:val="15"/>
                <w:szCs w:val="15"/>
                <w:color w:val="auto"/>
              </w:rPr>
            </w:pPr>
          </w:p>
        </w:tc>
        <w:tc>
          <w:tcPr>
            <w:tcW w:w="7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(in 000s)</w:t>
            </w:r>
          </w:p>
        </w:tc>
        <w:tc>
          <w:tcPr>
            <w:tcW w:w="0" w:type="dxa"/>
            <w:vAlign w:val="bottom"/>
          </w:tcPr>
          <w:p>
            <w:pPr>
              <w:spacing w:after="0"/>
              <w:rPr>
                <w:sz w:val="1"/>
                <w:szCs w:val="1"/>
                <w:color w:val="auto"/>
              </w:rPr>
            </w:pPr>
          </w:p>
        </w:tc>
      </w:tr>
      <w:tr>
        <w:trPr>
          <w:trHeight w:val="196"/>
        </w:trPr>
        <w:tc>
          <w:tcPr>
            <w:tcW w:w="4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Balances, December 31, 2018</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3,669,997</w:t>
            </w:r>
          </w:p>
        </w:tc>
        <w:tc>
          <w:tcPr>
            <w:tcW w:w="5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14,140,032</w:t>
            </w:r>
          </w:p>
        </w:tc>
        <w:tc>
          <w:tcPr>
            <w:tcW w:w="2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0.38</w:t>
            </w:r>
          </w:p>
        </w:tc>
        <w:tc>
          <w:tcPr>
            <w:tcW w:w="44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7.88</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4,118</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Shares reserved for issuance</w:t>
            </w:r>
          </w:p>
        </w:tc>
        <w:tc>
          <w:tcPr>
            <w:tcW w:w="14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5,000,000</w:t>
            </w:r>
          </w:p>
        </w:tc>
        <w:tc>
          <w:tcPr>
            <w:tcW w:w="12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granted</w:t>
            </w:r>
          </w:p>
        </w:tc>
        <w:tc>
          <w:tcPr>
            <w:tcW w:w="142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(1,315,000)</w:t>
            </w: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1,315,000</w:t>
            </w: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0.67</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Options forfeited / cancelled</w:t>
            </w:r>
          </w:p>
        </w:tc>
        <w:tc>
          <w:tcPr>
            <w:tcW w:w="1420" w:type="dxa"/>
            <w:vAlign w:val="bottom"/>
            <w:gridSpan w:val="2"/>
          </w:tcPr>
          <w:p>
            <w:pPr>
              <w:jc w:val="right"/>
              <w:ind w:right="500"/>
              <w:spacing w:after="0" w:line="202" w:lineRule="exact"/>
              <w:rPr>
                <w:sz w:val="20"/>
                <w:szCs w:val="20"/>
                <w:color w:val="auto"/>
              </w:rPr>
            </w:pPr>
            <w:r>
              <w:rPr>
                <w:rFonts w:ascii="Arial" w:cs="Arial" w:eastAsia="Arial" w:hAnsi="Arial"/>
                <w:sz w:val="18"/>
                <w:szCs w:val="18"/>
                <w:color w:val="auto"/>
              </w:rPr>
              <w:t>703,360</w:t>
            </w:r>
          </w:p>
        </w:tc>
        <w:tc>
          <w:tcPr>
            <w:tcW w:w="12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(703,360)</w:t>
            </w:r>
          </w:p>
        </w:tc>
        <w:tc>
          <w:tcPr>
            <w:tcW w:w="34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0.56</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exercised</w:t>
            </w:r>
          </w:p>
        </w:tc>
        <w:tc>
          <w:tcPr>
            <w:tcW w:w="14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(178,572)</w:t>
            </w: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0.57</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20" w:type="dxa"/>
            <w:vAlign w:val="bottom"/>
          </w:tcPr>
          <w:p>
            <w:pPr>
              <w:spacing w:after="0"/>
              <w:rPr>
                <w:sz w:val="20"/>
                <w:szCs w:val="20"/>
                <w:color w:val="auto"/>
              </w:rPr>
            </w:pPr>
            <w:r>
              <w:rPr>
                <w:rFonts w:ascii="Arial" w:cs="Arial" w:eastAsia="Arial" w:hAnsi="Arial"/>
                <w:sz w:val="18"/>
                <w:szCs w:val="18"/>
                <w:b w:val="1"/>
                <w:bCs w:val="1"/>
                <w:color w:val="auto"/>
              </w:rPr>
              <w:t>Balances, December 31, 2019</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8,058,357</w:t>
            </w:r>
          </w:p>
        </w:tc>
        <w:tc>
          <w:tcPr>
            <w:tcW w:w="500" w:type="dxa"/>
            <w:vAlign w:val="bottom"/>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14,573,100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4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7.08</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5,048</w:t>
            </w: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Shares reserved for issuance (unaudited)</w:t>
            </w:r>
          </w:p>
        </w:tc>
        <w:tc>
          <w:tcPr>
            <w:tcW w:w="14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spacing w:after="0" w:line="202" w:lineRule="exact"/>
              <w:rPr>
                <w:sz w:val="20"/>
                <w:szCs w:val="20"/>
                <w:color w:val="auto"/>
              </w:rPr>
            </w:pPr>
            <w:r>
              <w:rPr>
                <w:rFonts w:ascii="Arial" w:cs="Arial" w:eastAsia="Arial" w:hAnsi="Arial"/>
                <w:sz w:val="18"/>
                <w:szCs w:val="18"/>
                <w:color w:val="auto"/>
              </w:rPr>
              <w:t>Options granted</w:t>
            </w:r>
          </w:p>
        </w:tc>
        <w:tc>
          <w:tcPr>
            <w:tcW w:w="142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(6,273,700)</w:t>
            </w:r>
          </w:p>
        </w:tc>
        <w:tc>
          <w:tcPr>
            <w:tcW w:w="12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6,273,700</w:t>
            </w:r>
          </w:p>
        </w:tc>
        <w:tc>
          <w:tcPr>
            <w:tcW w:w="34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0.76</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Options forfeited / cancelled (unaudited)</w:t>
            </w:r>
          </w:p>
        </w:tc>
        <w:tc>
          <w:tcPr>
            <w:tcW w:w="14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193,500</w:t>
            </w:r>
          </w:p>
        </w:tc>
        <w:tc>
          <w:tcPr>
            <w:tcW w:w="12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(193,500)</w:t>
            </w: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0.26</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20" w:type="dxa"/>
            <w:vAlign w:val="bottom"/>
          </w:tcPr>
          <w:p>
            <w:pPr>
              <w:spacing w:after="0" w:line="202" w:lineRule="exact"/>
              <w:rPr>
                <w:sz w:val="20"/>
                <w:szCs w:val="20"/>
                <w:color w:val="auto"/>
              </w:rPr>
            </w:pPr>
            <w:r>
              <w:rPr>
                <w:rFonts w:ascii="Arial" w:cs="Arial" w:eastAsia="Arial" w:hAnsi="Arial"/>
                <w:sz w:val="18"/>
                <w:szCs w:val="18"/>
                <w:color w:val="auto"/>
              </w:rPr>
              <w:t>Options exercised (unaudited)</w:t>
            </w: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Balances, June 30, 2020 (unaudited)</w:t>
            </w:r>
          </w:p>
        </w:tc>
        <w:tc>
          <w:tcPr>
            <w:tcW w:w="1420" w:type="dxa"/>
            <w:vAlign w:val="bottom"/>
            <w:gridSpan w:val="2"/>
            <w:shd w:val="clear" w:color="auto" w:fill="CCEEFF"/>
          </w:tcPr>
          <w:p>
            <w:pPr>
              <w:jc w:val="right"/>
              <w:ind w:right="500"/>
              <w:spacing w:after="0" w:line="202" w:lineRule="exact"/>
              <w:rPr>
                <w:sz w:val="20"/>
                <w:szCs w:val="20"/>
                <w:color w:val="auto"/>
              </w:rPr>
            </w:pPr>
            <w:r>
              <w:rPr>
                <w:rFonts w:ascii="Arial" w:cs="Arial" w:eastAsia="Arial" w:hAnsi="Arial"/>
                <w:sz w:val="18"/>
                <w:szCs w:val="18"/>
                <w:color w:val="auto"/>
              </w:rPr>
              <w:t>1,978,157</w:t>
            </w:r>
          </w:p>
        </w:tc>
        <w:tc>
          <w:tcPr>
            <w:tcW w:w="1240" w:type="dxa"/>
            <w:vAlign w:val="bottom"/>
            <w:gridSpan w:val="2"/>
            <w:shd w:val="clear" w:color="auto" w:fill="CCEEFF"/>
          </w:tcPr>
          <w:p>
            <w:pPr>
              <w:jc w:val="right"/>
              <w:ind w:right="280"/>
              <w:spacing w:after="0" w:line="202" w:lineRule="exact"/>
              <w:rPr>
                <w:sz w:val="20"/>
                <w:szCs w:val="20"/>
                <w:color w:val="auto"/>
              </w:rPr>
            </w:pPr>
            <w:r>
              <w:rPr>
                <w:rFonts w:ascii="Arial" w:cs="Arial" w:eastAsia="Arial" w:hAnsi="Arial"/>
                <w:sz w:val="18"/>
                <w:szCs w:val="18"/>
                <w:color w:val="auto"/>
              </w:rPr>
              <w:t>20,653,300</w:t>
            </w: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0.50</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7.52</w:t>
            </w:r>
          </w:p>
        </w:tc>
        <w:tc>
          <w:tcPr>
            <w:tcW w:w="3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6,099</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8"/>
                <w:szCs w:val="18"/>
                <w:b w:val="1"/>
                <w:bCs w:val="1"/>
                <w:color w:val="auto"/>
              </w:rPr>
              <w:t>At December 31, 2019</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2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Vested</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9,884,600</w:t>
            </w:r>
          </w:p>
        </w:tc>
        <w:tc>
          <w:tcPr>
            <w:tcW w:w="280" w:type="dxa"/>
            <w:vAlign w:val="bottom"/>
            <w:shd w:val="clear" w:color="auto" w:fill="CCEEFF"/>
          </w:tcPr>
          <w:p>
            <w:pPr>
              <w:spacing w:after="0"/>
              <w:rPr>
                <w:sz w:val="17"/>
                <w:szCs w:val="17"/>
                <w:color w:val="auto"/>
              </w:rPr>
            </w:pPr>
          </w:p>
        </w:tc>
        <w:tc>
          <w:tcPr>
            <w:tcW w:w="3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0.32</w:t>
            </w:r>
          </w:p>
        </w:tc>
        <w:tc>
          <w:tcPr>
            <w:tcW w:w="13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6.59</w:t>
            </w:r>
          </w:p>
        </w:tc>
        <w:tc>
          <w:tcPr>
            <w:tcW w:w="3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4,197</w:t>
            </w:r>
          </w:p>
        </w:tc>
        <w:tc>
          <w:tcPr>
            <w:tcW w:w="0" w:type="dxa"/>
            <w:vAlign w:val="bottom"/>
          </w:tcPr>
          <w:p>
            <w:pPr>
              <w:spacing w:after="0"/>
              <w:rPr>
                <w:sz w:val="1"/>
                <w:szCs w:val="1"/>
                <w:color w:val="auto"/>
              </w:rPr>
            </w:pPr>
          </w:p>
        </w:tc>
      </w:tr>
      <w:tr>
        <w:trPr>
          <w:trHeight w:val="20"/>
        </w:trPr>
        <w:tc>
          <w:tcPr>
            <w:tcW w:w="4720" w:type="dxa"/>
            <w:vAlign w:val="bottom"/>
            <w:vMerge w:val="restart"/>
          </w:tcPr>
          <w:p>
            <w:pPr>
              <w:ind w:left="360"/>
              <w:spacing w:after="0"/>
              <w:rPr>
                <w:sz w:val="20"/>
                <w:szCs w:val="20"/>
                <w:color w:val="auto"/>
              </w:rPr>
            </w:pPr>
            <w:r>
              <w:rPr>
                <w:rFonts w:ascii="Arial" w:cs="Arial" w:eastAsia="Arial" w:hAnsi="Arial"/>
                <w:sz w:val="18"/>
                <w:szCs w:val="18"/>
                <w:color w:val="auto"/>
              </w:rPr>
              <w:t>Exercisable</w:t>
            </w: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40" w:type="dxa"/>
            <w:vAlign w:val="bottom"/>
            <w:gridSpan w:val="2"/>
            <w:vMerge w:val="restart"/>
          </w:tcPr>
          <w:p>
            <w:pPr>
              <w:ind w:left="220"/>
              <w:spacing w:after="0"/>
              <w:rPr>
                <w:sz w:val="20"/>
                <w:szCs w:val="20"/>
                <w:color w:val="auto"/>
              </w:rPr>
            </w:pPr>
            <w:r>
              <w:rPr>
                <w:rFonts w:ascii="Arial" w:cs="Arial" w:eastAsia="Arial" w:hAnsi="Arial"/>
                <w:sz w:val="18"/>
                <w:szCs w:val="18"/>
                <w:color w:val="auto"/>
                <w:w w:val="99"/>
              </w:rPr>
              <w:t>$</w:t>
            </w:r>
          </w:p>
        </w:tc>
        <w:tc>
          <w:tcPr>
            <w:tcW w:w="96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rPr>
              <w:t>0.34</w:t>
            </w: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6.72</w:t>
            </w:r>
          </w:p>
        </w:tc>
        <w:tc>
          <w:tcPr>
            <w:tcW w:w="36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4,648</w:t>
            </w:r>
          </w:p>
        </w:tc>
        <w:tc>
          <w:tcPr>
            <w:tcW w:w="0" w:type="dxa"/>
            <w:vAlign w:val="bottom"/>
          </w:tcPr>
          <w:p>
            <w:pPr>
              <w:spacing w:after="0" w:line="20" w:lineRule="exact"/>
              <w:rPr>
                <w:sz w:val="1"/>
                <w:szCs w:val="1"/>
                <w:color w:val="auto"/>
              </w:rPr>
            </w:pPr>
          </w:p>
        </w:tc>
      </w:tr>
      <w:tr>
        <w:trPr>
          <w:trHeight w:val="197"/>
        </w:trPr>
        <w:tc>
          <w:tcPr>
            <w:tcW w:w="472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11,509,852</w:t>
            </w:r>
          </w:p>
        </w:tc>
        <w:tc>
          <w:tcPr>
            <w:tcW w:w="280" w:type="dxa"/>
            <w:vAlign w:val="bottom"/>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96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360" w:type="dxa"/>
            <w:vAlign w:val="bottom"/>
            <w:gridSpan w:val="2"/>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At June 30, 2020</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360"/>
              <w:spacing w:after="0" w:line="202" w:lineRule="exact"/>
              <w:rPr>
                <w:sz w:val="20"/>
                <w:szCs w:val="20"/>
                <w:color w:val="auto"/>
              </w:rPr>
            </w:pPr>
            <w:r>
              <w:rPr>
                <w:rFonts w:ascii="Arial" w:cs="Arial" w:eastAsia="Arial" w:hAnsi="Arial"/>
                <w:sz w:val="18"/>
                <w:szCs w:val="18"/>
                <w:color w:val="auto"/>
              </w:rPr>
              <w:t>Vested (unaudited)</w:t>
            </w: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40" w:type="dxa"/>
            <w:vAlign w:val="bottom"/>
            <w:gridSpan w:val="2"/>
          </w:tcPr>
          <w:p>
            <w:pPr>
              <w:jc w:val="right"/>
              <w:ind w:right="280"/>
              <w:spacing w:after="0" w:line="202" w:lineRule="exact"/>
              <w:rPr>
                <w:sz w:val="20"/>
                <w:szCs w:val="20"/>
                <w:color w:val="auto"/>
              </w:rPr>
            </w:pPr>
            <w:r>
              <w:rPr>
                <w:rFonts w:ascii="Arial" w:cs="Arial" w:eastAsia="Arial" w:hAnsi="Arial"/>
                <w:sz w:val="18"/>
                <w:szCs w:val="18"/>
                <w:color w:val="auto"/>
              </w:rPr>
              <w:t>11,268,495</w:t>
            </w:r>
          </w:p>
        </w:tc>
        <w:tc>
          <w:tcPr>
            <w:tcW w:w="340" w:type="dxa"/>
            <w:vAlign w:val="bottom"/>
            <w:gridSpan w:val="2"/>
          </w:tcPr>
          <w:p>
            <w:pPr>
              <w:ind w:left="220"/>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0.34</w:t>
            </w:r>
          </w:p>
        </w:tc>
        <w:tc>
          <w:tcPr>
            <w:tcW w:w="13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6.27</w:t>
            </w:r>
          </w:p>
        </w:tc>
        <w:tc>
          <w:tcPr>
            <w:tcW w:w="3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5,130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20" w:type="dxa"/>
            <w:vAlign w:val="bottom"/>
            <w:shd w:val="clear" w:color="auto" w:fill="CCEEFF"/>
          </w:tcPr>
          <w:p>
            <w:pPr>
              <w:ind w:left="360"/>
              <w:spacing w:after="0" w:line="196" w:lineRule="exact"/>
              <w:rPr>
                <w:sz w:val="20"/>
                <w:szCs w:val="20"/>
                <w:color w:val="auto"/>
              </w:rPr>
            </w:pPr>
            <w:r>
              <w:rPr>
                <w:rFonts w:ascii="Arial" w:cs="Arial" w:eastAsia="Arial" w:hAnsi="Arial"/>
                <w:sz w:val="18"/>
                <w:szCs w:val="18"/>
                <w:color w:val="auto"/>
              </w:rPr>
              <w:t>Exercisable (unaudited)</w:t>
            </w:r>
          </w:p>
        </w:tc>
        <w:tc>
          <w:tcPr>
            <w:tcW w:w="9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80"/>
              <w:spacing w:after="0" w:line="196" w:lineRule="exact"/>
              <w:rPr>
                <w:sz w:val="20"/>
                <w:szCs w:val="20"/>
                <w:color w:val="auto"/>
              </w:rPr>
            </w:pPr>
            <w:r>
              <w:rPr>
                <w:rFonts w:ascii="Arial" w:cs="Arial" w:eastAsia="Arial" w:hAnsi="Arial"/>
                <w:sz w:val="18"/>
                <w:szCs w:val="18"/>
                <w:color w:val="auto"/>
              </w:rPr>
              <w:t>12,240,192</w:t>
            </w:r>
          </w:p>
        </w:tc>
        <w:tc>
          <w:tcPr>
            <w:tcW w:w="34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440"/>
              <w:spacing w:after="0" w:line="196" w:lineRule="exact"/>
              <w:rPr>
                <w:sz w:val="20"/>
                <w:szCs w:val="20"/>
                <w:color w:val="auto"/>
              </w:rPr>
            </w:pPr>
            <w:r>
              <w:rPr>
                <w:rFonts w:ascii="Arial" w:cs="Arial" w:eastAsia="Arial" w:hAnsi="Arial"/>
                <w:sz w:val="18"/>
                <w:szCs w:val="18"/>
                <w:color w:val="auto"/>
              </w:rPr>
              <w:t>0.36</w:t>
            </w:r>
          </w:p>
        </w:tc>
        <w:tc>
          <w:tcPr>
            <w:tcW w:w="1340" w:type="dxa"/>
            <w:vAlign w:val="bottom"/>
            <w:gridSpan w:val="2"/>
            <w:shd w:val="clear" w:color="auto" w:fill="CCEEFF"/>
          </w:tcPr>
          <w:p>
            <w:pPr>
              <w:jc w:val="right"/>
              <w:ind w:right="220"/>
              <w:spacing w:after="0" w:line="196" w:lineRule="exact"/>
              <w:rPr>
                <w:sz w:val="20"/>
                <w:szCs w:val="20"/>
                <w:color w:val="auto"/>
              </w:rPr>
            </w:pPr>
            <w:r>
              <w:rPr>
                <w:rFonts w:ascii="Arial" w:cs="Arial" w:eastAsia="Arial" w:hAnsi="Arial"/>
                <w:sz w:val="18"/>
                <w:szCs w:val="18"/>
                <w:color w:val="auto"/>
              </w:rPr>
              <w:t>6.36</w:t>
            </w:r>
          </w:p>
        </w:tc>
        <w:tc>
          <w:tcPr>
            <w:tcW w:w="360" w:type="dxa"/>
            <w:vAlign w:val="bottom"/>
            <w:gridSpan w:val="2"/>
            <w:shd w:val="clear" w:color="auto" w:fill="CCEEFF"/>
          </w:tcPr>
          <w:p>
            <w:pPr>
              <w:ind w:left="220"/>
              <w:spacing w:after="0" w:line="196" w:lineRule="exact"/>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140" w:firstLine="551"/>
        <w:spacing w:after="0" w:line="255" w:lineRule="auto"/>
        <w:rPr>
          <w:sz w:val="20"/>
          <w:szCs w:val="20"/>
          <w:color w:val="auto"/>
        </w:rPr>
      </w:pPr>
      <w:r>
        <w:rPr>
          <w:rFonts w:ascii="Arial" w:cs="Arial" w:eastAsia="Arial" w:hAnsi="Arial"/>
          <w:sz w:val="18"/>
          <w:szCs w:val="18"/>
          <w:color w:val="auto"/>
        </w:rPr>
        <w:t>The aggregate intrinsic value of options vested and expected to vest and exercisable as of June 30, 2020 is calculated based on the difference between the exercise price and the current fair value of our common stock. The intrinsic value of options exercised in 2019 was $20. There were no stock option exercises in 2020.</w:t>
      </w:r>
    </w:p>
    <w:p>
      <w:pPr>
        <w:spacing w:after="0" w:line="164" w:lineRule="exact"/>
        <w:rPr>
          <w:sz w:val="20"/>
          <w:szCs w:val="20"/>
          <w:color w:val="auto"/>
        </w:rPr>
      </w:pPr>
    </w:p>
    <w:p>
      <w:pPr>
        <w:ind w:left="120" w:right="320" w:firstLine="551"/>
        <w:spacing w:after="0" w:line="276" w:lineRule="auto"/>
        <w:rPr>
          <w:sz w:val="20"/>
          <w:szCs w:val="20"/>
          <w:color w:val="auto"/>
        </w:rPr>
      </w:pPr>
      <w:r>
        <w:rPr>
          <w:rFonts w:ascii="Arial" w:cs="Arial" w:eastAsia="Arial" w:hAnsi="Arial"/>
          <w:sz w:val="18"/>
          <w:szCs w:val="18"/>
          <w:color w:val="auto"/>
        </w:rPr>
        <w:t>At June 30, 2020, the total compensation cost related to nonvested awards not yet recognized is $3,694. The weighted-average period over which the nonvested awards is expected to be recognized is 2.9 years.</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04" w:lineRule="exact"/>
        <w:rPr>
          <w:sz w:val="20"/>
          <w:szCs w:val="20"/>
          <w:color w:val="auto"/>
        </w:rPr>
      </w:pPr>
    </w:p>
    <w:p>
      <w:pPr>
        <w:ind w:left="120" w:right="120" w:firstLine="551"/>
        <w:spacing w:after="0" w:line="255" w:lineRule="auto"/>
        <w:rPr>
          <w:sz w:val="20"/>
          <w:szCs w:val="20"/>
          <w:color w:val="auto"/>
        </w:rPr>
      </w:pPr>
      <w:r>
        <w:rPr>
          <w:rFonts w:ascii="Arial" w:cs="Arial" w:eastAsia="Arial" w:hAnsi="Arial"/>
          <w:sz w:val="18"/>
          <w:szCs w:val="18"/>
          <w:color w:val="auto"/>
        </w:rPr>
        <w:t>Stock options granted generally vest over two to four years. The unrecognized compensation cost as of June 30, 2020 is expected to be recognized over a weighted-average amortization period of 2.9 years. No income tax benefits have been recognized relating to stock-based compensation expenses and no tax benefits have been realized from exercised stock options.</w:t>
      </w:r>
    </w:p>
    <w:p>
      <w:pPr>
        <w:spacing w:after="0" w:line="9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140"/>
          </w:cols>
          <w:pgMar w:left="320" w:top="455" w:right="439" w:bottom="1440" w:gutter="0" w:footer="0" w:header="0"/>
        </w:sectPr>
      </w:pPr>
    </w:p>
    <w:bookmarkStart w:id="250" w:name="page251"/>
    <w:bookmarkEnd w:id="2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jc w:val="both"/>
        <w:ind w:left="120" w:right="60" w:firstLine="551"/>
        <w:spacing w:after="0" w:line="255" w:lineRule="auto"/>
        <w:rPr>
          <w:sz w:val="20"/>
          <w:szCs w:val="20"/>
          <w:color w:val="auto"/>
        </w:rPr>
      </w:pPr>
      <w:r>
        <w:rPr>
          <w:rFonts w:ascii="Arial" w:cs="Arial" w:eastAsia="Arial" w:hAnsi="Arial"/>
          <w:sz w:val="18"/>
          <w:szCs w:val="18"/>
          <w:color w:val="auto"/>
        </w:rPr>
        <w:t>The Company estimated the fair value of the options using the Black-Scholes options valuation model. The fair value of the options is being amortized on a straight-line basis over the requisite service period of the awards. The fair value was estimated using the following assumptions: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716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Six Months Ended</w:t>
            </w:r>
          </w:p>
        </w:tc>
        <w:tc>
          <w:tcPr>
            <w:tcW w:w="1020" w:type="dxa"/>
            <w:vAlign w:val="bottom"/>
            <w:tcBorders>
              <w:bottom w:val="single" w:sz="8" w:color="auto"/>
            </w:tcBorders>
          </w:tcPr>
          <w:p>
            <w:pPr>
              <w:spacing w:after="0"/>
              <w:rPr>
                <w:sz w:val="15"/>
                <w:szCs w:val="15"/>
                <w:color w:val="auto"/>
              </w:rPr>
            </w:pPr>
          </w:p>
        </w:tc>
      </w:tr>
      <w:tr>
        <w:trPr>
          <w:trHeight w:val="140"/>
        </w:trPr>
        <w:tc>
          <w:tcPr>
            <w:tcW w:w="7160" w:type="dxa"/>
            <w:vAlign w:val="bottom"/>
          </w:tcPr>
          <w:p>
            <w:pPr>
              <w:spacing w:after="0"/>
              <w:rPr>
                <w:sz w:val="12"/>
                <w:szCs w:val="12"/>
                <w:color w:val="auto"/>
              </w:rPr>
            </w:pPr>
          </w:p>
        </w:tc>
        <w:tc>
          <w:tcPr>
            <w:tcW w:w="1980" w:type="dxa"/>
            <w:vAlign w:val="bottom"/>
            <w:gridSpan w:val="3"/>
          </w:tcPr>
          <w:p>
            <w:pPr>
              <w:jc w:val="center"/>
              <w:ind w:right="120"/>
              <w:spacing w:after="0" w:line="141" w:lineRule="exact"/>
              <w:rPr>
                <w:sz w:val="20"/>
                <w:szCs w:val="20"/>
                <w:color w:val="auto"/>
              </w:rPr>
            </w:pPr>
            <w:r>
              <w:rPr>
                <w:rFonts w:ascii="Arial" w:cs="Arial" w:eastAsia="Arial" w:hAnsi="Arial"/>
                <w:sz w:val="14"/>
                <w:szCs w:val="14"/>
                <w:b w:val="1"/>
                <w:bCs w:val="1"/>
                <w:color w:val="auto"/>
              </w:rPr>
              <w:t>June 30, 2019</w:t>
            </w:r>
          </w:p>
        </w:tc>
        <w:tc>
          <w:tcPr>
            <w:tcW w:w="1880" w:type="dxa"/>
            <w:vAlign w:val="bottom"/>
            <w:gridSpan w:val="2"/>
          </w:tcPr>
          <w:p>
            <w:pPr>
              <w:jc w:val="center"/>
              <w:spacing w:after="0" w:line="141" w:lineRule="exact"/>
              <w:rPr>
                <w:sz w:val="20"/>
                <w:szCs w:val="20"/>
                <w:color w:val="auto"/>
              </w:rPr>
            </w:pPr>
            <w:r>
              <w:rPr>
                <w:rFonts w:ascii="Arial" w:cs="Arial" w:eastAsia="Arial" w:hAnsi="Arial"/>
                <w:sz w:val="14"/>
                <w:szCs w:val="14"/>
                <w:b w:val="1"/>
                <w:bCs w:val="1"/>
                <w:color w:val="auto"/>
              </w:rPr>
              <w:t>June 30, 2020</w:t>
            </w:r>
          </w:p>
        </w:tc>
      </w:tr>
      <w:tr>
        <w:trPr>
          <w:trHeight w:val="177"/>
        </w:trPr>
        <w:tc>
          <w:tcPr>
            <w:tcW w:w="7160" w:type="dxa"/>
            <w:vAlign w:val="bottom"/>
          </w:tcPr>
          <w:p>
            <w:pPr>
              <w:spacing w:after="0"/>
              <w:rPr>
                <w:sz w:val="15"/>
                <w:szCs w:val="15"/>
                <w:color w:val="auto"/>
              </w:rPr>
            </w:pPr>
          </w:p>
        </w:tc>
        <w:tc>
          <w:tcPr>
            <w:tcW w:w="19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(unaudited)</w:t>
            </w: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(unaudited)</w:t>
            </w:r>
          </w:p>
        </w:tc>
      </w:tr>
      <w:tr>
        <w:trPr>
          <w:trHeight w:val="196"/>
        </w:trPr>
        <w:tc>
          <w:tcPr>
            <w:tcW w:w="71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Weight average grant-date fair value of common stock</w:t>
            </w:r>
          </w:p>
        </w:tc>
        <w:tc>
          <w:tcPr>
            <w:tcW w:w="1860" w:type="dxa"/>
            <w:vAlign w:val="bottom"/>
            <w:tcBorders>
              <w:top w:val="single" w:sz="8" w:color="auto"/>
            </w:tcBorders>
            <w:gridSpan w:val="2"/>
            <w:shd w:val="clear" w:color="auto" w:fill="CCEEFF"/>
          </w:tcPr>
          <w:p>
            <w:pPr>
              <w:jc w:val="right"/>
              <w:ind w:right="615"/>
              <w:spacing w:after="0" w:line="196" w:lineRule="exact"/>
              <w:rPr>
                <w:sz w:val="20"/>
                <w:szCs w:val="20"/>
                <w:color w:val="auto"/>
              </w:rPr>
            </w:pPr>
            <w:r>
              <w:rPr>
                <w:rFonts w:ascii="Arial" w:cs="Arial" w:eastAsia="Arial" w:hAnsi="Arial"/>
                <w:sz w:val="18"/>
                <w:szCs w:val="18"/>
                <w:color w:val="auto"/>
              </w:rPr>
              <w:t>$0.67</w:t>
            </w:r>
          </w:p>
        </w:tc>
        <w:tc>
          <w:tcPr>
            <w:tcW w:w="120" w:type="dxa"/>
            <w:vAlign w:val="bottom"/>
            <w:tcBorders>
              <w:top w:val="single" w:sz="8" w:color="CCEEFF"/>
            </w:tcBorders>
            <w:shd w:val="clear" w:color="auto" w:fill="CCEEFF"/>
          </w:tcPr>
          <w:p>
            <w:pPr>
              <w:spacing w:after="0"/>
              <w:rPr>
                <w:sz w:val="17"/>
                <w:szCs w:val="17"/>
                <w:color w:val="auto"/>
              </w:rPr>
            </w:pPr>
          </w:p>
        </w:tc>
        <w:tc>
          <w:tcPr>
            <w:tcW w:w="1880" w:type="dxa"/>
            <w:vAlign w:val="bottom"/>
            <w:tcBorders>
              <w:top w:val="single" w:sz="8" w:color="auto"/>
            </w:tcBorders>
            <w:gridSpan w:val="2"/>
            <w:shd w:val="clear" w:color="auto" w:fill="CCEEFF"/>
          </w:tcPr>
          <w:p>
            <w:pPr>
              <w:jc w:val="right"/>
              <w:ind w:right="630"/>
              <w:spacing w:after="0" w:line="196" w:lineRule="exact"/>
              <w:rPr>
                <w:sz w:val="20"/>
                <w:szCs w:val="20"/>
                <w:color w:val="auto"/>
              </w:rPr>
            </w:pPr>
            <w:r>
              <w:rPr>
                <w:rFonts w:ascii="Arial" w:cs="Arial" w:eastAsia="Arial" w:hAnsi="Arial"/>
                <w:sz w:val="18"/>
                <w:szCs w:val="18"/>
                <w:color w:val="auto"/>
              </w:rPr>
              <w:t>$0.76</w:t>
            </w: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Risk-free interest rate</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2.31%</w:t>
            </w:r>
          </w:p>
        </w:tc>
        <w:tc>
          <w:tcPr>
            <w:tcW w:w="1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 2.51%</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0.40%</w:t>
            </w:r>
          </w:p>
        </w:tc>
        <w:tc>
          <w:tcPr>
            <w:tcW w:w="1020" w:type="dxa"/>
            <w:vAlign w:val="bottom"/>
          </w:tcPr>
          <w:p>
            <w:pPr>
              <w:ind w:left="20"/>
              <w:spacing w:after="0" w:line="202" w:lineRule="exact"/>
              <w:rPr>
                <w:sz w:val="20"/>
                <w:szCs w:val="20"/>
                <w:color w:val="auto"/>
              </w:rPr>
            </w:pPr>
            <w:r>
              <w:rPr>
                <w:rFonts w:ascii="Arial" w:cs="Arial" w:eastAsia="Arial" w:hAnsi="Arial"/>
                <w:sz w:val="18"/>
                <w:szCs w:val="18"/>
                <w:color w:val="auto"/>
              </w:rPr>
              <w:t>– 1.51%</w:t>
            </w: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life (in years)</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w:t>
            </w:r>
          </w:p>
        </w:tc>
        <w:tc>
          <w:tcPr>
            <w:tcW w:w="1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 6.37</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5.20</w:t>
            </w:r>
          </w:p>
        </w:tc>
        <w:tc>
          <w:tcPr>
            <w:tcW w:w="1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6.40</w:t>
            </w:r>
          </w:p>
        </w:tc>
      </w:tr>
      <w:tr>
        <w:trPr>
          <w:trHeight w:val="203"/>
        </w:trPr>
        <w:tc>
          <w:tcPr>
            <w:tcW w:w="7160" w:type="dxa"/>
            <w:vAlign w:val="bottom"/>
          </w:tcPr>
          <w:p>
            <w:pPr>
              <w:spacing w:after="0" w:line="202" w:lineRule="exact"/>
              <w:rPr>
                <w:sz w:val="20"/>
                <w:szCs w:val="20"/>
                <w:color w:val="auto"/>
              </w:rPr>
            </w:pPr>
            <w:r>
              <w:rPr>
                <w:rFonts w:ascii="Arial" w:cs="Arial" w:eastAsia="Arial" w:hAnsi="Arial"/>
                <w:sz w:val="18"/>
                <w:szCs w:val="18"/>
                <w:color w:val="auto"/>
              </w:rPr>
              <w:t>Dividend yield</w:t>
            </w:r>
          </w:p>
        </w:tc>
        <w:tc>
          <w:tcPr>
            <w:tcW w:w="1860" w:type="dxa"/>
            <w:vAlign w:val="bottom"/>
            <w:gridSpan w:val="2"/>
          </w:tcPr>
          <w:p>
            <w:pPr>
              <w:jc w:val="right"/>
              <w:ind w:right="715"/>
              <w:spacing w:after="0" w:line="202" w:lineRule="exact"/>
              <w:rPr>
                <w:sz w:val="20"/>
                <w:szCs w:val="20"/>
                <w:color w:val="auto"/>
              </w:rPr>
            </w:pPr>
            <w:r>
              <w:rPr>
                <w:rFonts w:ascii="Arial" w:cs="Arial" w:eastAsia="Arial" w:hAnsi="Arial"/>
                <w:sz w:val="18"/>
                <w:szCs w:val="18"/>
                <w:color w:val="auto"/>
              </w:rPr>
              <w:t>0%</w:t>
            </w:r>
          </w:p>
        </w:tc>
        <w:tc>
          <w:tcPr>
            <w:tcW w:w="120" w:type="dxa"/>
            <w:vAlign w:val="bottom"/>
          </w:tcPr>
          <w:p>
            <w:pPr>
              <w:spacing w:after="0"/>
              <w:rPr>
                <w:sz w:val="17"/>
                <w:szCs w:val="17"/>
                <w:color w:val="auto"/>
              </w:rPr>
            </w:pPr>
          </w:p>
        </w:tc>
        <w:tc>
          <w:tcPr>
            <w:tcW w:w="1880" w:type="dxa"/>
            <w:vAlign w:val="bottom"/>
            <w:gridSpan w:val="2"/>
          </w:tcPr>
          <w:p>
            <w:pPr>
              <w:jc w:val="right"/>
              <w:ind w:right="730"/>
              <w:spacing w:after="0" w:line="202" w:lineRule="exact"/>
              <w:rPr>
                <w:sz w:val="20"/>
                <w:szCs w:val="20"/>
                <w:color w:val="auto"/>
              </w:rPr>
            </w:pPr>
            <w:r>
              <w:rPr>
                <w:rFonts w:ascii="Arial" w:cs="Arial" w:eastAsia="Arial" w:hAnsi="Arial"/>
                <w:sz w:val="18"/>
                <w:szCs w:val="18"/>
                <w:color w:val="auto"/>
              </w:rPr>
              <w:t>0%</w:t>
            </w:r>
          </w:p>
        </w:tc>
      </w:tr>
      <w:tr>
        <w:trPr>
          <w:trHeight w:val="203"/>
        </w:trPr>
        <w:tc>
          <w:tcPr>
            <w:tcW w:w="71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Expected volatility</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72.33%</w:t>
            </w:r>
          </w:p>
        </w:tc>
        <w:tc>
          <w:tcPr>
            <w:tcW w:w="1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 72.64%</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70.70%</w:t>
            </w:r>
          </w:p>
        </w:tc>
        <w:tc>
          <w:tcPr>
            <w:tcW w:w="10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 73.85%</w:t>
            </w:r>
          </w:p>
        </w:tc>
      </w:tr>
    </w:tbl>
    <w:p>
      <w:pPr>
        <w:spacing w:after="0" w:line="85" w:lineRule="exact"/>
        <w:rPr>
          <w:sz w:val="20"/>
          <w:szCs w:val="20"/>
          <w:color w:val="auto"/>
        </w:rPr>
      </w:pPr>
    </w:p>
    <w:p>
      <w:pPr>
        <w:jc w:val="both"/>
        <w:ind w:left="660" w:right="660" w:firstLine="523"/>
        <w:spacing w:after="0" w:line="255"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Company uses the simplified method to calculate expected term described in the Securities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Exchange Commission’s Staff Accounting Bulletin No. 107, which takes into account vesting term and expiration date of the options.</w:t>
      </w:r>
    </w:p>
    <w:p>
      <w:pPr>
        <w:spacing w:after="0" w:line="56" w:lineRule="exact"/>
        <w:rPr>
          <w:sz w:val="20"/>
          <w:szCs w:val="20"/>
          <w:color w:val="auto"/>
        </w:rPr>
      </w:pPr>
    </w:p>
    <w:p>
      <w:pPr>
        <w:ind w:left="660" w:right="640" w:firstLine="523"/>
        <w:spacing w:after="0" w:line="276" w:lineRule="auto"/>
        <w:rPr>
          <w:sz w:val="20"/>
          <w:szCs w:val="20"/>
          <w:color w:val="auto"/>
        </w:rPr>
      </w:pPr>
      <w:r>
        <w:rPr>
          <w:rFonts w:ascii="Arial" w:cs="Arial" w:eastAsia="Arial" w:hAnsi="Arial"/>
          <w:sz w:val="18"/>
          <w:szCs w:val="18"/>
          <w:i w:val="1"/>
          <w:iCs w:val="1"/>
          <w:color w:val="auto"/>
        </w:rPr>
        <w:t xml:space="preserve">Volatility: </w:t>
      </w:r>
      <w:r>
        <w:rPr>
          <w:rFonts w:ascii="Arial" w:cs="Arial" w:eastAsia="Arial" w:hAnsi="Arial"/>
          <w:sz w:val="18"/>
          <w:szCs w:val="18"/>
          <w:color w:val="auto"/>
        </w:rPr>
        <w:t>Volatility is based on an average of the historical volatilities of comparable publicly traded companies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expected term.</w:t>
      </w:r>
    </w:p>
    <w:p>
      <w:pPr>
        <w:spacing w:after="0" w:line="37" w:lineRule="exact"/>
        <w:rPr>
          <w:sz w:val="20"/>
          <w:szCs w:val="20"/>
          <w:color w:val="auto"/>
        </w:rPr>
      </w:pPr>
    </w:p>
    <w:p>
      <w:pPr>
        <w:ind w:left="660" w:right="560" w:firstLine="523"/>
        <w:spacing w:after="0" w:line="276" w:lineRule="auto"/>
        <w:rPr>
          <w:sz w:val="20"/>
          <w:szCs w:val="20"/>
          <w:color w:val="auto"/>
        </w:rPr>
      </w:pPr>
      <w:r>
        <w:rPr>
          <w:rFonts w:ascii="Arial" w:cs="Arial" w:eastAsia="Arial" w:hAnsi="Arial"/>
          <w:sz w:val="18"/>
          <w:szCs w:val="18"/>
          <w:i w:val="1"/>
          <w:iCs w:val="1"/>
          <w:color w:val="auto"/>
        </w:rPr>
        <w:t xml:space="preserve">Risk Free Interest Rate: </w:t>
      </w:r>
      <w:r>
        <w:rPr>
          <w:rFonts w:ascii="Arial" w:cs="Arial" w:eastAsia="Arial" w:hAnsi="Arial"/>
          <w:sz w:val="18"/>
          <w:szCs w:val="18"/>
          <w:color w:val="auto"/>
        </w:rPr>
        <w:t>The risk-free rate is based on the U.S. Treasury yields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the option.</w:t>
      </w:r>
    </w:p>
    <w:p>
      <w:pPr>
        <w:spacing w:after="0" w:line="37" w:lineRule="exact"/>
        <w:rPr>
          <w:sz w:val="20"/>
          <w:szCs w:val="20"/>
          <w:color w:val="auto"/>
        </w:rPr>
      </w:pPr>
    </w:p>
    <w:p>
      <w:pPr>
        <w:ind w:left="660" w:right="60" w:firstLine="523"/>
        <w:spacing w:after="0" w:line="276" w:lineRule="auto"/>
        <w:rPr>
          <w:sz w:val="20"/>
          <w:szCs w:val="20"/>
          <w:color w:val="auto"/>
        </w:rPr>
      </w:pPr>
      <w:r>
        <w:rPr>
          <w:rFonts w:ascii="Arial" w:cs="Arial" w:eastAsia="Arial" w:hAnsi="Arial"/>
          <w:sz w:val="18"/>
          <w:szCs w:val="18"/>
          <w:i w:val="1"/>
          <w:iCs w:val="1"/>
          <w:color w:val="auto"/>
        </w:rPr>
        <w:t>Dividend Yield</w:t>
      </w:r>
      <w:r>
        <w:rPr>
          <w:rFonts w:ascii="Arial" w:cs="Arial" w:eastAsia="Arial" w:hAnsi="Arial"/>
          <w:sz w:val="18"/>
          <w:szCs w:val="18"/>
          <w:color w:val="auto"/>
        </w:rPr>
        <w:t>: The Company has never declared or paid any cash dividends and does not plan to pay cash dividends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foreseeable future, and therefore, used an expected dividend yield of zero in the valuation model.</w:t>
      </w:r>
    </w:p>
    <w:p>
      <w:pPr>
        <w:spacing w:after="0" w:line="37"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During the year ended December 31, 2018, the Company granted 626,610 stock options at a grant-date fair value of $0.49 per share to an executive that vests only upon the attainment of certain liquidity events. The Company does not believe that it is probable that the performance condition will be satisfied and did not record any stock compensation expense in the years ended December 31, 2018 and 2019 nor in the six-month period ended June 30, 2020 for this option grant. The unrecognized compensation cost associated with this award was $305, a portion of which will be cumulatively caught-up upon achievement of the liquidity event.</w:t>
      </w:r>
    </w:p>
    <w:p>
      <w:pPr>
        <w:spacing w:after="0" w:line="172" w:lineRule="exact"/>
        <w:rPr>
          <w:sz w:val="20"/>
          <w:szCs w:val="20"/>
          <w:color w:val="auto"/>
        </w:rPr>
      </w:pPr>
    </w:p>
    <w:p>
      <w:pPr>
        <w:ind w:left="120" w:right="180" w:firstLine="551"/>
        <w:spacing w:after="0" w:line="255" w:lineRule="auto"/>
        <w:rPr>
          <w:sz w:val="20"/>
          <w:szCs w:val="20"/>
          <w:color w:val="auto"/>
        </w:rPr>
      </w:pPr>
      <w:r>
        <w:rPr>
          <w:rFonts w:ascii="Arial" w:cs="Arial" w:eastAsia="Arial" w:hAnsi="Arial"/>
          <w:sz w:val="18"/>
          <w:szCs w:val="18"/>
          <w:color w:val="auto"/>
        </w:rPr>
        <w:t>Stock-based compensation expense recorded under ASC 718 (and under ASC 718 and ASC 505 in 2019, prior to the adoption of ASU 2018-07) related to stock options granted was allocated to research and development and general and administrative expense as follows: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6"/>
          </w:tcPr>
          <w:p>
            <w:pPr>
              <w:ind w:left="240"/>
              <w:spacing w:after="0"/>
              <w:rPr>
                <w:sz w:val="20"/>
                <w:szCs w:val="20"/>
                <w:color w:val="auto"/>
              </w:rPr>
            </w:pPr>
            <w:r>
              <w:rPr>
                <w:rFonts w:ascii="Arial" w:cs="Arial" w:eastAsia="Arial" w:hAnsi="Arial"/>
                <w:sz w:val="14"/>
                <w:szCs w:val="14"/>
                <w:b w:val="1"/>
                <w:bCs w:val="1"/>
                <w:color w:val="auto"/>
              </w:rPr>
              <w:t>For the Six Months Ended</w:t>
            </w:r>
          </w:p>
        </w:tc>
      </w:tr>
      <w:tr>
        <w:trPr>
          <w:trHeight w:val="140"/>
        </w:trPr>
        <w:tc>
          <w:tcPr>
            <w:tcW w:w="85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2"/>
          </w:tcPr>
          <w:p>
            <w:pPr>
              <w:ind w:left="20"/>
              <w:spacing w:after="0" w:line="141" w:lineRule="exact"/>
              <w:rPr>
                <w:sz w:val="20"/>
                <w:szCs w:val="20"/>
                <w:color w:val="auto"/>
              </w:rPr>
            </w:pPr>
            <w:r>
              <w:rPr>
                <w:rFonts w:ascii="Arial" w:cs="Arial" w:eastAsia="Arial" w:hAnsi="Arial"/>
                <w:sz w:val="14"/>
                <w:szCs w:val="14"/>
                <w:b w:val="1"/>
                <w:bCs w:val="1"/>
                <w:color w:val="auto"/>
              </w:rPr>
              <w:t>June 30,</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37"/>
              <w:spacing w:after="0" w:line="141" w:lineRule="exact"/>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2"/>
                <w:szCs w:val="12"/>
                <w:color w:val="auto"/>
              </w:rPr>
            </w:pPr>
          </w:p>
        </w:tc>
      </w:tr>
      <w:tr>
        <w:trPr>
          <w:trHeight w:val="162"/>
        </w:trPr>
        <w:tc>
          <w:tcPr>
            <w:tcW w:w="8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59"/>
              <w:spacing w:after="0"/>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77"/>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4"/>
                <w:szCs w:val="14"/>
                <w:color w:val="auto"/>
              </w:rPr>
            </w:pPr>
          </w:p>
        </w:tc>
      </w:tr>
      <w:tr>
        <w:trPr>
          <w:trHeight w:val="177"/>
        </w:trPr>
        <w:tc>
          <w:tcPr>
            <w:tcW w:w="8500" w:type="dxa"/>
            <w:vAlign w:val="bottom"/>
          </w:tcPr>
          <w:p>
            <w:pPr>
              <w:spacing w:after="0"/>
              <w:rPr>
                <w:sz w:val="15"/>
                <w:szCs w:val="15"/>
                <w:color w:val="auto"/>
              </w:rPr>
            </w:pPr>
          </w:p>
        </w:tc>
        <w:tc>
          <w:tcPr>
            <w:tcW w:w="122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(unaudited)</w:t>
            </w:r>
          </w:p>
        </w:tc>
        <w:tc>
          <w:tcPr>
            <w:tcW w:w="420" w:type="dxa"/>
            <w:vAlign w:val="bottom"/>
          </w:tcPr>
          <w:p>
            <w:pPr>
              <w:spacing w:after="0"/>
              <w:rPr>
                <w:sz w:val="15"/>
                <w:szCs w:val="15"/>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(unaudited)</w:t>
            </w:r>
          </w:p>
        </w:tc>
      </w:tr>
      <w:tr>
        <w:trPr>
          <w:trHeight w:val="196"/>
        </w:trPr>
        <w:tc>
          <w:tcPr>
            <w:tcW w:w="85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Research and development</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127</w:t>
            </w:r>
          </w:p>
        </w:tc>
        <w:tc>
          <w:tcPr>
            <w:tcW w:w="4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320</w:t>
            </w:r>
          </w:p>
        </w:tc>
        <w:tc>
          <w:tcPr>
            <w:tcW w:w="60" w:type="dxa"/>
            <w:vAlign w:val="bottom"/>
            <w:tcBorders>
              <w:top w:val="single" w:sz="8" w:color="CCEEFF"/>
            </w:tcBorders>
            <w:shd w:val="clear" w:color="auto" w:fill="CCEEFF"/>
          </w:tcPr>
          <w:p>
            <w:pPr>
              <w:spacing w:after="0"/>
              <w:rPr>
                <w:sz w:val="17"/>
                <w:szCs w:val="17"/>
                <w:color w:val="auto"/>
              </w:rPr>
            </w:pPr>
          </w:p>
        </w:tc>
      </w:tr>
      <w:tr>
        <w:trPr>
          <w:trHeight w:val="210"/>
        </w:trPr>
        <w:tc>
          <w:tcPr>
            <w:tcW w:w="850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303</w:t>
            </w: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359</w:t>
            </w:r>
          </w:p>
        </w:tc>
        <w:tc>
          <w:tcPr>
            <w:tcW w:w="60" w:type="dxa"/>
            <w:vAlign w:val="bottom"/>
          </w:tcPr>
          <w:p>
            <w:pPr>
              <w:spacing w:after="0"/>
              <w:rPr>
                <w:sz w:val="18"/>
                <w:szCs w:val="18"/>
                <w:color w:val="auto"/>
              </w:rPr>
            </w:pPr>
          </w:p>
        </w:tc>
      </w:tr>
      <w:tr>
        <w:trPr>
          <w:trHeight w:val="203"/>
        </w:trPr>
        <w:tc>
          <w:tcPr>
            <w:tcW w:w="850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 stock-based compensation</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420"/>
              <w:spacing w:after="0" w:line="202" w:lineRule="exact"/>
              <w:rPr>
                <w:sz w:val="20"/>
                <w:szCs w:val="20"/>
                <w:color w:val="auto"/>
              </w:rPr>
            </w:pPr>
            <w:r>
              <w:rPr>
                <w:rFonts w:ascii="Arial" w:cs="Arial" w:eastAsia="Arial" w:hAnsi="Arial"/>
                <w:sz w:val="18"/>
                <w:szCs w:val="18"/>
                <w:color w:val="auto"/>
              </w:rPr>
              <w:t>430</w:t>
            </w:r>
          </w:p>
        </w:tc>
        <w:tc>
          <w:tcPr>
            <w:tcW w:w="52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679</w:t>
            </w:r>
          </w:p>
        </w:tc>
      </w:tr>
      <w:tr>
        <w:trPr>
          <w:trHeight w:val="20"/>
        </w:trPr>
        <w:tc>
          <w:tcPr>
            <w:tcW w:w="8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9. Income Taxes</w:t>
      </w:r>
    </w:p>
    <w:p>
      <w:pPr>
        <w:spacing w:after="0" w:line="104" w:lineRule="exact"/>
        <w:rPr>
          <w:sz w:val="20"/>
          <w:szCs w:val="20"/>
          <w:color w:val="auto"/>
        </w:rPr>
      </w:pPr>
    </w:p>
    <w:p>
      <w:pPr>
        <w:ind w:left="120" w:right="580" w:firstLine="551"/>
        <w:spacing w:after="0" w:line="276" w:lineRule="auto"/>
        <w:rPr>
          <w:sz w:val="20"/>
          <w:szCs w:val="20"/>
          <w:color w:val="auto"/>
        </w:rPr>
      </w:pPr>
      <w:r>
        <w:rPr>
          <w:rFonts w:ascii="Arial" w:cs="Arial" w:eastAsia="Arial" w:hAnsi="Arial"/>
          <w:sz w:val="18"/>
          <w:szCs w:val="18"/>
          <w:color w:val="auto"/>
        </w:rPr>
        <w:t>During the six months ended June 30, 2019 and 2020, the Company recorded a full valuation allowance on federal and state deferred tax assets since management does not forecast the Company to be in a taxable position in the near future.</w:t>
      </w:r>
    </w:p>
    <w:p>
      <w:pPr>
        <w:spacing w:after="0" w:line="7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140"/>
          </w:cols>
          <w:pgMar w:left="320" w:top="455" w:right="439" w:bottom="1440" w:gutter="0" w:footer="0" w:header="0"/>
        </w:sectPr>
      </w:pPr>
    </w:p>
    <w:bookmarkStart w:id="251" w:name="page252"/>
    <w:bookmarkEnd w:id="2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10. Net Loss per Share and Unaudited Pro Forma Net Loss Per Share</w:t>
      </w:r>
    </w:p>
    <w:p>
      <w:pPr>
        <w:spacing w:after="0" w:line="104" w:lineRule="exact"/>
        <w:rPr>
          <w:sz w:val="20"/>
          <w:szCs w:val="20"/>
          <w:color w:val="auto"/>
        </w:rPr>
      </w:pPr>
    </w:p>
    <w:p>
      <w:pPr>
        <w:ind w:left="120" w:right="80" w:firstLine="551"/>
        <w:spacing w:after="0" w:line="276" w:lineRule="auto"/>
        <w:rPr>
          <w:sz w:val="20"/>
          <w:szCs w:val="20"/>
          <w:color w:val="auto"/>
        </w:rPr>
      </w:pPr>
      <w:r>
        <w:rPr>
          <w:rFonts w:ascii="Arial" w:cs="Arial" w:eastAsia="Arial" w:hAnsi="Arial"/>
          <w:sz w:val="18"/>
          <w:szCs w:val="18"/>
          <w:color w:val="auto"/>
        </w:rPr>
        <w:t>The following outstanding potentially dilutive common stock equivalents have been excluded from the calculation of diluted net loss per share for the periods presented due to their antidilutive effect:</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8240" w:type="dxa"/>
            <w:vAlign w:val="bottom"/>
          </w:tcPr>
          <w:p>
            <w:pPr>
              <w:spacing w:after="0"/>
              <w:rPr>
                <w:sz w:val="15"/>
                <w:szCs w:val="15"/>
                <w:color w:val="auto"/>
              </w:rPr>
            </w:pPr>
          </w:p>
        </w:tc>
        <w:tc>
          <w:tcPr>
            <w:tcW w:w="27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For the Six Months Ended</w:t>
            </w:r>
          </w:p>
        </w:tc>
      </w:tr>
      <w:tr>
        <w:trPr>
          <w:trHeight w:val="140"/>
        </w:trPr>
        <w:tc>
          <w:tcPr>
            <w:tcW w:w="8240" w:type="dxa"/>
            <w:vAlign w:val="bottom"/>
          </w:tcPr>
          <w:p>
            <w:pPr>
              <w:spacing w:after="0"/>
              <w:rPr>
                <w:sz w:val="12"/>
                <w:szCs w:val="12"/>
                <w:color w:val="auto"/>
              </w:rPr>
            </w:pPr>
          </w:p>
        </w:tc>
        <w:tc>
          <w:tcPr>
            <w:tcW w:w="1420" w:type="dxa"/>
            <w:vAlign w:val="bottom"/>
            <w:tcBorders>
              <w:top w:val="single" w:sz="8" w:color="auto"/>
            </w:tcBorders>
            <w:gridSpan w:val="3"/>
          </w:tcPr>
          <w:p>
            <w:pPr>
              <w:jc w:val="center"/>
              <w:ind w:right="160"/>
              <w:spacing w:after="0" w:line="141" w:lineRule="exact"/>
              <w:rPr>
                <w:sz w:val="20"/>
                <w:szCs w:val="20"/>
                <w:color w:val="auto"/>
              </w:rPr>
            </w:pPr>
            <w:r>
              <w:rPr>
                <w:rFonts w:ascii="Arial" w:cs="Arial" w:eastAsia="Arial" w:hAnsi="Arial"/>
                <w:sz w:val="14"/>
                <w:szCs w:val="14"/>
                <w:b w:val="1"/>
                <w:bCs w:val="1"/>
                <w:color w:val="auto"/>
              </w:rPr>
              <w:t>June 30, 2019</w:t>
            </w:r>
          </w:p>
        </w:tc>
        <w:tc>
          <w:tcPr>
            <w:tcW w:w="1280" w:type="dxa"/>
            <w:vAlign w:val="bottom"/>
            <w:tcBorders>
              <w:top w:val="single" w:sz="8" w:color="auto"/>
            </w:tcBorders>
          </w:tcPr>
          <w:p>
            <w:pPr>
              <w:jc w:val="right"/>
              <w:ind w:right="76"/>
              <w:spacing w:after="0" w:line="141" w:lineRule="exact"/>
              <w:rPr>
                <w:sz w:val="20"/>
                <w:szCs w:val="20"/>
                <w:color w:val="auto"/>
              </w:rPr>
            </w:pPr>
            <w:r>
              <w:rPr>
                <w:rFonts w:ascii="Arial" w:cs="Arial" w:eastAsia="Arial" w:hAnsi="Arial"/>
                <w:sz w:val="14"/>
                <w:szCs w:val="14"/>
                <w:b w:val="1"/>
                <w:bCs w:val="1"/>
                <w:color w:val="auto"/>
              </w:rPr>
              <w:t>June 30, 2020</w:t>
            </w:r>
          </w:p>
        </w:tc>
        <w:tc>
          <w:tcPr>
            <w:tcW w:w="80" w:type="dxa"/>
            <w:vAlign w:val="bottom"/>
          </w:tcPr>
          <w:p>
            <w:pPr>
              <w:spacing w:after="0"/>
              <w:rPr>
                <w:sz w:val="12"/>
                <w:szCs w:val="12"/>
                <w:color w:val="auto"/>
              </w:rPr>
            </w:pPr>
          </w:p>
        </w:tc>
      </w:tr>
      <w:tr>
        <w:trPr>
          <w:trHeight w:val="177"/>
        </w:trPr>
        <w:tc>
          <w:tcPr>
            <w:tcW w:w="8240" w:type="dxa"/>
            <w:vAlign w:val="bottom"/>
          </w:tcPr>
          <w:p>
            <w:pPr>
              <w:spacing w:after="0"/>
              <w:rPr>
                <w:sz w:val="15"/>
                <w:szCs w:val="15"/>
                <w:color w:val="auto"/>
              </w:rPr>
            </w:pPr>
          </w:p>
        </w:tc>
        <w:tc>
          <w:tcPr>
            <w:tcW w:w="14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rPr>
              <w:t>(unaudited)</w:t>
            </w:r>
          </w:p>
        </w:tc>
        <w:tc>
          <w:tcPr>
            <w:tcW w:w="13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(unaudited)</w:t>
            </w:r>
          </w:p>
        </w:tc>
      </w:tr>
      <w:tr>
        <w:trPr>
          <w:trHeight w:val="196"/>
        </w:trPr>
        <w:tc>
          <w:tcPr>
            <w:tcW w:w="8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Convertible preferred stock (as converted)</w:t>
            </w:r>
          </w:p>
        </w:tc>
        <w:tc>
          <w:tcPr>
            <w:tcW w:w="12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91,595,100</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120,393,150</w:t>
            </w:r>
          </w:p>
        </w:tc>
        <w:tc>
          <w:tcPr>
            <w:tcW w:w="80" w:type="dxa"/>
            <w:vAlign w:val="bottom"/>
            <w:tcBorders>
              <w:top w:val="single" w:sz="8" w:color="CCEEFF"/>
            </w:tcBorders>
            <w:shd w:val="clear" w:color="auto" w:fill="CCEEFF"/>
          </w:tcPr>
          <w:p>
            <w:pPr>
              <w:spacing w:after="0"/>
              <w:rPr>
                <w:sz w:val="17"/>
                <w:szCs w:val="17"/>
                <w:color w:val="auto"/>
              </w:rPr>
            </w:pPr>
          </w:p>
        </w:tc>
      </w:tr>
      <w:tr>
        <w:trPr>
          <w:trHeight w:val="203"/>
        </w:trPr>
        <w:tc>
          <w:tcPr>
            <w:tcW w:w="8240" w:type="dxa"/>
            <w:vAlign w:val="bottom"/>
          </w:tcPr>
          <w:p>
            <w:pPr>
              <w:spacing w:after="0" w:line="202" w:lineRule="exact"/>
              <w:rPr>
                <w:sz w:val="20"/>
                <w:szCs w:val="20"/>
                <w:color w:val="auto"/>
              </w:rPr>
            </w:pPr>
            <w:r>
              <w:rPr>
                <w:rFonts w:ascii="Arial" w:cs="Arial" w:eastAsia="Arial" w:hAnsi="Arial"/>
                <w:sz w:val="18"/>
                <w:szCs w:val="18"/>
                <w:color w:val="auto"/>
              </w:rPr>
              <w:t>Warrants to purchase common stock</w:t>
            </w:r>
          </w:p>
        </w:tc>
        <w:tc>
          <w:tcPr>
            <w:tcW w:w="12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56,866</w:t>
            </w:r>
          </w:p>
        </w:tc>
        <w:tc>
          <w:tcPr>
            <w:tcW w:w="140" w:type="dxa"/>
            <w:vAlign w:val="bottom"/>
          </w:tcPr>
          <w:p>
            <w:pPr>
              <w:spacing w:after="0"/>
              <w:rPr>
                <w:sz w:val="17"/>
                <w:szCs w:val="17"/>
                <w:color w:val="auto"/>
              </w:rPr>
            </w:pPr>
          </w:p>
        </w:tc>
        <w:tc>
          <w:tcPr>
            <w:tcW w:w="13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56,866</w:t>
            </w:r>
          </w:p>
        </w:tc>
      </w:tr>
      <w:tr>
        <w:trPr>
          <w:trHeight w:val="203"/>
        </w:trPr>
        <w:tc>
          <w:tcPr>
            <w:tcW w:w="82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Common stock options issued and outstanding</w:t>
            </w:r>
          </w:p>
        </w:tc>
        <w:tc>
          <w:tcPr>
            <w:tcW w:w="128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14,208,100</w:t>
            </w:r>
          </w:p>
        </w:tc>
        <w:tc>
          <w:tcPr>
            <w:tcW w:w="14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20,653,300</w:t>
            </w:r>
          </w:p>
        </w:tc>
      </w:tr>
      <w:tr>
        <w:trPr>
          <w:trHeight w:val="209"/>
        </w:trPr>
        <w:tc>
          <w:tcPr>
            <w:tcW w:w="8240" w:type="dxa"/>
            <w:vAlign w:val="bottom"/>
          </w:tcPr>
          <w:p>
            <w:pPr>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105,860,066</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141,103,316</w:t>
            </w:r>
          </w:p>
        </w:tc>
        <w:tc>
          <w:tcPr>
            <w:tcW w:w="80" w:type="dxa"/>
            <w:vAlign w:val="bottom"/>
          </w:tcPr>
          <w:p>
            <w:pPr>
              <w:spacing w:after="0"/>
              <w:rPr>
                <w:sz w:val="18"/>
                <w:szCs w:val="18"/>
                <w:color w:val="auto"/>
              </w:rPr>
            </w:pPr>
          </w:p>
        </w:tc>
      </w:tr>
      <w:tr>
        <w:trPr>
          <w:trHeight w:val="20"/>
        </w:trPr>
        <w:tc>
          <w:tcPr>
            <w:tcW w:w="8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Neither the Company’s convertible preferred stock nor restricted stock subject to future vesting participates in losses.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63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For the Six Months Ended</w:t>
            </w:r>
          </w:p>
        </w:tc>
      </w:tr>
      <w:tr>
        <w:trPr>
          <w:trHeight w:val="140"/>
        </w:trPr>
        <w:tc>
          <w:tcPr>
            <w:tcW w:w="63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740" w:type="dxa"/>
            <w:vAlign w:val="bottom"/>
            <w:tcBorders>
              <w:top w:val="single" w:sz="8" w:color="auto"/>
            </w:tcBorders>
            <w:gridSpan w:val="3"/>
          </w:tcPr>
          <w:p>
            <w:pPr>
              <w:jc w:val="right"/>
              <w:ind w:right="760"/>
              <w:spacing w:after="0" w:line="141" w:lineRule="exact"/>
              <w:rPr>
                <w:sz w:val="20"/>
                <w:szCs w:val="20"/>
                <w:color w:val="auto"/>
              </w:rPr>
            </w:pPr>
            <w:r>
              <w:rPr>
                <w:rFonts w:ascii="Arial" w:cs="Arial" w:eastAsia="Arial" w:hAnsi="Arial"/>
                <w:sz w:val="14"/>
                <w:szCs w:val="14"/>
                <w:b w:val="1"/>
                <w:bCs w:val="1"/>
                <w:color w:val="auto"/>
              </w:rPr>
              <w:t>June 30, 2019</w:t>
            </w:r>
          </w:p>
        </w:tc>
        <w:tc>
          <w:tcPr>
            <w:tcW w:w="1020" w:type="dxa"/>
            <w:vAlign w:val="bottom"/>
            <w:tcBorders>
              <w:top w:val="single" w:sz="8" w:color="auto"/>
            </w:tcBorders>
            <w:gridSpan w:val="2"/>
          </w:tcPr>
          <w:p>
            <w:pPr>
              <w:jc w:val="right"/>
              <w:spacing w:after="0" w:line="141" w:lineRule="exact"/>
              <w:rPr>
                <w:sz w:val="20"/>
                <w:szCs w:val="20"/>
                <w:color w:val="auto"/>
              </w:rPr>
            </w:pPr>
            <w:r>
              <w:rPr>
                <w:rFonts w:ascii="Arial" w:cs="Arial" w:eastAsia="Arial" w:hAnsi="Arial"/>
                <w:sz w:val="14"/>
                <w:szCs w:val="14"/>
                <w:b w:val="1"/>
                <w:bCs w:val="1"/>
                <w:color w:val="auto"/>
              </w:rPr>
              <w:t>June 30, 2020</w:t>
            </w:r>
          </w:p>
        </w:tc>
        <w:tc>
          <w:tcPr>
            <w:tcW w:w="120" w:type="dxa"/>
            <w:vAlign w:val="bottom"/>
          </w:tcPr>
          <w:p>
            <w:pPr>
              <w:spacing w:after="0"/>
              <w:rPr>
                <w:sz w:val="12"/>
                <w:szCs w:val="12"/>
                <w:color w:val="auto"/>
              </w:rPr>
            </w:pPr>
          </w:p>
        </w:tc>
      </w:tr>
      <w:tr>
        <w:trPr>
          <w:trHeight w:val="177"/>
        </w:trPr>
        <w:tc>
          <w:tcPr>
            <w:tcW w:w="63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(unaudited)</w:t>
            </w:r>
          </w:p>
        </w:tc>
      </w:tr>
      <w:tr>
        <w:trPr>
          <w:trHeight w:val="196"/>
        </w:trPr>
        <w:tc>
          <w:tcPr>
            <w:tcW w:w="63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8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(12,129)</w:t>
            </w: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(15,221)</w:t>
            </w:r>
          </w:p>
        </w:tc>
        <w:tc>
          <w:tcPr>
            <w:tcW w:w="120" w:type="dxa"/>
            <w:vAlign w:val="bottom"/>
            <w:tcBorders>
              <w:top w:val="single" w:sz="8" w:color="CCEEFF"/>
            </w:tcBorders>
            <w:shd w:val="clear" w:color="auto" w:fill="CCEEFF"/>
          </w:tcPr>
          <w:p>
            <w:pPr>
              <w:spacing w:after="0"/>
              <w:rPr>
                <w:sz w:val="17"/>
                <w:szCs w:val="17"/>
                <w:color w:val="auto"/>
              </w:rPr>
            </w:pPr>
          </w:p>
        </w:tc>
      </w:tr>
      <w:tr>
        <w:trPr>
          <w:trHeight w:val="203"/>
        </w:trPr>
        <w:tc>
          <w:tcPr>
            <w:tcW w:w="6300" w:type="dxa"/>
            <w:vAlign w:val="bottom"/>
          </w:tcPr>
          <w:p>
            <w:pPr>
              <w:spacing w:after="0" w:line="202" w:lineRule="exact"/>
              <w:rPr>
                <w:sz w:val="20"/>
                <w:szCs w:val="20"/>
                <w:color w:val="auto"/>
              </w:rPr>
            </w:pPr>
            <w:r>
              <w:rPr>
                <w:rFonts w:ascii="Arial" w:cs="Arial" w:eastAsia="Arial" w:hAnsi="Arial"/>
                <w:sz w:val="18"/>
                <w:szCs w:val="18"/>
                <w:color w:val="auto"/>
              </w:rPr>
              <w:t>Weighted-average number of shares—basic and diluted</w:t>
            </w: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gridSpan w:val="2"/>
          </w:tcPr>
          <w:p>
            <w:pPr>
              <w:jc w:val="right"/>
              <w:ind w:right="740"/>
              <w:spacing w:after="0" w:line="202" w:lineRule="exact"/>
              <w:rPr>
                <w:sz w:val="20"/>
                <w:szCs w:val="20"/>
                <w:color w:val="auto"/>
              </w:rPr>
            </w:pPr>
            <w:r>
              <w:rPr>
                <w:rFonts w:ascii="Arial" w:cs="Arial" w:eastAsia="Arial" w:hAnsi="Arial"/>
                <w:sz w:val="18"/>
                <w:szCs w:val="18"/>
                <w:color w:val="auto"/>
                <w:w w:val="97"/>
              </w:rPr>
              <w:t>15,922,173</w:t>
            </w:r>
          </w:p>
        </w:tc>
        <w:tc>
          <w:tcPr>
            <w:tcW w:w="100" w:type="dxa"/>
            <w:vAlign w:val="bottom"/>
          </w:tcPr>
          <w:p>
            <w:pPr>
              <w:spacing w:after="0"/>
              <w:rPr>
                <w:sz w:val="17"/>
                <w:szCs w:val="17"/>
                <w:color w:val="auto"/>
              </w:rPr>
            </w:pPr>
          </w:p>
        </w:tc>
        <w:tc>
          <w:tcPr>
            <w:tcW w:w="10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9"/>
              </w:rPr>
              <w:t>16,038,590</w:t>
            </w:r>
          </w:p>
        </w:tc>
      </w:tr>
      <w:tr>
        <w:trPr>
          <w:trHeight w:val="27"/>
        </w:trPr>
        <w:tc>
          <w:tcPr>
            <w:tcW w:w="6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03"/>
        </w:trPr>
        <w:tc>
          <w:tcPr>
            <w:tcW w:w="63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 per share—basic and diluted</w:t>
            </w:r>
          </w:p>
        </w:tc>
        <w:tc>
          <w:tcPr>
            <w:tcW w:w="1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80"/>
              <w:spacing w:after="0" w:line="202" w:lineRule="exact"/>
              <w:rPr>
                <w:sz w:val="20"/>
                <w:szCs w:val="20"/>
                <w:color w:val="auto"/>
              </w:rPr>
            </w:pPr>
            <w:r>
              <w:rPr>
                <w:rFonts w:ascii="Arial" w:cs="Arial" w:eastAsia="Arial" w:hAnsi="Arial"/>
                <w:sz w:val="18"/>
                <w:szCs w:val="18"/>
                <w:color w:val="auto"/>
              </w:rPr>
              <w:t>(0.76)</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(0.95)</w:t>
            </w:r>
          </w:p>
        </w:tc>
      </w:tr>
    </w:tbl>
    <w:p>
      <w:pPr>
        <w:spacing w:after="0" w:line="193" w:lineRule="exact"/>
        <w:rPr>
          <w:sz w:val="20"/>
          <w:szCs w:val="20"/>
          <w:color w:val="auto"/>
        </w:rPr>
      </w:pPr>
    </w:p>
    <w:p>
      <w:pPr>
        <w:ind w:left="120" w:right="160" w:firstLine="551"/>
        <w:spacing w:after="0" w:line="277" w:lineRule="auto"/>
        <w:rPr>
          <w:sz w:val="20"/>
          <w:szCs w:val="20"/>
          <w:color w:val="auto"/>
        </w:rPr>
      </w:pPr>
      <w:r>
        <w:rPr>
          <w:rFonts w:ascii="Arial" w:cs="Arial" w:eastAsia="Arial" w:hAnsi="Arial"/>
          <w:sz w:val="17"/>
          <w:szCs w:val="17"/>
          <w:color w:val="auto"/>
        </w:rPr>
        <w:t>The unaudited pro forma basic and diluted net loss per share of common stock has been prepared to give effect to the conversion of all outstanding shares of convertible preferred stock into shares of common stock as if such conversion had occurred at January 1, 2020, inclusive of 28,020,172 shares of common stock issuable upon the conversion of Series D Preferred Stock issued in July 2020.</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9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For the Six</w:t>
            </w:r>
          </w:p>
        </w:tc>
      </w:tr>
      <w:tr>
        <w:trPr>
          <w:trHeight w:val="162"/>
        </w:trPr>
        <w:tc>
          <w:tcPr>
            <w:tcW w:w="9760" w:type="dxa"/>
            <w:vAlign w:val="bottom"/>
          </w:tcPr>
          <w:p>
            <w:pPr>
              <w:spacing w:after="0"/>
              <w:rPr>
                <w:sz w:val="14"/>
                <w:szCs w:val="14"/>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Months Ended</w:t>
            </w:r>
          </w:p>
        </w:tc>
      </w:tr>
      <w:tr>
        <w:trPr>
          <w:trHeight w:val="162"/>
        </w:trPr>
        <w:tc>
          <w:tcPr>
            <w:tcW w:w="9760" w:type="dxa"/>
            <w:vAlign w:val="bottom"/>
          </w:tcPr>
          <w:p>
            <w:pPr>
              <w:spacing w:after="0"/>
              <w:rPr>
                <w:sz w:val="14"/>
                <w:szCs w:val="14"/>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June 30, 2020</w:t>
            </w:r>
          </w:p>
        </w:tc>
      </w:tr>
      <w:tr>
        <w:trPr>
          <w:trHeight w:val="177"/>
        </w:trPr>
        <w:tc>
          <w:tcPr>
            <w:tcW w:w="9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(unaudited)</w:t>
            </w:r>
          </w:p>
        </w:tc>
      </w:tr>
      <w:tr>
        <w:trPr>
          <w:trHeight w:val="196"/>
        </w:trPr>
        <w:tc>
          <w:tcPr>
            <w:tcW w:w="9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loss</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(15,221)</w:t>
            </w:r>
          </w:p>
        </w:tc>
        <w:tc>
          <w:tcPr>
            <w:tcW w:w="120" w:type="dxa"/>
            <w:vAlign w:val="bottom"/>
            <w:tcBorders>
              <w:top w:val="single" w:sz="8" w:color="CCEEFF"/>
            </w:tcBorders>
            <w:shd w:val="clear" w:color="auto" w:fill="CCEEFF"/>
          </w:tcPr>
          <w:p>
            <w:pPr>
              <w:spacing w:after="0"/>
              <w:rPr>
                <w:sz w:val="17"/>
                <w:szCs w:val="17"/>
                <w:color w:val="auto"/>
              </w:rPr>
            </w:pPr>
          </w:p>
        </w:tc>
      </w:tr>
      <w:tr>
        <w:trPr>
          <w:trHeight w:val="210"/>
        </w:trPr>
        <w:tc>
          <w:tcPr>
            <w:tcW w:w="9760" w:type="dxa"/>
            <w:vAlign w:val="bottom"/>
          </w:tcPr>
          <w:p>
            <w:pPr>
              <w:spacing w:after="0"/>
              <w:rPr>
                <w:sz w:val="20"/>
                <w:szCs w:val="20"/>
                <w:color w:val="auto"/>
              </w:rPr>
            </w:pPr>
            <w:r>
              <w:rPr>
                <w:rFonts w:ascii="Arial" w:cs="Arial" w:eastAsia="Arial" w:hAnsi="Arial"/>
                <w:sz w:val="18"/>
                <w:szCs w:val="18"/>
                <w:color w:val="auto"/>
              </w:rPr>
              <w:t>Weighted-average number of shares—basic and diluted</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16,038,590</w:t>
            </w:r>
          </w:p>
        </w:tc>
        <w:tc>
          <w:tcPr>
            <w:tcW w:w="120" w:type="dxa"/>
            <w:vAlign w:val="bottom"/>
          </w:tcPr>
          <w:p>
            <w:pPr>
              <w:spacing w:after="0"/>
              <w:rPr>
                <w:sz w:val="18"/>
                <w:szCs w:val="18"/>
                <w:color w:val="auto"/>
              </w:rPr>
            </w:pPr>
          </w:p>
        </w:tc>
      </w:tr>
      <w:tr>
        <w:trPr>
          <w:trHeight w:val="203"/>
        </w:trPr>
        <w:tc>
          <w:tcPr>
            <w:tcW w:w="9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Adjust: Assumed weighted-average effect of conversion of convertible preferred stock (unaudited)</w:t>
            </w: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w w:val="99"/>
              </w:rPr>
              <w:t>148,413,322</w:t>
            </w:r>
          </w:p>
        </w:tc>
      </w:tr>
      <w:tr>
        <w:trPr>
          <w:trHeight w:val="217"/>
        </w:trPr>
        <w:tc>
          <w:tcPr>
            <w:tcW w:w="9760" w:type="dxa"/>
            <w:vAlign w:val="bottom"/>
          </w:tcPr>
          <w:p>
            <w:pPr>
              <w:spacing w:after="0"/>
              <w:rPr>
                <w:sz w:val="20"/>
                <w:szCs w:val="20"/>
                <w:color w:val="auto"/>
              </w:rPr>
            </w:pPr>
            <w:r>
              <w:rPr>
                <w:rFonts w:ascii="Arial" w:cs="Arial" w:eastAsia="Arial" w:hAnsi="Arial"/>
                <w:sz w:val="18"/>
                <w:szCs w:val="18"/>
                <w:color w:val="auto"/>
              </w:rPr>
              <w:t>Pro Forma weighted-average number of shares—basic and diluted</w:t>
            </w: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164,451,912</w:t>
            </w:r>
          </w:p>
        </w:tc>
        <w:tc>
          <w:tcPr>
            <w:tcW w:w="120" w:type="dxa"/>
            <w:vAlign w:val="bottom"/>
          </w:tcPr>
          <w:p>
            <w:pPr>
              <w:spacing w:after="0"/>
              <w:rPr>
                <w:sz w:val="18"/>
                <w:szCs w:val="18"/>
                <w:color w:val="auto"/>
              </w:rPr>
            </w:pPr>
          </w:p>
        </w:tc>
      </w:tr>
      <w:tr>
        <w:trPr>
          <w:trHeight w:val="203"/>
        </w:trPr>
        <w:tc>
          <w:tcPr>
            <w:tcW w:w="97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Pro Forma net loss per share—basic and diluted (unaudited)</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(0.09)</w:t>
            </w:r>
          </w:p>
        </w:tc>
      </w:tr>
    </w:tbl>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11. Related Parties</w:t>
      </w:r>
    </w:p>
    <w:p>
      <w:pPr>
        <w:spacing w:after="0" w:line="104" w:lineRule="exact"/>
        <w:rPr>
          <w:sz w:val="20"/>
          <w:szCs w:val="20"/>
          <w:color w:val="auto"/>
        </w:rPr>
      </w:pPr>
    </w:p>
    <w:p>
      <w:pPr>
        <w:jc w:val="both"/>
        <w:ind w:left="120" w:right="180" w:firstLine="551"/>
        <w:spacing w:after="0" w:line="255" w:lineRule="auto"/>
        <w:rPr>
          <w:sz w:val="20"/>
          <w:szCs w:val="20"/>
          <w:color w:val="auto"/>
        </w:rPr>
      </w:pPr>
      <w:r>
        <w:rPr>
          <w:rFonts w:ascii="Arial" w:cs="Arial" w:eastAsia="Arial" w:hAnsi="Arial"/>
          <w:sz w:val="18"/>
          <w:szCs w:val="18"/>
          <w:color w:val="auto"/>
        </w:rPr>
        <w:t>The Company has a consulting agreement with a member of the Board of Directors. Consulting fees paid in the six months ended June 30, 2019 and 2020 was $50 and $56, respectively. There were no amounts owed under the consulting agreement at December 31, 2019 or June 30, 2020.</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12. Subsequent Events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Subsequent events have been evaluated through July 31, 2020, which is the date the financial statements were issued.</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140"/>
          </w:cols>
          <w:pgMar w:left="320" w:top="455" w:right="439" w:bottom="1440" w:gutter="0" w:footer="0" w:header="0"/>
        </w:sectPr>
      </w:pPr>
    </w:p>
    <w:bookmarkStart w:id="252" w:name="page253"/>
    <w:bookmarkEnd w:id="2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1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p>
      <w:pPr>
        <w:ind w:left="120" w:firstLine="551"/>
        <w:spacing w:after="0" w:line="245" w:lineRule="auto"/>
        <w:rPr>
          <w:sz w:val="20"/>
          <w:szCs w:val="20"/>
          <w:color w:val="auto"/>
        </w:rPr>
      </w:pPr>
      <w:r>
        <w:rPr>
          <w:rFonts w:ascii="Arial" w:cs="Arial" w:eastAsia="Arial" w:hAnsi="Arial"/>
          <w:sz w:val="18"/>
          <w:szCs w:val="18"/>
          <w:color w:val="auto"/>
        </w:rPr>
        <w:t>In July 2020, the Company issued 28,020,172 shares of Series D Preferred Stock at a price of $2.4982 per share, resulting in gross proceeds of $70,000. In July 2020, the Company amended its certificate of incorporation such that it is now authorized to issue 350,217,456 shares of capital stock, including 201,747,258 shares of common stock, 8,729,029 shares of Series Seed Preferred Stock, 42,526,138 shares of Series A Preferred Stock, 40,396,799 shares of Series B Preferred Stock, 28,798,050 shares of Series C Preferred Stock and 28,020,172 shares of Series D Preferred Stock.</w:t>
      </w:r>
    </w:p>
    <w:p>
      <w:pPr>
        <w:spacing w:after="0" w:line="10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120"/>
          </w:cols>
          <w:pgMar w:left="320" w:top="455" w:right="459" w:bottom="1440" w:gutter="0" w:footer="0" w:header="0"/>
        </w:sectPr>
      </w:pPr>
    </w:p>
    <w:bookmarkStart w:id="253" w:name="page254"/>
    <w:bookmarkEnd w:id="253"/>
    <w:p>
      <w:pPr>
        <w:spacing w:after="0"/>
        <w:rPr>
          <w:rFonts w:ascii="Times New Roman" w:cs="Times New Roman" w:eastAsia="Times New Roman" w:hAnsi="Times New Roman"/>
          <w:sz w:val="17"/>
          <w:szCs w:val="17"/>
          <w:b w:val="1"/>
          <w:bCs w:val="1"/>
          <w:u w:val="single" w:color="auto"/>
          <w:color w:val="0000EE"/>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7"/>
            <w:szCs w:val="17"/>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232410</wp:posOffset>
            </wp:positionV>
            <wp:extent cx="6995160"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51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292735</wp:posOffset>
            </wp:positionV>
            <wp:extent cx="699516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80"/>
          </w:cols>
          <w:pgMar w:left="320" w:top="455"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680"/>
        <w:spacing w:after="0"/>
        <w:rPr>
          <w:sz w:val="20"/>
          <w:szCs w:val="20"/>
          <w:color w:val="auto"/>
        </w:rPr>
      </w:pPr>
      <w:r>
        <w:rPr>
          <w:rFonts w:ascii="Arial" w:cs="Arial" w:eastAsia="Arial" w:hAnsi="Arial"/>
          <w:sz w:val="25"/>
          <w:szCs w:val="25"/>
          <w:color w:val="auto"/>
        </w:rPr>
        <w:t>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79"/>
        <w:spacing w:after="0"/>
        <w:rPr>
          <w:sz w:val="20"/>
          <w:szCs w:val="20"/>
          <w:color w:val="auto"/>
        </w:rPr>
      </w:pPr>
      <w:r>
        <w:rPr>
          <w:rFonts w:ascii="Arial" w:cs="Arial" w:eastAsia="Arial" w:hAnsi="Arial"/>
          <w:sz w:val="32"/>
          <w:szCs w:val="32"/>
          <w:b w:val="1"/>
          <w:bCs w:val="1"/>
          <w:color w:val="auto"/>
        </w:rPr>
        <w:t>PMV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350520</wp:posOffset>
            </wp:positionV>
            <wp:extent cx="3394710" cy="660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339471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79"/>
        <w:spacing w:after="0"/>
        <w:rPr>
          <w:sz w:val="20"/>
          <w:szCs w:val="20"/>
          <w:color w:val="auto"/>
        </w:rPr>
      </w:pPr>
      <w:r>
        <w:rPr>
          <w:rFonts w:ascii="Arial" w:cs="Arial" w:eastAsia="Arial" w:hAnsi="Arial"/>
          <w:sz w:val="25"/>
          <w:szCs w:val="25"/>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745490</wp:posOffset>
            </wp:positionV>
            <wp:extent cx="111442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PRELIMINARY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316865</wp:posOffset>
            </wp:positionV>
            <wp:extent cx="1114425"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0"/>
        <w:spacing w:after="0"/>
        <w:tabs>
          <w:tab w:leader="none" w:pos="5040" w:val="left"/>
          <w:tab w:leader="none" w:pos="7720" w:val="left"/>
          <w:tab w:leader="none" w:pos="9540" w:val="left"/>
        </w:tabs>
        <w:rPr>
          <w:sz w:val="20"/>
          <w:szCs w:val="20"/>
          <w:color w:val="auto"/>
        </w:rPr>
      </w:pPr>
      <w:r>
        <w:rPr>
          <w:rFonts w:ascii="Arial" w:cs="Arial" w:eastAsia="Arial" w:hAnsi="Arial"/>
          <w:sz w:val="25"/>
          <w:szCs w:val="25"/>
          <w:b w:val="1"/>
          <w:bCs w:val="1"/>
          <w:color w:val="auto"/>
        </w:rPr>
        <w:t>Goldman Sachs &amp; Co. LLC</w:t>
      </w:r>
      <w:r>
        <w:rPr>
          <w:sz w:val="20"/>
          <w:szCs w:val="20"/>
          <w:color w:val="auto"/>
        </w:rPr>
        <w:tab/>
      </w:r>
      <w:r>
        <w:rPr>
          <w:rFonts w:ascii="Arial" w:cs="Arial" w:eastAsia="Arial" w:hAnsi="Arial"/>
          <w:sz w:val="25"/>
          <w:szCs w:val="25"/>
          <w:b w:val="1"/>
          <w:bCs w:val="1"/>
          <w:color w:val="auto"/>
        </w:rPr>
        <w:t>BofA Securities</w:t>
      </w:r>
      <w:r>
        <w:rPr>
          <w:sz w:val="20"/>
          <w:szCs w:val="20"/>
          <w:color w:val="auto"/>
        </w:rPr>
        <w:tab/>
      </w:r>
      <w:r>
        <w:rPr>
          <w:rFonts w:ascii="Arial" w:cs="Arial" w:eastAsia="Arial" w:hAnsi="Arial"/>
          <w:sz w:val="25"/>
          <w:szCs w:val="25"/>
          <w:b w:val="1"/>
          <w:bCs w:val="1"/>
          <w:color w:val="auto"/>
        </w:rPr>
        <w:t>Cowen</w:t>
      </w:r>
      <w:r>
        <w:rPr>
          <w:sz w:val="20"/>
          <w:szCs w:val="20"/>
          <w:color w:val="auto"/>
        </w:rPr>
        <w:tab/>
      </w:r>
      <w:r>
        <w:rPr>
          <w:rFonts w:ascii="Arial" w:cs="Arial" w:eastAsia="Arial" w:hAnsi="Arial"/>
          <w:sz w:val="25"/>
          <w:szCs w:val="25"/>
          <w:b w:val="1"/>
          <w:bCs w:val="1"/>
          <w:color w:val="auto"/>
        </w:rPr>
        <w:t>Evercore 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3013710</wp:posOffset>
            </wp:positionH>
            <wp:positionV relativeFrom="paragraph">
              <wp:posOffset>748030</wp:posOffset>
            </wp:positionV>
            <wp:extent cx="1114425"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11442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20" w:firstLine="551"/>
        <w:spacing w:after="0" w:line="254" w:lineRule="auto"/>
        <w:rPr>
          <w:sz w:val="20"/>
          <w:szCs w:val="20"/>
          <w:color w:val="auto"/>
        </w:rPr>
      </w:pPr>
      <w:r>
        <w:rPr>
          <w:rFonts w:ascii="Arial" w:cs="Arial" w:eastAsia="Arial" w:hAnsi="Arial"/>
          <w:sz w:val="18"/>
          <w:szCs w:val="18"/>
          <w:b w:val="1"/>
          <w:bCs w:val="1"/>
          <w:color w:val="auto"/>
        </w:rPr>
        <w:t>Through and including , 2020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524510</wp:posOffset>
            </wp:positionV>
            <wp:extent cx="699516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584200</wp:posOffset>
            </wp:positionV>
            <wp:extent cx="6995160"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5160" cy="26035"/>
                    </a:xfrm>
                    <a:prstGeom prst="rect">
                      <a:avLst/>
                    </a:prstGeom>
                    <a:noFill/>
                  </pic:spPr>
                </pic:pic>
              </a:graphicData>
            </a:graphic>
          </wp:anchor>
        </w:drawing>
      </w:r>
    </w:p>
    <w:p>
      <w:pPr>
        <w:sectPr>
          <w:pgSz w:w="11900" w:h="16838" w:orient="portrait"/>
          <w:cols w:equalWidth="0" w:num="1">
            <w:col w:w="11080"/>
          </w:cols>
          <w:pgMar w:left="320" w:top="455" w:right="499" w:bottom="1440" w:gutter="0" w:footer="0" w:header="0"/>
          <w:type w:val="continuous"/>
        </w:sectPr>
      </w:pPr>
    </w:p>
    <w:bookmarkStart w:id="254" w:name="page255"/>
    <w:bookmarkEnd w:id="2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INFORMATION NOT REQUIRED IN THE PROSPECTUS</w:t>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13. OTHER EXPENSES OF ISSUANCE AND DISTRIBUTION</w:t>
      </w:r>
    </w:p>
    <w:p>
      <w:pPr>
        <w:spacing w:after="0" w:line="104" w:lineRule="exact"/>
        <w:rPr>
          <w:sz w:val="20"/>
          <w:szCs w:val="20"/>
          <w:color w:val="auto"/>
        </w:rPr>
      </w:pPr>
    </w:p>
    <w:p>
      <w:pPr>
        <w:jc w:val="both"/>
        <w:ind w:left="120" w:right="120" w:firstLine="551"/>
        <w:spacing w:after="0" w:line="255" w:lineRule="auto"/>
        <w:rPr>
          <w:sz w:val="20"/>
          <w:szCs w:val="20"/>
          <w:color w:val="auto"/>
        </w:rPr>
      </w:pPr>
      <w:r>
        <w:rPr>
          <w:rFonts w:ascii="Arial" w:cs="Arial" w:eastAsia="Arial" w:hAnsi="Arial"/>
          <w:sz w:val="18"/>
          <w:szCs w:val="18"/>
          <w:color w:val="auto"/>
        </w:rPr>
        <w:t>The following table sets forth the expenses to be incurred in connection with the offering described in this Registration Statement, other than underwriting discounts and commissions, all of which will be paid by us. All amounts are estimates except the SEC registration fee, the FINRA filing fee and the exchange listing fee.</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0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Amount</w:t>
            </w:r>
          </w:p>
        </w:tc>
      </w:tr>
      <w:tr>
        <w:trPr>
          <w:trHeight w:val="177"/>
        </w:trPr>
        <w:tc>
          <w:tcPr>
            <w:tcW w:w="10180" w:type="dxa"/>
            <w:vAlign w:val="bottom"/>
          </w:tcPr>
          <w:p>
            <w:pPr>
              <w:spacing w:after="0"/>
              <w:rPr>
                <w:sz w:val="15"/>
                <w:szCs w:val="15"/>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to be Paid</w:t>
            </w:r>
          </w:p>
        </w:tc>
      </w:tr>
      <w:tr>
        <w:trPr>
          <w:trHeight w:val="196"/>
        </w:trPr>
        <w:tc>
          <w:tcPr>
            <w:tcW w:w="10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SEC registration fee</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12,980</w:t>
            </w:r>
          </w:p>
        </w:tc>
        <w:tc>
          <w:tcPr>
            <w:tcW w:w="60" w:type="dxa"/>
            <w:vAlign w:val="bottom"/>
            <w:tcBorders>
              <w:top w:val="single" w:sz="8" w:color="CCEEFF"/>
            </w:tcBorders>
            <w:shd w:val="clear" w:color="auto" w:fill="CCEEFF"/>
          </w:tcPr>
          <w:p>
            <w:pPr>
              <w:spacing w:after="0"/>
              <w:rPr>
                <w:sz w:val="17"/>
                <w:szCs w:val="17"/>
                <w:color w:val="auto"/>
              </w:rPr>
            </w:pPr>
          </w:p>
        </w:tc>
      </w:tr>
      <w:tr>
        <w:trPr>
          <w:trHeight w:val="203"/>
        </w:trPr>
        <w:tc>
          <w:tcPr>
            <w:tcW w:w="10180" w:type="dxa"/>
            <w:vAlign w:val="bottom"/>
          </w:tcPr>
          <w:p>
            <w:pPr>
              <w:spacing w:after="0" w:line="202" w:lineRule="exact"/>
              <w:rPr>
                <w:sz w:val="20"/>
                <w:szCs w:val="20"/>
                <w:color w:val="auto"/>
              </w:rPr>
            </w:pPr>
            <w:r>
              <w:rPr>
                <w:rFonts w:ascii="Arial" w:cs="Arial" w:eastAsia="Arial" w:hAnsi="Arial"/>
                <w:sz w:val="18"/>
                <w:szCs w:val="18"/>
                <w:color w:val="auto"/>
              </w:rPr>
              <w:t>FINRA filing fee</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15,500</w:t>
            </w:r>
          </w:p>
        </w:tc>
      </w:tr>
      <w:tr>
        <w:trPr>
          <w:trHeight w:val="203"/>
        </w:trPr>
        <w:tc>
          <w:tcPr>
            <w:tcW w:w="10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Exchange listing fee</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10180" w:type="dxa"/>
            <w:vAlign w:val="bottom"/>
          </w:tcPr>
          <w:p>
            <w:pPr>
              <w:spacing w:after="0" w:line="202" w:lineRule="exact"/>
              <w:rPr>
                <w:sz w:val="20"/>
                <w:szCs w:val="20"/>
                <w:color w:val="auto"/>
              </w:rPr>
            </w:pPr>
            <w:r>
              <w:rPr>
                <w:rFonts w:ascii="Arial" w:cs="Arial" w:eastAsia="Arial" w:hAnsi="Arial"/>
                <w:sz w:val="18"/>
                <w:szCs w:val="18"/>
                <w:color w:val="auto"/>
              </w:rPr>
              <w:t>Printing and engraving expenses</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10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Legal fees and expenses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10180" w:type="dxa"/>
            <w:vAlign w:val="bottom"/>
          </w:tcPr>
          <w:p>
            <w:pPr>
              <w:spacing w:after="0" w:line="202" w:lineRule="exact"/>
              <w:rPr>
                <w:sz w:val="20"/>
                <w:szCs w:val="20"/>
                <w:color w:val="auto"/>
              </w:rPr>
            </w:pPr>
            <w:r>
              <w:rPr>
                <w:rFonts w:ascii="Arial" w:cs="Arial" w:eastAsia="Arial" w:hAnsi="Arial"/>
                <w:sz w:val="18"/>
                <w:szCs w:val="18"/>
                <w:color w:val="auto"/>
              </w:rPr>
              <w:t>Accounting fees and expenses</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101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Transfer agent and registrar fees</w:t>
            </w: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10180" w:type="dxa"/>
            <w:vAlign w:val="bottom"/>
          </w:tcPr>
          <w:p>
            <w:pPr>
              <w:spacing w:after="0" w:line="202" w:lineRule="exact"/>
              <w:rPr>
                <w:sz w:val="20"/>
                <w:szCs w:val="20"/>
                <w:color w:val="auto"/>
              </w:rPr>
            </w:pPr>
            <w:r>
              <w:rPr>
                <w:rFonts w:ascii="Arial" w:cs="Arial" w:eastAsia="Arial" w:hAnsi="Arial"/>
                <w:sz w:val="18"/>
                <w:szCs w:val="18"/>
                <w:color w:val="auto"/>
              </w:rPr>
              <w:t>Miscellaneous expenses</w:t>
            </w:r>
          </w:p>
        </w:tc>
        <w:tc>
          <w:tcPr>
            <w:tcW w:w="100" w:type="dxa"/>
            <w:vAlign w:val="bottom"/>
          </w:tcPr>
          <w:p>
            <w:pPr>
              <w:spacing w:after="0"/>
              <w:rPr>
                <w:sz w:val="17"/>
                <w:szCs w:val="17"/>
                <w:color w:val="auto"/>
              </w:rPr>
            </w:pPr>
          </w:p>
        </w:tc>
        <w:tc>
          <w:tcPr>
            <w:tcW w:w="7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10180" w:type="dxa"/>
            <w:vAlign w:val="bottom"/>
            <w:shd w:val="clear" w:color="auto" w:fill="CCEEFF"/>
          </w:tcPr>
          <w:p>
            <w:pPr>
              <w:ind w:left="360"/>
              <w:spacing w:after="0" w:line="202" w:lineRule="exact"/>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660" w:hanging="544"/>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To be provided by amendment.</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14. INDEMNIFICATION OF DIRECTORS AND OFFICERS</w:t>
      </w:r>
    </w:p>
    <w:p>
      <w:pPr>
        <w:spacing w:after="0" w:line="104" w:lineRule="exact"/>
        <w:rPr>
          <w:sz w:val="20"/>
          <w:szCs w:val="20"/>
          <w:color w:val="auto"/>
        </w:rPr>
      </w:pPr>
    </w:p>
    <w:p>
      <w:pPr>
        <w:ind w:left="120" w:right="40" w:firstLine="551"/>
        <w:spacing w:after="0" w:line="237" w:lineRule="auto"/>
        <w:rPr>
          <w:sz w:val="20"/>
          <w:szCs w:val="20"/>
          <w:color w:val="auto"/>
        </w:rPr>
      </w:pPr>
      <w:r>
        <w:rPr>
          <w:rFonts w:ascii="Arial" w:cs="Arial" w:eastAsia="Arial" w:hAnsi="Arial"/>
          <w:sz w:val="18"/>
          <w:szCs w:val="18"/>
          <w:color w:val="auto"/>
        </w:rPr>
        <w:t>Section 145 of the General Corporation Law of the State of Delaware, or DGCL, empowers a corporation to indemnify its directors and officers and to purchase insurance with respect to liability arising out of their capacity or status as directors and officers, provided that the person acted in good faith and in a manner the person reasonably believed to be in or not opposed to our best interests, and, with respect to any criminal action, had no reasonable cause to believe the person’s actions were unlawful. The DGCL further provides that the indemnification permitted thereunder shall not be deemed exclusive of any other rights to which the directors and officers may be entitled under the corporation’s bylaws, any agreement, a vote of stockholders or otherwise. The amended and restated certificate of incorporation of the registrant expected to be in effect immediately prior to the completion of this offering provides for the indemnification of the registrant’s directors and officers to the fullest extent permitted under the DGCL. In addition, the amended and restated bylaws of the registrant to be in effect immediately prior to the completion of this offering require the registrant expected to fully indemnify any person who was or is a party or is threatened to be made a party to any threatened, pending or completed action, suit or proceeding (whether civil, criminal, administrative or investigative) by reason of the fact that such person is or was a director or officer of the registrant, or is or was a director or officer of the registrant serving at the registrant’s request as a director, officer, employee or agent of another corporation, partnership, joint venture, trust or other enterprise, against expenses (including attorney’s fees), judgments, fines and amounts paid in settlement actually and reasonably incurred by such person in connection with such action, suit or proceeding, to the fullest extent permitted by applicable law.</w:t>
      </w:r>
    </w:p>
    <w:p>
      <w:pPr>
        <w:spacing w:after="0" w:line="188" w:lineRule="exact"/>
        <w:rPr>
          <w:sz w:val="20"/>
          <w:szCs w:val="20"/>
          <w:color w:val="auto"/>
        </w:rPr>
      </w:pPr>
    </w:p>
    <w:p>
      <w:pPr>
        <w:ind w:left="120" w:right="140" w:firstLine="551"/>
        <w:spacing w:after="0" w:line="262" w:lineRule="auto"/>
        <w:rPr>
          <w:sz w:val="20"/>
          <w:szCs w:val="20"/>
          <w:color w:val="auto"/>
        </w:rPr>
      </w:pPr>
      <w:r>
        <w:rPr>
          <w:rFonts w:ascii="Arial" w:cs="Arial" w:eastAsia="Arial" w:hAnsi="Arial"/>
          <w:sz w:val="17"/>
          <w:szCs w:val="17"/>
          <w:color w:val="auto"/>
        </w:rPr>
        <w:t>Section 102(b)(7) of the DGCL permits a corporation to provide in its certificate of incorporation that a director of the corporation shall not be personally liable to the corporation or its stockholders for monetary damages for breach of fiduciary duty as a director, except</w:t>
      </w:r>
    </w:p>
    <w:p>
      <w:pPr>
        <w:ind w:left="120" w:right="220" w:hanging="4"/>
        <w:spacing w:after="0" w:line="250" w:lineRule="auto"/>
        <w:tabs>
          <w:tab w:leader="none" w:pos="33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the corporation or its stockholders, (ii) for acts or omissions not in good faith or which involve intentional misconduct or a knowing violation of law, (iii) for payments of unlawful dividends or</w:t>
      </w:r>
    </w:p>
    <w:p>
      <w:pPr>
        <w:spacing w:after="0" w:line="10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140"/>
          </w:cols>
          <w:pgMar w:left="320" w:top="455" w:right="439" w:bottom="1440" w:gutter="0" w:footer="0" w:header="0"/>
        </w:sectPr>
      </w:pPr>
    </w:p>
    <w:bookmarkStart w:id="255" w:name="page256"/>
    <w:bookmarkEnd w:id="2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45" w:lineRule="auto"/>
        <w:rPr>
          <w:sz w:val="20"/>
          <w:szCs w:val="20"/>
          <w:color w:val="auto"/>
        </w:rPr>
      </w:pPr>
      <w:r>
        <w:rPr>
          <w:rFonts w:ascii="Arial" w:cs="Arial" w:eastAsia="Arial" w:hAnsi="Arial"/>
          <w:sz w:val="18"/>
          <w:szCs w:val="18"/>
          <w:color w:val="auto"/>
        </w:rPr>
        <w:t>unlawful stock repurchases or redemptions or (iv) for any transaction from which the director derived an improper personal benefit. The registrant’s amended and restated certificate of incorporation to be in effect immediately prior to the completion of this offering provides that the registrant’s directors shall not be personally liable to it or its stockholders for monetary damages for breach of fiduciary duty as a director and that if the DGCL is amended to authorize corporate action further eliminating or limiting the personal liability of directors, then the liability of the registrant’s directors shall be eliminated or limited to the fullest extent permitted by the DGCL, as so amended.</w:t>
      </w:r>
    </w:p>
    <w:p>
      <w:pPr>
        <w:spacing w:after="0" w:line="172" w:lineRule="exact"/>
        <w:rPr>
          <w:sz w:val="20"/>
          <w:szCs w:val="20"/>
          <w:color w:val="auto"/>
        </w:rPr>
      </w:pPr>
    </w:p>
    <w:p>
      <w:pPr>
        <w:ind w:left="120" w:right="60" w:firstLine="551"/>
        <w:spacing w:after="0" w:line="245" w:lineRule="auto"/>
        <w:rPr>
          <w:sz w:val="20"/>
          <w:szCs w:val="20"/>
          <w:color w:val="auto"/>
        </w:rPr>
      </w:pPr>
      <w:r>
        <w:rPr>
          <w:rFonts w:ascii="Arial" w:cs="Arial" w:eastAsia="Arial" w:hAnsi="Arial"/>
          <w:sz w:val="18"/>
          <w:szCs w:val="18"/>
          <w:color w:val="auto"/>
        </w:rPr>
        <w:t>Section 174 of the DGCL provides, among other things, that a director who willfully or negligently approves of an unlawful payment of dividends or an unlawful stock purchase or redemption may be held liable for such actions. A director who was either absent when the unlawful actions were approved, or dissented at the time, may avoid liability by causing his or her dissent to such actions to be entered in the books containing minutes of the meetings of the board of directors at the time such action occurred or immediately after such absent director receives notice of the unlawful acts.</w:t>
      </w:r>
    </w:p>
    <w:p>
      <w:pPr>
        <w:spacing w:after="0" w:line="172" w:lineRule="exact"/>
        <w:rPr>
          <w:sz w:val="20"/>
          <w:szCs w:val="20"/>
          <w:color w:val="auto"/>
        </w:rPr>
      </w:pPr>
    </w:p>
    <w:p>
      <w:pPr>
        <w:ind w:left="120" w:right="180" w:firstLine="551"/>
        <w:spacing w:after="0" w:line="255" w:lineRule="auto"/>
        <w:rPr>
          <w:sz w:val="20"/>
          <w:szCs w:val="20"/>
          <w:color w:val="auto"/>
        </w:rPr>
      </w:pPr>
      <w:r>
        <w:rPr>
          <w:rFonts w:ascii="Arial" w:cs="Arial" w:eastAsia="Arial" w:hAnsi="Arial"/>
          <w:sz w:val="18"/>
          <w:szCs w:val="18"/>
          <w:color w:val="auto"/>
        </w:rPr>
        <w:t>As permitted by the DGCL, the registrant has entered, and intends to continue to enter, into separate indemnification agreements with each of the registrant’s directors and certain of the registrant’s officers that require the registrant, among other things, to indemnify them against certain liabilities that may arise by reason of their status as directors, officers or certain other employees.</w:t>
      </w:r>
    </w:p>
    <w:p>
      <w:pPr>
        <w:spacing w:after="0" w:line="164" w:lineRule="exact"/>
        <w:rPr>
          <w:sz w:val="20"/>
          <w:szCs w:val="20"/>
          <w:color w:val="auto"/>
        </w:rPr>
      </w:pPr>
    </w:p>
    <w:p>
      <w:pPr>
        <w:jc w:val="both"/>
        <w:ind w:left="120" w:right="60" w:firstLine="551"/>
        <w:spacing w:after="0" w:line="257" w:lineRule="auto"/>
        <w:rPr>
          <w:sz w:val="20"/>
          <w:szCs w:val="20"/>
          <w:color w:val="auto"/>
        </w:rPr>
      </w:pPr>
      <w:r>
        <w:rPr>
          <w:rFonts w:ascii="Arial" w:cs="Arial" w:eastAsia="Arial" w:hAnsi="Arial"/>
          <w:sz w:val="17"/>
          <w:szCs w:val="17"/>
          <w:color w:val="auto"/>
        </w:rPr>
        <w:t>The registrant expects to obtain and maintain insurance policies under which its directors and officers are insured, within the limits and subject to the limitations of those policies, against certain expenses in connection with the defense of, and certain liabilities that might be imposed as a result of, actions, suits or proceedings to which they are parties by reason of being or having been directors or officers.</w:t>
      </w:r>
    </w:p>
    <w:p>
      <w:pPr>
        <w:spacing w:after="0" w:line="2" w:lineRule="exact"/>
        <w:rPr>
          <w:sz w:val="20"/>
          <w:szCs w:val="20"/>
          <w:color w:val="auto"/>
        </w:rPr>
      </w:pPr>
    </w:p>
    <w:p>
      <w:pPr>
        <w:ind w:left="120" w:right="120"/>
        <w:spacing w:after="0" w:line="250" w:lineRule="auto"/>
        <w:rPr>
          <w:sz w:val="20"/>
          <w:szCs w:val="20"/>
          <w:color w:val="auto"/>
        </w:rPr>
      </w:pPr>
      <w:r>
        <w:rPr>
          <w:rFonts w:ascii="Arial" w:cs="Arial" w:eastAsia="Arial" w:hAnsi="Arial"/>
          <w:sz w:val="18"/>
          <w:szCs w:val="18"/>
          <w:color w:val="auto"/>
        </w:rPr>
        <w:t>The coverage provided by these policies may apply whether or not the registrant would have the power to indemnify such person against such liability under the provisions of the DGCL.</w:t>
      </w:r>
    </w:p>
    <w:p>
      <w:pPr>
        <w:spacing w:after="0" w:line="168" w:lineRule="exact"/>
        <w:rPr>
          <w:sz w:val="20"/>
          <w:szCs w:val="20"/>
          <w:color w:val="auto"/>
        </w:rPr>
      </w:pPr>
    </w:p>
    <w:p>
      <w:pPr>
        <w:ind w:left="120" w:right="80" w:firstLine="551"/>
        <w:spacing w:after="0" w:line="248" w:lineRule="auto"/>
        <w:rPr>
          <w:sz w:val="20"/>
          <w:szCs w:val="20"/>
          <w:color w:val="auto"/>
        </w:rPr>
      </w:pPr>
      <w:r>
        <w:rPr>
          <w:rFonts w:ascii="Arial" w:cs="Arial" w:eastAsia="Arial" w:hAnsi="Arial"/>
          <w:sz w:val="18"/>
          <w:szCs w:val="18"/>
          <w:color w:val="auto"/>
        </w:rPr>
        <w:t>These indemnification provisions and the indemnification agreements entered, and intended to be entered, into between the registrant and the registrant’s officers and directors may be sufficiently broad to permit indemnification of the registrant’s officers and directors for liabilities (including reimbursement of expenses incurred) arising under the Securities Act of 1933, as amended, or Securities Act.</w:t>
      </w:r>
    </w:p>
    <w:p>
      <w:pPr>
        <w:spacing w:after="0" w:line="170" w:lineRule="exact"/>
        <w:rPr>
          <w:sz w:val="20"/>
          <w:szCs w:val="20"/>
          <w:color w:val="auto"/>
        </w:rPr>
      </w:pPr>
    </w:p>
    <w:p>
      <w:pPr>
        <w:ind w:left="120" w:right="400" w:firstLine="551"/>
        <w:spacing w:after="0" w:line="248" w:lineRule="auto"/>
        <w:rPr>
          <w:sz w:val="20"/>
          <w:szCs w:val="20"/>
          <w:color w:val="auto"/>
        </w:rPr>
      </w:pPr>
      <w:r>
        <w:rPr>
          <w:rFonts w:ascii="Arial" w:cs="Arial" w:eastAsia="Arial" w:hAnsi="Arial"/>
          <w:sz w:val="18"/>
          <w:szCs w:val="18"/>
          <w:color w:val="auto"/>
        </w:rPr>
        <w:t>The underwriting agreement between the registrant and the underwriters to be filed as Exhibit 1.1 to this registration statement provides for the indemnification by the underwriters of the registrant’s directors and officers and certain controlling persons against specified liabilities, including liabilities under the Securities Act with respect to information provided by the underwriters specifically for inclusion in the registration statement.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15. RECENT SALES OF UNREGISTERED SECURITIES</w:t>
      </w:r>
    </w:p>
    <w:p>
      <w:pPr>
        <w:spacing w:after="0" w:line="104" w:lineRule="exact"/>
        <w:rPr>
          <w:sz w:val="20"/>
          <w:szCs w:val="20"/>
          <w:color w:val="auto"/>
        </w:rPr>
      </w:pPr>
    </w:p>
    <w:p>
      <w:pPr>
        <w:ind w:left="120" w:firstLine="551"/>
        <w:spacing w:after="0" w:line="255" w:lineRule="auto"/>
        <w:rPr>
          <w:sz w:val="20"/>
          <w:szCs w:val="20"/>
          <w:color w:val="auto"/>
        </w:rPr>
      </w:pPr>
      <w:r>
        <w:rPr>
          <w:rFonts w:ascii="Arial" w:cs="Arial" w:eastAsia="Arial" w:hAnsi="Arial"/>
          <w:sz w:val="18"/>
          <w:szCs w:val="18"/>
          <w:color w:val="auto"/>
        </w:rPr>
        <w:t>The following list sets forth information regarding all unregistered securities sold by us since January 1, 2017. No underwriters were involved in the sales and the certificates representing the securities issued and sold contain legends restricting transfer of the securities without registration under the Securities Act or an applicable exemption from registration.</w:t>
      </w:r>
    </w:p>
    <w:p>
      <w:pPr>
        <w:spacing w:after="0" w:line="69" w:lineRule="exact"/>
        <w:rPr>
          <w:sz w:val="20"/>
          <w:szCs w:val="20"/>
          <w:color w:val="auto"/>
        </w:rPr>
      </w:pPr>
    </w:p>
    <w:p>
      <w:pPr>
        <w:ind w:left="1300" w:right="180" w:hanging="644"/>
        <w:spacing w:after="0" w:line="276" w:lineRule="auto"/>
        <w:tabs>
          <w:tab w:leader="none" w:pos="130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In February 2017, we issued and sold an aggregate of 40,396,799 shares of our Series B convertible preferred stock at a purchase price of $1.8251 per share for aggregate proceeds of $73.7 million to a total of nine (9) accredited investors.</w:t>
      </w:r>
    </w:p>
    <w:p>
      <w:pPr>
        <w:spacing w:after="0" w:line="50" w:lineRule="exact"/>
        <w:rPr>
          <w:rFonts w:ascii="Arial" w:cs="Arial" w:eastAsia="Arial" w:hAnsi="Arial"/>
          <w:sz w:val="18"/>
          <w:szCs w:val="18"/>
          <w:color w:val="auto"/>
        </w:rPr>
      </w:pPr>
    </w:p>
    <w:p>
      <w:pPr>
        <w:ind w:left="1300" w:hanging="644"/>
        <w:spacing w:after="0" w:line="306" w:lineRule="auto"/>
        <w:tabs>
          <w:tab w:leader="none" w:pos="1300" w:val="left"/>
        </w:tabs>
        <w:numPr>
          <w:ilvl w:val="0"/>
          <w:numId w:val="128"/>
        </w:numPr>
        <w:rPr>
          <w:rFonts w:ascii="Arial" w:cs="Arial" w:eastAsia="Arial" w:hAnsi="Arial"/>
          <w:sz w:val="17"/>
          <w:szCs w:val="17"/>
          <w:color w:val="auto"/>
        </w:rPr>
      </w:pPr>
      <w:r>
        <w:rPr>
          <w:rFonts w:ascii="Arial" w:cs="Arial" w:eastAsia="Arial" w:hAnsi="Arial"/>
          <w:sz w:val="17"/>
          <w:szCs w:val="17"/>
          <w:color w:val="auto"/>
        </w:rPr>
        <w:t>In November 2019, we issued and sold an aggregate of 28,798,050 shares of our Series C convertible preferred stock at a purchase price of $2.1485 per share for aggregate proceeds of approximately $61.9 million to ten (10) accredited investors.</w:t>
      </w:r>
    </w:p>
    <w:p>
      <w:pPr>
        <w:spacing w:after="0" w:line="5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00"/>
          </w:cols>
          <w:pgMar w:left="320" w:top="455" w:right="479" w:bottom="1440" w:gutter="0" w:footer="0" w:header="0"/>
        </w:sectPr>
      </w:pPr>
    </w:p>
    <w:bookmarkStart w:id="256" w:name="page257"/>
    <w:bookmarkEnd w:id="2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300" w:right="600" w:hanging="644"/>
        <w:spacing w:after="0" w:line="255" w:lineRule="auto"/>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In July 2020, we issued and sold an aggregate of 28,020,172 shares of our Series D convertible preferred stock at a purchase price of $2.4982 per share for aggregate proceeds of approximately $70.0 million to seven (7) accredited investors.</w:t>
      </w:r>
    </w:p>
    <w:p>
      <w:pPr>
        <w:spacing w:after="0" w:line="190" w:lineRule="exact"/>
        <w:rPr>
          <w:rFonts w:ascii="Arial" w:cs="Arial" w:eastAsia="Arial" w:hAnsi="Arial"/>
          <w:sz w:val="18"/>
          <w:szCs w:val="18"/>
          <w:color w:val="auto"/>
        </w:rPr>
      </w:pPr>
    </w:p>
    <w:p>
      <w:pPr>
        <w:ind w:left="1300" w:right="40" w:hanging="644"/>
        <w:spacing w:after="0" w:line="248" w:lineRule="auto"/>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From January 2017 through September 4, 2020, we granted to our employees, directors, consultants and other service providers stock options to purchase an aggregate of 17,051,740 shares of common stock upon the exercise of options under our 2013 Equity Incentive Plan, as amended, or 2013 Plan, at exercise prices per share ranging from $0.56 to $1.62, for an aggregate exercise price of approximately $11.96 million.</w:t>
      </w:r>
    </w:p>
    <w:p>
      <w:pPr>
        <w:spacing w:after="0" w:line="197"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From January 2017 through September 4, 2020, we issued and sold to certain of our employees, directors, consultants and other service providers an aggregate of 178,572 shares of common stock upon the exercise of options under our 2013 Plan at an exercise price per share of $0.56, for an aggregate exercise price of approximately $100,000.00.</w:t>
      </w:r>
    </w:p>
    <w:p>
      <w:pPr>
        <w:spacing w:after="0" w:line="164" w:lineRule="exact"/>
        <w:rPr>
          <w:sz w:val="20"/>
          <w:szCs w:val="20"/>
          <w:color w:val="auto"/>
        </w:rPr>
      </w:pPr>
    </w:p>
    <w:p>
      <w:pPr>
        <w:ind w:left="120" w:right="60" w:firstLine="551"/>
        <w:spacing w:after="0" w:line="243" w:lineRule="auto"/>
        <w:rPr>
          <w:sz w:val="20"/>
          <w:szCs w:val="20"/>
          <w:color w:val="auto"/>
        </w:rPr>
      </w:pPr>
      <w:r>
        <w:rPr>
          <w:rFonts w:ascii="Arial" w:cs="Arial" w:eastAsia="Arial" w:hAnsi="Arial"/>
          <w:sz w:val="18"/>
          <w:szCs w:val="18"/>
          <w:color w:val="auto"/>
        </w:rPr>
        <w:t>The offers, sales and issuances of the securities described in Items 15(a), 15(b) and 15(c) were exempt from registration under the Securities Act under Section 4(a)(2) of the Securities Act or Regulation D promulgated thereunder as transactions by an issuer not involving a public offering. The recipients of securities in each of these transactions acquired the securities for investment only and not with a view to or for sale in connection with any distribution thereof and appropriate legends were affixed to the securities issued in these transactions. Each of the recipients of securities in these transactions was an accredited person and had adequate access, through employment, business or other relationships, to information about the registrant.</w:t>
      </w:r>
    </w:p>
    <w:p>
      <w:pPr>
        <w:spacing w:after="0" w:line="174" w:lineRule="exact"/>
        <w:rPr>
          <w:sz w:val="20"/>
          <w:szCs w:val="20"/>
          <w:color w:val="auto"/>
        </w:rPr>
      </w:pPr>
    </w:p>
    <w:p>
      <w:pPr>
        <w:ind w:left="120" w:right="80" w:firstLine="551"/>
        <w:spacing w:after="0" w:line="241" w:lineRule="auto"/>
        <w:rPr>
          <w:sz w:val="20"/>
          <w:szCs w:val="20"/>
          <w:color w:val="auto"/>
        </w:rPr>
      </w:pPr>
      <w:r>
        <w:rPr>
          <w:rFonts w:ascii="Arial" w:cs="Arial" w:eastAsia="Arial" w:hAnsi="Arial"/>
          <w:sz w:val="18"/>
          <w:szCs w:val="18"/>
          <w:color w:val="auto"/>
        </w:rPr>
        <w:t>The offers, sales and issuances of the securities described in Items 15(d) and 15(e) were exempt from registration under the Securities Act under either (i) Rule 701 in that the transactions were under compensatory benefit plans and contracts relating to compensation as provided under Rule 701 or (ii) Section 4(a)(2) of the Securities Act as transactions by an issuer not involving any public offering. The recipients of such securities were the registrant’s employees, consultants or directors and received the securities under our 2013 Plan. The recipients of securities in each of these transactions represented their intention to acquire the securities for investment only and not with view to or for sale in connection with any distribution thereof and appropriate legends were affixed to the securities issued in these transactions.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16. EXHIBIT AND FINANCIAL STATEMENT SCHEDULES</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 Exhibits.</w:t>
      </w:r>
    </w:p>
    <w:p>
      <w:pPr>
        <w:spacing w:after="0" w:line="104" w:lineRule="exact"/>
        <w:rPr>
          <w:sz w:val="20"/>
          <w:szCs w:val="20"/>
          <w:color w:val="auto"/>
        </w:rPr>
      </w:pPr>
    </w:p>
    <w:p>
      <w:pPr>
        <w:ind w:left="120" w:right="820" w:firstLine="551"/>
        <w:spacing w:after="0" w:line="276" w:lineRule="auto"/>
        <w:rPr>
          <w:sz w:val="20"/>
          <w:szCs w:val="20"/>
          <w:color w:val="auto"/>
        </w:rPr>
      </w:pPr>
      <w:r>
        <w:rPr>
          <w:rFonts w:ascii="Arial" w:cs="Arial" w:eastAsia="Arial" w:hAnsi="Arial"/>
          <w:sz w:val="18"/>
          <w:szCs w:val="18"/>
          <w:color w:val="auto"/>
        </w:rPr>
        <w:t>See the Exhibit Index immediately preceding the signature page hereto for a list of exhibits filed as part of this registration statement on Form S-1, which Exhibit Index is incorporated herein by reference.</w:t>
      </w: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 Financial Statement Schedules.</w:t>
      </w:r>
    </w:p>
    <w:p>
      <w:pPr>
        <w:spacing w:after="0" w:line="104" w:lineRule="exact"/>
        <w:rPr>
          <w:sz w:val="20"/>
          <w:szCs w:val="20"/>
          <w:color w:val="auto"/>
        </w:rPr>
      </w:pPr>
    </w:p>
    <w:p>
      <w:pPr>
        <w:ind w:left="120" w:right="160" w:firstLine="551"/>
        <w:spacing w:after="0" w:line="276" w:lineRule="auto"/>
        <w:rPr>
          <w:sz w:val="20"/>
          <w:szCs w:val="20"/>
          <w:color w:val="auto"/>
        </w:rPr>
      </w:pPr>
      <w:r>
        <w:rPr>
          <w:rFonts w:ascii="Arial" w:cs="Arial" w:eastAsia="Arial" w:hAnsi="Arial"/>
          <w:sz w:val="18"/>
          <w:szCs w:val="18"/>
          <w:color w:val="auto"/>
        </w:rPr>
        <w:t>Schedules have been omitted because the information required to be set forth therein is not applicable or is shown in the financial statements or notes thereto.</w:t>
      </w:r>
    </w:p>
    <w:p>
      <w:pPr>
        <w:spacing w:after="0" w:line="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120"/>
          </w:cols>
          <w:pgMar w:left="320" w:top="455" w:right="459" w:bottom="1440" w:gutter="0" w:footer="0" w:header="0"/>
        </w:sectPr>
      </w:pPr>
    </w:p>
    <w:bookmarkStart w:id="257" w:name="page258"/>
    <w:bookmarkEnd w:id="2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ITEM 17. UNDERTAKINGS</w:t>
      </w:r>
    </w:p>
    <w:p>
      <w:pPr>
        <w:spacing w:after="0" w:line="104" w:lineRule="exact"/>
        <w:rPr>
          <w:sz w:val="20"/>
          <w:szCs w:val="20"/>
          <w:color w:val="auto"/>
        </w:rPr>
      </w:pPr>
    </w:p>
    <w:p>
      <w:pPr>
        <w:ind w:left="120" w:firstLine="551"/>
        <w:spacing w:after="0"/>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hereby undertakes that:</w:t>
      </w:r>
    </w:p>
    <w:p>
      <w:pPr>
        <w:spacing w:after="0" w:line="117" w:lineRule="exact"/>
        <w:rPr>
          <w:sz w:val="20"/>
          <w:szCs w:val="20"/>
          <w:color w:val="auto"/>
        </w:rPr>
      </w:pPr>
    </w:p>
    <w:p>
      <w:pPr>
        <w:ind w:left="1300" w:right="20" w:hanging="644"/>
        <w:spacing w:after="0" w:line="248" w:lineRule="auto"/>
        <w:tabs>
          <w:tab w:leader="none" w:pos="13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75" w:lineRule="exact"/>
        <w:rPr>
          <w:rFonts w:ascii="Arial" w:cs="Arial" w:eastAsia="Arial" w:hAnsi="Arial"/>
          <w:sz w:val="18"/>
          <w:szCs w:val="18"/>
          <w:color w:val="auto"/>
        </w:rPr>
      </w:pPr>
    </w:p>
    <w:p>
      <w:pPr>
        <w:ind w:left="1300" w:hanging="644"/>
        <w:spacing w:after="0" w:line="255" w:lineRule="auto"/>
        <w:tabs>
          <w:tab w:leader="none" w:pos="130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100"/>
          </w:cols>
          <w:pgMar w:left="320" w:top="455" w:right="479" w:bottom="1440" w:gutter="0" w:footer="0" w:header="0"/>
        </w:sectPr>
      </w:pPr>
    </w:p>
    <w:bookmarkStart w:id="258" w:name="page259"/>
    <w:bookmarkEnd w:id="2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140" w:type="dxa"/>
            <w:vAlign w:val="bottom"/>
            <w:gridSpan w:val="9"/>
          </w:tcPr>
          <w:p>
            <w:pPr>
              <w:ind w:left="80"/>
              <w:spacing w:after="0"/>
              <w:rPr>
                <w:sz w:val="20"/>
                <w:szCs w:val="20"/>
                <w:color w:val="auto"/>
              </w:rPr>
            </w:pPr>
            <w:r>
              <w:rPr>
                <w:rFonts w:ascii="Arial" w:cs="Arial" w:eastAsia="Arial" w:hAnsi="Arial"/>
                <w:sz w:val="18"/>
                <w:szCs w:val="18"/>
                <w:b w:val="1"/>
                <w:bCs w:val="1"/>
                <w:color w:val="auto"/>
              </w:rPr>
              <w:t>EXHIBIT INDEX</w:t>
            </w:r>
          </w:p>
        </w:tc>
      </w:tr>
      <w:tr>
        <w:trPr>
          <w:trHeight w:val="364"/>
        </w:trPr>
        <w:tc>
          <w:tcPr>
            <w:tcW w:w="12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7"/>
        </w:trPr>
        <w:tc>
          <w:tcPr>
            <w:tcW w:w="12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4440" w:type="dxa"/>
            <w:vAlign w:val="bottom"/>
            <w:gridSpan w:val="5"/>
          </w:tcPr>
          <w:p>
            <w:pPr>
              <w:spacing w:after="0"/>
              <w:rPr>
                <w:sz w:val="15"/>
                <w:szCs w:val="15"/>
                <w:color w:val="auto"/>
              </w:rPr>
            </w:pPr>
          </w:p>
        </w:tc>
      </w:tr>
      <w:tr>
        <w:trPr>
          <w:trHeight w:val="322"/>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4"/>
                <w:szCs w:val="24"/>
                <w:color w:val="auto"/>
              </w:rPr>
            </w:pPr>
          </w:p>
        </w:tc>
        <w:tc>
          <w:tcPr>
            <w:tcW w:w="9800" w:type="dxa"/>
            <w:vAlign w:val="bottom"/>
            <w:gridSpan w:val="14"/>
          </w:tcPr>
          <w:p>
            <w:pPr>
              <w:spacing w:after="0"/>
              <w:rPr>
                <w:sz w:val="20"/>
                <w:szCs w:val="20"/>
                <w:color w:val="auto"/>
              </w:rPr>
            </w:pPr>
            <w:r>
              <w:rPr>
                <w:rFonts w:ascii="Arial" w:cs="Arial" w:eastAsia="Arial" w:hAnsi="Arial"/>
                <w:sz w:val="18"/>
                <w:szCs w:val="18"/>
                <w:color w:val="auto"/>
              </w:rPr>
              <w:t>Form of Underwriting Agreement, including Form of Lock-up Agreement.</w:t>
            </w:r>
          </w:p>
        </w:tc>
      </w:tr>
      <w:tr>
        <w:trPr>
          <w:trHeight w:val="310"/>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24"/>
                <w:szCs w:val="24"/>
                <w:color w:val="auto"/>
              </w:rPr>
            </w:pPr>
          </w:p>
        </w:tc>
        <w:tc>
          <w:tcPr>
            <w:tcW w:w="9800" w:type="dxa"/>
            <w:vAlign w:val="bottom"/>
            <w:gridSpan w:val="14"/>
          </w:tcPr>
          <w:p>
            <w:pPr>
              <w:spacing w:after="0"/>
              <w:rPr>
                <w:rFonts w:ascii="Arial" w:cs="Arial" w:eastAsia="Arial" w:hAnsi="Arial"/>
                <w:sz w:val="18"/>
                <w:szCs w:val="18"/>
                <w:u w:val="single" w:color="auto"/>
                <w:color w:val="0000EE"/>
              </w:rPr>
            </w:pPr>
            <w:hyperlink w:anchor="page262">
              <w:r>
                <w:rPr>
                  <w:rFonts w:ascii="Arial" w:cs="Arial" w:eastAsia="Arial" w:hAnsi="Arial"/>
                  <w:sz w:val="18"/>
                  <w:szCs w:val="18"/>
                  <w:u w:val="single" w:color="auto"/>
                  <w:color w:val="0000EE"/>
                </w:rPr>
                <w:t>Amended and Restated Certificate of Incorporation of the Registrant, as currently in effect.</w:t>
              </w:r>
            </w:hyperlink>
          </w:p>
        </w:tc>
      </w:tr>
      <w:tr>
        <w:trPr>
          <w:trHeight w:val="266"/>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3"/>
                <w:szCs w:val="23"/>
                <w:color w:val="auto"/>
              </w:rPr>
            </w:pPr>
          </w:p>
        </w:tc>
        <w:tc>
          <w:tcPr>
            <w:tcW w:w="9800" w:type="dxa"/>
            <w:vAlign w:val="bottom"/>
            <w:gridSpan w:val="14"/>
          </w:tcPr>
          <w:p>
            <w:pPr>
              <w:spacing w:after="0"/>
              <w:rPr>
                <w:rFonts w:ascii="Arial" w:cs="Arial" w:eastAsia="Arial" w:hAnsi="Arial"/>
                <w:sz w:val="18"/>
                <w:szCs w:val="18"/>
                <w:color w:val="0000EE"/>
              </w:rPr>
            </w:pPr>
            <w:hyperlink w:anchor="page282">
              <w:r>
                <w:rPr>
                  <w:rFonts w:ascii="Arial" w:cs="Arial" w:eastAsia="Arial" w:hAnsi="Arial"/>
                  <w:sz w:val="18"/>
                  <w:szCs w:val="18"/>
                  <w:color w:val="0000EE"/>
                </w:rPr>
                <w:t>Form of Amended and Restated Certificate of Incorporation of the Registrant, to be in effect immediately prior to the</w:t>
              </w:r>
            </w:hyperlink>
          </w:p>
        </w:tc>
      </w:tr>
      <w:tr>
        <w:trPr>
          <w:trHeight w:val="183"/>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0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w:anchor="page282">
              <w:r>
                <w:rPr>
                  <w:rFonts w:ascii="Arial" w:cs="Arial" w:eastAsia="Arial" w:hAnsi="Arial"/>
                  <w:sz w:val="18"/>
                  <w:szCs w:val="18"/>
                  <w:color w:val="0000EE"/>
                  <w:w w:val="98"/>
                </w:rPr>
                <w:t>completion of this offering.</w:t>
              </w:r>
            </w:hyperlink>
          </w:p>
        </w:tc>
        <w:tc>
          <w:tcPr>
            <w:tcW w:w="7100" w:type="dxa"/>
            <w:vAlign w:val="bottom"/>
            <w:tcBorders>
              <w:top w:val="single" w:sz="8" w:color="0000EE"/>
            </w:tcBorders>
            <w:gridSpan w:val="7"/>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35"/>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3.3</w:t>
            </w:r>
          </w:p>
        </w:tc>
        <w:tc>
          <w:tcPr>
            <w:tcW w:w="420" w:type="dxa"/>
            <w:vAlign w:val="bottom"/>
          </w:tcPr>
          <w:p>
            <w:pPr>
              <w:spacing w:after="0"/>
              <w:rPr>
                <w:sz w:val="24"/>
                <w:szCs w:val="24"/>
                <w:color w:val="auto"/>
              </w:rPr>
            </w:pPr>
          </w:p>
        </w:tc>
        <w:tc>
          <w:tcPr>
            <w:tcW w:w="9800" w:type="dxa"/>
            <w:vAlign w:val="bottom"/>
            <w:gridSpan w:val="14"/>
          </w:tcPr>
          <w:p>
            <w:pPr>
              <w:spacing w:after="0"/>
              <w:rPr>
                <w:rFonts w:ascii="Arial" w:cs="Arial" w:eastAsia="Arial" w:hAnsi="Arial"/>
                <w:sz w:val="18"/>
                <w:szCs w:val="18"/>
                <w:u w:val="single" w:color="auto"/>
                <w:color w:val="0000EE"/>
              </w:rPr>
            </w:pPr>
            <w:hyperlink w:anchor="page288">
              <w:r>
                <w:rPr>
                  <w:rFonts w:ascii="Arial" w:cs="Arial" w:eastAsia="Arial" w:hAnsi="Arial"/>
                  <w:sz w:val="18"/>
                  <w:szCs w:val="18"/>
                  <w:u w:val="single" w:color="auto"/>
                  <w:color w:val="0000EE"/>
                </w:rPr>
                <w:t>Bylaws of the Registrant, as currently in effect.</w:t>
              </w:r>
            </w:hyperlink>
          </w:p>
        </w:tc>
      </w:tr>
      <w:tr>
        <w:trPr>
          <w:trHeight w:val="311"/>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3.4</w:t>
            </w:r>
          </w:p>
        </w:tc>
        <w:tc>
          <w:tcPr>
            <w:tcW w:w="420" w:type="dxa"/>
            <w:vAlign w:val="bottom"/>
          </w:tcPr>
          <w:p>
            <w:pPr>
              <w:spacing w:after="0"/>
              <w:rPr>
                <w:sz w:val="24"/>
                <w:szCs w:val="24"/>
                <w:color w:val="auto"/>
              </w:rPr>
            </w:pPr>
          </w:p>
        </w:tc>
        <w:tc>
          <w:tcPr>
            <w:tcW w:w="9800" w:type="dxa"/>
            <w:vAlign w:val="bottom"/>
            <w:gridSpan w:val="14"/>
          </w:tcPr>
          <w:p>
            <w:pPr>
              <w:spacing w:after="0"/>
              <w:rPr>
                <w:rFonts w:ascii="Arial" w:cs="Arial" w:eastAsia="Arial" w:hAnsi="Arial"/>
                <w:sz w:val="18"/>
                <w:szCs w:val="18"/>
                <w:u w:val="single" w:color="auto"/>
                <w:color w:val="0000EE"/>
                <w:w w:val="99"/>
              </w:rPr>
            </w:pPr>
            <w:hyperlink w:anchor="page308">
              <w:r>
                <w:rPr>
                  <w:rFonts w:ascii="Arial" w:cs="Arial" w:eastAsia="Arial" w:hAnsi="Arial"/>
                  <w:sz w:val="18"/>
                  <w:szCs w:val="18"/>
                  <w:u w:val="single" w:color="auto"/>
                  <w:color w:val="0000EE"/>
                  <w:w w:val="99"/>
                </w:rPr>
                <w:t>Form of Amended and Restated Bylaws of the Registrant, to be in effect immediately prior to the completion of this offering.</w:t>
              </w:r>
            </w:hyperlink>
          </w:p>
        </w:tc>
      </w:tr>
      <w:tr>
        <w:trPr>
          <w:trHeight w:val="266"/>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3"/>
                <w:szCs w:val="23"/>
                <w:color w:val="auto"/>
              </w:rPr>
            </w:pPr>
          </w:p>
        </w:tc>
        <w:tc>
          <w:tcPr>
            <w:tcW w:w="9800" w:type="dxa"/>
            <w:vAlign w:val="bottom"/>
            <w:gridSpan w:val="14"/>
          </w:tcPr>
          <w:p>
            <w:pPr>
              <w:spacing w:after="0"/>
              <w:rPr>
                <w:rFonts w:ascii="Arial" w:cs="Arial" w:eastAsia="Arial" w:hAnsi="Arial"/>
                <w:sz w:val="18"/>
                <w:szCs w:val="18"/>
                <w:color w:val="0000EE"/>
              </w:rPr>
            </w:pPr>
            <w:hyperlink w:anchor="page336">
              <w:r>
                <w:rPr>
                  <w:rFonts w:ascii="Arial" w:cs="Arial" w:eastAsia="Arial" w:hAnsi="Arial"/>
                  <w:sz w:val="18"/>
                  <w:szCs w:val="18"/>
                  <w:color w:val="0000EE"/>
                </w:rPr>
                <w:t>Amended and Restated Investors’ Rights Agreement, dated July 17, 2020, by and among the Registrant and certain of its</w:t>
              </w:r>
            </w:hyperlink>
          </w:p>
        </w:tc>
      </w:tr>
      <w:tr>
        <w:trPr>
          <w:trHeight w:val="183"/>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6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336">
              <w:r>
                <w:rPr>
                  <w:rFonts w:ascii="Arial" w:cs="Arial" w:eastAsia="Arial" w:hAnsi="Arial"/>
                  <w:sz w:val="18"/>
                  <w:szCs w:val="18"/>
                  <w:color w:val="0000EE"/>
                </w:rPr>
                <w:t>stockholders.</w:t>
              </w:r>
            </w:hyperlink>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6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5"/>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4"/>
                <w:szCs w:val="24"/>
                <w:color w:val="auto"/>
              </w:rPr>
            </w:pPr>
          </w:p>
        </w:tc>
        <w:tc>
          <w:tcPr>
            <w:tcW w:w="9800" w:type="dxa"/>
            <w:vAlign w:val="bottom"/>
            <w:gridSpan w:val="14"/>
          </w:tcPr>
          <w:p>
            <w:pPr>
              <w:spacing w:after="0"/>
              <w:rPr>
                <w:sz w:val="20"/>
                <w:szCs w:val="20"/>
                <w:color w:val="auto"/>
              </w:rPr>
            </w:pPr>
            <w:r>
              <w:rPr>
                <w:rFonts w:ascii="Arial" w:cs="Arial" w:eastAsia="Arial" w:hAnsi="Arial"/>
                <w:sz w:val="18"/>
                <w:szCs w:val="18"/>
                <w:color w:val="auto"/>
              </w:rPr>
              <w:t>Specimen common stock certificate of the Registrant.</w:t>
            </w:r>
          </w:p>
        </w:tc>
      </w:tr>
      <w:tr>
        <w:trPr>
          <w:trHeight w:val="311"/>
        </w:trPr>
        <w:tc>
          <w:tcPr>
            <w:tcW w:w="680" w:type="dxa"/>
            <w:vAlign w:val="bottom"/>
            <w:gridSpan w:val="2"/>
          </w:tcPr>
          <w:p>
            <w:pPr>
              <w:ind w:left="100"/>
              <w:spacing w:after="0"/>
              <w:rPr>
                <w:sz w:val="20"/>
                <w:szCs w:val="20"/>
                <w:color w:val="auto"/>
              </w:rPr>
            </w:pPr>
            <w:r>
              <w:rPr>
                <w:rFonts w:ascii="Arial" w:cs="Arial" w:eastAsia="Arial" w:hAnsi="Arial"/>
                <w:sz w:val="18"/>
                <w:szCs w:val="18"/>
                <w:color w:val="auto"/>
              </w:rPr>
              <w:t>5.1*</w:t>
            </w:r>
          </w:p>
        </w:tc>
        <w:tc>
          <w:tcPr>
            <w:tcW w:w="420" w:type="dxa"/>
            <w:vAlign w:val="bottom"/>
          </w:tcPr>
          <w:p>
            <w:pPr>
              <w:spacing w:after="0"/>
              <w:rPr>
                <w:sz w:val="24"/>
                <w:szCs w:val="24"/>
                <w:color w:val="auto"/>
              </w:rPr>
            </w:pPr>
          </w:p>
        </w:tc>
        <w:tc>
          <w:tcPr>
            <w:tcW w:w="9800" w:type="dxa"/>
            <w:vAlign w:val="bottom"/>
            <w:gridSpan w:val="14"/>
          </w:tcPr>
          <w:p>
            <w:pPr>
              <w:spacing w:after="0"/>
              <w:rPr>
                <w:sz w:val="20"/>
                <w:szCs w:val="20"/>
                <w:color w:val="auto"/>
              </w:rPr>
            </w:pPr>
            <w:r>
              <w:rPr>
                <w:rFonts w:ascii="Arial" w:cs="Arial" w:eastAsia="Arial" w:hAnsi="Arial"/>
                <w:sz w:val="18"/>
                <w:szCs w:val="18"/>
                <w:color w:val="auto"/>
              </w:rPr>
              <w:t>Opinion of Wilson Sonsini Goodrich &amp; Rosati, Professional Corporation.</w:t>
            </w:r>
          </w:p>
        </w:tc>
      </w:tr>
      <w:tr>
        <w:trPr>
          <w:trHeight w:val="310"/>
        </w:trPr>
        <w:tc>
          <w:tcPr>
            <w:tcW w:w="680" w:type="dxa"/>
            <w:vAlign w:val="bottom"/>
            <w:gridSpan w:val="2"/>
          </w:tcPr>
          <w:p>
            <w:pPr>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4"/>
                <w:szCs w:val="24"/>
                <w:color w:val="auto"/>
              </w:rPr>
            </w:pPr>
          </w:p>
        </w:tc>
        <w:tc>
          <w:tcPr>
            <w:tcW w:w="9800" w:type="dxa"/>
            <w:vAlign w:val="bottom"/>
            <w:gridSpan w:val="14"/>
          </w:tcPr>
          <w:p>
            <w:pPr>
              <w:spacing w:after="0"/>
              <w:rPr>
                <w:rFonts w:ascii="Arial" w:cs="Arial" w:eastAsia="Arial" w:hAnsi="Arial"/>
                <w:sz w:val="18"/>
                <w:szCs w:val="18"/>
                <w:u w:val="single" w:color="auto"/>
                <w:color w:val="0000EE"/>
              </w:rPr>
            </w:pPr>
            <w:hyperlink w:anchor="page389">
              <w:r>
                <w:rPr>
                  <w:rFonts w:ascii="Arial" w:cs="Arial" w:eastAsia="Arial" w:hAnsi="Arial"/>
                  <w:sz w:val="18"/>
                  <w:szCs w:val="18"/>
                  <w:u w:val="single" w:color="auto"/>
                  <w:color w:val="0000EE"/>
                </w:rPr>
                <w:t>Form of Indemnification Agreement between the Registrant and each of its directors and executive officers.</w:t>
              </w:r>
            </w:hyperlink>
          </w:p>
        </w:tc>
      </w:tr>
      <w:tr>
        <w:trPr>
          <w:trHeight w:val="311"/>
        </w:trPr>
        <w:tc>
          <w:tcPr>
            <w:tcW w:w="680" w:type="dxa"/>
            <w:vAlign w:val="bottom"/>
            <w:gridSpan w:val="2"/>
          </w:tcPr>
          <w:p>
            <w:pPr>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24"/>
                <w:szCs w:val="24"/>
                <w:color w:val="auto"/>
              </w:rPr>
            </w:pPr>
          </w:p>
        </w:tc>
        <w:tc>
          <w:tcPr>
            <w:tcW w:w="9800" w:type="dxa"/>
            <w:vAlign w:val="bottom"/>
            <w:gridSpan w:val="14"/>
          </w:tcPr>
          <w:p>
            <w:pPr>
              <w:spacing w:after="0"/>
              <w:rPr>
                <w:rFonts w:ascii="Arial" w:cs="Arial" w:eastAsia="Arial" w:hAnsi="Arial"/>
                <w:sz w:val="18"/>
                <w:szCs w:val="18"/>
                <w:u w:val="single" w:color="auto"/>
                <w:color w:val="0000EE"/>
              </w:rPr>
            </w:pPr>
            <w:hyperlink w:anchor="page403">
              <w:r>
                <w:rPr>
                  <w:rFonts w:ascii="Arial" w:cs="Arial" w:eastAsia="Arial" w:hAnsi="Arial"/>
                  <w:sz w:val="18"/>
                  <w:szCs w:val="18"/>
                  <w:u w:val="single" w:color="auto"/>
                  <w:color w:val="0000EE"/>
                </w:rPr>
                <w:t>2013 Equity Incentive Plan, as amended, and forms of agreement thereunder.</w:t>
              </w:r>
            </w:hyperlink>
          </w:p>
        </w:tc>
      </w:tr>
      <w:tr>
        <w:trPr>
          <w:trHeight w:val="310"/>
        </w:trPr>
        <w:tc>
          <w:tcPr>
            <w:tcW w:w="680" w:type="dxa"/>
            <w:vAlign w:val="bottom"/>
            <w:gridSpan w:val="2"/>
          </w:tcPr>
          <w:p>
            <w:pPr>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24"/>
                <w:szCs w:val="24"/>
                <w:color w:val="auto"/>
              </w:rPr>
            </w:pPr>
          </w:p>
        </w:tc>
        <w:tc>
          <w:tcPr>
            <w:tcW w:w="9800" w:type="dxa"/>
            <w:vAlign w:val="bottom"/>
            <w:gridSpan w:val="14"/>
          </w:tcPr>
          <w:p>
            <w:pPr>
              <w:spacing w:after="0"/>
              <w:rPr>
                <w:rFonts w:ascii="Arial" w:cs="Arial" w:eastAsia="Arial" w:hAnsi="Arial"/>
                <w:sz w:val="18"/>
                <w:szCs w:val="18"/>
                <w:u w:val="single" w:color="auto"/>
                <w:color w:val="0000EE"/>
              </w:rPr>
            </w:pPr>
            <w:hyperlink w:anchor="page433">
              <w:r>
                <w:rPr>
                  <w:rFonts w:ascii="Arial" w:cs="Arial" w:eastAsia="Arial" w:hAnsi="Arial"/>
                  <w:sz w:val="18"/>
                  <w:szCs w:val="18"/>
                  <w:u w:val="single" w:color="auto"/>
                  <w:color w:val="0000EE"/>
                </w:rPr>
                <w:t>2020 Equity Incentive Plan and forms of agreements thereunder, to be in effect prior to the completion of this offering.</w:t>
              </w:r>
            </w:hyperlink>
          </w:p>
        </w:tc>
      </w:tr>
      <w:tr>
        <w:trPr>
          <w:trHeight w:val="266"/>
        </w:trPr>
        <w:tc>
          <w:tcPr>
            <w:tcW w:w="680" w:type="dxa"/>
            <w:vAlign w:val="bottom"/>
            <w:gridSpan w:val="2"/>
          </w:tcPr>
          <w:p>
            <w:pPr>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3"/>
                <w:szCs w:val="23"/>
                <w:color w:val="auto"/>
              </w:rPr>
            </w:pPr>
          </w:p>
        </w:tc>
        <w:tc>
          <w:tcPr>
            <w:tcW w:w="9800" w:type="dxa"/>
            <w:vAlign w:val="bottom"/>
            <w:gridSpan w:val="14"/>
          </w:tcPr>
          <w:p>
            <w:pPr>
              <w:spacing w:after="0"/>
              <w:rPr>
                <w:rFonts w:ascii="Arial" w:cs="Arial" w:eastAsia="Arial" w:hAnsi="Arial"/>
                <w:sz w:val="18"/>
                <w:szCs w:val="18"/>
                <w:color w:val="0000EE"/>
              </w:rPr>
            </w:pPr>
            <w:hyperlink w:anchor="page490">
              <w:r>
                <w:rPr>
                  <w:rFonts w:ascii="Arial" w:cs="Arial" w:eastAsia="Arial" w:hAnsi="Arial"/>
                  <w:sz w:val="18"/>
                  <w:szCs w:val="18"/>
                  <w:color w:val="0000EE"/>
                </w:rPr>
                <w:t>2020 Employee Stock Purchase Plan and forms of agreements thereunder, to be in effect upon the completion of this</w:t>
              </w:r>
            </w:hyperlink>
          </w:p>
        </w:tc>
      </w:tr>
      <w:tr>
        <w:trPr>
          <w:trHeight w:val="183"/>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Borders>
              <w:top w:val="single" w:sz="8" w:color="0000EE"/>
              <w:bottom w:val="single" w:sz="8" w:color="0000EE"/>
            </w:tcBorders>
          </w:tcPr>
          <w:p>
            <w:pPr>
              <w:spacing w:after="0" w:line="182" w:lineRule="exact"/>
              <w:rPr>
                <w:rFonts w:ascii="Arial" w:cs="Arial" w:eastAsia="Arial" w:hAnsi="Arial"/>
                <w:sz w:val="18"/>
                <w:szCs w:val="18"/>
                <w:color w:val="0000EE"/>
                <w:w w:val="98"/>
              </w:rPr>
            </w:pPr>
            <w:hyperlink w:anchor="page490">
              <w:r>
                <w:rPr>
                  <w:rFonts w:ascii="Arial" w:cs="Arial" w:eastAsia="Arial" w:hAnsi="Arial"/>
                  <w:sz w:val="18"/>
                  <w:szCs w:val="18"/>
                  <w:color w:val="0000EE"/>
                  <w:w w:val="98"/>
                </w:rPr>
                <w:t>offering.</w:t>
              </w:r>
            </w:hyperlink>
          </w:p>
        </w:tc>
        <w:tc>
          <w:tcPr>
            <w:tcW w:w="8660" w:type="dxa"/>
            <w:vAlign w:val="bottom"/>
            <w:tcBorders>
              <w:top w:val="single" w:sz="8" w:color="0000EE"/>
            </w:tcBorders>
            <w:gridSpan w:val="10"/>
          </w:tcPr>
          <w:p>
            <w:pPr>
              <w:spacing w:after="0"/>
              <w:rPr>
                <w:sz w:val="15"/>
                <w:szCs w:val="15"/>
                <w:color w:val="auto"/>
              </w:rPr>
            </w:pPr>
          </w:p>
        </w:tc>
        <w:tc>
          <w:tcPr>
            <w:tcW w:w="3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r>
      <w:tr>
        <w:trPr>
          <w:trHeight w:val="335"/>
        </w:trPr>
        <w:tc>
          <w:tcPr>
            <w:tcW w:w="680" w:type="dxa"/>
            <w:vAlign w:val="bottom"/>
            <w:gridSpan w:val="2"/>
          </w:tcPr>
          <w:p>
            <w:pPr>
              <w:spacing w:after="0"/>
              <w:rPr>
                <w:sz w:val="20"/>
                <w:szCs w:val="20"/>
                <w:color w:val="auto"/>
              </w:rPr>
            </w:pPr>
            <w:r>
              <w:rPr>
                <w:rFonts w:ascii="Arial" w:cs="Arial" w:eastAsia="Arial" w:hAnsi="Arial"/>
                <w:sz w:val="18"/>
                <w:szCs w:val="18"/>
                <w:color w:val="auto"/>
              </w:rPr>
              <w:t>10.5+</w:t>
            </w:r>
          </w:p>
        </w:tc>
        <w:tc>
          <w:tcPr>
            <w:tcW w:w="420" w:type="dxa"/>
            <w:vAlign w:val="bottom"/>
          </w:tcPr>
          <w:p>
            <w:pPr>
              <w:spacing w:after="0"/>
              <w:rPr>
                <w:sz w:val="24"/>
                <w:szCs w:val="24"/>
                <w:color w:val="auto"/>
              </w:rPr>
            </w:pPr>
          </w:p>
        </w:tc>
        <w:tc>
          <w:tcPr>
            <w:tcW w:w="9800" w:type="dxa"/>
            <w:vAlign w:val="bottom"/>
            <w:gridSpan w:val="14"/>
          </w:tcPr>
          <w:p>
            <w:pPr>
              <w:spacing w:after="0"/>
              <w:rPr>
                <w:rFonts w:ascii="Arial" w:cs="Arial" w:eastAsia="Arial" w:hAnsi="Arial"/>
                <w:sz w:val="18"/>
                <w:szCs w:val="18"/>
                <w:u w:val="single" w:color="auto"/>
                <w:color w:val="0000EE"/>
              </w:rPr>
            </w:pPr>
            <w:hyperlink w:anchor="page510">
              <w:r>
                <w:rPr>
                  <w:rFonts w:ascii="Arial" w:cs="Arial" w:eastAsia="Arial" w:hAnsi="Arial"/>
                  <w:sz w:val="18"/>
                  <w:szCs w:val="18"/>
                  <w:u w:val="single" w:color="auto"/>
                  <w:color w:val="0000EE"/>
                </w:rPr>
                <w:t>Employment Offer Letter, dated August 17, 2020, by and between the Registrant and David H. Mack, Ph.D.</w:t>
              </w:r>
            </w:hyperlink>
          </w:p>
        </w:tc>
      </w:tr>
      <w:tr>
        <w:trPr>
          <w:trHeight w:val="310"/>
        </w:trPr>
        <w:tc>
          <w:tcPr>
            <w:tcW w:w="680" w:type="dxa"/>
            <w:vAlign w:val="bottom"/>
            <w:gridSpan w:val="2"/>
          </w:tcPr>
          <w:p>
            <w:pPr>
              <w:spacing w:after="0"/>
              <w:rPr>
                <w:sz w:val="20"/>
                <w:szCs w:val="20"/>
                <w:color w:val="auto"/>
              </w:rPr>
            </w:pPr>
            <w:r>
              <w:rPr>
                <w:rFonts w:ascii="Arial" w:cs="Arial" w:eastAsia="Arial" w:hAnsi="Arial"/>
                <w:sz w:val="18"/>
                <w:szCs w:val="18"/>
                <w:color w:val="auto"/>
              </w:rPr>
              <w:t>10.6+</w:t>
            </w:r>
          </w:p>
        </w:tc>
        <w:tc>
          <w:tcPr>
            <w:tcW w:w="420" w:type="dxa"/>
            <w:vAlign w:val="bottom"/>
          </w:tcPr>
          <w:p>
            <w:pPr>
              <w:spacing w:after="0"/>
              <w:rPr>
                <w:sz w:val="24"/>
                <w:szCs w:val="24"/>
                <w:color w:val="auto"/>
              </w:rPr>
            </w:pPr>
          </w:p>
        </w:tc>
        <w:tc>
          <w:tcPr>
            <w:tcW w:w="9800" w:type="dxa"/>
            <w:vAlign w:val="bottom"/>
            <w:gridSpan w:val="14"/>
          </w:tcPr>
          <w:p>
            <w:pPr>
              <w:spacing w:after="0"/>
              <w:rPr>
                <w:rFonts w:ascii="Arial" w:cs="Arial" w:eastAsia="Arial" w:hAnsi="Arial"/>
                <w:sz w:val="18"/>
                <w:szCs w:val="18"/>
                <w:color w:val="0000EE"/>
              </w:rPr>
            </w:pPr>
            <w:hyperlink w:anchor="page513">
              <w:r>
                <w:rPr>
                  <w:rFonts w:ascii="Arial" w:cs="Arial" w:eastAsia="Arial" w:hAnsi="Arial"/>
                  <w:sz w:val="18"/>
                  <w:szCs w:val="18"/>
                  <w:u w:val="single" w:color="auto"/>
                  <w:color w:val="0000EE"/>
                </w:rPr>
                <w:t>Employment Offer Letter, dated August 17, 2020, by and between the Registrant and Winston Kung</w:t>
              </w:r>
            </w:hyperlink>
            <w:r>
              <w:rPr>
                <w:rFonts w:ascii="Arial" w:cs="Arial" w:eastAsia="Arial" w:hAnsi="Arial"/>
                <w:sz w:val="18"/>
                <w:szCs w:val="18"/>
                <w:color w:val="000000"/>
              </w:rPr>
              <w:t>.</w:t>
            </w:r>
          </w:p>
        </w:tc>
      </w:tr>
      <w:tr>
        <w:trPr>
          <w:trHeight w:val="310"/>
        </w:trPr>
        <w:tc>
          <w:tcPr>
            <w:tcW w:w="680" w:type="dxa"/>
            <w:vAlign w:val="bottom"/>
            <w:gridSpan w:val="2"/>
          </w:tcPr>
          <w:p>
            <w:pPr>
              <w:spacing w:after="0"/>
              <w:rPr>
                <w:sz w:val="20"/>
                <w:szCs w:val="20"/>
                <w:color w:val="auto"/>
              </w:rPr>
            </w:pPr>
            <w:r>
              <w:rPr>
                <w:rFonts w:ascii="Arial" w:cs="Arial" w:eastAsia="Arial" w:hAnsi="Arial"/>
                <w:sz w:val="18"/>
                <w:szCs w:val="18"/>
                <w:color w:val="auto"/>
              </w:rPr>
              <w:t>10.7+</w:t>
            </w:r>
          </w:p>
        </w:tc>
        <w:tc>
          <w:tcPr>
            <w:tcW w:w="420" w:type="dxa"/>
            <w:vAlign w:val="bottom"/>
          </w:tcPr>
          <w:p>
            <w:pPr>
              <w:spacing w:after="0"/>
              <w:rPr>
                <w:sz w:val="24"/>
                <w:szCs w:val="24"/>
                <w:color w:val="auto"/>
              </w:rPr>
            </w:pPr>
          </w:p>
        </w:tc>
        <w:tc>
          <w:tcPr>
            <w:tcW w:w="9800" w:type="dxa"/>
            <w:vAlign w:val="bottom"/>
            <w:gridSpan w:val="14"/>
          </w:tcPr>
          <w:p>
            <w:pPr>
              <w:spacing w:after="0"/>
              <w:rPr>
                <w:rFonts w:ascii="Arial" w:cs="Arial" w:eastAsia="Arial" w:hAnsi="Arial"/>
                <w:sz w:val="18"/>
                <w:szCs w:val="18"/>
                <w:u w:val="single" w:color="auto"/>
                <w:color w:val="0000EE"/>
              </w:rPr>
            </w:pPr>
            <w:hyperlink w:anchor="page516">
              <w:r>
                <w:rPr>
                  <w:rFonts w:ascii="Arial" w:cs="Arial" w:eastAsia="Arial" w:hAnsi="Arial"/>
                  <w:sz w:val="18"/>
                  <w:szCs w:val="18"/>
                  <w:u w:val="single" w:color="auto"/>
                  <w:color w:val="0000EE"/>
                </w:rPr>
                <w:t>Employment Offer Letter, dated August 18, 2020, by and between the Registrant and Leila Alland, M.D.</w:t>
              </w:r>
            </w:hyperlink>
          </w:p>
        </w:tc>
      </w:tr>
      <w:tr>
        <w:trPr>
          <w:trHeight w:val="310"/>
        </w:trPr>
        <w:tc>
          <w:tcPr>
            <w:tcW w:w="680" w:type="dxa"/>
            <w:vAlign w:val="bottom"/>
            <w:gridSpan w:val="2"/>
          </w:tcPr>
          <w:p>
            <w:pPr>
              <w:spacing w:after="0"/>
              <w:rPr>
                <w:sz w:val="20"/>
                <w:szCs w:val="20"/>
                <w:color w:val="auto"/>
              </w:rPr>
            </w:pPr>
            <w:r>
              <w:rPr>
                <w:rFonts w:ascii="Arial" w:cs="Arial" w:eastAsia="Arial" w:hAnsi="Arial"/>
                <w:sz w:val="18"/>
                <w:szCs w:val="18"/>
                <w:color w:val="auto"/>
              </w:rPr>
              <w:t>10.8+</w:t>
            </w:r>
          </w:p>
        </w:tc>
        <w:tc>
          <w:tcPr>
            <w:tcW w:w="420" w:type="dxa"/>
            <w:vAlign w:val="bottom"/>
          </w:tcPr>
          <w:p>
            <w:pPr>
              <w:spacing w:after="0"/>
              <w:rPr>
                <w:sz w:val="24"/>
                <w:szCs w:val="24"/>
                <w:color w:val="auto"/>
              </w:rPr>
            </w:pPr>
          </w:p>
        </w:tc>
        <w:tc>
          <w:tcPr>
            <w:tcW w:w="9800" w:type="dxa"/>
            <w:vAlign w:val="bottom"/>
            <w:gridSpan w:val="14"/>
          </w:tcPr>
          <w:p>
            <w:pPr>
              <w:spacing w:after="0"/>
              <w:rPr>
                <w:rFonts w:ascii="Arial" w:cs="Arial" w:eastAsia="Arial" w:hAnsi="Arial"/>
                <w:sz w:val="18"/>
                <w:szCs w:val="18"/>
                <w:color w:val="0000EE"/>
              </w:rPr>
            </w:pPr>
            <w:hyperlink w:anchor="page519">
              <w:r>
                <w:rPr>
                  <w:rFonts w:ascii="Arial" w:cs="Arial" w:eastAsia="Arial" w:hAnsi="Arial"/>
                  <w:sz w:val="18"/>
                  <w:szCs w:val="18"/>
                  <w:u w:val="single" w:color="auto"/>
                  <w:color w:val="0000EE"/>
                </w:rPr>
                <w:t>Employment Offer Letter, dated August 18, 2020, by and between the Registrant and Deepika Jalota, Pharm.D</w:t>
              </w:r>
              <w:r>
                <w:rPr>
                  <w:rFonts w:ascii="Arial" w:cs="Arial" w:eastAsia="Arial" w:hAnsi="Arial"/>
                  <w:sz w:val="18"/>
                  <w:szCs w:val="18"/>
                  <w:color w:val="0000EE"/>
                </w:rPr>
                <w:t>.</w:t>
              </w:r>
            </w:hyperlink>
          </w:p>
        </w:tc>
      </w:tr>
      <w:tr>
        <w:trPr>
          <w:trHeight w:val="310"/>
        </w:trPr>
        <w:tc>
          <w:tcPr>
            <w:tcW w:w="680" w:type="dxa"/>
            <w:vAlign w:val="bottom"/>
            <w:gridSpan w:val="2"/>
          </w:tcPr>
          <w:p>
            <w:pPr>
              <w:spacing w:after="0"/>
              <w:rPr>
                <w:sz w:val="20"/>
                <w:szCs w:val="20"/>
                <w:color w:val="auto"/>
              </w:rPr>
            </w:pPr>
            <w:r>
              <w:rPr>
                <w:rFonts w:ascii="Arial" w:cs="Arial" w:eastAsia="Arial" w:hAnsi="Arial"/>
                <w:sz w:val="18"/>
                <w:szCs w:val="18"/>
                <w:color w:val="auto"/>
              </w:rPr>
              <w:t>10.9+</w:t>
            </w:r>
          </w:p>
        </w:tc>
        <w:tc>
          <w:tcPr>
            <w:tcW w:w="420" w:type="dxa"/>
            <w:vAlign w:val="bottom"/>
          </w:tcPr>
          <w:p>
            <w:pPr>
              <w:spacing w:after="0"/>
              <w:rPr>
                <w:sz w:val="24"/>
                <w:szCs w:val="24"/>
                <w:color w:val="auto"/>
              </w:rPr>
            </w:pPr>
          </w:p>
        </w:tc>
        <w:tc>
          <w:tcPr>
            <w:tcW w:w="9800" w:type="dxa"/>
            <w:vAlign w:val="bottom"/>
            <w:gridSpan w:val="14"/>
          </w:tcPr>
          <w:p>
            <w:pPr>
              <w:spacing w:after="0"/>
              <w:rPr>
                <w:rFonts w:ascii="Arial" w:cs="Arial" w:eastAsia="Arial" w:hAnsi="Arial"/>
                <w:sz w:val="18"/>
                <w:szCs w:val="18"/>
                <w:u w:val="single" w:color="auto"/>
                <w:color w:val="0000EE"/>
              </w:rPr>
            </w:pPr>
            <w:hyperlink w:anchor="page522">
              <w:r>
                <w:rPr>
                  <w:rFonts w:ascii="Arial" w:cs="Arial" w:eastAsia="Arial" w:hAnsi="Arial"/>
                  <w:sz w:val="18"/>
                  <w:szCs w:val="18"/>
                  <w:u w:val="single" w:color="auto"/>
                  <w:color w:val="0000EE"/>
                </w:rPr>
                <w:t>Employee Incentive Compensation Plan.</w:t>
              </w:r>
            </w:hyperlink>
          </w:p>
        </w:tc>
      </w:tr>
      <w:tr>
        <w:trPr>
          <w:trHeight w:val="310"/>
        </w:trPr>
        <w:tc>
          <w:tcPr>
            <w:tcW w:w="680" w:type="dxa"/>
            <w:vAlign w:val="bottom"/>
            <w:gridSpan w:val="2"/>
          </w:tcPr>
          <w:p>
            <w:pPr>
              <w:spacing w:after="0"/>
              <w:rPr>
                <w:sz w:val="20"/>
                <w:szCs w:val="20"/>
                <w:color w:val="auto"/>
              </w:rPr>
            </w:pPr>
            <w:r>
              <w:rPr>
                <w:rFonts w:ascii="Arial" w:cs="Arial" w:eastAsia="Arial" w:hAnsi="Arial"/>
                <w:sz w:val="18"/>
                <w:szCs w:val="18"/>
                <w:color w:val="auto"/>
              </w:rPr>
              <w:t>10.10+</w:t>
            </w:r>
          </w:p>
        </w:tc>
        <w:tc>
          <w:tcPr>
            <w:tcW w:w="420" w:type="dxa"/>
            <w:vAlign w:val="bottom"/>
          </w:tcPr>
          <w:p>
            <w:pPr>
              <w:spacing w:after="0"/>
              <w:rPr>
                <w:sz w:val="24"/>
                <w:szCs w:val="24"/>
                <w:color w:val="auto"/>
              </w:rPr>
            </w:pPr>
          </w:p>
        </w:tc>
        <w:tc>
          <w:tcPr>
            <w:tcW w:w="9800" w:type="dxa"/>
            <w:vAlign w:val="bottom"/>
            <w:gridSpan w:val="14"/>
          </w:tcPr>
          <w:p>
            <w:pPr>
              <w:spacing w:after="0"/>
              <w:rPr>
                <w:rFonts w:ascii="Arial" w:cs="Arial" w:eastAsia="Arial" w:hAnsi="Arial"/>
                <w:sz w:val="18"/>
                <w:szCs w:val="18"/>
                <w:u w:val="single" w:color="auto"/>
                <w:color w:val="0000EE"/>
              </w:rPr>
            </w:pPr>
            <w:hyperlink w:anchor="page529">
              <w:r>
                <w:rPr>
                  <w:rFonts w:ascii="Arial" w:cs="Arial" w:eastAsia="Arial" w:hAnsi="Arial"/>
                  <w:sz w:val="18"/>
                  <w:szCs w:val="18"/>
                  <w:u w:val="single" w:color="auto"/>
                  <w:color w:val="0000EE"/>
                </w:rPr>
                <w:t>Change in Control and Severance Policy.</w:t>
              </w:r>
            </w:hyperlink>
          </w:p>
        </w:tc>
      </w:tr>
      <w:tr>
        <w:trPr>
          <w:trHeight w:val="266"/>
        </w:trPr>
        <w:tc>
          <w:tcPr>
            <w:tcW w:w="680" w:type="dxa"/>
            <w:vAlign w:val="bottom"/>
            <w:gridSpan w:val="2"/>
          </w:tcPr>
          <w:p>
            <w:pPr>
              <w:spacing w:after="0"/>
              <w:rPr>
                <w:sz w:val="20"/>
                <w:szCs w:val="20"/>
                <w:color w:val="auto"/>
              </w:rPr>
            </w:pPr>
            <w:r>
              <w:rPr>
                <w:rFonts w:ascii="Arial" w:cs="Arial" w:eastAsia="Arial" w:hAnsi="Arial"/>
                <w:sz w:val="18"/>
                <w:szCs w:val="18"/>
                <w:color w:val="auto"/>
              </w:rPr>
              <w:t>10.11+</w:t>
            </w:r>
          </w:p>
        </w:tc>
        <w:tc>
          <w:tcPr>
            <w:tcW w:w="420" w:type="dxa"/>
            <w:vAlign w:val="bottom"/>
          </w:tcPr>
          <w:p>
            <w:pPr>
              <w:spacing w:after="0"/>
              <w:rPr>
                <w:sz w:val="23"/>
                <w:szCs w:val="23"/>
                <w:color w:val="auto"/>
              </w:rPr>
            </w:pPr>
          </w:p>
        </w:tc>
        <w:tc>
          <w:tcPr>
            <w:tcW w:w="9800" w:type="dxa"/>
            <w:vAlign w:val="bottom"/>
            <w:gridSpan w:val="14"/>
          </w:tcPr>
          <w:p>
            <w:pPr>
              <w:spacing w:after="0"/>
              <w:rPr>
                <w:rFonts w:ascii="Arial" w:cs="Arial" w:eastAsia="Arial" w:hAnsi="Arial"/>
                <w:sz w:val="18"/>
                <w:szCs w:val="18"/>
                <w:color w:val="0000EE"/>
              </w:rPr>
            </w:pPr>
            <w:hyperlink w:anchor="page542">
              <w:r>
                <w:rPr>
                  <w:rFonts w:ascii="Arial" w:cs="Arial" w:eastAsia="Arial" w:hAnsi="Arial"/>
                  <w:sz w:val="18"/>
                  <w:szCs w:val="18"/>
                  <w:color w:val="0000EE"/>
                </w:rPr>
                <w:t>Amended and Restated Change in Control and Severance Policy Participation Agreement, dated August 17, 2020, by and</w:t>
              </w:r>
            </w:hyperlink>
          </w:p>
        </w:tc>
      </w:tr>
      <w:tr>
        <w:trPr>
          <w:trHeight w:val="183"/>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98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9"/>
              </w:rPr>
            </w:pPr>
            <w:hyperlink w:anchor="page542">
              <w:r>
                <w:rPr>
                  <w:rFonts w:ascii="Arial" w:cs="Arial" w:eastAsia="Arial" w:hAnsi="Arial"/>
                  <w:sz w:val="18"/>
                  <w:szCs w:val="18"/>
                  <w:color w:val="0000EE"/>
                  <w:w w:val="99"/>
                </w:rPr>
                <w:t>between the Registrant and David H. Mack, Ph.D.</w:t>
              </w:r>
            </w:hyperlink>
          </w:p>
        </w:tc>
        <w:tc>
          <w:tcPr>
            <w:tcW w:w="5720" w:type="dxa"/>
            <w:vAlign w:val="bottom"/>
            <w:tcBorders>
              <w:top w:val="single" w:sz="8" w:color="0000EE"/>
            </w:tcBorders>
            <w:gridSpan w:val="7"/>
          </w:tcPr>
          <w:p>
            <w:pPr>
              <w:spacing w:after="0"/>
              <w:rPr>
                <w:sz w:val="15"/>
                <w:szCs w:val="15"/>
                <w:color w:val="auto"/>
              </w:rPr>
            </w:pPr>
          </w:p>
        </w:tc>
        <w:tc>
          <w:tcPr>
            <w:tcW w:w="100" w:type="dxa"/>
            <w:vAlign w:val="bottom"/>
          </w:tcPr>
          <w:p>
            <w:pPr>
              <w:spacing w:after="0"/>
              <w:rPr>
                <w:sz w:val="15"/>
                <w:szCs w:val="15"/>
                <w:color w:val="auto"/>
              </w:rPr>
            </w:pPr>
          </w:p>
        </w:tc>
      </w:tr>
      <w:tr>
        <w:trPr>
          <w:trHeight w:val="290"/>
        </w:trPr>
        <w:tc>
          <w:tcPr>
            <w:tcW w:w="680" w:type="dxa"/>
            <w:vAlign w:val="bottom"/>
            <w:gridSpan w:val="2"/>
          </w:tcPr>
          <w:p>
            <w:pPr>
              <w:spacing w:after="0"/>
              <w:rPr>
                <w:sz w:val="20"/>
                <w:szCs w:val="20"/>
                <w:color w:val="auto"/>
              </w:rPr>
            </w:pPr>
            <w:r>
              <w:rPr>
                <w:rFonts w:ascii="Arial" w:cs="Arial" w:eastAsia="Arial" w:hAnsi="Arial"/>
                <w:sz w:val="18"/>
                <w:szCs w:val="18"/>
                <w:color w:val="auto"/>
              </w:rPr>
              <w:t>10.12+</w:t>
            </w:r>
          </w:p>
        </w:tc>
        <w:tc>
          <w:tcPr>
            <w:tcW w:w="420" w:type="dxa"/>
            <w:vAlign w:val="bottom"/>
          </w:tcPr>
          <w:p>
            <w:pPr>
              <w:spacing w:after="0"/>
              <w:rPr>
                <w:sz w:val="24"/>
                <w:szCs w:val="24"/>
                <w:color w:val="auto"/>
              </w:rPr>
            </w:pPr>
          </w:p>
        </w:tc>
        <w:tc>
          <w:tcPr>
            <w:tcW w:w="9800" w:type="dxa"/>
            <w:vAlign w:val="bottom"/>
            <w:gridSpan w:val="14"/>
          </w:tcPr>
          <w:p>
            <w:pPr>
              <w:spacing w:after="0"/>
              <w:rPr>
                <w:rFonts w:ascii="Arial" w:cs="Arial" w:eastAsia="Arial" w:hAnsi="Arial"/>
                <w:sz w:val="18"/>
                <w:szCs w:val="18"/>
                <w:color w:val="0000EE"/>
              </w:rPr>
            </w:pPr>
            <w:hyperlink w:anchor="page545">
              <w:r>
                <w:rPr>
                  <w:rFonts w:ascii="Arial" w:cs="Arial" w:eastAsia="Arial" w:hAnsi="Arial"/>
                  <w:sz w:val="18"/>
                  <w:szCs w:val="18"/>
                  <w:color w:val="0000EE"/>
                </w:rPr>
                <w:t>Amended and Restated Change in Control and Severance Policy Participation Agreement, dated August 17, 2020, by and</w:t>
              </w:r>
            </w:hyperlink>
          </w:p>
        </w:tc>
      </w:tr>
      <w:tr>
        <w:trPr>
          <w:trHeight w:val="183"/>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70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545">
              <w:r>
                <w:rPr>
                  <w:rFonts w:ascii="Arial" w:cs="Arial" w:eastAsia="Arial" w:hAnsi="Arial"/>
                  <w:sz w:val="18"/>
                  <w:szCs w:val="18"/>
                  <w:color w:val="0000EE"/>
                </w:rPr>
                <w:t>between the Registrant and Winston Kung.</w:t>
              </w:r>
            </w:hyperlink>
          </w:p>
        </w:tc>
        <w:tc>
          <w:tcPr>
            <w:tcW w:w="100" w:type="dxa"/>
            <w:vAlign w:val="bottom"/>
          </w:tcPr>
          <w:p>
            <w:pPr>
              <w:spacing w:after="0"/>
              <w:rPr>
                <w:sz w:val="15"/>
                <w:szCs w:val="15"/>
                <w:color w:val="auto"/>
              </w:rPr>
            </w:pPr>
          </w:p>
        </w:tc>
      </w:tr>
      <w:tr>
        <w:trPr>
          <w:trHeight w:val="20"/>
        </w:trPr>
        <w:tc>
          <w:tcPr>
            <w:tcW w:w="6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2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500" w:type="dxa"/>
            <w:vAlign w:val="bottom"/>
            <w:gridSpan w:val="7"/>
          </w:tcPr>
          <w:p>
            <w:pPr>
              <w:spacing w:after="0" w:line="20" w:lineRule="exact"/>
              <w:rPr>
                <w:sz w:val="1"/>
                <w:szCs w:val="1"/>
                <w:color w:val="auto"/>
              </w:rPr>
            </w:pPr>
          </w:p>
        </w:tc>
      </w:tr>
      <w:tr>
        <w:trPr>
          <w:trHeight w:val="290"/>
        </w:trPr>
        <w:tc>
          <w:tcPr>
            <w:tcW w:w="680" w:type="dxa"/>
            <w:vAlign w:val="bottom"/>
            <w:gridSpan w:val="2"/>
          </w:tcPr>
          <w:p>
            <w:pPr>
              <w:spacing w:after="0"/>
              <w:rPr>
                <w:sz w:val="20"/>
                <w:szCs w:val="20"/>
                <w:color w:val="auto"/>
              </w:rPr>
            </w:pPr>
            <w:r>
              <w:rPr>
                <w:rFonts w:ascii="Arial" w:cs="Arial" w:eastAsia="Arial" w:hAnsi="Arial"/>
                <w:sz w:val="18"/>
                <w:szCs w:val="18"/>
                <w:color w:val="auto"/>
              </w:rPr>
              <w:t>10.13+</w:t>
            </w:r>
          </w:p>
        </w:tc>
        <w:tc>
          <w:tcPr>
            <w:tcW w:w="420" w:type="dxa"/>
            <w:vAlign w:val="bottom"/>
          </w:tcPr>
          <w:p>
            <w:pPr>
              <w:spacing w:after="0"/>
              <w:rPr>
                <w:sz w:val="24"/>
                <w:szCs w:val="24"/>
                <w:color w:val="auto"/>
              </w:rPr>
            </w:pPr>
          </w:p>
        </w:tc>
        <w:tc>
          <w:tcPr>
            <w:tcW w:w="9800" w:type="dxa"/>
            <w:vAlign w:val="bottom"/>
            <w:gridSpan w:val="14"/>
          </w:tcPr>
          <w:p>
            <w:pPr>
              <w:spacing w:after="0"/>
              <w:rPr>
                <w:rFonts w:ascii="Arial" w:cs="Arial" w:eastAsia="Arial" w:hAnsi="Arial"/>
                <w:sz w:val="18"/>
                <w:szCs w:val="18"/>
                <w:color w:val="0000EE"/>
              </w:rPr>
            </w:pPr>
            <w:hyperlink w:anchor="page548">
              <w:r>
                <w:rPr>
                  <w:rFonts w:ascii="Arial" w:cs="Arial" w:eastAsia="Arial" w:hAnsi="Arial"/>
                  <w:sz w:val="18"/>
                  <w:szCs w:val="18"/>
                  <w:color w:val="0000EE"/>
                </w:rPr>
                <w:t>Amended and Restated Change in Control and Severance Policy Participation Agreement, dated August 18, 2020, by and</w:t>
              </w:r>
            </w:hyperlink>
          </w:p>
        </w:tc>
      </w:tr>
      <w:tr>
        <w:trPr>
          <w:trHeight w:val="183"/>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70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548">
              <w:r>
                <w:rPr>
                  <w:rFonts w:ascii="Arial" w:cs="Arial" w:eastAsia="Arial" w:hAnsi="Arial"/>
                  <w:sz w:val="18"/>
                  <w:szCs w:val="18"/>
                  <w:color w:val="0000EE"/>
                </w:rPr>
                <w:t>between the Registrant and Leila Alland, M.D.</w:t>
              </w:r>
            </w:hyperlink>
          </w:p>
        </w:tc>
        <w:tc>
          <w:tcPr>
            <w:tcW w:w="100" w:type="dxa"/>
            <w:vAlign w:val="bottom"/>
          </w:tcPr>
          <w:p>
            <w:pPr>
              <w:spacing w:after="0"/>
              <w:rPr>
                <w:sz w:val="15"/>
                <w:szCs w:val="15"/>
                <w:color w:val="auto"/>
              </w:rPr>
            </w:pPr>
          </w:p>
        </w:tc>
      </w:tr>
      <w:tr>
        <w:trPr>
          <w:trHeight w:val="20"/>
        </w:trPr>
        <w:tc>
          <w:tcPr>
            <w:tcW w:w="6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60" w:type="dxa"/>
            <w:vAlign w:val="bottom"/>
            <w:gridSpan w:val="5"/>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500" w:type="dxa"/>
            <w:vAlign w:val="bottom"/>
            <w:gridSpan w:val="7"/>
          </w:tcPr>
          <w:p>
            <w:pPr>
              <w:spacing w:after="0" w:line="20" w:lineRule="exact"/>
              <w:rPr>
                <w:sz w:val="1"/>
                <w:szCs w:val="1"/>
                <w:color w:val="auto"/>
              </w:rPr>
            </w:pPr>
          </w:p>
        </w:tc>
      </w:tr>
      <w:tr>
        <w:trPr>
          <w:trHeight w:val="290"/>
        </w:trPr>
        <w:tc>
          <w:tcPr>
            <w:tcW w:w="680" w:type="dxa"/>
            <w:vAlign w:val="bottom"/>
            <w:gridSpan w:val="2"/>
          </w:tcPr>
          <w:p>
            <w:pPr>
              <w:spacing w:after="0"/>
              <w:rPr>
                <w:sz w:val="20"/>
                <w:szCs w:val="20"/>
                <w:color w:val="auto"/>
              </w:rPr>
            </w:pPr>
            <w:r>
              <w:rPr>
                <w:rFonts w:ascii="Arial" w:cs="Arial" w:eastAsia="Arial" w:hAnsi="Arial"/>
                <w:sz w:val="18"/>
                <w:szCs w:val="18"/>
                <w:color w:val="auto"/>
              </w:rPr>
              <w:t>10.14+</w:t>
            </w:r>
          </w:p>
        </w:tc>
        <w:tc>
          <w:tcPr>
            <w:tcW w:w="420" w:type="dxa"/>
            <w:vAlign w:val="bottom"/>
          </w:tcPr>
          <w:p>
            <w:pPr>
              <w:spacing w:after="0"/>
              <w:rPr>
                <w:sz w:val="24"/>
                <w:szCs w:val="24"/>
                <w:color w:val="auto"/>
              </w:rPr>
            </w:pPr>
          </w:p>
        </w:tc>
        <w:tc>
          <w:tcPr>
            <w:tcW w:w="9800" w:type="dxa"/>
            <w:vAlign w:val="bottom"/>
            <w:gridSpan w:val="14"/>
          </w:tcPr>
          <w:p>
            <w:pPr>
              <w:spacing w:after="0"/>
              <w:rPr>
                <w:rFonts w:ascii="Arial" w:cs="Arial" w:eastAsia="Arial" w:hAnsi="Arial"/>
                <w:sz w:val="18"/>
                <w:szCs w:val="18"/>
                <w:color w:val="0000EE"/>
              </w:rPr>
            </w:pPr>
            <w:hyperlink w:anchor="page551">
              <w:r>
                <w:rPr>
                  <w:rFonts w:ascii="Arial" w:cs="Arial" w:eastAsia="Arial" w:hAnsi="Arial"/>
                  <w:sz w:val="18"/>
                  <w:szCs w:val="18"/>
                  <w:color w:val="0000EE"/>
                </w:rPr>
                <w:t>Amended and Restated Change in Control and Severance Policy Participation Agreement, dated August 18, 2020, by and</w:t>
              </w:r>
            </w:hyperlink>
          </w:p>
        </w:tc>
      </w:tr>
      <w:tr>
        <w:trPr>
          <w:trHeight w:val="183"/>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70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551">
              <w:r>
                <w:rPr>
                  <w:rFonts w:ascii="Arial" w:cs="Arial" w:eastAsia="Arial" w:hAnsi="Arial"/>
                  <w:sz w:val="18"/>
                  <w:szCs w:val="18"/>
                  <w:color w:val="0000EE"/>
                </w:rPr>
                <w:t>between the Registrant and Deepika Jalota, Pharm.D.</w:t>
              </w:r>
            </w:hyperlink>
          </w:p>
        </w:tc>
        <w:tc>
          <w:tcPr>
            <w:tcW w:w="100" w:type="dxa"/>
            <w:vAlign w:val="bottom"/>
          </w:tcPr>
          <w:p>
            <w:pPr>
              <w:spacing w:after="0"/>
              <w:rPr>
                <w:sz w:val="15"/>
                <w:szCs w:val="15"/>
                <w:color w:val="auto"/>
              </w:rPr>
            </w:pPr>
          </w:p>
        </w:tc>
      </w:tr>
      <w:tr>
        <w:trPr>
          <w:trHeight w:val="20"/>
        </w:trPr>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020"/>
          </w:cols>
          <w:pgMar w:left="320" w:top="455" w:right="559" w:bottom="1440" w:gutter="0" w:footer="0" w:header="0"/>
        </w:sectPr>
      </w:pPr>
    </w:p>
    <w:bookmarkStart w:id="259" w:name="page260"/>
    <w:bookmarkEnd w:id="2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3"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4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5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7"/>
        </w:trPr>
        <w:tc>
          <w:tcPr>
            <w:tcW w:w="12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4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c>
          <w:tcPr>
            <w:tcW w:w="4560" w:type="dxa"/>
            <w:vAlign w:val="bottom"/>
            <w:gridSpan w:val="2"/>
          </w:tcPr>
          <w:p>
            <w:pPr>
              <w:spacing w:after="0"/>
              <w:rPr>
                <w:sz w:val="15"/>
                <w:szCs w:val="15"/>
                <w:color w:val="auto"/>
              </w:rPr>
            </w:pPr>
          </w:p>
        </w:tc>
      </w:tr>
      <w:tr>
        <w:trPr>
          <w:trHeight w:val="322"/>
        </w:trPr>
        <w:tc>
          <w:tcPr>
            <w:tcW w:w="680" w:type="dxa"/>
            <w:vAlign w:val="bottom"/>
            <w:gridSpan w:val="2"/>
          </w:tcPr>
          <w:p>
            <w:pPr>
              <w:spacing w:after="0"/>
              <w:rPr>
                <w:sz w:val="20"/>
                <w:szCs w:val="20"/>
                <w:color w:val="auto"/>
              </w:rPr>
            </w:pPr>
            <w:r>
              <w:rPr>
                <w:rFonts w:ascii="Arial" w:cs="Arial" w:eastAsia="Arial" w:hAnsi="Arial"/>
                <w:sz w:val="18"/>
                <w:szCs w:val="18"/>
                <w:color w:val="auto"/>
              </w:rPr>
              <w:t>10.15+</w:t>
            </w:r>
          </w:p>
        </w:tc>
        <w:tc>
          <w:tcPr>
            <w:tcW w:w="420" w:type="dxa"/>
            <w:vAlign w:val="bottom"/>
          </w:tcPr>
          <w:p>
            <w:pPr>
              <w:spacing w:after="0"/>
              <w:rPr>
                <w:sz w:val="24"/>
                <w:szCs w:val="24"/>
                <w:color w:val="auto"/>
              </w:rPr>
            </w:pPr>
          </w:p>
        </w:tc>
        <w:tc>
          <w:tcPr>
            <w:tcW w:w="9920" w:type="dxa"/>
            <w:vAlign w:val="bottom"/>
            <w:gridSpan w:val="5"/>
          </w:tcPr>
          <w:p>
            <w:pPr>
              <w:spacing w:after="0"/>
              <w:rPr>
                <w:rFonts w:ascii="Arial" w:cs="Arial" w:eastAsia="Arial" w:hAnsi="Arial"/>
                <w:sz w:val="18"/>
                <w:szCs w:val="18"/>
                <w:u w:val="single" w:color="auto"/>
                <w:color w:val="0000EE"/>
              </w:rPr>
            </w:pPr>
            <w:hyperlink w:anchor="page554">
              <w:r>
                <w:rPr>
                  <w:rFonts w:ascii="Arial" w:cs="Arial" w:eastAsia="Arial" w:hAnsi="Arial"/>
                  <w:sz w:val="18"/>
                  <w:szCs w:val="18"/>
                  <w:u w:val="single" w:color="auto"/>
                  <w:color w:val="0000EE"/>
                </w:rPr>
                <w:t>Outside Director Compensation Policy.</w:t>
              </w:r>
            </w:hyperlink>
          </w:p>
        </w:tc>
      </w:tr>
      <w:tr>
        <w:trPr>
          <w:trHeight w:val="311"/>
        </w:trPr>
        <w:tc>
          <w:tcPr>
            <w:tcW w:w="680" w:type="dxa"/>
            <w:vAlign w:val="bottom"/>
            <w:gridSpan w:val="2"/>
          </w:tcPr>
          <w:p>
            <w:pPr>
              <w:spacing w:after="0"/>
              <w:rPr>
                <w:sz w:val="20"/>
                <w:szCs w:val="20"/>
                <w:color w:val="auto"/>
              </w:rPr>
            </w:pPr>
            <w:r>
              <w:rPr>
                <w:rFonts w:ascii="Arial" w:cs="Arial" w:eastAsia="Arial" w:hAnsi="Arial"/>
                <w:sz w:val="18"/>
                <w:szCs w:val="18"/>
                <w:color w:val="auto"/>
              </w:rPr>
              <w:t>10.16</w:t>
            </w:r>
          </w:p>
        </w:tc>
        <w:tc>
          <w:tcPr>
            <w:tcW w:w="420" w:type="dxa"/>
            <w:vAlign w:val="bottom"/>
          </w:tcPr>
          <w:p>
            <w:pPr>
              <w:spacing w:after="0"/>
              <w:rPr>
                <w:sz w:val="24"/>
                <w:szCs w:val="24"/>
                <w:color w:val="auto"/>
              </w:rPr>
            </w:pPr>
          </w:p>
        </w:tc>
        <w:tc>
          <w:tcPr>
            <w:tcW w:w="9920" w:type="dxa"/>
            <w:vAlign w:val="bottom"/>
            <w:gridSpan w:val="5"/>
          </w:tcPr>
          <w:p>
            <w:pPr>
              <w:spacing w:after="0"/>
              <w:rPr>
                <w:rFonts w:ascii="Arial" w:cs="Arial" w:eastAsia="Arial" w:hAnsi="Arial"/>
                <w:sz w:val="18"/>
                <w:szCs w:val="18"/>
                <w:u w:val="single" w:color="auto"/>
                <w:color w:val="0000EE"/>
              </w:rPr>
            </w:pPr>
            <w:hyperlink w:anchor="page557">
              <w:r>
                <w:rPr>
                  <w:rFonts w:ascii="Arial" w:cs="Arial" w:eastAsia="Arial" w:hAnsi="Arial"/>
                  <w:sz w:val="18"/>
                  <w:szCs w:val="18"/>
                  <w:u w:val="single" w:color="auto"/>
                  <w:color w:val="0000EE"/>
                </w:rPr>
                <w:t>Consulting Agreement, dated January 1, 2016, by and between the Registrant and Arnold Levine, Ph.D.</w:t>
              </w:r>
            </w:hyperlink>
          </w:p>
        </w:tc>
      </w:tr>
      <w:tr>
        <w:trPr>
          <w:trHeight w:val="310"/>
        </w:trPr>
        <w:tc>
          <w:tcPr>
            <w:tcW w:w="680" w:type="dxa"/>
            <w:vAlign w:val="bottom"/>
            <w:gridSpan w:val="2"/>
          </w:tcPr>
          <w:p>
            <w:pPr>
              <w:spacing w:after="0"/>
              <w:rPr>
                <w:sz w:val="20"/>
                <w:szCs w:val="20"/>
                <w:color w:val="auto"/>
              </w:rPr>
            </w:pPr>
            <w:r>
              <w:rPr>
                <w:rFonts w:ascii="Arial" w:cs="Arial" w:eastAsia="Arial" w:hAnsi="Arial"/>
                <w:sz w:val="18"/>
                <w:szCs w:val="18"/>
                <w:color w:val="auto"/>
              </w:rPr>
              <w:t>10.17</w:t>
            </w:r>
          </w:p>
        </w:tc>
        <w:tc>
          <w:tcPr>
            <w:tcW w:w="420" w:type="dxa"/>
            <w:vAlign w:val="bottom"/>
          </w:tcPr>
          <w:p>
            <w:pPr>
              <w:spacing w:after="0"/>
              <w:rPr>
                <w:sz w:val="24"/>
                <w:szCs w:val="24"/>
                <w:color w:val="auto"/>
              </w:rPr>
            </w:pPr>
          </w:p>
        </w:tc>
        <w:tc>
          <w:tcPr>
            <w:tcW w:w="9920" w:type="dxa"/>
            <w:vAlign w:val="bottom"/>
            <w:gridSpan w:val="5"/>
          </w:tcPr>
          <w:p>
            <w:pPr>
              <w:spacing w:after="0"/>
              <w:rPr>
                <w:rFonts w:ascii="Arial" w:cs="Arial" w:eastAsia="Arial" w:hAnsi="Arial"/>
                <w:sz w:val="18"/>
                <w:szCs w:val="18"/>
                <w:color w:val="0000EE"/>
              </w:rPr>
            </w:pPr>
            <w:hyperlink w:anchor="page565">
              <w:r>
                <w:rPr>
                  <w:rFonts w:ascii="Arial" w:cs="Arial" w:eastAsia="Arial" w:hAnsi="Arial"/>
                  <w:sz w:val="18"/>
                  <w:szCs w:val="18"/>
                  <w:u w:val="single" w:color="auto"/>
                  <w:color w:val="0000EE"/>
                </w:rPr>
                <w:t>Consulting Agreement, dated July 14, 2017, by and between the Registrant and Richard Heyman, Ph.D</w:t>
              </w:r>
              <w:r>
                <w:rPr>
                  <w:rFonts w:ascii="Arial" w:cs="Arial" w:eastAsia="Arial" w:hAnsi="Arial"/>
                  <w:sz w:val="18"/>
                  <w:szCs w:val="18"/>
                  <w:color w:val="0000EE"/>
                </w:rPr>
                <w:t>.</w:t>
              </w:r>
            </w:hyperlink>
          </w:p>
        </w:tc>
      </w:tr>
      <w:tr>
        <w:trPr>
          <w:trHeight w:val="266"/>
        </w:trPr>
        <w:tc>
          <w:tcPr>
            <w:tcW w:w="680" w:type="dxa"/>
            <w:vAlign w:val="bottom"/>
            <w:gridSpan w:val="2"/>
          </w:tcPr>
          <w:p>
            <w:pPr>
              <w:spacing w:after="0"/>
              <w:rPr>
                <w:sz w:val="20"/>
                <w:szCs w:val="20"/>
                <w:color w:val="auto"/>
              </w:rPr>
            </w:pPr>
            <w:r>
              <w:rPr>
                <w:rFonts w:ascii="Arial" w:cs="Arial" w:eastAsia="Arial" w:hAnsi="Arial"/>
                <w:sz w:val="18"/>
                <w:szCs w:val="18"/>
                <w:color w:val="auto"/>
              </w:rPr>
              <w:t>10.18</w:t>
            </w:r>
          </w:p>
        </w:tc>
        <w:tc>
          <w:tcPr>
            <w:tcW w:w="420" w:type="dxa"/>
            <w:vAlign w:val="bottom"/>
          </w:tcPr>
          <w:p>
            <w:pPr>
              <w:spacing w:after="0"/>
              <w:rPr>
                <w:sz w:val="23"/>
                <w:szCs w:val="23"/>
                <w:color w:val="auto"/>
              </w:rPr>
            </w:pPr>
          </w:p>
        </w:tc>
        <w:tc>
          <w:tcPr>
            <w:tcW w:w="9920" w:type="dxa"/>
            <w:vAlign w:val="bottom"/>
            <w:gridSpan w:val="5"/>
          </w:tcPr>
          <w:p>
            <w:pPr>
              <w:spacing w:after="0"/>
              <w:rPr>
                <w:rFonts w:ascii="Arial" w:cs="Arial" w:eastAsia="Arial" w:hAnsi="Arial"/>
                <w:sz w:val="18"/>
                <w:szCs w:val="18"/>
                <w:color w:val="0000EE"/>
                <w:w w:val="99"/>
              </w:rPr>
            </w:pPr>
            <w:hyperlink w:anchor="page573">
              <w:r>
                <w:rPr>
                  <w:rFonts w:ascii="Arial" w:cs="Arial" w:eastAsia="Arial" w:hAnsi="Arial"/>
                  <w:sz w:val="18"/>
                  <w:szCs w:val="18"/>
                  <w:color w:val="0000EE"/>
                  <w:w w:val="99"/>
                </w:rPr>
                <w:t>Lease Agreement, dated March 3, 2015, by and between the Registrant and Cedar Brook 2005, LP, as amended by the First</w:t>
              </w:r>
            </w:hyperlink>
          </w:p>
        </w:tc>
      </w:tr>
      <w:tr>
        <w:trPr>
          <w:trHeight w:val="183"/>
        </w:trPr>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900" w:type="dxa"/>
            <w:vAlign w:val="bottom"/>
            <w:tcBorders>
              <w:top w:val="single" w:sz="8" w:color="0000EE"/>
            </w:tcBorders>
            <w:gridSpan w:val="4"/>
          </w:tcPr>
          <w:p>
            <w:pPr>
              <w:spacing w:after="0" w:line="182" w:lineRule="exact"/>
              <w:rPr>
                <w:rFonts w:ascii="Arial" w:cs="Arial" w:eastAsia="Arial" w:hAnsi="Arial"/>
                <w:sz w:val="18"/>
                <w:szCs w:val="18"/>
                <w:color w:val="0000EE"/>
              </w:rPr>
            </w:pPr>
            <w:hyperlink w:anchor="page573">
              <w:r>
                <w:rPr>
                  <w:rFonts w:ascii="Arial" w:cs="Arial" w:eastAsia="Arial" w:hAnsi="Arial"/>
                  <w:sz w:val="18"/>
                  <w:szCs w:val="18"/>
                  <w:color w:val="0000EE"/>
                </w:rPr>
                <w:t>Amendment to Lease dated April 24, 2017.</w:t>
              </w:r>
            </w:hyperlink>
          </w:p>
        </w:tc>
        <w:tc>
          <w:tcPr>
            <w:tcW w:w="20" w:type="dxa"/>
            <w:vAlign w:val="bottom"/>
          </w:tcPr>
          <w:p>
            <w:pPr>
              <w:spacing w:after="0"/>
              <w:rPr>
                <w:sz w:val="15"/>
                <w:szCs w:val="15"/>
                <w:color w:val="auto"/>
              </w:rPr>
            </w:pPr>
          </w:p>
        </w:tc>
      </w:tr>
      <w:tr>
        <w:trPr>
          <w:trHeight w:val="20"/>
        </w:trPr>
        <w:tc>
          <w:tcPr>
            <w:tcW w:w="6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20" w:type="dxa"/>
            <w:vAlign w:val="bottom"/>
            <w:shd w:val="clear" w:color="auto" w:fill="0000EE"/>
          </w:tcPr>
          <w:p>
            <w:pPr>
              <w:spacing w:after="0" w:line="20" w:lineRule="exact"/>
              <w:rPr>
                <w:sz w:val="1"/>
                <w:szCs w:val="1"/>
                <w:color w:val="auto"/>
              </w:rPr>
            </w:pPr>
          </w:p>
        </w:tc>
        <w:tc>
          <w:tcPr>
            <w:tcW w:w="6500" w:type="dxa"/>
            <w:vAlign w:val="bottom"/>
            <w:gridSpan w:val="4"/>
          </w:tcPr>
          <w:p>
            <w:pPr>
              <w:spacing w:after="0" w:line="20" w:lineRule="exact"/>
              <w:rPr>
                <w:sz w:val="1"/>
                <w:szCs w:val="1"/>
                <w:color w:val="auto"/>
              </w:rPr>
            </w:pPr>
          </w:p>
        </w:tc>
      </w:tr>
      <w:tr>
        <w:trPr>
          <w:trHeight w:val="335"/>
        </w:trPr>
        <w:tc>
          <w:tcPr>
            <w:tcW w:w="680" w:type="dxa"/>
            <w:vAlign w:val="bottom"/>
            <w:gridSpan w:val="2"/>
          </w:tcPr>
          <w:p>
            <w:pPr>
              <w:spacing w:after="0"/>
              <w:rPr>
                <w:sz w:val="20"/>
                <w:szCs w:val="20"/>
                <w:color w:val="auto"/>
              </w:rPr>
            </w:pPr>
            <w:r>
              <w:rPr>
                <w:rFonts w:ascii="Arial" w:cs="Arial" w:eastAsia="Arial" w:hAnsi="Arial"/>
                <w:sz w:val="18"/>
                <w:szCs w:val="18"/>
                <w:color w:val="auto"/>
              </w:rPr>
              <w:t>23.1</w:t>
            </w:r>
          </w:p>
        </w:tc>
        <w:tc>
          <w:tcPr>
            <w:tcW w:w="420" w:type="dxa"/>
            <w:vAlign w:val="bottom"/>
          </w:tcPr>
          <w:p>
            <w:pPr>
              <w:spacing w:after="0"/>
              <w:rPr>
                <w:sz w:val="24"/>
                <w:szCs w:val="24"/>
                <w:color w:val="auto"/>
              </w:rPr>
            </w:pPr>
          </w:p>
        </w:tc>
        <w:tc>
          <w:tcPr>
            <w:tcW w:w="9920" w:type="dxa"/>
            <w:vAlign w:val="bottom"/>
            <w:gridSpan w:val="5"/>
          </w:tcPr>
          <w:p>
            <w:pPr>
              <w:spacing w:after="0"/>
              <w:rPr>
                <w:rFonts w:ascii="Arial" w:cs="Arial" w:eastAsia="Arial" w:hAnsi="Arial"/>
                <w:sz w:val="18"/>
                <w:szCs w:val="18"/>
                <w:u w:val="single" w:color="auto"/>
                <w:color w:val="0000EE"/>
              </w:rPr>
            </w:pPr>
            <w:hyperlink w:anchor="page608">
              <w:r>
                <w:rPr>
                  <w:rFonts w:ascii="Arial" w:cs="Arial" w:eastAsia="Arial" w:hAnsi="Arial"/>
                  <w:sz w:val="18"/>
                  <w:szCs w:val="18"/>
                  <w:u w:val="single" w:color="auto"/>
                  <w:color w:val="0000EE"/>
                </w:rPr>
                <w:t>Consent of Independent Registered Public Accounting Firm.</w:t>
              </w:r>
            </w:hyperlink>
          </w:p>
        </w:tc>
      </w:tr>
      <w:tr>
        <w:trPr>
          <w:trHeight w:val="311"/>
        </w:trPr>
        <w:tc>
          <w:tcPr>
            <w:tcW w:w="680" w:type="dxa"/>
            <w:vAlign w:val="bottom"/>
            <w:gridSpan w:val="2"/>
          </w:tcPr>
          <w:p>
            <w:pPr>
              <w:spacing w:after="0"/>
              <w:rPr>
                <w:sz w:val="20"/>
                <w:szCs w:val="20"/>
                <w:color w:val="auto"/>
              </w:rPr>
            </w:pPr>
            <w:r>
              <w:rPr>
                <w:rFonts w:ascii="Arial" w:cs="Arial" w:eastAsia="Arial" w:hAnsi="Arial"/>
                <w:sz w:val="18"/>
                <w:szCs w:val="18"/>
                <w:color w:val="auto"/>
              </w:rPr>
              <w:t>23.2*</w:t>
            </w:r>
          </w:p>
        </w:tc>
        <w:tc>
          <w:tcPr>
            <w:tcW w:w="420" w:type="dxa"/>
            <w:vAlign w:val="bottom"/>
          </w:tcPr>
          <w:p>
            <w:pPr>
              <w:spacing w:after="0"/>
              <w:rPr>
                <w:sz w:val="24"/>
                <w:szCs w:val="24"/>
                <w:color w:val="auto"/>
              </w:rPr>
            </w:pPr>
          </w:p>
        </w:tc>
        <w:tc>
          <w:tcPr>
            <w:tcW w:w="9920" w:type="dxa"/>
            <w:vAlign w:val="bottom"/>
            <w:gridSpan w:val="5"/>
          </w:tcPr>
          <w:p>
            <w:pPr>
              <w:spacing w:after="0"/>
              <w:rPr>
                <w:sz w:val="20"/>
                <w:szCs w:val="20"/>
                <w:color w:val="auto"/>
              </w:rPr>
            </w:pPr>
            <w:r>
              <w:rPr>
                <w:rFonts w:ascii="Arial" w:cs="Arial" w:eastAsia="Arial" w:hAnsi="Arial"/>
                <w:sz w:val="18"/>
                <w:szCs w:val="18"/>
                <w:color w:val="auto"/>
              </w:rPr>
              <w:t>Consent of Wilson Sonsini Goodrich &amp; Rosati, Professional Corporation (included in Exhibit 5.1).</w:t>
            </w:r>
          </w:p>
        </w:tc>
      </w:tr>
      <w:tr>
        <w:trPr>
          <w:trHeight w:val="310"/>
        </w:trPr>
        <w:tc>
          <w:tcPr>
            <w:tcW w:w="680" w:type="dxa"/>
            <w:vAlign w:val="bottom"/>
            <w:gridSpan w:val="2"/>
          </w:tcPr>
          <w:p>
            <w:pPr>
              <w:spacing w:after="0"/>
              <w:rPr>
                <w:sz w:val="20"/>
                <w:szCs w:val="20"/>
                <w:color w:val="auto"/>
              </w:rPr>
            </w:pPr>
            <w:r>
              <w:rPr>
                <w:rFonts w:ascii="Arial" w:cs="Arial" w:eastAsia="Arial" w:hAnsi="Arial"/>
                <w:sz w:val="18"/>
                <w:szCs w:val="18"/>
                <w:color w:val="auto"/>
              </w:rPr>
              <w:t>24.1</w:t>
            </w:r>
          </w:p>
        </w:tc>
        <w:tc>
          <w:tcPr>
            <w:tcW w:w="420" w:type="dxa"/>
            <w:vAlign w:val="bottom"/>
          </w:tcPr>
          <w:p>
            <w:pPr>
              <w:spacing w:after="0"/>
              <w:rPr>
                <w:sz w:val="24"/>
                <w:szCs w:val="24"/>
                <w:color w:val="auto"/>
              </w:rPr>
            </w:pPr>
          </w:p>
        </w:tc>
        <w:tc>
          <w:tcPr>
            <w:tcW w:w="9920" w:type="dxa"/>
            <w:vAlign w:val="bottom"/>
            <w:gridSpan w:val="5"/>
          </w:tcPr>
          <w:p>
            <w:pPr>
              <w:spacing w:after="0"/>
              <w:rPr>
                <w:rFonts w:ascii="Arial" w:cs="Arial" w:eastAsia="Arial" w:hAnsi="Arial"/>
                <w:sz w:val="18"/>
                <w:szCs w:val="18"/>
                <w:u w:val="single" w:color="auto"/>
                <w:color w:val="0000EE"/>
              </w:rPr>
            </w:pPr>
            <w:hyperlink w:anchor="page261">
              <w:r>
                <w:rPr>
                  <w:rFonts w:ascii="Arial" w:cs="Arial" w:eastAsia="Arial" w:hAnsi="Arial"/>
                  <w:sz w:val="18"/>
                  <w:szCs w:val="18"/>
                  <w:u w:val="single" w:color="auto"/>
                  <w:color w:val="0000EE"/>
                </w:rPr>
                <w:t>Power of Attorney (see page II-7 to this Form S-1).</w:t>
              </w:r>
            </w:hyperlink>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77152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9" w:lineRule="exact"/>
        <w:rPr>
          <w:sz w:val="20"/>
          <w:szCs w:val="20"/>
          <w:color w:val="auto"/>
        </w:rPr>
      </w:pPr>
    </w:p>
    <w:p>
      <w:pPr>
        <w:ind w:left="660" w:hanging="544"/>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Indicated management contract or compensatory plan.</w:t>
      </w:r>
    </w:p>
    <w:p>
      <w:pPr>
        <w:spacing w:after="0" w:line="17"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7"/>
          <w:szCs w:val="17"/>
          <w:color w:val="auto"/>
        </w:rPr>
        <w:t>To be filed by amendment.</w:t>
      </w:r>
    </w:p>
    <w:p>
      <w:pPr>
        <w:spacing w:after="0" w:line="36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1120"/>
          </w:cols>
          <w:pgMar w:left="320" w:top="455" w:right="459" w:bottom="1440" w:gutter="0" w:footer="0" w:header="0"/>
        </w:sectPr>
      </w:pPr>
    </w:p>
    <w:bookmarkStart w:id="260" w:name="page261"/>
    <w:bookmarkEnd w:id="2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14" w:lineRule="exact"/>
        <w:rPr>
          <w:sz w:val="20"/>
          <w:szCs w:val="20"/>
          <w:color w:val="auto"/>
        </w:rPr>
      </w:pPr>
    </w:p>
    <w:p>
      <w:pPr>
        <w:ind w:left="120" w:right="80" w:firstLine="551"/>
        <w:spacing w:after="0" w:line="306" w:lineRule="auto"/>
        <w:rPr>
          <w:sz w:val="20"/>
          <w:szCs w:val="20"/>
          <w:color w:val="auto"/>
        </w:rPr>
      </w:pPr>
      <w:r>
        <w:rPr>
          <w:rFonts w:ascii="Arial" w:cs="Arial" w:eastAsia="Arial" w:hAnsi="Arial"/>
          <w:sz w:val="17"/>
          <w:szCs w:val="17"/>
          <w:color w:val="auto"/>
        </w:rPr>
        <w:t>Pursuant to the requirements of the Securities Act of 1933, as amended, the registrant has duly caused this registration statement to be signed on its behalf by the undersigned, thereunto duly authorized, in the City of Cranbury, New Jersey, on September 4, 2020.</w:t>
      </w:r>
    </w:p>
    <w:p>
      <w:pPr>
        <w:spacing w:after="0" w:line="14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PMV PHARMACEUTICALS, INC.</w:t>
      </w:r>
    </w:p>
    <w:p>
      <w:pPr>
        <w:spacing w:after="0" w:line="21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11430</wp:posOffset>
            </wp:positionV>
            <wp:extent cx="256286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David H. Mack, Ph.D.</w:t>
      </w:r>
    </w:p>
    <w:p>
      <w:pPr>
        <w:spacing w:after="0" w:line="4" w:lineRule="exact"/>
        <w:rPr>
          <w:sz w:val="20"/>
          <w:szCs w:val="20"/>
          <w:color w:val="auto"/>
        </w:rPr>
      </w:pPr>
    </w:p>
    <w:p>
      <w:pPr>
        <w:ind w:left="71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20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POWER OF ATTORNEY</w:t>
      </w:r>
    </w:p>
    <w:p>
      <w:pPr>
        <w:spacing w:after="0" w:line="214" w:lineRule="exact"/>
        <w:rPr>
          <w:sz w:val="20"/>
          <w:szCs w:val="20"/>
          <w:color w:val="auto"/>
        </w:rPr>
      </w:pPr>
    </w:p>
    <w:p>
      <w:pPr>
        <w:ind w:left="120" w:firstLine="551"/>
        <w:spacing w:after="0" w:line="239"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David H. Mack, Ph.D. and Winston Kung as his or her true and lawful attorneys-in-fact and agents, each with the full power of substitution, for him or her and in his or her name, place and stead, in any and all capacities (including his or her capacity as a director and/or officer of registrant) to sign any or all amendments (including post-effective amendments) to this registration statement and any and all additional registration statements pursuant to Rule 462(b) of the Securities Act of 1933, as amended, and to file the same, with all exhibits thereto, and all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they, he or she might or could do in person, hereby ratifying and confirming all that said attorney-in-fact and agents or any of them, or their, his or her substitute or substitutes, may lawfully do or cause to be done by virtue hereof.</w:t>
      </w:r>
    </w:p>
    <w:p>
      <w:pPr>
        <w:spacing w:after="0" w:line="180" w:lineRule="exact"/>
        <w:rPr>
          <w:sz w:val="20"/>
          <w:szCs w:val="20"/>
          <w:color w:val="auto"/>
        </w:rPr>
      </w:pPr>
    </w:p>
    <w:p>
      <w:pPr>
        <w:ind w:left="120" w:right="620" w:firstLine="551"/>
        <w:spacing w:after="0" w:line="276"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80" w:lineRule="exact"/>
        <w:rPr>
          <w:sz w:val="20"/>
          <w:szCs w:val="20"/>
          <w:color w:val="auto"/>
        </w:rPr>
      </w:pPr>
    </w:p>
    <w:tbl>
      <w:tblPr>
        <w:tblLayout w:type="fixed"/>
        <w:tblInd w:w="120" w:type="dxa"/>
        <w:tblCellMar>
          <w:top w:w="0" w:type="dxa"/>
          <w:left w:w="0" w:type="dxa"/>
          <w:bottom w:w="0" w:type="dxa"/>
          <w:right w:w="0" w:type="dxa"/>
        </w:tblCellMar>
      </w:tblPr>
      <w:tr>
        <w:trPr>
          <w:trHeight w:val="177"/>
        </w:trPr>
        <w:tc>
          <w:tcPr>
            <w:tcW w:w="17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rPr>
              <w:t>Signature</w:t>
            </w:r>
          </w:p>
        </w:tc>
        <w:tc>
          <w:tcPr>
            <w:tcW w:w="170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30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2140" w:type="dxa"/>
            <w:vAlign w:val="bottom"/>
          </w:tcPr>
          <w:p>
            <w:pPr>
              <w:spacing w:after="0"/>
              <w:rPr>
                <w:sz w:val="15"/>
                <w:szCs w:val="15"/>
                <w:color w:val="auto"/>
              </w:rPr>
            </w:pPr>
          </w:p>
        </w:tc>
        <w:tc>
          <w:tcPr>
            <w:tcW w:w="1940" w:type="dxa"/>
            <w:vAlign w:val="bottom"/>
            <w:gridSpan w:val="3"/>
          </w:tcPr>
          <w:p>
            <w:pPr>
              <w:jc w:val="center"/>
              <w:ind w:left="292"/>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8"/>
        </w:trPr>
        <w:tc>
          <w:tcPr>
            <w:tcW w:w="4080" w:type="dxa"/>
            <w:vAlign w:val="bottom"/>
            <w:gridSpan w:val="3"/>
          </w:tcPr>
          <w:p>
            <w:pPr>
              <w:jc w:val="center"/>
              <w:ind w:right="20"/>
              <w:spacing w:after="0"/>
              <w:rPr>
                <w:sz w:val="20"/>
                <w:szCs w:val="20"/>
                <w:color w:val="auto"/>
              </w:rPr>
            </w:pPr>
            <w:r>
              <w:rPr>
                <w:rFonts w:ascii="Arial" w:cs="Arial" w:eastAsia="Arial" w:hAnsi="Arial"/>
                <w:sz w:val="18"/>
                <w:szCs w:val="18"/>
                <w:color w:val="auto"/>
              </w:rPr>
              <w:t>/s/ David H. Mack</w:t>
            </w:r>
          </w:p>
        </w:tc>
        <w:tc>
          <w:tcPr>
            <w:tcW w:w="4720" w:type="dxa"/>
            <w:vAlign w:val="bottom"/>
            <w:gridSpan w:val="3"/>
          </w:tcPr>
          <w:p>
            <w:pPr>
              <w:jc w:val="center"/>
              <w:ind w:left="30"/>
              <w:spacing w:after="0"/>
              <w:rPr>
                <w:sz w:val="20"/>
                <w:szCs w:val="20"/>
                <w:color w:val="auto"/>
              </w:rPr>
            </w:pPr>
            <w:r>
              <w:rPr>
                <w:rFonts w:ascii="Arial" w:cs="Arial" w:eastAsia="Arial" w:hAnsi="Arial"/>
                <w:sz w:val="18"/>
                <w:szCs w:val="18"/>
                <w:color w:val="auto"/>
                <w:w w:val="99"/>
              </w:rPr>
              <w:t>President, Chief Executive Officer and Director</w:t>
            </w:r>
          </w:p>
        </w:tc>
        <w:tc>
          <w:tcPr>
            <w:tcW w:w="1940" w:type="dxa"/>
            <w:vAlign w:val="bottom"/>
            <w:gridSpan w:val="3"/>
          </w:tcPr>
          <w:p>
            <w:pPr>
              <w:jc w:val="center"/>
              <w:ind w:left="312"/>
              <w:spacing w:after="0"/>
              <w:rPr>
                <w:sz w:val="20"/>
                <w:szCs w:val="20"/>
                <w:color w:val="auto"/>
              </w:rPr>
            </w:pPr>
            <w:r>
              <w:rPr>
                <w:rFonts w:ascii="Arial" w:cs="Arial" w:eastAsia="Arial" w:hAnsi="Arial"/>
                <w:sz w:val="18"/>
                <w:szCs w:val="18"/>
                <w:color w:val="auto"/>
              </w:rPr>
              <w:t>September 4, 2020</w:t>
            </w:r>
          </w:p>
        </w:tc>
        <w:tc>
          <w:tcPr>
            <w:tcW w:w="0" w:type="dxa"/>
            <w:vAlign w:val="bottom"/>
          </w:tcPr>
          <w:p>
            <w:pPr>
              <w:spacing w:after="0"/>
              <w:rPr>
                <w:sz w:val="1"/>
                <w:szCs w:val="1"/>
                <w:color w:val="auto"/>
              </w:rPr>
            </w:pPr>
          </w:p>
        </w:tc>
      </w:tr>
      <w:tr>
        <w:trPr>
          <w:trHeight w:val="23"/>
        </w:trPr>
        <w:tc>
          <w:tcPr>
            <w:tcW w:w="4080" w:type="dxa"/>
            <w:vAlign w:val="bottom"/>
            <w:tcBorders>
              <w:bottom w:val="single" w:sz="8" w:color="auto"/>
            </w:tcBorders>
            <w:gridSpan w:val="3"/>
          </w:tcPr>
          <w:p>
            <w:pPr>
              <w:spacing w:after="0" w:line="20" w:lineRule="exact"/>
              <w:rPr>
                <w:sz w:val="1"/>
                <w:szCs w:val="1"/>
                <w:color w:val="auto"/>
              </w:rPr>
            </w:pPr>
          </w:p>
        </w:tc>
        <w:tc>
          <w:tcPr>
            <w:tcW w:w="4720" w:type="dxa"/>
            <w:vAlign w:val="bottom"/>
            <w:gridSpan w:val="3"/>
            <w:vMerge w:val="restart"/>
          </w:tcPr>
          <w:p>
            <w:pPr>
              <w:jc w:val="center"/>
              <w:ind w:left="50"/>
              <w:spacing w:after="0"/>
              <w:rPr>
                <w:sz w:val="20"/>
                <w:szCs w:val="20"/>
                <w:color w:val="auto"/>
              </w:rPr>
            </w:pPr>
            <w:r>
              <w:rPr>
                <w:rFonts w:ascii="Arial" w:cs="Arial" w:eastAsia="Arial" w:hAnsi="Arial"/>
                <w:sz w:val="18"/>
                <w:szCs w:val="18"/>
                <w:color w:val="auto"/>
                <w:w w:val="99"/>
              </w:rPr>
              <w:t>(Principal Executive Officer)</w:t>
            </w: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4080" w:type="dxa"/>
            <w:vAlign w:val="bottom"/>
            <w:gridSpan w:val="3"/>
          </w:tcPr>
          <w:p>
            <w:pPr>
              <w:jc w:val="center"/>
              <w:spacing w:after="0"/>
              <w:rPr>
                <w:sz w:val="20"/>
                <w:szCs w:val="20"/>
                <w:color w:val="auto"/>
              </w:rPr>
            </w:pPr>
            <w:r>
              <w:rPr>
                <w:rFonts w:ascii="Arial" w:cs="Arial" w:eastAsia="Arial" w:hAnsi="Arial"/>
                <w:sz w:val="18"/>
                <w:szCs w:val="18"/>
                <w:color w:val="auto"/>
                <w:w w:val="99"/>
              </w:rPr>
              <w:t>David H. Mack, Ph.D.</w:t>
            </w:r>
          </w:p>
        </w:tc>
        <w:tc>
          <w:tcPr>
            <w:tcW w:w="4720" w:type="dxa"/>
            <w:vAlign w:val="bottom"/>
            <w:gridSpan w:val="3"/>
            <w:vMerge w:val="continue"/>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4080" w:type="dxa"/>
            <w:vAlign w:val="bottom"/>
            <w:gridSpan w:val="3"/>
          </w:tcPr>
          <w:p>
            <w:pPr>
              <w:jc w:val="center"/>
              <w:spacing w:after="0"/>
              <w:rPr>
                <w:sz w:val="20"/>
                <w:szCs w:val="20"/>
                <w:color w:val="auto"/>
              </w:rPr>
            </w:pPr>
            <w:r>
              <w:rPr>
                <w:rFonts w:ascii="Arial" w:cs="Arial" w:eastAsia="Arial" w:hAnsi="Arial"/>
                <w:sz w:val="18"/>
                <w:szCs w:val="18"/>
                <w:color w:val="auto"/>
                <w:w w:val="99"/>
              </w:rPr>
              <w:t>/s/ Winston Kung</w:t>
            </w:r>
          </w:p>
        </w:tc>
        <w:tc>
          <w:tcPr>
            <w:tcW w:w="4720" w:type="dxa"/>
            <w:vAlign w:val="bottom"/>
            <w:gridSpan w:val="3"/>
          </w:tcPr>
          <w:p>
            <w:pPr>
              <w:jc w:val="center"/>
              <w:ind w:left="30"/>
              <w:spacing w:after="0"/>
              <w:rPr>
                <w:sz w:val="20"/>
                <w:szCs w:val="20"/>
                <w:color w:val="auto"/>
              </w:rPr>
            </w:pPr>
            <w:r>
              <w:rPr>
                <w:rFonts w:ascii="Arial" w:cs="Arial" w:eastAsia="Arial" w:hAnsi="Arial"/>
                <w:sz w:val="18"/>
                <w:szCs w:val="18"/>
                <w:color w:val="auto"/>
                <w:w w:val="99"/>
              </w:rPr>
              <w:t>Chief Operating Officer</w:t>
            </w:r>
          </w:p>
        </w:tc>
        <w:tc>
          <w:tcPr>
            <w:tcW w:w="1940" w:type="dxa"/>
            <w:vAlign w:val="bottom"/>
            <w:gridSpan w:val="3"/>
          </w:tcPr>
          <w:p>
            <w:pPr>
              <w:jc w:val="center"/>
              <w:ind w:left="312"/>
              <w:spacing w:after="0"/>
              <w:rPr>
                <w:sz w:val="20"/>
                <w:szCs w:val="20"/>
                <w:color w:val="auto"/>
              </w:rPr>
            </w:pPr>
            <w:r>
              <w:rPr>
                <w:rFonts w:ascii="Arial" w:cs="Arial" w:eastAsia="Arial" w:hAnsi="Arial"/>
                <w:sz w:val="18"/>
                <w:szCs w:val="18"/>
                <w:color w:val="auto"/>
              </w:rPr>
              <w:t>September 4, 2020</w:t>
            </w:r>
          </w:p>
        </w:tc>
        <w:tc>
          <w:tcPr>
            <w:tcW w:w="0" w:type="dxa"/>
            <w:vAlign w:val="bottom"/>
          </w:tcPr>
          <w:p>
            <w:pPr>
              <w:spacing w:after="0"/>
              <w:rPr>
                <w:sz w:val="1"/>
                <w:szCs w:val="1"/>
                <w:color w:val="auto"/>
              </w:rPr>
            </w:pPr>
          </w:p>
        </w:tc>
      </w:tr>
      <w:tr>
        <w:trPr>
          <w:trHeight w:val="23"/>
        </w:trPr>
        <w:tc>
          <w:tcPr>
            <w:tcW w:w="4080" w:type="dxa"/>
            <w:vAlign w:val="bottom"/>
            <w:tcBorders>
              <w:bottom w:val="single" w:sz="8" w:color="auto"/>
            </w:tcBorders>
            <w:gridSpan w:val="3"/>
          </w:tcPr>
          <w:p>
            <w:pPr>
              <w:spacing w:after="0" w:line="20" w:lineRule="exact"/>
              <w:rPr>
                <w:sz w:val="1"/>
                <w:szCs w:val="1"/>
                <w:color w:val="auto"/>
              </w:rPr>
            </w:pPr>
          </w:p>
        </w:tc>
        <w:tc>
          <w:tcPr>
            <w:tcW w:w="4720" w:type="dxa"/>
            <w:vAlign w:val="bottom"/>
            <w:gridSpan w:val="3"/>
            <w:vMerge w:val="restart"/>
          </w:tcPr>
          <w:p>
            <w:pPr>
              <w:jc w:val="center"/>
              <w:ind w:left="30"/>
              <w:spacing w:after="0" w:line="202" w:lineRule="exact"/>
              <w:rPr>
                <w:sz w:val="20"/>
                <w:szCs w:val="20"/>
                <w:color w:val="auto"/>
              </w:rPr>
            </w:pPr>
            <w:r>
              <w:rPr>
                <w:rFonts w:ascii="Arial" w:cs="Arial" w:eastAsia="Arial" w:hAnsi="Arial"/>
                <w:sz w:val="18"/>
                <w:szCs w:val="18"/>
                <w:color w:val="auto"/>
                <w:w w:val="99"/>
              </w:rPr>
              <w:t>and Chief Financial Officer</w:t>
            </w: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4080" w:type="dxa"/>
            <w:vAlign w:val="bottom"/>
            <w:gridSpan w:val="3"/>
          </w:tcPr>
          <w:p>
            <w:pPr>
              <w:jc w:val="center"/>
              <w:spacing w:after="0" w:line="160" w:lineRule="exact"/>
              <w:rPr>
                <w:sz w:val="20"/>
                <w:szCs w:val="20"/>
                <w:color w:val="auto"/>
              </w:rPr>
            </w:pPr>
            <w:r>
              <w:rPr>
                <w:rFonts w:ascii="Arial" w:cs="Arial" w:eastAsia="Arial" w:hAnsi="Arial"/>
                <w:sz w:val="18"/>
                <w:szCs w:val="18"/>
                <w:color w:val="auto"/>
                <w:w w:val="99"/>
              </w:rPr>
              <w:t>Winston Kung</w:t>
            </w:r>
          </w:p>
        </w:tc>
        <w:tc>
          <w:tcPr>
            <w:tcW w:w="4720" w:type="dxa"/>
            <w:vAlign w:val="bottom"/>
            <w:gridSpan w:val="3"/>
            <w:vMerge w:val="continue"/>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4720" w:type="dxa"/>
            <w:vAlign w:val="bottom"/>
            <w:gridSpan w:val="3"/>
          </w:tcPr>
          <w:p>
            <w:pPr>
              <w:jc w:val="center"/>
              <w:ind w:left="30"/>
              <w:spacing w:after="0"/>
              <w:rPr>
                <w:sz w:val="20"/>
                <w:szCs w:val="20"/>
                <w:color w:val="auto"/>
              </w:rPr>
            </w:pPr>
            <w:r>
              <w:rPr>
                <w:rFonts w:ascii="Arial" w:cs="Arial" w:eastAsia="Arial" w:hAnsi="Arial"/>
                <w:sz w:val="18"/>
                <w:szCs w:val="18"/>
                <w:color w:val="auto"/>
                <w:w w:val="99"/>
              </w:rPr>
              <w:t>(Principal Financial and Accounting Officer)</w:t>
            </w: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40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9"/>
              </w:rPr>
              <w:t>/s/ Richard Heyman</w:t>
            </w:r>
          </w:p>
        </w:tc>
        <w:tc>
          <w:tcPr>
            <w:tcW w:w="4720" w:type="dxa"/>
            <w:vAlign w:val="bottom"/>
            <w:gridSpan w:val="3"/>
          </w:tcPr>
          <w:p>
            <w:pPr>
              <w:jc w:val="center"/>
              <w:ind w:left="30"/>
              <w:spacing w:after="0"/>
              <w:rPr>
                <w:sz w:val="20"/>
                <w:szCs w:val="20"/>
                <w:color w:val="auto"/>
              </w:rPr>
            </w:pPr>
            <w:r>
              <w:rPr>
                <w:rFonts w:ascii="Arial" w:cs="Arial" w:eastAsia="Arial" w:hAnsi="Arial"/>
                <w:sz w:val="18"/>
                <w:szCs w:val="18"/>
                <w:color w:val="auto"/>
                <w:w w:val="99"/>
              </w:rPr>
              <w:t>Director and Chairman of the Board of Directors</w:t>
            </w:r>
          </w:p>
        </w:tc>
        <w:tc>
          <w:tcPr>
            <w:tcW w:w="1940" w:type="dxa"/>
            <w:vAlign w:val="bottom"/>
            <w:gridSpan w:val="3"/>
          </w:tcPr>
          <w:p>
            <w:pPr>
              <w:jc w:val="center"/>
              <w:ind w:left="312"/>
              <w:spacing w:after="0"/>
              <w:rPr>
                <w:sz w:val="20"/>
                <w:szCs w:val="20"/>
                <w:color w:val="auto"/>
              </w:rPr>
            </w:pPr>
            <w:r>
              <w:rPr>
                <w:rFonts w:ascii="Arial" w:cs="Arial" w:eastAsia="Arial" w:hAnsi="Arial"/>
                <w:sz w:val="18"/>
                <w:szCs w:val="18"/>
                <w:color w:val="auto"/>
              </w:rPr>
              <w:t>September 4, 2020</w:t>
            </w:r>
          </w:p>
        </w:tc>
        <w:tc>
          <w:tcPr>
            <w:tcW w:w="0" w:type="dxa"/>
            <w:vAlign w:val="bottom"/>
          </w:tcPr>
          <w:p>
            <w:pPr>
              <w:spacing w:after="0"/>
              <w:rPr>
                <w:sz w:val="1"/>
                <w:szCs w:val="1"/>
                <w:color w:val="auto"/>
              </w:rPr>
            </w:pPr>
          </w:p>
        </w:tc>
      </w:tr>
      <w:tr>
        <w:trPr>
          <w:trHeight w:val="236"/>
        </w:trPr>
        <w:tc>
          <w:tcPr>
            <w:tcW w:w="4080" w:type="dxa"/>
            <w:vAlign w:val="bottom"/>
            <w:gridSpan w:val="3"/>
          </w:tcPr>
          <w:p>
            <w:pPr>
              <w:jc w:val="center"/>
              <w:ind w:right="20"/>
              <w:spacing w:after="0"/>
              <w:rPr>
                <w:sz w:val="20"/>
                <w:szCs w:val="20"/>
                <w:color w:val="auto"/>
              </w:rPr>
            </w:pPr>
            <w:r>
              <w:rPr>
                <w:rFonts w:ascii="Arial" w:cs="Arial" w:eastAsia="Arial" w:hAnsi="Arial"/>
                <w:sz w:val="18"/>
                <w:szCs w:val="18"/>
                <w:color w:val="auto"/>
              </w:rPr>
              <w:t>Richard Heyman, Ph.D.</w:t>
            </w:r>
          </w:p>
        </w:tc>
        <w:tc>
          <w:tcPr>
            <w:tcW w:w="2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40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9"/>
              </w:rPr>
              <w:t>/s/ Arnold Levine</w:t>
            </w:r>
          </w:p>
        </w:tc>
        <w:tc>
          <w:tcPr>
            <w:tcW w:w="4720" w:type="dxa"/>
            <w:vAlign w:val="bottom"/>
            <w:gridSpan w:val="3"/>
          </w:tcPr>
          <w:p>
            <w:pPr>
              <w:jc w:val="center"/>
              <w:ind w:left="3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312"/>
              <w:spacing w:after="0"/>
              <w:rPr>
                <w:sz w:val="20"/>
                <w:szCs w:val="20"/>
                <w:color w:val="auto"/>
              </w:rPr>
            </w:pPr>
            <w:r>
              <w:rPr>
                <w:rFonts w:ascii="Arial" w:cs="Arial" w:eastAsia="Arial" w:hAnsi="Arial"/>
                <w:sz w:val="18"/>
                <w:szCs w:val="18"/>
                <w:color w:val="auto"/>
              </w:rPr>
              <w:t>September 4, 2020</w:t>
            </w:r>
          </w:p>
        </w:tc>
        <w:tc>
          <w:tcPr>
            <w:tcW w:w="0" w:type="dxa"/>
            <w:vAlign w:val="bottom"/>
          </w:tcPr>
          <w:p>
            <w:pPr>
              <w:spacing w:after="0"/>
              <w:rPr>
                <w:sz w:val="1"/>
                <w:szCs w:val="1"/>
                <w:color w:val="auto"/>
              </w:rPr>
            </w:pPr>
          </w:p>
        </w:tc>
      </w:tr>
      <w:tr>
        <w:trPr>
          <w:trHeight w:val="236"/>
        </w:trPr>
        <w:tc>
          <w:tcPr>
            <w:tcW w:w="4080" w:type="dxa"/>
            <w:vAlign w:val="bottom"/>
            <w:gridSpan w:val="3"/>
          </w:tcPr>
          <w:p>
            <w:pPr>
              <w:jc w:val="center"/>
              <w:ind w:right="20"/>
              <w:spacing w:after="0"/>
              <w:rPr>
                <w:sz w:val="20"/>
                <w:szCs w:val="20"/>
                <w:color w:val="auto"/>
              </w:rPr>
            </w:pPr>
            <w:r>
              <w:rPr>
                <w:rFonts w:ascii="Arial" w:cs="Arial" w:eastAsia="Arial" w:hAnsi="Arial"/>
                <w:sz w:val="18"/>
                <w:szCs w:val="18"/>
                <w:color w:val="auto"/>
              </w:rPr>
              <w:t>Arnold Levine, Ph.D.</w:t>
            </w:r>
          </w:p>
        </w:tc>
        <w:tc>
          <w:tcPr>
            <w:tcW w:w="2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40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9"/>
              </w:rPr>
              <w:t>/s/ Arnold Oronsky</w:t>
            </w:r>
          </w:p>
        </w:tc>
        <w:tc>
          <w:tcPr>
            <w:tcW w:w="4720" w:type="dxa"/>
            <w:vAlign w:val="bottom"/>
            <w:gridSpan w:val="3"/>
          </w:tcPr>
          <w:p>
            <w:pPr>
              <w:jc w:val="center"/>
              <w:ind w:left="3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312"/>
              <w:spacing w:after="0"/>
              <w:rPr>
                <w:sz w:val="20"/>
                <w:szCs w:val="20"/>
                <w:color w:val="auto"/>
              </w:rPr>
            </w:pPr>
            <w:r>
              <w:rPr>
                <w:rFonts w:ascii="Arial" w:cs="Arial" w:eastAsia="Arial" w:hAnsi="Arial"/>
                <w:sz w:val="18"/>
                <w:szCs w:val="18"/>
                <w:color w:val="auto"/>
              </w:rPr>
              <w:t>September 4, 2020</w:t>
            </w:r>
          </w:p>
        </w:tc>
        <w:tc>
          <w:tcPr>
            <w:tcW w:w="0" w:type="dxa"/>
            <w:vAlign w:val="bottom"/>
          </w:tcPr>
          <w:p>
            <w:pPr>
              <w:spacing w:after="0"/>
              <w:rPr>
                <w:sz w:val="1"/>
                <w:szCs w:val="1"/>
                <w:color w:val="auto"/>
              </w:rPr>
            </w:pPr>
          </w:p>
        </w:tc>
      </w:tr>
      <w:tr>
        <w:trPr>
          <w:trHeight w:val="236"/>
        </w:trPr>
        <w:tc>
          <w:tcPr>
            <w:tcW w:w="408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Arnold Oronsky, Ph.D.</w:t>
            </w:r>
          </w:p>
        </w:tc>
        <w:tc>
          <w:tcPr>
            <w:tcW w:w="2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40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9"/>
              </w:rPr>
              <w:t>/s/ Thilo Schroeder</w:t>
            </w:r>
          </w:p>
        </w:tc>
        <w:tc>
          <w:tcPr>
            <w:tcW w:w="4720" w:type="dxa"/>
            <w:vAlign w:val="bottom"/>
            <w:gridSpan w:val="3"/>
          </w:tcPr>
          <w:p>
            <w:pPr>
              <w:jc w:val="center"/>
              <w:ind w:left="3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312"/>
              <w:spacing w:after="0"/>
              <w:rPr>
                <w:sz w:val="20"/>
                <w:szCs w:val="20"/>
                <w:color w:val="auto"/>
              </w:rPr>
            </w:pPr>
            <w:r>
              <w:rPr>
                <w:rFonts w:ascii="Arial" w:cs="Arial" w:eastAsia="Arial" w:hAnsi="Arial"/>
                <w:sz w:val="18"/>
                <w:szCs w:val="18"/>
                <w:color w:val="auto"/>
              </w:rPr>
              <w:t>September 4, 2020</w:t>
            </w:r>
          </w:p>
        </w:tc>
        <w:tc>
          <w:tcPr>
            <w:tcW w:w="0" w:type="dxa"/>
            <w:vAlign w:val="bottom"/>
          </w:tcPr>
          <w:p>
            <w:pPr>
              <w:spacing w:after="0"/>
              <w:rPr>
                <w:sz w:val="1"/>
                <w:szCs w:val="1"/>
                <w:color w:val="auto"/>
              </w:rPr>
            </w:pPr>
          </w:p>
        </w:tc>
      </w:tr>
      <w:tr>
        <w:trPr>
          <w:trHeight w:val="236"/>
        </w:trPr>
        <w:tc>
          <w:tcPr>
            <w:tcW w:w="408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Thilo Schroeder, Ph.D.</w:t>
            </w:r>
          </w:p>
        </w:tc>
        <w:tc>
          <w:tcPr>
            <w:tcW w:w="2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40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9"/>
              </w:rPr>
              <w:t>/s/ Laurie Stelzer</w:t>
            </w:r>
          </w:p>
        </w:tc>
        <w:tc>
          <w:tcPr>
            <w:tcW w:w="4720" w:type="dxa"/>
            <w:vAlign w:val="bottom"/>
            <w:gridSpan w:val="3"/>
          </w:tcPr>
          <w:p>
            <w:pPr>
              <w:jc w:val="center"/>
              <w:ind w:left="3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312"/>
              <w:spacing w:after="0"/>
              <w:rPr>
                <w:sz w:val="20"/>
                <w:szCs w:val="20"/>
                <w:color w:val="auto"/>
              </w:rPr>
            </w:pPr>
            <w:r>
              <w:rPr>
                <w:rFonts w:ascii="Arial" w:cs="Arial" w:eastAsia="Arial" w:hAnsi="Arial"/>
                <w:sz w:val="18"/>
                <w:szCs w:val="18"/>
                <w:color w:val="auto"/>
              </w:rPr>
              <w:t>September 4, 2020</w:t>
            </w:r>
          </w:p>
        </w:tc>
        <w:tc>
          <w:tcPr>
            <w:tcW w:w="0" w:type="dxa"/>
            <w:vAlign w:val="bottom"/>
          </w:tcPr>
          <w:p>
            <w:pPr>
              <w:spacing w:after="0"/>
              <w:rPr>
                <w:sz w:val="1"/>
                <w:szCs w:val="1"/>
                <w:color w:val="auto"/>
              </w:rPr>
            </w:pPr>
          </w:p>
        </w:tc>
      </w:tr>
      <w:tr>
        <w:trPr>
          <w:trHeight w:val="236"/>
        </w:trPr>
        <w:tc>
          <w:tcPr>
            <w:tcW w:w="4080" w:type="dxa"/>
            <w:vAlign w:val="bottom"/>
            <w:gridSpan w:val="3"/>
          </w:tcPr>
          <w:p>
            <w:pPr>
              <w:jc w:val="center"/>
              <w:ind w:right="20"/>
              <w:spacing w:after="0"/>
              <w:rPr>
                <w:sz w:val="20"/>
                <w:szCs w:val="20"/>
                <w:color w:val="auto"/>
              </w:rPr>
            </w:pPr>
            <w:r>
              <w:rPr>
                <w:rFonts w:ascii="Arial" w:cs="Arial" w:eastAsia="Arial" w:hAnsi="Arial"/>
                <w:sz w:val="18"/>
                <w:szCs w:val="18"/>
                <w:color w:val="auto"/>
                <w:w w:val="99"/>
              </w:rPr>
              <w:t>Laurie Stelzer</w:t>
            </w:r>
          </w:p>
        </w:tc>
        <w:tc>
          <w:tcPr>
            <w:tcW w:w="2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40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rPr>
              <w:t>/s/ Peter Thompson</w:t>
            </w:r>
          </w:p>
        </w:tc>
        <w:tc>
          <w:tcPr>
            <w:tcW w:w="4720" w:type="dxa"/>
            <w:vAlign w:val="bottom"/>
            <w:gridSpan w:val="3"/>
          </w:tcPr>
          <w:p>
            <w:pPr>
              <w:jc w:val="center"/>
              <w:ind w:left="30"/>
              <w:spacing w:after="0"/>
              <w:rPr>
                <w:sz w:val="20"/>
                <w:szCs w:val="20"/>
                <w:color w:val="auto"/>
              </w:rPr>
            </w:pPr>
            <w:r>
              <w:rPr>
                <w:rFonts w:ascii="Arial" w:cs="Arial" w:eastAsia="Arial" w:hAnsi="Arial"/>
                <w:sz w:val="18"/>
                <w:szCs w:val="18"/>
                <w:color w:val="auto"/>
              </w:rPr>
              <w:t>Director</w:t>
            </w:r>
          </w:p>
        </w:tc>
        <w:tc>
          <w:tcPr>
            <w:tcW w:w="1940" w:type="dxa"/>
            <w:vAlign w:val="bottom"/>
            <w:gridSpan w:val="3"/>
          </w:tcPr>
          <w:p>
            <w:pPr>
              <w:jc w:val="center"/>
              <w:ind w:left="312"/>
              <w:spacing w:after="0"/>
              <w:rPr>
                <w:sz w:val="20"/>
                <w:szCs w:val="20"/>
                <w:color w:val="auto"/>
              </w:rPr>
            </w:pPr>
            <w:r>
              <w:rPr>
                <w:rFonts w:ascii="Arial" w:cs="Arial" w:eastAsia="Arial" w:hAnsi="Arial"/>
                <w:sz w:val="18"/>
                <w:szCs w:val="18"/>
                <w:color w:val="auto"/>
              </w:rPr>
              <w:t>September 4, 2020</w:t>
            </w:r>
          </w:p>
        </w:tc>
        <w:tc>
          <w:tcPr>
            <w:tcW w:w="0" w:type="dxa"/>
            <w:vAlign w:val="bottom"/>
          </w:tcPr>
          <w:p>
            <w:pPr>
              <w:spacing w:after="0"/>
              <w:rPr>
                <w:sz w:val="1"/>
                <w:szCs w:val="1"/>
                <w:color w:val="auto"/>
              </w:rPr>
            </w:pPr>
          </w:p>
        </w:tc>
      </w:tr>
      <w:tr>
        <w:trPr>
          <w:trHeight w:val="236"/>
        </w:trPr>
        <w:tc>
          <w:tcPr>
            <w:tcW w:w="4080" w:type="dxa"/>
            <w:vAlign w:val="bottom"/>
            <w:gridSpan w:val="3"/>
          </w:tcPr>
          <w:p>
            <w:pPr>
              <w:jc w:val="center"/>
              <w:ind w:right="20"/>
              <w:spacing w:after="0"/>
              <w:rPr>
                <w:sz w:val="20"/>
                <w:szCs w:val="20"/>
                <w:color w:val="auto"/>
              </w:rPr>
            </w:pPr>
            <w:r>
              <w:rPr>
                <w:rFonts w:ascii="Arial" w:cs="Arial" w:eastAsia="Arial" w:hAnsi="Arial"/>
                <w:sz w:val="18"/>
                <w:szCs w:val="18"/>
                <w:color w:val="auto"/>
              </w:rPr>
              <w:t>Peter Thompson, M.D.</w:t>
            </w:r>
          </w:p>
        </w:tc>
        <w:tc>
          <w:tcPr>
            <w:tcW w:w="2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720" w:type="dxa"/>
            <w:vAlign w:val="bottom"/>
            <w:gridSpan w:val="3"/>
          </w:tcPr>
          <w:p>
            <w:pPr>
              <w:ind w:left="1300"/>
              <w:spacing w:after="0"/>
              <w:rPr>
                <w:sz w:val="20"/>
                <w:szCs w:val="20"/>
                <w:color w:val="auto"/>
              </w:rPr>
            </w:pPr>
            <w:r>
              <w:rPr>
                <w:rFonts w:ascii="Arial" w:cs="Arial" w:eastAsia="Arial" w:hAnsi="Arial"/>
                <w:sz w:val="18"/>
                <w:szCs w:val="18"/>
                <w:color w:val="auto"/>
              </w:rPr>
              <w:t>II-7</w:t>
            </w: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55" w:right="519" w:bottom="1440" w:gutter="0" w:footer="0" w:header="0"/>
        </w:sectPr>
      </w:pPr>
    </w:p>
    <w:bookmarkStart w:id="261" w:name="page262"/>
    <w:bookmarkEnd w:id="261"/>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2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PMV Pharmaceuticals, Inc., a corporation organized and existing under the laws of the State of Delaware (the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hereby certifies as follows:</w:t>
      </w:r>
    </w:p>
    <w:p>
      <w:pPr>
        <w:spacing w:after="0" w:line="159" w:lineRule="exact"/>
        <w:rPr>
          <w:sz w:val="20"/>
          <w:szCs w:val="20"/>
          <w:color w:val="auto"/>
        </w:rPr>
      </w:pPr>
    </w:p>
    <w:p>
      <w:pPr>
        <w:ind w:right="140" w:firstLine="436"/>
        <w:spacing w:after="0" w:line="258" w:lineRule="auto"/>
        <w:tabs>
          <w:tab w:leader="none" w:pos="6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PMV Pharmaceuticals, Inc. The Corporation was originally incorporated under the name “PJ Pharmaceuticals, Inc.” The original Certificate of Incorporation of the Corporation was filed with the Secretary of State of the State of Delaware on March 19, 2013, an Amendment to the Amended and Restated Certificate of Incorporation was filed with the Secretary of State of the State of Delaware on each of December 10, 2013, May 30, 2014, and October 24, 2014, and an Amended and Restated Certificate of Incorporation was filed with the Secretary of State of the State of Delaware on each of July 26, 2013, November 25, 2014, February 17, 2017, and November 8, 2019.</w:t>
      </w:r>
    </w:p>
    <w:p>
      <w:pPr>
        <w:spacing w:after="0" w:line="183" w:lineRule="exact"/>
        <w:rPr>
          <w:rFonts w:ascii="Times New Roman" w:cs="Times New Roman" w:eastAsia="Times New Roman" w:hAnsi="Times New Roman"/>
          <w:sz w:val="18"/>
          <w:szCs w:val="18"/>
          <w:color w:val="auto"/>
        </w:rPr>
      </w:pPr>
    </w:p>
    <w:p>
      <w:pPr>
        <w:jc w:val="both"/>
        <w:ind w:right="60" w:firstLine="436"/>
        <w:spacing w:after="0" w:line="266" w:lineRule="auto"/>
        <w:tabs>
          <w:tab w:leader="none" w:pos="6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and Restated Certificate of Incorporation was duly adopted in accordance with Sections 242 and 245 of the General Corporation Law of the State of Delaware, and has been duly approved by the written consent of the stockholders of the Corporation in accordance with Section 228 of the General Corporation Law of the State of Delaware.</w:t>
      </w:r>
    </w:p>
    <w:p>
      <w:pPr>
        <w:spacing w:after="0" w:line="1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Certificate of Incorporation is amended and restated to read as set forth in EXHIBIT A attached hereto.</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IN WITNESS WHEREOF, the Corporation has caused this Amended and Restated Certificate of Incorporation to be signed by David H. Mack, a duly authorized officer of the Corporation, effective as of July 16, 2020.</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David H. Mack</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President</w:t>
      </w:r>
    </w:p>
    <w:p>
      <w:pPr>
        <w:sectPr>
          <w:pgSz w:w="11900" w:h="16838" w:orient="portrait"/>
          <w:cols w:equalWidth="0" w:num="1">
            <w:col w:w="11020"/>
          </w:cols>
          <w:pgMar w:left="440" w:top="117" w:right="439" w:bottom="1440" w:gutter="0" w:footer="0" w:header="0"/>
        </w:sectPr>
      </w:pPr>
    </w:p>
    <w:bookmarkStart w:id="262" w:name="page263"/>
    <w:bookmarkEnd w:id="26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 of the Corporation is PMV Pharmaceuticals, Inc.</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purpose of this corporation is to engage in any lawful act or activity for which corporations may be organized under the General Corporation Law of Delaware.</w:t>
      </w:r>
    </w:p>
    <w:p>
      <w:pPr>
        <w:spacing w:after="0" w:line="3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address of the Corporation’s registered office in the State of Delaware is 251 Little Falls Drive, City of Wilmington, County of New Castle, DE 19808. The name of the registered agent at such address is Corporation Service Company.</w:t>
      </w:r>
    </w:p>
    <w:p>
      <w:pPr>
        <w:spacing w:after="0" w:line="3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Corporation is authorized to issue 350,217,456 shares of capital stock in the aggregate. The capital stock of this Corporation shall be divided into two classes, designated “Common Stock” and “Preferred Stock.” The number of shares of Common Stock the Corporation is authorized to issue is 201,747,258, $0.00001 par value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The number of shares of Preferred Stock the Corporation is authorized to issue is 148,470,198, $0.00001 par value per share, 8,729,029 of which shall be designated as Series Seed Preferred Stock (“</w:t>
      </w:r>
      <w:r>
        <w:rPr>
          <w:rFonts w:ascii="Times New Roman" w:cs="Times New Roman" w:eastAsia="Times New Roman" w:hAnsi="Times New Roman"/>
          <w:sz w:val="18"/>
          <w:szCs w:val="18"/>
          <w:b w:val="1"/>
          <w:bCs w:val="1"/>
          <w:i w:val="1"/>
          <w:iCs w:val="1"/>
          <w:color w:val="auto"/>
        </w:rPr>
        <w:t>Series Seed Preferred Stock</w:t>
      </w:r>
      <w:r>
        <w:rPr>
          <w:rFonts w:ascii="Times New Roman" w:cs="Times New Roman" w:eastAsia="Times New Roman" w:hAnsi="Times New Roman"/>
          <w:sz w:val="18"/>
          <w:szCs w:val="18"/>
          <w:color w:val="auto"/>
        </w:rPr>
        <w:t>”), 42,526,138 of which shall be designated as Series A Preferred Stock (“</w:t>
      </w:r>
      <w:r>
        <w:rPr>
          <w:rFonts w:ascii="Times New Roman" w:cs="Times New Roman" w:eastAsia="Times New Roman" w:hAnsi="Times New Roman"/>
          <w:sz w:val="18"/>
          <w:szCs w:val="18"/>
          <w:b w:val="1"/>
          <w:bCs w:val="1"/>
          <w:i w:val="1"/>
          <w:iCs w:val="1"/>
          <w:color w:val="auto"/>
        </w:rPr>
        <w:t>Series A Preferred Stock</w:t>
      </w:r>
      <w:r>
        <w:rPr>
          <w:rFonts w:ascii="Times New Roman" w:cs="Times New Roman" w:eastAsia="Times New Roman" w:hAnsi="Times New Roman"/>
          <w:sz w:val="18"/>
          <w:szCs w:val="18"/>
          <w:color w:val="auto"/>
        </w:rPr>
        <w:t>”), 40,396,799 of which shall be designated as Series B Preferred Stock (“</w:t>
      </w:r>
      <w:r>
        <w:rPr>
          <w:rFonts w:ascii="Times New Roman" w:cs="Times New Roman" w:eastAsia="Times New Roman" w:hAnsi="Times New Roman"/>
          <w:sz w:val="18"/>
          <w:szCs w:val="18"/>
          <w:b w:val="1"/>
          <w:bCs w:val="1"/>
          <w:i w:val="1"/>
          <w:iCs w:val="1"/>
          <w:color w:val="auto"/>
        </w:rPr>
        <w:t>Series B Preferred Stock</w:t>
      </w:r>
      <w:r>
        <w:rPr>
          <w:rFonts w:ascii="Times New Roman" w:cs="Times New Roman" w:eastAsia="Times New Roman" w:hAnsi="Times New Roman"/>
          <w:sz w:val="18"/>
          <w:szCs w:val="18"/>
          <w:color w:val="auto"/>
        </w:rPr>
        <w:t>”), 28,798,050 of which shall be designated as Series C Preferred Stock (“</w:t>
      </w:r>
      <w:r>
        <w:rPr>
          <w:rFonts w:ascii="Times New Roman" w:cs="Times New Roman" w:eastAsia="Times New Roman" w:hAnsi="Times New Roman"/>
          <w:sz w:val="18"/>
          <w:szCs w:val="18"/>
          <w:b w:val="1"/>
          <w:bCs w:val="1"/>
          <w:i w:val="1"/>
          <w:iCs w:val="1"/>
          <w:color w:val="auto"/>
        </w:rPr>
        <w:t>Series C Preferred Stock</w:t>
      </w:r>
      <w:r>
        <w:rPr>
          <w:rFonts w:ascii="Times New Roman" w:cs="Times New Roman" w:eastAsia="Times New Roman" w:hAnsi="Times New Roman"/>
          <w:sz w:val="18"/>
          <w:szCs w:val="18"/>
          <w:color w:val="auto"/>
        </w:rPr>
        <w:t>”), and 28,020,182 of which shall be designated as Series D Preferred Stock (“</w:t>
      </w:r>
      <w:r>
        <w:rPr>
          <w:rFonts w:ascii="Times New Roman" w:cs="Times New Roman" w:eastAsia="Times New Roman" w:hAnsi="Times New Roman"/>
          <w:sz w:val="18"/>
          <w:szCs w:val="18"/>
          <w:b w:val="1"/>
          <w:bCs w:val="1"/>
          <w:i w:val="1"/>
          <w:iCs w:val="1"/>
          <w:color w:val="auto"/>
        </w:rPr>
        <w:t>Series D Preferred Stock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terms and provisions of the Common Stock and Preferred Stock are as follows:</w:t>
      </w:r>
    </w:p>
    <w:p>
      <w:pPr>
        <w:spacing w:after="0" w:line="221" w:lineRule="exact"/>
        <w:rPr>
          <w:sz w:val="20"/>
          <w:szCs w:val="20"/>
          <w:color w:val="auto"/>
        </w:rPr>
      </w:pPr>
    </w:p>
    <w:p>
      <w:pPr>
        <w:ind w:left="620" w:hanging="184"/>
        <w:spacing w:after="0"/>
        <w:tabs>
          <w:tab w:leader="none" w:pos="6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For purposes of this ARTICLE V, the following definitions shall apply:</w:t>
      </w:r>
    </w:p>
    <w:p>
      <w:pPr>
        <w:spacing w:after="0" w:line="225" w:lineRule="exact"/>
        <w:rPr>
          <w:rFonts w:ascii="Times New Roman" w:cs="Times New Roman" w:eastAsia="Times New Roman" w:hAnsi="Times New Roman"/>
          <w:sz w:val="18"/>
          <w:szCs w:val="18"/>
          <w:color w:val="auto"/>
        </w:rPr>
      </w:pPr>
    </w:p>
    <w:p>
      <w:pPr>
        <w:jc w:val="both"/>
        <w:ind w:right="220" w:firstLine="987"/>
        <w:spacing w:after="0" w:line="268" w:lineRule="auto"/>
        <w:tabs>
          <w:tab w:leader="none" w:pos="1236"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Conversion Price</w:t>
      </w:r>
      <w:r>
        <w:rPr>
          <w:rFonts w:ascii="Times New Roman" w:cs="Times New Roman" w:eastAsia="Times New Roman" w:hAnsi="Times New Roman"/>
          <w:sz w:val="18"/>
          <w:szCs w:val="18"/>
          <w:color w:val="auto"/>
        </w:rPr>
        <w:t>” shall mean $0.3517 per share for the Series Seed Preferred Stock, $0.7078 per share for the Series A Preferred Stock, $1.8251 per share for the Series B Preferred Stock, $2.1485 per share for the Series C Preferred Stock, and $2.4982 per share for the Series D Preferred Stock (in each case subject to adjustment from time to time for Recapitalizations and as otherwise set forth elsewhere herein).</w:t>
      </w:r>
    </w:p>
    <w:p>
      <w:pPr>
        <w:spacing w:after="0" w:line="170"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Convertible Securities</w:t>
      </w:r>
      <w:r>
        <w:rPr>
          <w:rFonts w:ascii="Times New Roman" w:cs="Times New Roman" w:eastAsia="Times New Roman" w:hAnsi="Times New Roman"/>
          <w:sz w:val="18"/>
          <w:szCs w:val="18"/>
          <w:color w:val="auto"/>
        </w:rPr>
        <w:t>” shall mean any evidences of indebtedness, shares or other securities convertible into or exchangeable for</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w:t>
      </w:r>
    </w:p>
    <w:p>
      <w:pPr>
        <w:spacing w:after="0" w:line="202"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shall mean PMV Pharmaceuticals, Inc.</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40" w:top="266" w:right="559" w:bottom="1440" w:gutter="0" w:footer="0" w:header="0"/>
        </w:sectPr>
      </w:pPr>
    </w:p>
    <w:bookmarkStart w:id="263" w:name="page264"/>
    <w:bookmarkEnd w:id="263"/>
    <w:p>
      <w:pPr>
        <w:ind w:left="4" w:right="100" w:firstLine="987"/>
        <w:spacing w:after="0" w:line="256" w:lineRule="auto"/>
        <w:tabs>
          <w:tab w:leader="none" w:pos="1250"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Distribution</w:t>
      </w:r>
      <w:r>
        <w:rPr>
          <w:rFonts w:ascii="Times New Roman" w:cs="Times New Roman" w:eastAsia="Times New Roman" w:hAnsi="Times New Roman"/>
          <w:sz w:val="18"/>
          <w:szCs w:val="18"/>
          <w:color w:val="auto"/>
        </w:rPr>
        <w:t>” shall mean the transfer of cash or other property without consideration whether by way of dividend or otherwise, other than dividends on Common Stock payable in Common Stock, or the purchase or redemption of shares of the Corporation by the Corporation or its subsidiaries for cash or property other than: (i) repurchases of Common Stock issued to or held by employees, officers, directors or consultants of the Corporation or its subsidiaries upon termination of their employment or services pursuant to agreements providing for the right of said repurchase,</w:t>
      </w:r>
    </w:p>
    <w:p>
      <w:pPr>
        <w:spacing w:after="0" w:line="3" w:lineRule="exact"/>
        <w:rPr>
          <w:rFonts w:ascii="Times New Roman" w:cs="Times New Roman" w:eastAsia="Times New Roman" w:hAnsi="Times New Roman"/>
          <w:sz w:val="18"/>
          <w:szCs w:val="18"/>
          <w:color w:val="auto"/>
        </w:rPr>
      </w:pPr>
    </w:p>
    <w:p>
      <w:pPr>
        <w:ind w:left="4" w:right="120" w:hanging="4"/>
        <w:spacing w:after="0" w:line="253" w:lineRule="auto"/>
        <w:tabs>
          <w:tab w:leader="none" w:pos="26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Common Stock issued to or held by employees, officers, directors or consultants of the Corporation or its subsidiaries pursuant to rights of first refusal contained in agreements providing for such right, (iii) repurchase of capital stock of the Corporation in connection with the settlement of disputes with any stockholder, and (iv) any other repurchase or redemption of capital stock of the Corporation approved by the holders of Common Stock, voting as a separate class, and the Preferred Majority.</w:t>
      </w:r>
    </w:p>
    <w:p>
      <w:pPr>
        <w:spacing w:after="0" w:line="184" w:lineRule="exact"/>
        <w:rPr>
          <w:rFonts w:ascii="Times New Roman" w:cs="Times New Roman" w:eastAsia="Times New Roman" w:hAnsi="Times New Roman"/>
          <w:sz w:val="18"/>
          <w:szCs w:val="18"/>
          <w:color w:val="auto"/>
        </w:rPr>
      </w:pPr>
    </w:p>
    <w:p>
      <w:pPr>
        <w:ind w:left="4" w:right="20" w:firstLine="987"/>
        <w:spacing w:after="0" w:line="262" w:lineRule="auto"/>
        <w:tabs>
          <w:tab w:leader="none" w:pos="124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Dividend Rate</w:t>
      </w:r>
      <w:r>
        <w:rPr>
          <w:rFonts w:ascii="Times New Roman" w:cs="Times New Roman" w:eastAsia="Times New Roman" w:hAnsi="Times New Roman"/>
          <w:sz w:val="18"/>
          <w:szCs w:val="18"/>
          <w:color w:val="auto"/>
        </w:rPr>
        <w:t>” shall mean an annual rate of $0.028136 per share for the Series Seed Preferred Stock, an annual rate of $0.056624 per share for the Series A Preferred Stock an annual rate of $0.146008 per share for the Series B Preferred Stock, an annual rate of $0.171880 per share for the Series C Preferred Stock and an annual rate of $0.199856 per share for the Series D Preferred Stock (in each case subject to adjustment from time to time for Recapitalizations as set forth elsewhere herein).</w:t>
      </w:r>
    </w:p>
    <w:p>
      <w:pPr>
        <w:spacing w:after="0" w:line="176"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Investor</w:t>
      </w:r>
      <w:r>
        <w:rPr>
          <w:rFonts w:ascii="Times New Roman" w:cs="Times New Roman" w:eastAsia="Times New Roman" w:hAnsi="Times New Roman"/>
          <w:sz w:val="18"/>
          <w:szCs w:val="18"/>
          <w:color w:val="auto"/>
        </w:rPr>
        <w:t>” shall have the meaning given to such term in the Purchase Agreement.</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Options</w:t>
      </w:r>
      <w:r>
        <w:rPr>
          <w:rFonts w:ascii="Times New Roman" w:cs="Times New Roman" w:eastAsia="Times New Roman" w:hAnsi="Times New Roman"/>
          <w:sz w:val="18"/>
          <w:szCs w:val="18"/>
          <w:color w:val="auto"/>
        </w:rPr>
        <w:t>” shall mean rights, options or warrants to subscribe for, purchase or otherwise acquire Common Stock or Convertible</w:t>
      </w:r>
    </w:p>
    <w:p>
      <w:pPr>
        <w:spacing w:after="0" w:line="3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w:t>
      </w:r>
    </w:p>
    <w:p>
      <w:pPr>
        <w:spacing w:after="0" w:line="202" w:lineRule="exact"/>
        <w:rPr>
          <w:rFonts w:ascii="Times New Roman" w:cs="Times New Roman" w:eastAsia="Times New Roman" w:hAnsi="Times New Roman"/>
          <w:sz w:val="18"/>
          <w:szCs w:val="18"/>
          <w:color w:val="auto"/>
        </w:rPr>
      </w:pPr>
    </w:p>
    <w:p>
      <w:pPr>
        <w:ind w:left="4" w:right="100" w:firstLine="987"/>
        <w:spacing w:after="0" w:line="268" w:lineRule="auto"/>
        <w:tabs>
          <w:tab w:leader="none" w:pos="125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Original Issue Price</w:t>
      </w:r>
      <w:r>
        <w:rPr>
          <w:rFonts w:ascii="Times New Roman" w:cs="Times New Roman" w:eastAsia="Times New Roman" w:hAnsi="Times New Roman"/>
          <w:sz w:val="18"/>
          <w:szCs w:val="18"/>
          <w:color w:val="auto"/>
        </w:rPr>
        <w:t>” shall mean $0.3517 per share for the Series Seed Preferred Stock, $0.7078 per share for the Series A Preferred Stock, $1.8251 per share for the Series B Preferred Stock, $2.1485 per share for the Series C Preferred Stock, and $2.4982 per share for the Series D Preferred Stock (in each case subject to adjustment from time to time for Recapitalizations as set forth elsewhere herein).</w:t>
      </w:r>
    </w:p>
    <w:p>
      <w:pPr>
        <w:spacing w:after="0" w:line="170" w:lineRule="exact"/>
        <w:rPr>
          <w:rFonts w:ascii="Times New Roman" w:cs="Times New Roman" w:eastAsia="Times New Roman" w:hAnsi="Times New Roman"/>
          <w:sz w:val="18"/>
          <w:szCs w:val="18"/>
          <w:color w:val="auto"/>
        </w:rPr>
      </w:pPr>
    </w:p>
    <w:p>
      <w:pPr>
        <w:ind w:left="4" w:right="340" w:firstLine="987"/>
        <w:spacing w:after="0" w:line="286" w:lineRule="auto"/>
        <w:tabs>
          <w:tab w:leader="none" w:pos="121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Preferred Majority</w:t>
      </w:r>
      <w:r>
        <w:rPr>
          <w:rFonts w:ascii="Times New Roman" w:cs="Times New Roman" w:eastAsia="Times New Roman" w:hAnsi="Times New Roman"/>
          <w:sz w:val="18"/>
          <w:szCs w:val="18"/>
          <w:color w:val="auto"/>
        </w:rPr>
        <w:t>” shall mean the holders in the aggregate of at least two-thirds (2/3) of the then outstanding shares of Preferred Stock, voting together as a single class on an as-converted to Common Stock basis.</w:t>
      </w:r>
    </w:p>
    <w:p>
      <w:pPr>
        <w:spacing w:after="0" w:line="154" w:lineRule="exact"/>
        <w:rPr>
          <w:rFonts w:ascii="Times New Roman" w:cs="Times New Roman" w:eastAsia="Times New Roman" w:hAnsi="Times New Roman"/>
          <w:sz w:val="18"/>
          <w:szCs w:val="18"/>
          <w:color w:val="auto"/>
        </w:rPr>
      </w:pPr>
    </w:p>
    <w:p>
      <w:pPr>
        <w:ind w:left="4" w:right="100" w:firstLine="987"/>
        <w:spacing w:after="0" w:line="286" w:lineRule="auto"/>
        <w:tabs>
          <w:tab w:leader="none" w:pos="121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shall mean the Series Seed Preferred Stock, the Series A Preferred Stock, the Series B Preferred Stock, the Series C Preferred Stock and the Series D Preferred Stock.</w:t>
      </w:r>
    </w:p>
    <w:p>
      <w:pPr>
        <w:spacing w:after="0" w:line="154" w:lineRule="exact"/>
        <w:rPr>
          <w:rFonts w:ascii="Times New Roman" w:cs="Times New Roman" w:eastAsia="Times New Roman" w:hAnsi="Times New Roman"/>
          <w:sz w:val="18"/>
          <w:szCs w:val="18"/>
          <w:color w:val="auto"/>
        </w:rPr>
      </w:pPr>
    </w:p>
    <w:p>
      <w:pPr>
        <w:ind w:left="4" w:right="80" w:firstLine="987"/>
        <w:spacing w:after="0" w:line="286" w:lineRule="auto"/>
        <w:tabs>
          <w:tab w:leader="none" w:pos="125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 shall mean that certain Series D Preferred Stock Purchase Agreement by and between the Corporation and the Investors listed on Exhibit A thereto, dated on or about the date hereof.</w:t>
      </w:r>
    </w:p>
    <w:p>
      <w:pPr>
        <w:spacing w:after="0" w:line="154" w:lineRule="exact"/>
        <w:rPr>
          <w:rFonts w:ascii="Times New Roman" w:cs="Times New Roman" w:eastAsia="Times New Roman" w:hAnsi="Times New Roman"/>
          <w:sz w:val="18"/>
          <w:szCs w:val="18"/>
          <w:color w:val="auto"/>
        </w:rPr>
      </w:pPr>
    </w:p>
    <w:p>
      <w:pPr>
        <w:ind w:left="4" w:firstLine="987"/>
        <w:spacing w:after="0" w:line="286" w:lineRule="auto"/>
        <w:tabs>
          <w:tab w:leader="none" w:pos="121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Recapitalization</w:t>
      </w:r>
      <w:r>
        <w:rPr>
          <w:rFonts w:ascii="Times New Roman" w:cs="Times New Roman" w:eastAsia="Times New Roman" w:hAnsi="Times New Roman"/>
          <w:sz w:val="18"/>
          <w:szCs w:val="18"/>
          <w:color w:val="auto"/>
        </w:rPr>
        <w:t>” shall mean any stock dividend, stock split, combination of shares, reorganization, recapitalization, reclassification or other similar event.</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66" w:right="479" w:bottom="1440" w:gutter="0" w:footer="0" w:header="0"/>
        </w:sectPr>
      </w:pPr>
    </w:p>
    <w:bookmarkStart w:id="264" w:name="page265"/>
    <w:bookmarkEnd w:id="264"/>
    <w:p>
      <w:pPr>
        <w:ind w:left="-20" w:right="140" w:firstLine="987"/>
        <w:spacing w:after="0" w:line="286" w:lineRule="auto"/>
        <w:tabs>
          <w:tab w:leader="none" w:pos="1276"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Series C Majority</w:t>
      </w:r>
      <w:r>
        <w:rPr>
          <w:rFonts w:ascii="Times New Roman" w:cs="Times New Roman" w:eastAsia="Times New Roman" w:hAnsi="Times New Roman"/>
          <w:sz w:val="18"/>
          <w:szCs w:val="18"/>
          <w:color w:val="auto"/>
        </w:rPr>
        <w:t>” shall mean the holders in the aggregate of a majority of the then outstanding shares of Series C Preferred Stock, voting together as a separate class.</w:t>
      </w:r>
    </w:p>
    <w:p>
      <w:pPr>
        <w:spacing w:after="0" w:line="154" w:lineRule="exact"/>
        <w:rPr>
          <w:rFonts w:ascii="Times New Roman" w:cs="Times New Roman" w:eastAsia="Times New Roman" w:hAnsi="Times New Roman"/>
          <w:sz w:val="18"/>
          <w:szCs w:val="18"/>
          <w:color w:val="auto"/>
        </w:rPr>
      </w:pPr>
    </w:p>
    <w:p>
      <w:pPr>
        <w:ind w:left="-20" w:right="40" w:firstLine="987"/>
        <w:spacing w:after="0" w:line="286" w:lineRule="auto"/>
        <w:tabs>
          <w:tab w:leader="none" w:pos="1226"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D Majority</w:t>
      </w:r>
      <w:r>
        <w:rPr>
          <w:rFonts w:ascii="Times New Roman" w:cs="Times New Roman" w:eastAsia="Times New Roman" w:hAnsi="Times New Roman"/>
          <w:sz w:val="18"/>
          <w:szCs w:val="18"/>
          <w:color w:val="auto"/>
        </w:rPr>
        <w:t>” shall mean the holders in the aggregate of at least 60% of the then outstanding shares of Series D Preferred Stock, voting together as a separate class.</w:t>
      </w:r>
    </w:p>
    <w:p>
      <w:pPr>
        <w:spacing w:after="0" w:line="154" w:lineRule="exact"/>
        <w:rPr>
          <w:rFonts w:ascii="Times New Roman" w:cs="Times New Roman" w:eastAsia="Times New Roman" w:hAnsi="Times New Roman"/>
          <w:sz w:val="18"/>
          <w:szCs w:val="18"/>
          <w:color w:val="auto"/>
        </w:rPr>
      </w:pPr>
    </w:p>
    <w:p>
      <w:pPr>
        <w:ind w:left="-20" w:right="240" w:firstLine="987"/>
        <w:spacing w:after="0" w:line="286" w:lineRule="auto"/>
        <w:tabs>
          <w:tab w:leader="none" w:pos="1226" w:val="left"/>
        </w:tabs>
        <w:numPr>
          <w:ilvl w:val="1"/>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Voting Agreement</w:t>
      </w:r>
      <w:r>
        <w:rPr>
          <w:rFonts w:ascii="Times New Roman" w:cs="Times New Roman" w:eastAsia="Times New Roman" w:hAnsi="Times New Roman"/>
          <w:sz w:val="18"/>
          <w:szCs w:val="18"/>
          <w:color w:val="auto"/>
        </w:rPr>
        <w:t>” shall mean that certain Amended and Restated Voting Agreement entered into by and between the Corporation and Voting Parties listed on Exhibits A and B thereto, dated on or about the date hereof.</w:t>
      </w:r>
    </w:p>
    <w:p>
      <w:pPr>
        <w:spacing w:after="0" w:line="154" w:lineRule="exact"/>
        <w:rPr>
          <w:rFonts w:ascii="Times New Roman" w:cs="Times New Roman" w:eastAsia="Times New Roman" w:hAnsi="Times New Roman"/>
          <w:sz w:val="18"/>
          <w:szCs w:val="18"/>
          <w:color w:val="auto"/>
        </w:rPr>
      </w:pPr>
    </w:p>
    <w:p>
      <w:pPr>
        <w:ind w:left="600" w:hanging="184"/>
        <w:spacing w:after="0"/>
        <w:tabs>
          <w:tab w:leader="none" w:pos="60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Dividends.</w:t>
      </w:r>
    </w:p>
    <w:p>
      <w:pPr>
        <w:spacing w:after="0" w:line="225" w:lineRule="exact"/>
        <w:rPr>
          <w:rFonts w:ascii="Times New Roman" w:cs="Times New Roman" w:eastAsia="Times New Roman" w:hAnsi="Times New Roman"/>
          <w:sz w:val="18"/>
          <w:szCs w:val="18"/>
          <w:color w:val="auto"/>
        </w:rPr>
      </w:pPr>
    </w:p>
    <w:p>
      <w:pPr>
        <w:ind w:left="-20" w:right="20" w:firstLine="987"/>
        <w:spacing w:after="0" w:line="255" w:lineRule="auto"/>
        <w:tabs>
          <w:tab w:leader="none" w:pos="1216"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In any calendar year, the holders of outstanding shares of Preferred Stock shall be entitled to receive dividends,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as and if declared by the Board of Directors, out of any assets at the time legally available therefor, at the Dividend Rate specified for such shares of Preferred Stock payable in preference and priority to any declaration or payment of any Distribution on Common Stock of the Corporation in such calendar year. No Distributions shall be made with respect to the Common Stock unless dividends on the Preferred Stock have been declared in accordance with the preferences stated herein and all declared dividends on the Preferred Stock have been paid or set aside for payment to the Preferred Stock holders. The right to receive dividends on shares of Preferred Stock shall not be cumulative, and no right to dividends shall accrue to holders of Preferred Stock by reason of the fact that dividends on said shares are not declared or paid. Payment of any dividends to the holders of Preferred Stock shall be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in proportion to the Dividend Rates for each series of Preferred Stock.</w:t>
      </w:r>
    </w:p>
    <w:p>
      <w:pPr>
        <w:spacing w:after="0" w:line="184" w:lineRule="exact"/>
        <w:rPr>
          <w:rFonts w:ascii="Times New Roman" w:cs="Times New Roman" w:eastAsia="Times New Roman" w:hAnsi="Times New Roman"/>
          <w:sz w:val="18"/>
          <w:szCs w:val="18"/>
          <w:color w:val="auto"/>
        </w:rPr>
      </w:pPr>
    </w:p>
    <w:p>
      <w:pPr>
        <w:ind w:left="-20" w:firstLine="987"/>
        <w:spacing w:after="0" w:line="259" w:lineRule="auto"/>
        <w:tabs>
          <w:tab w:leader="none" w:pos="1226"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Additional Dividends. </w:t>
      </w:r>
      <w:r>
        <w:rPr>
          <w:rFonts w:ascii="Times New Roman" w:cs="Times New Roman" w:eastAsia="Times New Roman" w:hAnsi="Times New Roman"/>
          <w:sz w:val="18"/>
          <w:szCs w:val="18"/>
          <w:color w:val="auto"/>
        </w:rPr>
        <w:t>After the payment or setting aside for payment of the dividends described in Section 2(a), any additional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dividends (other than dividends on Common Stock payable solely in Common Stock) set aside or paid in any fiscal year shall be set aside or paid among the holders of the Preferred Stock and Common Stock then outstanding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in proportion to the greatest whole number of shares of Common Stock which would be held by each such holder if all shares of Preferred Stock were converted into Common Stock at the then-effective Conversion Rate (as defined in Section 4).</w:t>
      </w:r>
    </w:p>
    <w:p>
      <w:pPr>
        <w:spacing w:after="0" w:line="179" w:lineRule="exact"/>
        <w:rPr>
          <w:rFonts w:ascii="Times New Roman" w:cs="Times New Roman" w:eastAsia="Times New Roman" w:hAnsi="Times New Roman"/>
          <w:sz w:val="18"/>
          <w:szCs w:val="18"/>
          <w:color w:val="auto"/>
        </w:rPr>
      </w:pPr>
    </w:p>
    <w:p>
      <w:pPr>
        <w:ind w:left="-20" w:right="40" w:firstLine="987"/>
        <w:spacing w:after="0" w:line="268" w:lineRule="auto"/>
        <w:tabs>
          <w:tab w:leader="none" w:pos="1216"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Non-Cash Distributions. </w:t>
      </w:r>
      <w:r>
        <w:rPr>
          <w:rFonts w:ascii="Times New Roman" w:cs="Times New Roman" w:eastAsia="Times New Roman" w:hAnsi="Times New Roman"/>
          <w:sz w:val="18"/>
          <w:szCs w:val="18"/>
          <w:color w:val="auto"/>
        </w:rPr>
        <w:t>Whenever a Distribution provided for in this Section 2 shall be payable in property other than cash, the value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such Distribution shall be deemed to be the fair market value of such property as determined in good faith by the Board of Directors, including a majority of the directors designated by the holders of Preferred Stock (the “</w:t>
      </w:r>
      <w:r>
        <w:rPr>
          <w:rFonts w:ascii="Times New Roman" w:cs="Times New Roman" w:eastAsia="Times New Roman" w:hAnsi="Times New Roman"/>
          <w:sz w:val="18"/>
          <w:szCs w:val="18"/>
          <w:b w:val="1"/>
          <w:bCs w:val="1"/>
          <w:i w:val="1"/>
          <w:iCs w:val="1"/>
          <w:color w:val="auto"/>
        </w:rPr>
        <w:t>Preferred Directors</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20" w:right="40" w:firstLine="987"/>
        <w:spacing w:after="0" w:line="257" w:lineRule="auto"/>
        <w:tabs>
          <w:tab w:leader="none" w:pos="1226"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Consent to Certain Distributions. </w:t>
      </w:r>
      <w:r>
        <w:rPr>
          <w:rFonts w:ascii="Times New Roman" w:cs="Times New Roman" w:eastAsia="Times New Roman" w:hAnsi="Times New Roman"/>
          <w:sz w:val="18"/>
          <w:szCs w:val="18"/>
          <w:color w:val="auto"/>
        </w:rPr>
        <w:t>In accordance with Section 500 of the California Corporations Code, solely to the extent the same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may be applicable to the Corporation, a distribution can be made without regard to any preferential dividends arrears amount (as defined in Section 500 of the California Corporations Code) or any preferential rights amount (as defined in Section 500 of the California Corporations Code) in connection with (i) repurchases of Common Stock issued to or held by employees, officers, directors or consultants of the Corporation or its subsidiaries upon termination of their employment or services pursuant to agreements providing for the right of said repurchase, (ii) repurchases of Common Stock issued to or held by employees, officers, directors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60" w:top="266" w:right="479" w:bottom="1440" w:gutter="0" w:footer="0" w:header="0"/>
        </w:sectPr>
      </w:pPr>
    </w:p>
    <w:bookmarkStart w:id="265" w:name="page266"/>
    <w:bookmarkEnd w:id="265"/>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consultants of the Corporation or its subsidiaries pursuant to rights of first refusal contained in agreements providing for such right, (iii) repurchases of Common Stock or Preferred Stock in connection with the settlement of disputes with any stockholder, or (iv) any other repurchase or redemption of Common Stock or Preferred Stock approved by the Preferred Majority.</w:t>
      </w:r>
    </w:p>
    <w:p>
      <w:pPr>
        <w:spacing w:after="0" w:line="172" w:lineRule="exact"/>
        <w:rPr>
          <w:sz w:val="20"/>
          <w:szCs w:val="20"/>
          <w:color w:val="auto"/>
        </w:rPr>
      </w:pPr>
    </w:p>
    <w:p>
      <w:pPr>
        <w:ind w:right="80" w:firstLine="987"/>
        <w:spacing w:after="0" w:line="259" w:lineRule="auto"/>
        <w:tabs>
          <w:tab w:leader="none" w:pos="1236"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Waiver of Dividends. </w:t>
      </w:r>
      <w:r>
        <w:rPr>
          <w:rFonts w:ascii="Times New Roman" w:cs="Times New Roman" w:eastAsia="Times New Roman" w:hAnsi="Times New Roman"/>
          <w:sz w:val="18"/>
          <w:szCs w:val="18"/>
          <w:color w:val="auto"/>
        </w:rPr>
        <w:t>Any dividend preference of any series of Preferred Stock may be waived, in whole or in part, by the consent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vote of the holders of the majority of the outstanding shares of such series; provided that (i) with respect to the Series A Preferred Stock such waiver shall be based only upon the consent or vote of the holders in the aggregate of at least sixty percent (60%) of the then outstanding shares of Series A Preferred Stock (the “</w:t>
      </w:r>
      <w:r>
        <w:rPr>
          <w:rFonts w:ascii="Times New Roman" w:cs="Times New Roman" w:eastAsia="Times New Roman" w:hAnsi="Times New Roman"/>
          <w:sz w:val="18"/>
          <w:szCs w:val="18"/>
          <w:b w:val="1"/>
          <w:bCs w:val="1"/>
          <w:i w:val="1"/>
          <w:iCs w:val="1"/>
          <w:color w:val="auto"/>
        </w:rPr>
        <w:t>Series A Majority</w:t>
      </w:r>
      <w:r>
        <w:rPr>
          <w:rFonts w:ascii="Times New Roman" w:cs="Times New Roman" w:eastAsia="Times New Roman" w:hAnsi="Times New Roman"/>
          <w:sz w:val="18"/>
          <w:szCs w:val="18"/>
          <w:color w:val="auto"/>
        </w:rPr>
        <w:t>”) and (ii) with respect to the Series D Preferred Stock such waiver shall be based only upon the consent or vote of the Series D Majority.</w:t>
      </w:r>
    </w:p>
    <w:p>
      <w:pPr>
        <w:spacing w:after="0" w:line="179"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Liquidation Rights.</w:t>
      </w:r>
    </w:p>
    <w:p>
      <w:pPr>
        <w:spacing w:after="0" w:line="225" w:lineRule="exact"/>
        <w:rPr>
          <w:rFonts w:ascii="Times New Roman" w:cs="Times New Roman" w:eastAsia="Times New Roman" w:hAnsi="Times New Roman"/>
          <w:sz w:val="18"/>
          <w:szCs w:val="18"/>
          <w:color w:val="auto"/>
        </w:rPr>
      </w:pPr>
    </w:p>
    <w:p>
      <w:pPr>
        <w:ind w:right="60" w:firstLine="987"/>
        <w:spacing w:after="0" w:line="255" w:lineRule="auto"/>
        <w:tabs>
          <w:tab w:leader="none" w:pos="1236"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Liquidation Preference. </w:t>
      </w:r>
      <w:r>
        <w:rPr>
          <w:rFonts w:ascii="Times New Roman" w:cs="Times New Roman" w:eastAsia="Times New Roman" w:hAnsi="Times New Roman"/>
          <w:sz w:val="18"/>
          <w:szCs w:val="18"/>
          <w:color w:val="auto"/>
        </w:rPr>
        <w:t>In the event of any liquidation, dissolution or winding up of the Corporation, either voluntary or involuntary,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holders of the Preferred Stock shall be entitled to receive, prior and in preference to any Distribution of any of the assets of the Corporation to the holders of the Common Stock by reason of their ownership of such stock, an amount per share for each share of Preferred Stock held by them equal to the sum of (i) the Original Issue Price specified for such share of Preferred Stock and (ii) all declared but unpaid dividends (if any) on such share of Preferred Stock. If upon the liquidation, dissolution or winding up of the Corporation, the assets of the Corporation legally available for distribution to the holders of the Preferred Stock are insufficient to permit the payment to such holders of the full amounts specified in this Section 3(a), then the entire assets of the Corporation legally available for distribution shall be distributed with equal priority and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the holders of the Preferred Stock in proportion to the full amounts they would otherwise be entitled to receive pursuant to this Section 3(a).</w:t>
      </w:r>
    </w:p>
    <w:p>
      <w:pPr>
        <w:spacing w:after="0" w:line="184"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Remaining Assets. </w:t>
      </w:r>
      <w:r>
        <w:rPr>
          <w:rFonts w:ascii="Times New Roman" w:cs="Times New Roman" w:eastAsia="Times New Roman" w:hAnsi="Times New Roman"/>
          <w:sz w:val="18"/>
          <w:szCs w:val="18"/>
          <w:color w:val="auto"/>
        </w:rPr>
        <w:t>After the payment to the holders of Preferred Stock of the full preferential amounts specified in Section 3(a) above,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entire remaining assets of the Corporation legally available for distribution by the Corporation shall be distributed with equal priority and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the holders of the Preferred Stock and Common Stock in proportion to the number of shares of Common Stock held by them, with the shares of Preferred Stock being treated for this purpose as if they had been converted to shares of Common Stock at the then applicable Conversion Rate. Notwithstanding the foregoing, the aggregate distributions made pursuant to Sections 3(a) and 3(b) with respect to any share of Preferred Stock shall not exceed the greater of (i) an amount equal to two times the Original Issue Price for that share of Preferred Stock plus any declared but unpaid dividends (if any) on such share of Preferred Stock or (ii) the amount such holder would have received if all shares of Preferred Stock were deemed to have been converted into Common Stock as of immediately prior to such liquidation, dissolution or winding up of the Corporation, taking into account the distribution of Total Proceeds, as defined below, upon the satisfaction of contingencies, pursuant to Section 3(d).</w:t>
      </w:r>
    </w:p>
    <w:p>
      <w:pPr>
        <w:spacing w:after="0" w:line="188" w:lineRule="exact"/>
        <w:rPr>
          <w:rFonts w:ascii="Times New Roman" w:cs="Times New Roman" w:eastAsia="Times New Roman" w:hAnsi="Times New Roman"/>
          <w:sz w:val="18"/>
          <w:szCs w:val="18"/>
          <w:color w:val="auto"/>
        </w:rPr>
      </w:pPr>
    </w:p>
    <w:p>
      <w:pPr>
        <w:ind w:firstLine="987"/>
        <w:spacing w:after="0" w:line="268" w:lineRule="auto"/>
        <w:tabs>
          <w:tab w:leader="none" w:pos="1236"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Shares not Treated as Both Preferred Stock and Common Stock in any Distribution</w:t>
      </w:r>
      <w:r>
        <w:rPr>
          <w:rFonts w:ascii="Times New Roman" w:cs="Times New Roman" w:eastAsia="Times New Roman" w:hAnsi="Times New Roman"/>
          <w:sz w:val="18"/>
          <w:szCs w:val="18"/>
          <w:color w:val="auto"/>
        </w:rPr>
        <w:t>. Shares of Preferred Stock shall not be entitled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 converted into shares of Common Stock in order to participate in any Distribution, or series of Distributions, as shares of Common Stock, without first foregoing participation in the Distribution, or series of Distributions, as shares of</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266" w:name="page267"/>
    <w:bookmarkEnd w:id="266"/>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Preferred Stock, subject to Section 3(d) below. Upon any liquidation, dissolution or winding up of the Corporation, each holder of Preferred Stock shall be entitled to receive, for each share of each series of Preferred Stock then held, out of the proceeds available for distribution, the greater of (i) the amount of cash, securities or other property to which such holder would be entitled to receive with respect to such shares in such liquidation, dissolution or winding up of the Corporation pursuant to Sections 3(a) and 3(b) or (ii) the amount of cash, securities or other property to which such holder would be entitled to receive in such liquidation, dissolution or winding up of the Corporation with respect to such shares if such shares had been converted to Common Stock immediately prior to such liquidation, dissolution or winding up of the Corporation.</w:t>
      </w:r>
    </w:p>
    <w:p>
      <w:pPr>
        <w:spacing w:after="0" w:line="183" w:lineRule="exact"/>
        <w:rPr>
          <w:sz w:val="20"/>
          <w:szCs w:val="20"/>
          <w:color w:val="auto"/>
        </w:rPr>
      </w:pPr>
    </w:p>
    <w:p>
      <w:pPr>
        <w:ind w:right="60" w:firstLine="987"/>
        <w:spacing w:after="0" w:line="253" w:lineRule="auto"/>
        <w:tabs>
          <w:tab w:leader="none" w:pos="124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Contingent Consideration</w:t>
      </w:r>
      <w:r>
        <w:rPr>
          <w:rFonts w:ascii="Times New Roman" w:cs="Times New Roman" w:eastAsia="Times New Roman" w:hAnsi="Times New Roman"/>
          <w:sz w:val="18"/>
          <w:szCs w:val="18"/>
          <w:color w:val="auto"/>
        </w:rPr>
        <w:t>. In the event of a deemed liquidation, dissolution or winding up of the Corporation, if any portion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consideration payable to the Corporation or to the stockholders of the Corporation is payable only upon satisfaction of contingencies (the “</w:t>
      </w:r>
      <w:r>
        <w:rPr>
          <w:rFonts w:ascii="Times New Roman" w:cs="Times New Roman" w:eastAsia="Times New Roman" w:hAnsi="Times New Roman"/>
          <w:sz w:val="18"/>
          <w:szCs w:val="18"/>
          <w:b w:val="1"/>
          <w:bCs w:val="1"/>
          <w:i w:val="1"/>
          <w:i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Consideration</w:t>
      </w:r>
      <w:r>
        <w:rPr>
          <w:rFonts w:ascii="Times New Roman" w:cs="Times New Roman" w:eastAsia="Times New Roman" w:hAnsi="Times New Roman"/>
          <w:sz w:val="18"/>
          <w:szCs w:val="18"/>
          <w:color w:val="auto"/>
        </w:rPr>
        <w:t>”): (i) the portion of such consideration that is not Additional Consideration (such portion, the “</w:t>
      </w:r>
      <w:r>
        <w:rPr>
          <w:rFonts w:ascii="Times New Roman" w:cs="Times New Roman" w:eastAsia="Times New Roman" w:hAnsi="Times New Roman"/>
          <w:sz w:val="18"/>
          <w:szCs w:val="18"/>
          <w:b w:val="1"/>
          <w:bCs w:val="1"/>
          <w:i w:val="1"/>
          <w:iCs w:val="1"/>
          <w:color w:val="auto"/>
        </w:rPr>
        <w:t>Initial Consideration</w:t>
      </w:r>
      <w:r>
        <w:rPr>
          <w:rFonts w:ascii="Times New Roman" w:cs="Times New Roman" w:eastAsia="Times New Roman" w:hAnsi="Times New Roman"/>
          <w:sz w:val="18"/>
          <w:szCs w:val="18"/>
          <w:color w:val="auto"/>
        </w:rPr>
        <w:t>”) shall be allocated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among the holders of capital stock of the Corporation in accordance with Sections 3(a) and 3(b) above as if the Initial Consideration were the only consideration payable in connection with such deemed liquidation, dissolution or winding up of the Corporation, and (ii) any Additional Consideration which becomes payable to the Corporation or to the stockholders of the Corporation upon satisfaction of such contingencies shall be allocated among the holders of capital stock of the Corporation in accordance with Sections 3(a) and 3(b) above after taking into account the previous payment of the Initial Consideration as part of the same transaction, and any definitive agreement for such transaction (a “</w:t>
      </w:r>
      <w:r>
        <w:rPr>
          <w:rFonts w:ascii="Times New Roman" w:cs="Times New Roman" w:eastAsia="Times New Roman" w:hAnsi="Times New Roman"/>
          <w:sz w:val="18"/>
          <w:szCs w:val="18"/>
          <w:b w:val="1"/>
          <w:bCs w:val="1"/>
          <w:i w:val="1"/>
          <w:iCs w:val="1"/>
          <w:color w:val="auto"/>
        </w:rPr>
        <w:t>Liquidation Transaction Agreement</w:t>
      </w:r>
      <w:r>
        <w:rPr>
          <w:rFonts w:ascii="Times New Roman" w:cs="Times New Roman" w:eastAsia="Times New Roman" w:hAnsi="Times New Roman"/>
          <w:sz w:val="18"/>
          <w:szCs w:val="18"/>
          <w:color w:val="auto"/>
        </w:rPr>
        <w:t>”) shall provide therefor. Initial Consideration and all Additional Consideration that becomes payable shall be known herein collectively as “</w:t>
      </w:r>
      <w:r>
        <w:rPr>
          <w:rFonts w:ascii="Times New Roman" w:cs="Times New Roman" w:eastAsia="Times New Roman" w:hAnsi="Times New Roman"/>
          <w:sz w:val="18"/>
          <w:szCs w:val="18"/>
          <w:b w:val="1"/>
          <w:bCs w:val="1"/>
          <w:i w:val="1"/>
          <w:iCs w:val="1"/>
          <w:color w:val="auto"/>
        </w:rPr>
        <w:t>Total Proceeds</w:t>
      </w:r>
      <w:r>
        <w:rPr>
          <w:rFonts w:ascii="Times New Roman" w:cs="Times New Roman" w:eastAsia="Times New Roman" w:hAnsi="Times New Roman"/>
          <w:sz w:val="18"/>
          <w:szCs w:val="18"/>
          <w:color w:val="auto"/>
        </w:rPr>
        <w:t>”. For the purposes of this Section 3(d), consideration placed into escrow or retained as holdback to be available for satisfaction of indemnification or similar obligations in connection with such deemed liquidation, dissolution or winding up of the Corporation shall be deemed to be Additional Consideration.</w:t>
      </w:r>
    </w:p>
    <w:p>
      <w:pPr>
        <w:spacing w:after="0" w:line="189"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Reorganization. </w:t>
      </w:r>
      <w:r>
        <w:rPr>
          <w:rFonts w:ascii="Times New Roman" w:cs="Times New Roman" w:eastAsia="Times New Roman" w:hAnsi="Times New Roman"/>
          <w:sz w:val="18"/>
          <w:szCs w:val="18"/>
          <w:color w:val="auto"/>
        </w:rPr>
        <w:t>For purposes of this Section 3, a liquidation, dissolution or winding up of the Corporation shall mean, (i)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acquisition of the Corporation by another entity by means of any transaction or series of related transactions to which the Corporation is party (including, without limitation, any stock acquisition, reorganization, merger or consolidation but excluding any sale of stock for bona fide capital raising purposes) other than a transaction or series of related transactions in which the holders of the voting securities of the Corporation outstanding immediately prior to such transaction or series of related transactions retain, immediately after such transaction or series of related transactions, as a result of shares in the Corporation held by such holders prior to such transaction or series of related transactions, at least a majority of the total voting power represented by the outstanding voting securities of the Corporation or such other surviving or resulting entity (or if the Corporation or such other surviving or resulting entity is a wholly-owned subsidiary immediately following such acquisition, its parent); (ii) a sale, lease, transfer, exclusive license or other disposition of all or substantially all of the total assets or intellectual property assets of the Corporation and its subsidiaries taken as a whole by means of any transaction or series of related transactions, except where such sale, lease, transfer, exclusive license or other disposition is to a wholly-owned subsidiary of the Corporation; or (iii) any liquidation, dissolution or winding up of the Corporation, whether voluntary or involuntary. The treatment of any transaction or series of related transactions as a liquidation, dissolution or winding up pursuant to clause (i) or (ii) of the preceding sentence may be waived by the consent or vote of the Preferred Majority, the Series C Majority and the Series D Majority.</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267" w:name="page268"/>
    <w:bookmarkEnd w:id="267"/>
    <w:p>
      <w:pPr>
        <w:ind w:left="4" w:right="80" w:firstLine="987"/>
        <w:spacing w:after="0" w:line="262" w:lineRule="auto"/>
        <w:tabs>
          <w:tab w:leader="none" w:pos="12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Valuation of Non-Cash Consideration. </w:t>
      </w:r>
      <w:r>
        <w:rPr>
          <w:rFonts w:ascii="Times New Roman" w:cs="Times New Roman" w:eastAsia="Times New Roman" w:hAnsi="Times New Roman"/>
          <w:sz w:val="18"/>
          <w:szCs w:val="18"/>
          <w:color w:val="auto"/>
        </w:rPr>
        <w:t>If any assets of the Corporation distributed to stockholders in connection with any liquidation,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dissolution, or winding up of the Corporation are other than cash, then the value of such assets shall be their fair market value as determined in good faith by the Board of Directors, including a majority of the Preferred Directors, </w:t>
      </w:r>
      <w:r>
        <w:rPr>
          <w:rFonts w:ascii="Times New Roman" w:cs="Times New Roman" w:eastAsia="Times New Roman" w:hAnsi="Times New Roman"/>
          <w:sz w:val="18"/>
          <w:szCs w:val="18"/>
          <w:i w:val="1"/>
          <w:iCs w:val="1"/>
          <w:color w:val="auto"/>
        </w:rPr>
        <w:t>except that</w:t>
      </w:r>
      <w:r>
        <w:rPr>
          <w:rFonts w:ascii="Times New Roman" w:cs="Times New Roman" w:eastAsia="Times New Roman" w:hAnsi="Times New Roman"/>
          <w:sz w:val="18"/>
          <w:szCs w:val="18"/>
          <w:color w:val="auto"/>
        </w:rPr>
        <w:t xml:space="preserve"> any publicly-traded securities to be distributed to stockholders in a liquidation, dissolution, or winding up of the Corporation shall be valued as follows:</w:t>
      </w:r>
    </w:p>
    <w:p>
      <w:pPr>
        <w:spacing w:after="0" w:line="180" w:lineRule="exact"/>
        <w:rPr>
          <w:rFonts w:ascii="Times New Roman" w:cs="Times New Roman" w:eastAsia="Times New Roman" w:hAnsi="Times New Roman"/>
          <w:sz w:val="18"/>
          <w:szCs w:val="18"/>
          <w:color w:val="auto"/>
        </w:rPr>
      </w:pPr>
    </w:p>
    <w:p>
      <w:pPr>
        <w:ind w:left="4" w:right="540" w:firstLine="1428"/>
        <w:spacing w:after="0" w:line="266" w:lineRule="auto"/>
        <w:tabs>
          <w:tab w:leader="none" w:pos="1651"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then traded on a national securities exchange, then the value of the securities shall be deemed to be the average of the closing prices of the securities on such exchange over the ten (10) trading day period ending five (5) trading days prior to the Distribution;</w:t>
      </w:r>
    </w:p>
    <w:p>
      <w:pPr>
        <w:spacing w:after="0" w:line="175" w:lineRule="exact"/>
        <w:rPr>
          <w:rFonts w:ascii="Times New Roman" w:cs="Times New Roman" w:eastAsia="Times New Roman" w:hAnsi="Times New Roman"/>
          <w:sz w:val="18"/>
          <w:szCs w:val="18"/>
          <w:color w:val="auto"/>
        </w:rPr>
      </w:pPr>
    </w:p>
    <w:p>
      <w:pPr>
        <w:ind w:left="4" w:right="360" w:firstLine="1428"/>
        <w:spacing w:after="0" w:line="282" w:lineRule="auto"/>
        <w:tabs>
          <w:tab w:leader="none" w:pos="1701"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are actively traded over-the-counter, then the value of the securities shall be deemed to be the average of the closing bid prices of the securities over the ten (10) trading day period ending five (5) trading days prior to the Distribution.</w:t>
      </w:r>
    </w:p>
    <w:p>
      <w:pPr>
        <w:spacing w:after="0" w:line="162"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In the event of a merger or other acquisition of the Corporation by another entity, the Distribution date for Initial Consideration shall be deemed to be the date such transaction closes and the Distribution date for Additional Consideration shall be the date such payments are released to stockholders following the satisfaction of the applicable contingencies, unless otherwise specified in any Liquidation Transaction Agreement approved by the Preferred Majority.</w:t>
      </w:r>
    </w:p>
    <w:p>
      <w:pPr>
        <w:spacing w:after="0" w:line="176" w:lineRule="exact"/>
        <w:rPr>
          <w:sz w:val="20"/>
          <w:szCs w:val="20"/>
          <w:color w:val="auto"/>
        </w:rPr>
      </w:pPr>
    </w:p>
    <w:p>
      <w:pPr>
        <w:ind w:left="4" w:right="80" w:firstLine="440"/>
        <w:spacing w:after="0" w:line="274" w:lineRule="auto"/>
        <w:rPr>
          <w:sz w:val="20"/>
          <w:szCs w:val="20"/>
          <w:color w:val="auto"/>
        </w:rPr>
      </w:pPr>
      <w:r>
        <w:rPr>
          <w:rFonts w:ascii="Times New Roman" w:cs="Times New Roman" w:eastAsia="Times New Roman" w:hAnsi="Times New Roman"/>
          <w:sz w:val="17"/>
          <w:szCs w:val="17"/>
          <w:color w:val="auto"/>
        </w:rPr>
        <w:t>For the purposes of this subsection 3(f), “</w:t>
      </w:r>
      <w:r>
        <w:rPr>
          <w:rFonts w:ascii="Times New Roman" w:cs="Times New Roman" w:eastAsia="Times New Roman" w:hAnsi="Times New Roman"/>
          <w:sz w:val="17"/>
          <w:szCs w:val="17"/>
          <w:b w:val="1"/>
          <w:bCs w:val="1"/>
          <w:i w:val="1"/>
          <w:iCs w:val="1"/>
          <w:color w:val="auto"/>
        </w:rPr>
        <w:t>trading day</w:t>
      </w:r>
      <w:r>
        <w:rPr>
          <w:rFonts w:ascii="Times New Roman" w:cs="Times New Roman" w:eastAsia="Times New Roman" w:hAnsi="Times New Roman"/>
          <w:sz w:val="17"/>
          <w:szCs w:val="17"/>
          <w:color w:val="auto"/>
        </w:rPr>
        <w:t>” shall mean any day which the exchange or system on which the securities to be distributed are traded is open and “</w:t>
      </w:r>
      <w:r>
        <w:rPr>
          <w:rFonts w:ascii="Times New Roman" w:cs="Times New Roman" w:eastAsia="Times New Roman" w:hAnsi="Times New Roman"/>
          <w:sz w:val="17"/>
          <w:szCs w:val="17"/>
          <w:b w:val="1"/>
          <w:bCs w:val="1"/>
          <w:i w:val="1"/>
          <w:iCs w:val="1"/>
          <w:color w:val="auto"/>
        </w:rPr>
        <w:t>closing prices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i w:val="1"/>
          <w:iCs w:val="1"/>
          <w:color w:val="auto"/>
        </w:rPr>
        <w:t>closing bid prices</w:t>
      </w:r>
      <w:r>
        <w:rPr>
          <w:rFonts w:ascii="Times New Roman" w:cs="Times New Roman" w:eastAsia="Times New Roman" w:hAnsi="Times New Roman"/>
          <w:sz w:val="17"/>
          <w:szCs w:val="17"/>
          <w:color w:val="auto"/>
        </w:rPr>
        <w:t>” shall be deemed to be: (i) for securities traded primarily on the New York Stock Exchange, NYSE MKT or a Nasdaq market, the last reported trade price or sale price, as the case may be, at 4:00 p.m., New York time, on that day and</w:t>
      </w:r>
    </w:p>
    <w:p>
      <w:pPr>
        <w:spacing w:after="0" w:line="1" w:lineRule="exact"/>
        <w:rPr>
          <w:sz w:val="20"/>
          <w:szCs w:val="20"/>
          <w:color w:val="auto"/>
        </w:rPr>
      </w:pPr>
    </w:p>
    <w:p>
      <w:pPr>
        <w:jc w:val="both"/>
        <w:ind w:left="4" w:right="400" w:hanging="4"/>
        <w:spacing w:after="0" w:line="253" w:lineRule="auto"/>
        <w:tabs>
          <w:tab w:leader="none" w:pos="269"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securities listed or traded on other exchanges, markets and systems, the market price as of the end of the regular hours trading period that is generally accepted as such for such exchange, market or system. If, after the date hereof, the benchmark times generally accepted in the securities industry for determining the market price of a stock as of a given trading day shall change from those set forth above, the fair market value shall be determined as of such other generally accepted benchmark times.</w:t>
      </w:r>
    </w:p>
    <w:p>
      <w:pPr>
        <w:spacing w:after="0" w:line="184"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Conversion. </w:t>
      </w:r>
      <w:r>
        <w:rPr>
          <w:rFonts w:ascii="Times New Roman" w:cs="Times New Roman" w:eastAsia="Times New Roman" w:hAnsi="Times New Roman"/>
          <w:sz w:val="18"/>
          <w:szCs w:val="18"/>
          <w:color w:val="auto"/>
        </w:rPr>
        <w:t>The holders of the Preferred Stock shall have conversion rights and obligations as follows:</w:t>
      </w:r>
    </w:p>
    <w:p>
      <w:pPr>
        <w:spacing w:after="0" w:line="225" w:lineRule="exact"/>
        <w:rPr>
          <w:rFonts w:ascii="Times New Roman" w:cs="Times New Roman" w:eastAsia="Times New Roman" w:hAnsi="Times New Roman"/>
          <w:sz w:val="18"/>
          <w:szCs w:val="18"/>
          <w:color w:val="auto"/>
        </w:rPr>
      </w:pPr>
    </w:p>
    <w:p>
      <w:pPr>
        <w:ind w:left="4" w:firstLine="987"/>
        <w:spacing w:after="0" w:line="257" w:lineRule="auto"/>
        <w:tabs>
          <w:tab w:leader="none" w:pos="1240" w:val="left"/>
        </w:tabs>
        <w:numPr>
          <w:ilvl w:val="2"/>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Right to Convert. </w:t>
      </w:r>
      <w:r>
        <w:rPr>
          <w:rFonts w:ascii="Times New Roman" w:cs="Times New Roman" w:eastAsia="Times New Roman" w:hAnsi="Times New Roman"/>
          <w:sz w:val="18"/>
          <w:szCs w:val="18"/>
          <w:color w:val="auto"/>
        </w:rPr>
        <w:t>Each share of Preferred Stock shall be convertible, at the option of the holder thereof, at any time after the date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issuance of such share at the office of the Corporation or any transfer agent for the Preferred Stock, into that number of fully-paid, nonassessable shares of Common Stock determined by dividing the Original Issue Price for the relevant series by the Conversion Price for such series. (The number of shares of Common Stock into which each share of Preferred Stock of a series may be converted is hereinafter referred to as the “</w:t>
      </w:r>
      <w:r>
        <w:rPr>
          <w:rFonts w:ascii="Times New Roman" w:cs="Times New Roman" w:eastAsia="Times New Roman" w:hAnsi="Times New Roman"/>
          <w:sz w:val="18"/>
          <w:szCs w:val="18"/>
          <w:b w:val="1"/>
          <w:bCs w:val="1"/>
          <w:i w:val="1"/>
          <w:iCs w:val="1"/>
          <w:color w:val="auto"/>
        </w:rPr>
        <w:t>Conversion Rate</w:t>
      </w:r>
      <w:r>
        <w:rPr>
          <w:rFonts w:ascii="Times New Roman" w:cs="Times New Roman" w:eastAsia="Times New Roman" w:hAnsi="Times New Roman"/>
          <w:sz w:val="18"/>
          <w:szCs w:val="18"/>
          <w:color w:val="auto"/>
        </w:rPr>
        <w:t>” for each such series.) Upon any decrease or increase in the Conversion Price for any series of Preferred Stock, as described in this Section 4, the Conversion Rate for such series shall be appropriately increased or decreased.</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4"/>
          </w:cols>
          <w:pgMar w:left="436" w:top="266" w:right="479" w:bottom="1440" w:gutter="0" w:footer="0" w:header="0"/>
        </w:sectPr>
      </w:pPr>
    </w:p>
    <w:bookmarkStart w:id="268" w:name="page269"/>
    <w:bookmarkEnd w:id="268"/>
    <w:p>
      <w:pPr>
        <w:ind w:firstLine="987"/>
        <w:spacing w:after="0" w:line="254" w:lineRule="auto"/>
        <w:tabs>
          <w:tab w:leader="none" w:pos="124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Automatic Conversion. </w:t>
      </w:r>
      <w:r>
        <w:rPr>
          <w:rFonts w:ascii="Times New Roman" w:cs="Times New Roman" w:eastAsia="Times New Roman" w:hAnsi="Times New Roman"/>
          <w:sz w:val="18"/>
          <w:szCs w:val="18"/>
          <w:color w:val="auto"/>
        </w:rPr>
        <w:t>Each share of Preferred Stock shall automatically be converted into fully-paid, non-assessable shares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at the then effective Conversion Rate for such share (i) immediately prior to the closing of a firm commitment underwritten initial public offering pursuant to an effective registration statement filed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covering the offer and sale of the Corporation’s Common Stock, provided that the aggregate offering price (prior to underwriting discounts, commissions and expenses) is not less than $40,000,000 and the initial offering price to the public is at least $2.4982 per share (as adjusted for any stock splits, stock dividends, combinations, subdivisions, recapitalizations, reorganizations, reclassifications or the like) and in connection with such offering the Common Stock is listed for trading on the Nasdaq Stock Market’s National Market or the New York Stock Exchange (a “</w:t>
      </w:r>
      <w:r>
        <w:rPr>
          <w:rFonts w:ascii="Times New Roman" w:cs="Times New Roman" w:eastAsia="Times New Roman" w:hAnsi="Times New Roman"/>
          <w:sz w:val="18"/>
          <w:szCs w:val="18"/>
          <w:b w:val="1"/>
          <w:bCs w:val="1"/>
          <w:i w:val="1"/>
          <w:iCs w:val="1"/>
          <w:color w:val="auto"/>
        </w:rPr>
        <w:t>Qualified IPO</w:t>
      </w:r>
      <w:r>
        <w:rPr>
          <w:rFonts w:ascii="Times New Roman" w:cs="Times New Roman" w:eastAsia="Times New Roman" w:hAnsi="Times New Roman"/>
          <w:sz w:val="18"/>
          <w:szCs w:val="18"/>
          <w:color w:val="auto"/>
        </w:rPr>
        <w:t>”) or (ii) upon the receipt by the Corporation of a written request for such conversion from the holders of the Preferred Majority, the Series C Majority and the Series D Majority, or, if later, the effective date for conversion specified in such requests (each of the events referred to in (i) and (ii) are referred to herein as an “</w:t>
      </w:r>
      <w:r>
        <w:rPr>
          <w:rFonts w:ascii="Times New Roman" w:cs="Times New Roman" w:eastAsia="Times New Roman" w:hAnsi="Times New Roman"/>
          <w:sz w:val="18"/>
          <w:szCs w:val="18"/>
          <w:b w:val="1"/>
          <w:bCs w:val="1"/>
          <w:i w:val="1"/>
          <w:iCs w:val="1"/>
          <w:color w:val="auto"/>
        </w:rPr>
        <w:t>Automatic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Conversion Event</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right="20" w:firstLine="987"/>
        <w:spacing w:after="0" w:line="252" w:lineRule="auto"/>
        <w:tabs>
          <w:tab w:leader="none" w:pos="1236"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Mechanics of Conversion. </w:t>
      </w:r>
      <w:r>
        <w:rPr>
          <w:rFonts w:ascii="Times New Roman" w:cs="Times New Roman" w:eastAsia="Times New Roman" w:hAnsi="Times New Roman"/>
          <w:sz w:val="18"/>
          <w:szCs w:val="18"/>
          <w:color w:val="auto"/>
        </w:rPr>
        <w:t>No fractional shares of Common Stock shall be issued upon conversion of Preferred Stock. In lieu of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fractional shares to which the holder would otherwise be entitled, the Corporation shall pay cash equal to such fraction multiplied by the then fair market value of a share of Common Stock as determined by the Board of Directors. For such purpose, all shares of Preferred Stock held by each holder of Preferred Stock shall be aggregated, and any resulting fractional share of Common Stock shall be paid in cash. Before any holder of Preferred Stock shall be entitled to convert the same into full shares of Common Stock, and to receive certificates therefor, the holder shall either (A) surrender the certificate or certificates therefor, duly endorsed, at the office of the Corporation or of any transfer agent for the Preferred Stock or (B) notify the Corporation or its transfer agent that such certificates have been lost, stolen or destroyed and execute an agreement satisfactory to the Corporation to indemnify the Corporation from any loss incurred by it in connection with such certificates, and shall give written notice to the Corporation at such office that the holder elects to convert the same;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on the date of an Automatic Conversion Event, the outstanding shares of Preferred Stock shall be converted automatically without any further action by the holders of such shares and whether or not the certificates representing such shares are surrendered to the Corporation or its transfer agent;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however, that the Corporation shall not be obligated to issue certificates evidencing the shares of Common Stock issuable upon such Automatic Conversion Event unless either the certificates evidencing such shares of Preferred Stock are delivered to the Corporation or its transfer agent as provided above, or the holder notifies the Corporation or its transfer agent that such certificates have been lost, stolen or destroyed and executes an agreement satisfactory to the Corporation to indemnify the Corporation from any loss incurred by it in connection with such certificates. On the date of the occurrence of an Automatic Conversion Event, each holder of record of shares of Preferred Stock shall be deemed to be the holder of record of the Common Stock issuable upon such conversion, notwithstanding that the certificates representing such shares of Preferred Stock shall not have been surrendered at the office of the Corporation, that notice from the Corporation shall not have been received by any holder of record of shares of Preferred Stock, or that the certificates evidencing such shares of Common Stock shall not then be actually delivered to such holder.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266" w:right="439" w:bottom="1440" w:gutter="0" w:footer="0" w:header="0"/>
        </w:sectPr>
      </w:pPr>
    </w:p>
    <w:bookmarkStart w:id="269" w:name="page270"/>
    <w:bookmarkEnd w:id="269"/>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Corporation shall, as soon as practicable after such delivery, or after such agreement and indemnification, issue and deliver at such office to such holder of Preferred Stock, a certificate or certificates for the number of shares of Common Stock to which the holder shall be entitled as aforesaid and a check payable to the holder in the amount of any cash amounts payable as the result of a conversion into fractional shares of Common Stock, plus any declared and unpaid dividends on the converted Preferred Stock Such conversion shall be deemed to have been made immediately prior to the close of business on the date of such surrender of the shares of Preferred Stock to be converted, and the person or persons entitled to receive the shares of Common Stock issuable upon such conversion shall be treated for all purposes as the record holder or holders of such shares of Common Stock on such date;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if the conversion is in connection with an underwritten offer of securities registered pursuant to the Securities Act or a merger, sale, financing, or liquidation of the Corporation or other event, the conversion may, at the option of any holder tendering Preferred Stock for conversion, be conditioned upon the closing of such transaction or upon the occurrence of such event, in which case the person(s) entitled to receive the Common Stock issuable upon such conversion of the Preferred Stock shall not be deemed to have converted such Preferred Stock until immediately prior to the closing of such transaction or the occurrence of such event.</w:t>
      </w:r>
    </w:p>
    <w:p>
      <w:pPr>
        <w:spacing w:after="0" w:line="188" w:lineRule="exact"/>
        <w:rPr>
          <w:sz w:val="20"/>
          <w:szCs w:val="20"/>
          <w:color w:val="auto"/>
        </w:rPr>
      </w:pPr>
    </w:p>
    <w:p>
      <w:pPr>
        <w:ind w:left="1240" w:hanging="253"/>
        <w:spacing w:after="0"/>
        <w:tabs>
          <w:tab w:leader="none" w:pos="124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Adjustments to Conversion Price for Diluting Issues.</w:t>
      </w:r>
    </w:p>
    <w:p>
      <w:pPr>
        <w:spacing w:after="0" w:line="225" w:lineRule="exact"/>
        <w:rPr>
          <w:rFonts w:ascii="Times New Roman" w:cs="Times New Roman" w:eastAsia="Times New Roman" w:hAnsi="Times New Roman"/>
          <w:sz w:val="18"/>
          <w:szCs w:val="18"/>
          <w:color w:val="auto"/>
        </w:rPr>
      </w:pPr>
    </w:p>
    <w:p>
      <w:pPr>
        <w:ind w:right="280" w:firstLine="1428"/>
        <w:spacing w:after="0" w:line="268" w:lineRule="auto"/>
        <w:tabs>
          <w:tab w:leader="none" w:pos="1647"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Special Definition. </w:t>
      </w:r>
      <w:r>
        <w:rPr>
          <w:rFonts w:ascii="Times New Roman" w:cs="Times New Roman" w:eastAsia="Times New Roman" w:hAnsi="Times New Roman"/>
          <w:sz w:val="18"/>
          <w:szCs w:val="18"/>
          <w:color w:val="auto"/>
        </w:rPr>
        <w:t>For purposes of this paragraph 4(d), “</w:t>
      </w:r>
      <w:r>
        <w:rPr>
          <w:rFonts w:ascii="Times New Roman" w:cs="Times New Roman" w:eastAsia="Times New Roman" w:hAnsi="Times New Roman"/>
          <w:sz w:val="18"/>
          <w:szCs w:val="18"/>
          <w:b w:val="1"/>
          <w:bCs w:val="1"/>
          <w:i w:val="1"/>
          <w:iCs w:val="1"/>
          <w:color w:val="auto"/>
        </w:rPr>
        <w:t>Additional Shares of Common</w:t>
      </w:r>
      <w:r>
        <w:rPr>
          <w:rFonts w:ascii="Times New Roman" w:cs="Times New Roman" w:eastAsia="Times New Roman" w:hAnsi="Times New Roman"/>
          <w:sz w:val="18"/>
          <w:szCs w:val="18"/>
          <w:color w:val="auto"/>
        </w:rPr>
        <w:t>” shall mean all shares of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issued (or, pursuant to paragraph 4(d)(iii), deemed to be issued) by the Corporation after the filing of this Amended and Restated Certificate of Incorporation, other than issuances or deemed issuances of:</w:t>
      </w:r>
    </w:p>
    <w:p>
      <w:pPr>
        <w:spacing w:after="0" w:line="174"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2"/>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upon the conversion of the Preferred Stock;</w:t>
      </w:r>
    </w:p>
    <w:p>
      <w:pPr>
        <w:spacing w:after="0" w:line="225" w:lineRule="exact"/>
        <w:rPr>
          <w:rFonts w:ascii="Times New Roman" w:cs="Times New Roman" w:eastAsia="Times New Roman" w:hAnsi="Times New Roman"/>
          <w:sz w:val="18"/>
          <w:szCs w:val="18"/>
          <w:color w:val="auto"/>
        </w:rPr>
      </w:pPr>
    </w:p>
    <w:p>
      <w:pPr>
        <w:ind w:right="320" w:firstLine="1979"/>
        <w:spacing w:after="0" w:line="261" w:lineRule="auto"/>
        <w:tabs>
          <w:tab w:leader="none" w:pos="2238" w:val="left"/>
        </w:tabs>
        <w:numPr>
          <w:ilvl w:val="2"/>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and options, warrants or other rights to purchase Common Stock issued or issuable to employees, officers or directors of, or consultants or advisors to the Corporation or any subsidiary pursuant to stock grants, restricted stock purchase agreements, option plans, purchase plans, incentive programs or similar arrangements in an amount equal to the greater of: (i) 6,784,657; or (ii) the amount as may be approved by the Board of Directors and the holders of the Preferred Majority;</w:t>
      </w:r>
    </w:p>
    <w:p>
      <w:pPr>
        <w:spacing w:after="0" w:line="179" w:lineRule="exact"/>
        <w:rPr>
          <w:rFonts w:ascii="Times New Roman" w:cs="Times New Roman" w:eastAsia="Times New Roman" w:hAnsi="Times New Roman"/>
          <w:sz w:val="18"/>
          <w:szCs w:val="18"/>
          <w:color w:val="auto"/>
        </w:rPr>
      </w:pPr>
    </w:p>
    <w:p>
      <w:pPr>
        <w:ind w:firstLine="1979"/>
        <w:spacing w:after="0" w:line="261" w:lineRule="auto"/>
        <w:tabs>
          <w:tab w:leader="none" w:pos="2238" w:val="left"/>
        </w:tabs>
        <w:numPr>
          <w:ilvl w:val="2"/>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upon the exercise or conversion of Options or Convertible Securities that are (i) outstanding as of the date of the filing of this Amended and Restated Certificate of Incorporation or (ii) issued or deemed to be issued following the date of this Amended and Restated Certificate of Incorporation and that are excluded from the definition of Additional Shares of Common pursuant to any provision of this Section 4(d)(i);</w:t>
      </w:r>
    </w:p>
    <w:p>
      <w:pPr>
        <w:spacing w:after="0" w:line="179" w:lineRule="exact"/>
        <w:rPr>
          <w:rFonts w:ascii="Times New Roman" w:cs="Times New Roman" w:eastAsia="Times New Roman" w:hAnsi="Times New Roman"/>
          <w:sz w:val="18"/>
          <w:szCs w:val="18"/>
          <w:color w:val="auto"/>
        </w:rPr>
      </w:pPr>
    </w:p>
    <w:p>
      <w:pPr>
        <w:ind w:right="140" w:firstLine="1979"/>
        <w:spacing w:after="0" w:line="282" w:lineRule="auto"/>
        <w:tabs>
          <w:tab w:leader="none" w:pos="2238" w:val="left"/>
        </w:tabs>
        <w:numPr>
          <w:ilvl w:val="2"/>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issued or issuable as a dividend or distribution on Preferred Stock or pursuant to any event for which adjustment is made pursuant to paragraph 4(e), 4(f) or 4(g) hereof;</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270" w:name="page271"/>
    <w:bookmarkEnd w:id="270"/>
    <w:p>
      <w:pPr>
        <w:ind w:left="-20" w:right="100" w:firstLine="1979"/>
        <w:spacing w:after="0" w:line="282" w:lineRule="auto"/>
        <w:tabs>
          <w:tab w:leader="none" w:pos="2218"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shares of Common Stock issued or issuable in a registered public offering under the Securities Act pursuant to which all outstanding shares of Preferred Stock are automatically converted into Common Stock pursuant to an Automatic Conversion Event;</w:t>
      </w:r>
    </w:p>
    <w:p>
      <w:pPr>
        <w:spacing w:after="0" w:line="161" w:lineRule="exact"/>
        <w:rPr>
          <w:rFonts w:ascii="Times New Roman" w:cs="Times New Roman" w:eastAsia="Times New Roman" w:hAnsi="Times New Roman"/>
          <w:sz w:val="18"/>
          <w:szCs w:val="18"/>
          <w:color w:val="auto"/>
        </w:rPr>
      </w:pPr>
    </w:p>
    <w:p>
      <w:pPr>
        <w:ind w:left="-20" w:right="120" w:firstLine="1979"/>
        <w:spacing w:after="0" w:line="266" w:lineRule="auto"/>
        <w:tabs>
          <w:tab w:leader="none" w:pos="2218"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shares of Common Stock issued or issuable pursuant to the acquisition of another corporation by the Corporation by merger, purchase of substantially all of the assets or other reorganization or to a joint venture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issuances are approved by the Board of Directors, including a majority of the Preferred Directors;</w:t>
      </w:r>
    </w:p>
    <w:p>
      <w:pPr>
        <w:spacing w:after="0" w:line="175" w:lineRule="exact"/>
        <w:rPr>
          <w:rFonts w:ascii="Times New Roman" w:cs="Times New Roman" w:eastAsia="Times New Roman" w:hAnsi="Times New Roman"/>
          <w:sz w:val="18"/>
          <w:szCs w:val="18"/>
          <w:color w:val="auto"/>
        </w:rPr>
      </w:pPr>
    </w:p>
    <w:p>
      <w:pPr>
        <w:ind w:left="-20" w:right="20" w:firstLine="1979"/>
        <w:spacing w:after="0" w:line="258" w:lineRule="auto"/>
        <w:tabs>
          <w:tab w:leader="none" w:pos="2218"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issued or issuable to banks, equipment lessors, real property lessors, financial institutions or other persons engaged in the business of making loans pursuant to a debt financing, commercial leasing or real property leasing transaction approved by the Board of Directors, including a majority of the Preferred Directors; provided that the exclusion provided for in this paragraph (7) shall not include shares of Common Stock issued or issuable pursuant to convertible debt securities and accompanying warrants, the majority of which are issued to then existing stockholders of the Corporation; and</w:t>
      </w:r>
    </w:p>
    <w:p>
      <w:pPr>
        <w:spacing w:after="0" w:line="183" w:lineRule="exact"/>
        <w:rPr>
          <w:rFonts w:ascii="Times New Roman" w:cs="Times New Roman" w:eastAsia="Times New Roman" w:hAnsi="Times New Roman"/>
          <w:sz w:val="18"/>
          <w:szCs w:val="18"/>
          <w:color w:val="auto"/>
        </w:rPr>
      </w:pPr>
    </w:p>
    <w:p>
      <w:pPr>
        <w:jc w:val="both"/>
        <w:ind w:left="-20" w:right="300" w:firstLine="1979"/>
        <w:spacing w:after="0" w:line="266" w:lineRule="auto"/>
        <w:tabs>
          <w:tab w:leader="none" w:pos="2218"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issued or issuable in connection with sponsored research, collaboration, technology license, development, OEM, marketing or other similar agreements or strategic partnerships approved by the Board of Directors, including a majority of the Preferred Directors.</w:t>
      </w:r>
    </w:p>
    <w:p>
      <w:pPr>
        <w:spacing w:after="0" w:line="171" w:lineRule="exact"/>
        <w:rPr>
          <w:rFonts w:ascii="Times New Roman" w:cs="Times New Roman" w:eastAsia="Times New Roman" w:hAnsi="Times New Roman"/>
          <w:sz w:val="18"/>
          <w:szCs w:val="18"/>
          <w:color w:val="auto"/>
        </w:rPr>
      </w:pPr>
    </w:p>
    <w:p>
      <w:pPr>
        <w:ind w:left="-20" w:right="20" w:firstLine="1428"/>
        <w:spacing w:after="0" w:line="262" w:lineRule="auto"/>
        <w:tabs>
          <w:tab w:leader="none" w:pos="1677"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Adjustment of Conversion Price. </w:t>
      </w:r>
      <w:r>
        <w:rPr>
          <w:rFonts w:ascii="Times New Roman" w:cs="Times New Roman" w:eastAsia="Times New Roman" w:hAnsi="Times New Roman"/>
          <w:sz w:val="18"/>
          <w:szCs w:val="18"/>
          <w:color w:val="auto"/>
        </w:rPr>
        <w:t>No adjustment in the Conversion Price of a particular series of Preferred Stock shall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made in respect of the issuance of Additional Shares of Common unless the consideration per share (as determined pursuant to paragraph 4(d)(v)) for an Additional Share of Common issued or deemed to be issued by the Corporation is less than the Conversion Price in effect on the date of, and immediately prior to such issue, for such series of Preferred Stock.</w:t>
      </w:r>
    </w:p>
    <w:p>
      <w:pPr>
        <w:spacing w:after="0" w:line="176" w:lineRule="exact"/>
        <w:rPr>
          <w:rFonts w:ascii="Times New Roman" w:cs="Times New Roman" w:eastAsia="Times New Roman" w:hAnsi="Times New Roman"/>
          <w:sz w:val="18"/>
          <w:szCs w:val="18"/>
          <w:color w:val="auto"/>
        </w:rPr>
      </w:pPr>
    </w:p>
    <w:p>
      <w:pPr>
        <w:ind w:left="-20" w:right="20" w:firstLine="1428"/>
        <w:spacing w:after="0" w:line="255" w:lineRule="auto"/>
        <w:tabs>
          <w:tab w:leader="none" w:pos="1727"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Deemed Issue of Additional Shares of Common. </w:t>
      </w:r>
      <w:r>
        <w:rPr>
          <w:rFonts w:ascii="Times New Roman" w:cs="Times New Roman" w:eastAsia="Times New Roman" w:hAnsi="Times New Roman"/>
          <w:sz w:val="18"/>
          <w:szCs w:val="18"/>
          <w:color w:val="auto"/>
        </w:rPr>
        <w:t>In the event the Corporation at any time or from time to time after the date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filing of this Amended and Restated Certificate of Incorporation shall issue any Options or Convertible Securities or shall fix a record date for the determination of holders of any class of securities entitled to receive any such Options or Convertible Securities, then the maximum number of shares (as set forth in the instrument relating thereto without regard to any provisions contained therein for a subsequent adjustment of such number) of Common Stock issuable upon the exercise of such Options or, in the case of Convertible Securities, the conversion or exchange of such Convertible Securities or, in the case of Options for Convertible Securities, the exercise of such Options and the conversion or exchange of the underlying securities, shall be deemed to have been issued as of the time of such issue or, in case such a record date shall have been fixed, as of the close of business on such record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any such case in which shares are deemed to be issued:</w:t>
      </w:r>
    </w:p>
    <w:p>
      <w:pPr>
        <w:spacing w:after="0" w:line="188" w:lineRule="exact"/>
        <w:rPr>
          <w:rFonts w:ascii="Times New Roman" w:cs="Times New Roman" w:eastAsia="Times New Roman" w:hAnsi="Times New Roman"/>
          <w:sz w:val="18"/>
          <w:szCs w:val="18"/>
          <w:color w:val="auto"/>
        </w:rPr>
      </w:pPr>
    </w:p>
    <w:p>
      <w:pPr>
        <w:ind w:left="-20" w:firstLine="1979"/>
        <w:spacing w:after="0" w:line="266" w:lineRule="auto"/>
        <w:tabs>
          <w:tab w:leader="none" w:pos="2218"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further adjustment in the Conversion Price of any series of Preferred Stock shall be made upon the subsequent issue of Convertible Securities or shares of Common Stock in connection with the exercise of such Options or conversion or exchange of such Convertible Securities;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60" w:top="270" w:right="479" w:bottom="1440" w:gutter="0" w:footer="0" w:header="0"/>
        </w:sectPr>
      </w:pPr>
    </w:p>
    <w:bookmarkStart w:id="271" w:name="page272"/>
    <w:bookmarkEnd w:id="271"/>
    <w:p>
      <w:pPr>
        <w:ind w:left="-20" w:right="40" w:firstLine="1979"/>
        <w:spacing w:after="0" w:line="256" w:lineRule="auto"/>
        <w:tabs>
          <w:tab w:leader="none" w:pos="2218"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such Options or Convertible Securities by their terms provide, with the passage of time or otherwise, for any change in the consideration payable to the Corporation or in the number of shares of Common Stock issuable upon the exercise, conversion or exchange thereof (other than a change pursuant to the anti-dilution provisions of such Options or Convertible Securities such as this Section 4(d) or pursuant to Recapitalization provisions of such Options or Convertible Securities such as Sections 4(e), 4(f) and 4(g) hereof), the Conversion Price of each series of Preferred Stock and any subsequent adjustments based thereon shall be recomputed to reflect such change as if such change had been in effect as of the original issue thereof (or upon the occurrence of the record date with respect thereto);</w:t>
      </w:r>
    </w:p>
    <w:p>
      <w:pPr>
        <w:spacing w:after="0" w:line="187" w:lineRule="exact"/>
        <w:rPr>
          <w:rFonts w:ascii="Times New Roman" w:cs="Times New Roman" w:eastAsia="Times New Roman" w:hAnsi="Times New Roman"/>
          <w:sz w:val="18"/>
          <w:szCs w:val="18"/>
          <w:color w:val="auto"/>
        </w:rPr>
      </w:pPr>
    </w:p>
    <w:p>
      <w:pPr>
        <w:ind w:left="-20" w:right="140" w:firstLine="1979"/>
        <w:spacing w:after="0" w:line="266" w:lineRule="auto"/>
        <w:tabs>
          <w:tab w:leader="none" w:pos="2218"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readjustment pursuant to clause (2) above shall have the effect of increasing the Conversion Price of a series of Preferred Stock to an amount above the Conversion Price that would have resulted from any other issuances of Additional Shares of Common and any other adjustments provided for herein between the original adjustment date and such readjustment date;</w:t>
      </w:r>
    </w:p>
    <w:p>
      <w:pPr>
        <w:spacing w:after="0" w:line="175" w:lineRule="exact"/>
        <w:rPr>
          <w:rFonts w:ascii="Times New Roman" w:cs="Times New Roman" w:eastAsia="Times New Roman" w:hAnsi="Times New Roman"/>
          <w:sz w:val="18"/>
          <w:szCs w:val="18"/>
          <w:color w:val="auto"/>
        </w:rPr>
      </w:pPr>
    </w:p>
    <w:p>
      <w:pPr>
        <w:ind w:left="-20" w:firstLine="1979"/>
        <w:spacing w:after="0" w:line="266" w:lineRule="auto"/>
        <w:tabs>
          <w:tab w:leader="none" w:pos="2218"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expiration of any such Options or any rights of conversion or exchange under such Convertible Securities which shall not have been exercised, the Conversion Price of each Series of Preferred Stock computed upon the original issue thereof (or upon the occurrence of a record date with respect thereto) and any subsequent adjustments based thereon shall, upon such expiration, be recomputed as if:</w:t>
      </w:r>
    </w:p>
    <w:p>
      <w:pPr>
        <w:spacing w:after="0" w:line="175" w:lineRule="exact"/>
        <w:rPr>
          <w:rFonts w:ascii="Times New Roman" w:cs="Times New Roman" w:eastAsia="Times New Roman" w:hAnsi="Times New Roman"/>
          <w:sz w:val="18"/>
          <w:szCs w:val="18"/>
          <w:color w:val="auto"/>
        </w:rPr>
      </w:pPr>
    </w:p>
    <w:p>
      <w:pPr>
        <w:ind w:left="-20" w:right="60" w:firstLine="2419"/>
        <w:spacing w:after="0" w:line="258" w:lineRule="auto"/>
        <w:tabs>
          <w:tab w:leader="none" w:pos="2648"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Convertible Securities or Options for Common Stock, the only Additional Shares of Common issued were the shares of Common Stock, if any, actually issued upon the exercise of such Options or the conversion or exchange of such Convertible Securities and the consideration received therefor was the consideration actually received by the Corporation for the issue of such exercised Options plus the consideration actually received by the Corporation upon such exercise or for the issue of all such Convertible Securities which were actually converted or exchanged, plus the additional consideration, if any, actually received by the Corporation upon such conversion or exchange, and</w:t>
      </w:r>
    </w:p>
    <w:p>
      <w:pPr>
        <w:spacing w:after="0" w:line="183" w:lineRule="exact"/>
        <w:rPr>
          <w:rFonts w:ascii="Times New Roman" w:cs="Times New Roman" w:eastAsia="Times New Roman" w:hAnsi="Times New Roman"/>
          <w:sz w:val="18"/>
          <w:szCs w:val="18"/>
          <w:color w:val="auto"/>
        </w:rPr>
      </w:pPr>
    </w:p>
    <w:p>
      <w:pPr>
        <w:ind w:left="-20" w:right="140" w:firstLine="2419"/>
        <w:spacing w:after="0" w:line="258" w:lineRule="auto"/>
        <w:tabs>
          <w:tab w:leader="none" w:pos="2658" w:val="left"/>
        </w:tabs>
        <w:numPr>
          <w:ilvl w:val="2"/>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Options for Convertible Securities, only the Convertible Securities, if any, actually issued upon the exercise thereof were issued at the time of issue of such Options, and the consideration received by the Corporation for the Additional Shares of Common deemed to have been then issued was the consideration actually received by the Corporation for the issue of such exercised Options, plus the consideration deemed to have been received by the Corporation (determined pursuant to Section 4(d)(v)) upon the issue of the Convertible Securities with respect to which such Options were actually exercised; and</w:t>
      </w:r>
    </w:p>
    <w:p>
      <w:pPr>
        <w:spacing w:after="0" w:line="183" w:lineRule="exact"/>
        <w:rPr>
          <w:rFonts w:ascii="Times New Roman" w:cs="Times New Roman" w:eastAsia="Times New Roman" w:hAnsi="Times New Roman"/>
          <w:sz w:val="18"/>
          <w:szCs w:val="18"/>
          <w:color w:val="auto"/>
        </w:rPr>
      </w:pPr>
    </w:p>
    <w:p>
      <w:pPr>
        <w:ind w:left="-20" w:right="420" w:firstLine="1979"/>
        <w:spacing w:after="0" w:line="261" w:lineRule="auto"/>
        <w:tabs>
          <w:tab w:leader="none" w:pos="2218"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record date shall have been fixed and such Options or Convertible Securities are not issued on the date fixed therefor, the adjustment previously made in the Conversion Price which became effective on such record date shall be canceled as of the close of business on such record date, and thereafter the Conversion Price shall be adjusted pursuant to this paragraph 4(d(iii) as of the actual date of their issuance.</w:t>
      </w:r>
    </w:p>
    <w:p>
      <w:pPr>
        <w:spacing w:after="0" w:line="175" w:lineRule="exact"/>
        <w:rPr>
          <w:rFonts w:ascii="Times New Roman" w:cs="Times New Roman" w:eastAsia="Times New Roman" w:hAnsi="Times New Roman"/>
          <w:sz w:val="18"/>
          <w:szCs w:val="18"/>
          <w:color w:val="auto"/>
        </w:rPr>
      </w:pPr>
    </w:p>
    <w:p>
      <w:pPr>
        <w:ind w:left="-20" w:right="280" w:firstLine="1428"/>
        <w:spacing w:after="0" w:line="286" w:lineRule="auto"/>
        <w:tabs>
          <w:tab w:leader="none" w:pos="1717"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Adjustment of Conversion Price Upon Issuance of Additional Shares of Common. </w:t>
      </w:r>
      <w:r>
        <w:rPr>
          <w:rFonts w:ascii="Times New Roman" w:cs="Times New Roman" w:eastAsia="Times New Roman" w:hAnsi="Times New Roman"/>
          <w:sz w:val="18"/>
          <w:szCs w:val="18"/>
          <w:color w:val="auto"/>
        </w:rPr>
        <w:t>In the event this Corporation shall issue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Additional Shares of Common (including</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60" w:top="270" w:right="479" w:bottom="1440" w:gutter="0" w:footer="0" w:header="0"/>
        </w:sectPr>
      </w:pPr>
    </w:p>
    <w:bookmarkStart w:id="272" w:name="page273"/>
    <w:bookmarkEnd w:id="272"/>
    <w:p>
      <w:pPr>
        <w:ind w:left="4"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Additional Shares of Common deemed to be issued pursuant to paragraph 4(d)(iii)) without consideration or for a consideration per share less than the applicable Conversion Price of a series of Preferred Stock in effect on the date of and immediately prior to such issue, then, the Conversion Price of the affected series of Preferred Stock shall be reduced, concurrently with such issue, to a price determined by multiplying such Conversion Price by a fraction, the numerator of which shall be the number of shares of Common Stock outstanding immediately prior to such issue plus the number of shares which the aggregate consideration received by the Corporation for the total number of Additional Shares of Common so issued would purchase at such Conversion Price, and the denominator of which shall be the number of shares of Common Stock outstanding immediately prior to such issue plus the number of such Additional Shares of Common so issued. Notwithstanding the foregoing, the Conversion Price shall not be reduced at such time if the amount of such reduction would be less than $0.001, but any such amount shall be carried forward, and a reduction will be made with respect to such amount at the time of, and together with, any subsequent reduction which, together with such amount and any other amounts so carried forward, equal $0.001 or more in the aggregate. For the purposes of this Subsection 4(d)(iv), all shares of Common Stock issuable upon conversion of all outstanding shares of Preferred Stock and the exercise and/or conversion of any other outstanding Convertible Securities and all outstanding Options shall be deemed to be outstanding.</w:t>
      </w:r>
    </w:p>
    <w:p>
      <w:pPr>
        <w:spacing w:after="0" w:line="186" w:lineRule="exact"/>
        <w:rPr>
          <w:sz w:val="20"/>
          <w:szCs w:val="20"/>
          <w:color w:val="auto"/>
        </w:rPr>
      </w:pPr>
    </w:p>
    <w:p>
      <w:pPr>
        <w:ind w:left="4" w:right="380" w:firstLine="1428"/>
        <w:spacing w:after="0" w:line="286" w:lineRule="auto"/>
        <w:tabs>
          <w:tab w:leader="none" w:pos="1691"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Determination of Consideration. </w:t>
      </w:r>
      <w:r>
        <w:rPr>
          <w:rFonts w:ascii="Times New Roman" w:cs="Times New Roman" w:eastAsia="Times New Roman" w:hAnsi="Times New Roman"/>
          <w:sz w:val="18"/>
          <w:szCs w:val="18"/>
          <w:color w:val="auto"/>
        </w:rPr>
        <w:t>For purposes of this subsection 4(d), the consideration received by the Corporation for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issue (or deemed issue) of any Additional Shares of Common shall be computed as follows:</w:t>
      </w:r>
    </w:p>
    <w:p>
      <w:pPr>
        <w:spacing w:after="0" w:line="154" w:lineRule="exact"/>
        <w:rPr>
          <w:rFonts w:ascii="Times New Roman" w:cs="Times New Roman" w:eastAsia="Times New Roman" w:hAnsi="Times New Roman"/>
          <w:sz w:val="18"/>
          <w:szCs w:val="18"/>
          <w:color w:val="auto"/>
        </w:rPr>
      </w:pPr>
    </w:p>
    <w:p>
      <w:pPr>
        <w:ind w:left="2244" w:hanging="261"/>
        <w:spacing w:after="0"/>
        <w:tabs>
          <w:tab w:leader="none" w:pos="2244" w:val="left"/>
        </w:tabs>
        <w:numPr>
          <w:ilvl w:val="2"/>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Cash and Property. </w:t>
      </w:r>
      <w:r>
        <w:rPr>
          <w:rFonts w:ascii="Times New Roman" w:cs="Times New Roman" w:eastAsia="Times New Roman" w:hAnsi="Times New Roman"/>
          <w:sz w:val="18"/>
          <w:szCs w:val="18"/>
          <w:color w:val="auto"/>
        </w:rPr>
        <w:t>Such consideration shall:</w:t>
      </w:r>
    </w:p>
    <w:p>
      <w:pPr>
        <w:spacing w:after="0" w:line="229" w:lineRule="exact"/>
        <w:rPr>
          <w:rFonts w:ascii="Times New Roman" w:cs="Times New Roman" w:eastAsia="Times New Roman" w:hAnsi="Times New Roman"/>
          <w:sz w:val="18"/>
          <w:szCs w:val="18"/>
          <w:color w:val="auto"/>
        </w:rPr>
      </w:pPr>
    </w:p>
    <w:p>
      <w:pPr>
        <w:ind w:left="4" w:right="200" w:firstLine="2419"/>
        <w:spacing w:after="0" w:line="266" w:lineRule="auto"/>
        <w:tabs>
          <w:tab w:leader="none" w:pos="2672" w:val="left"/>
        </w:tabs>
        <w:numPr>
          <w:ilvl w:val="3"/>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it consists of cash, be computed at the aggregate amount of cash received by the Corporation before deducting any reasonable discounts, commissions or other expenses allowed, paid or incurred by the Corporation for any underwriting or otherwise in connection with such issuance;</w:t>
      </w:r>
    </w:p>
    <w:p>
      <w:pPr>
        <w:spacing w:after="0" w:line="175" w:lineRule="exact"/>
        <w:rPr>
          <w:rFonts w:ascii="Times New Roman" w:cs="Times New Roman" w:eastAsia="Times New Roman" w:hAnsi="Times New Roman"/>
          <w:sz w:val="18"/>
          <w:szCs w:val="18"/>
          <w:color w:val="auto"/>
        </w:rPr>
      </w:pPr>
    </w:p>
    <w:p>
      <w:pPr>
        <w:ind w:left="4" w:right="240" w:firstLine="2419"/>
        <w:spacing w:after="0" w:line="282" w:lineRule="auto"/>
        <w:tabs>
          <w:tab w:leader="none" w:pos="2682" w:val="left"/>
        </w:tabs>
        <w:numPr>
          <w:ilvl w:val="3"/>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it consists of property other than cash, be computed at the fair market value thereof at the time of such issue, as determined in good faith by the Board of Directors, including a majority of the Preferred Directors; and</w:t>
      </w:r>
    </w:p>
    <w:p>
      <w:pPr>
        <w:spacing w:after="0" w:line="161" w:lineRule="exact"/>
        <w:rPr>
          <w:rFonts w:ascii="Times New Roman" w:cs="Times New Roman" w:eastAsia="Times New Roman" w:hAnsi="Times New Roman"/>
          <w:sz w:val="18"/>
          <w:szCs w:val="18"/>
          <w:color w:val="auto"/>
        </w:rPr>
      </w:pPr>
    </w:p>
    <w:p>
      <w:pPr>
        <w:ind w:left="4" w:right="120" w:firstLine="2419"/>
        <w:spacing w:after="0" w:line="261" w:lineRule="auto"/>
        <w:tabs>
          <w:tab w:leader="none" w:pos="2672" w:val="left"/>
        </w:tabs>
        <w:numPr>
          <w:ilvl w:val="3"/>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Additional Shares of Common are issued together with other shares or securities or other assets of the Corporation for consideration which covers both, be the proportion of such consideration so received, computed as provided in clauses (a) and</w:t>
      </w:r>
    </w:p>
    <w:p>
      <w:pPr>
        <w:ind w:left="264" w:hanging="264"/>
        <w:spacing w:after="0"/>
        <w:tabs>
          <w:tab w:leader="none" w:pos="264"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as reasonably determined in good faith by the Board of Directors, including a majority of the Preferred Directors.</w:t>
      </w:r>
    </w:p>
    <w:p>
      <w:pPr>
        <w:spacing w:after="0" w:line="202" w:lineRule="exact"/>
        <w:rPr>
          <w:rFonts w:ascii="Times New Roman" w:cs="Times New Roman" w:eastAsia="Times New Roman" w:hAnsi="Times New Roman"/>
          <w:sz w:val="18"/>
          <w:szCs w:val="18"/>
          <w:color w:val="auto"/>
        </w:rPr>
      </w:pPr>
    </w:p>
    <w:p>
      <w:pPr>
        <w:ind w:left="4" w:right="260" w:firstLine="1979"/>
        <w:spacing w:after="0" w:line="286" w:lineRule="auto"/>
        <w:tabs>
          <w:tab w:leader="none" w:pos="2241"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Options and Convertible Securities. </w:t>
      </w:r>
      <w:r>
        <w:rPr>
          <w:rFonts w:ascii="Times New Roman" w:cs="Times New Roman" w:eastAsia="Times New Roman" w:hAnsi="Times New Roman"/>
          <w:sz w:val="18"/>
          <w:szCs w:val="18"/>
          <w:color w:val="auto"/>
        </w:rPr>
        <w:t>The consideration per share received by the Corporation for Additional Shares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deemed to have been issued pursuant to paragraph 4(d)(iii) shall be determined by dividing:</w:t>
      </w:r>
    </w:p>
    <w:p>
      <w:pPr>
        <w:spacing w:after="0" w:line="158" w:lineRule="exact"/>
        <w:rPr>
          <w:rFonts w:ascii="Times New Roman" w:cs="Times New Roman" w:eastAsia="Times New Roman" w:hAnsi="Times New Roman"/>
          <w:sz w:val="18"/>
          <w:szCs w:val="18"/>
          <w:color w:val="auto"/>
        </w:rPr>
      </w:pPr>
    </w:p>
    <w:p>
      <w:pPr>
        <w:ind w:left="4" w:firstLine="2419"/>
        <w:spacing w:after="0" w:line="266" w:lineRule="auto"/>
        <w:tabs>
          <w:tab w:leader="none" w:pos="2682" w:val="left"/>
        </w:tabs>
        <w:numPr>
          <w:ilvl w:val="3"/>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if any, received or receivable by the Corporation as consideration for the issue of such Options or Convertible Securities, plus the minimum aggregate amount of additional consideration (as set forth in the instruments relating thereto, without regard to any provision contained therein for a subsequent adjustment of such consideration) payable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273" w:name="page274"/>
    <w:bookmarkEnd w:id="273"/>
    <w:p>
      <w:pPr>
        <w:ind w:right="60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the Corporation upon the exercise of such Options or the conversion or exchange of such Convertible Securities, or in the case of Options for Convertible Securities, the exercise of such Options for Convertible Securities and the conversion or exchange of such Convertible Securities by</w:t>
      </w:r>
    </w:p>
    <w:p>
      <w:pPr>
        <w:spacing w:after="0" w:line="140" w:lineRule="exact"/>
        <w:rPr>
          <w:sz w:val="20"/>
          <w:szCs w:val="20"/>
          <w:color w:val="auto"/>
        </w:rPr>
      </w:pPr>
    </w:p>
    <w:p>
      <w:pPr>
        <w:ind w:right="180" w:firstLine="2419"/>
        <w:spacing w:after="0" w:line="266" w:lineRule="auto"/>
        <w:tabs>
          <w:tab w:leader="none" w:pos="2678"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number of shares of Common Stock (as set forth in the instruments relating thereto, without regard to any provision contained therein for a subsequent adjustment of such number) issuable upon the exercise of such Options or the conversion or exchange of such Convertible Securities.</w:t>
      </w:r>
    </w:p>
    <w:p>
      <w:pPr>
        <w:spacing w:after="0" w:line="171" w:lineRule="exact"/>
        <w:rPr>
          <w:rFonts w:ascii="Times New Roman" w:cs="Times New Roman" w:eastAsia="Times New Roman" w:hAnsi="Times New Roman"/>
          <w:sz w:val="18"/>
          <w:szCs w:val="18"/>
          <w:color w:val="auto"/>
        </w:rPr>
      </w:pPr>
    </w:p>
    <w:p>
      <w:pPr>
        <w:ind w:right="60" w:firstLine="987"/>
        <w:spacing w:after="0" w:line="257" w:lineRule="auto"/>
        <w:tabs>
          <w:tab w:leader="none" w:pos="123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Adjustments for Subdivisions or Combinations of Common Stock. </w:t>
      </w:r>
      <w:r>
        <w:rPr>
          <w:rFonts w:ascii="Times New Roman" w:cs="Times New Roman" w:eastAsia="Times New Roman" w:hAnsi="Times New Roman"/>
          <w:sz w:val="18"/>
          <w:szCs w:val="18"/>
          <w:color w:val="auto"/>
        </w:rPr>
        <w:t>In the event the outstanding shares of Common Stock shall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subdivided (by stock split, by payment of a stock dividend or otherwise), into a greater number of shares of Common Stock, the Conversion Price of each series of Preferred Stock in effect immediately prior to such subdivision shall, concurrently with the effectiveness of such subdivision, be proportionately decreased. In the event the outstanding shares of Common Stock shall be combined (by reclassification or otherwise) into a lesser number of shares of Common Stock, the Conversion Prices in effect immediately prior to such combination shall, concurrently with the effectiveness of such combination, be proportionately increased.</w:t>
      </w:r>
    </w:p>
    <w:p>
      <w:pPr>
        <w:spacing w:after="0" w:line="182" w:lineRule="exact"/>
        <w:rPr>
          <w:rFonts w:ascii="Times New Roman" w:cs="Times New Roman" w:eastAsia="Times New Roman" w:hAnsi="Times New Roman"/>
          <w:sz w:val="18"/>
          <w:szCs w:val="18"/>
          <w:color w:val="auto"/>
        </w:rPr>
      </w:pPr>
    </w:p>
    <w:p>
      <w:pPr>
        <w:ind w:firstLine="987"/>
        <w:spacing w:after="0" w:line="256" w:lineRule="auto"/>
        <w:tabs>
          <w:tab w:leader="none" w:pos="121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Adjustments for Subdivisions or Combinations of Preferred Stock. </w:t>
      </w:r>
      <w:r>
        <w:rPr>
          <w:rFonts w:ascii="Times New Roman" w:cs="Times New Roman" w:eastAsia="Times New Roman" w:hAnsi="Times New Roman"/>
          <w:sz w:val="18"/>
          <w:szCs w:val="18"/>
          <w:color w:val="auto"/>
        </w:rPr>
        <w:t>In the event the outstanding shares of Preferred Stock or a series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Preferred Stock shall be subdivided (by stock split, by payment of a stock dividend or otherwise), into a greater number of shares of Preferred Stock, the Dividend Rate and Original Issue Price of the affected series of Preferred Stock in effect immediately prior to such subdivision shall, concurrently with the effectiveness of such subdivision, be proportionately decreased. In the event the outstanding shares of Preferred Stock or a series of Preferred Stock shall be combined (by reclassification or otherwise) into a lesser number of shares of Preferred Stock, the Dividend Rate and Original Issue Price of the affected series of Preferred Stock in effect immediately prior to such combination shall, concurrently with the effectiveness of such combination, be proportionately increased.</w:t>
      </w:r>
    </w:p>
    <w:p>
      <w:pPr>
        <w:spacing w:after="0" w:line="182" w:lineRule="exact"/>
        <w:rPr>
          <w:rFonts w:ascii="Times New Roman" w:cs="Times New Roman" w:eastAsia="Times New Roman" w:hAnsi="Times New Roman"/>
          <w:sz w:val="18"/>
          <w:szCs w:val="18"/>
          <w:color w:val="auto"/>
        </w:rPr>
      </w:pPr>
    </w:p>
    <w:p>
      <w:pPr>
        <w:ind w:right="40" w:firstLine="987"/>
        <w:spacing w:after="0" w:line="255" w:lineRule="auto"/>
        <w:tabs>
          <w:tab w:leader="none" w:pos="124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Adjustments for Reclassification, Exchange and Substitution. </w:t>
      </w:r>
      <w:r>
        <w:rPr>
          <w:rFonts w:ascii="Times New Roman" w:cs="Times New Roman" w:eastAsia="Times New Roman" w:hAnsi="Times New Roman"/>
          <w:sz w:val="18"/>
          <w:szCs w:val="18"/>
          <w:color w:val="auto"/>
        </w:rPr>
        <w:t>Subject to Section 3 (“</w:t>
      </w:r>
      <w:r>
        <w:rPr>
          <w:rFonts w:ascii="Times New Roman" w:cs="Times New Roman" w:eastAsia="Times New Roman" w:hAnsi="Times New Roman"/>
          <w:sz w:val="18"/>
          <w:szCs w:val="18"/>
          <w:b w:val="1"/>
          <w:bCs w:val="1"/>
          <w:i w:val="1"/>
          <w:iCs w:val="1"/>
          <w:color w:val="auto"/>
        </w:rPr>
        <w:t>Liquidation Rights</w:t>
      </w:r>
      <w:r>
        <w:rPr>
          <w:rFonts w:ascii="Times New Roman" w:cs="Times New Roman" w:eastAsia="Times New Roman" w:hAnsi="Times New Roman"/>
          <w:sz w:val="18"/>
          <w:szCs w:val="18"/>
          <w:color w:val="auto"/>
        </w:rPr>
        <w:t>”), if the Common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issuable upon conversion of the Preferred Stock shall be changed into the same or a different number of shares of any other class or classes of stock, whether by capital reorganization, reclassification or otherwise (other than a subdivision or combination of shares provided for above), then, in any such event, in lieu of the number of shares of Common Stock which the holders would otherwise have been entitled to receive each holder of such Preferred Stock shall have the right thereafter to convert such shares of Preferred Stock into a number of shares of such other class or classes of stock which a holder of the number of shares of Common Stock deliverable upon conversion of such series of Preferred Stock immediately before that change would have been entitled to receive in such reorganization or reclassification, all subject to further adjustment as provided herein with respect to such other shares.</w:t>
      </w:r>
    </w:p>
    <w:p>
      <w:pPr>
        <w:spacing w:after="0" w:line="184" w:lineRule="exact"/>
        <w:rPr>
          <w:rFonts w:ascii="Times New Roman" w:cs="Times New Roman" w:eastAsia="Times New Roman" w:hAnsi="Times New Roman"/>
          <w:sz w:val="18"/>
          <w:szCs w:val="18"/>
          <w:color w:val="auto"/>
        </w:rPr>
      </w:pPr>
    </w:p>
    <w:p>
      <w:pPr>
        <w:ind w:right="80" w:firstLine="987"/>
        <w:spacing w:after="0" w:line="262" w:lineRule="auto"/>
        <w:tabs>
          <w:tab w:leader="none" w:pos="1246"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Certificate as to Adjustments. </w:t>
      </w:r>
      <w:r>
        <w:rPr>
          <w:rFonts w:ascii="Times New Roman" w:cs="Times New Roman" w:eastAsia="Times New Roman" w:hAnsi="Times New Roman"/>
          <w:sz w:val="18"/>
          <w:szCs w:val="18"/>
          <w:color w:val="auto"/>
        </w:rPr>
        <w:t>Upon the occurrence of each adjustment or readjustment of the Conversion Price pursuant to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Section 4, the Corporation at its expense shall promptly compute such adjustment or readjustment in accordance with the terms hereof and furnish to each holder of Preferred Stock a certificate setting forth such adjustment or readjustment and showing in detail the facts upon which such adjustment or readjustment is based. The Corporation shall, upon the written request at any time of any holder of Preferred Stock, furnish or cause to be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74" w:name="page275"/>
    <w:bookmarkEnd w:id="274"/>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furnished to such holder a like certificate setting forth (i) such adjustments and readjustments, (ii) the Conversion Price at the time in effect and (iii) the number of shares of Common Stock and the amount, if any, of other property which at the time would be received upon the conversion of Preferred Stock.</w:t>
      </w:r>
    </w:p>
    <w:p>
      <w:pPr>
        <w:spacing w:after="0" w:line="172" w:lineRule="exact"/>
        <w:rPr>
          <w:sz w:val="20"/>
          <w:szCs w:val="20"/>
          <w:color w:val="auto"/>
        </w:rPr>
      </w:pPr>
    </w:p>
    <w:p>
      <w:pPr>
        <w:ind w:right="220" w:firstLine="987"/>
        <w:spacing w:after="0" w:line="278" w:lineRule="auto"/>
        <w:tabs>
          <w:tab w:leader="none" w:pos="1206"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Waiver of Adjustment of Conversion Price. </w:t>
      </w:r>
      <w:r>
        <w:rPr>
          <w:rFonts w:ascii="Times New Roman" w:cs="Times New Roman" w:eastAsia="Times New Roman" w:hAnsi="Times New Roman"/>
          <w:sz w:val="17"/>
          <w:szCs w:val="17"/>
          <w:color w:val="auto"/>
        </w:rPr>
        <w:t>Notwithstanding anything herein to the contrary, any downward adjustment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Conversion Price of any series of Preferred Stock may be waived by the consent or vote of the holders of a majority of the outstanding shares of such series either before or after the issuance causing the adjustment, provided that (i) any such waiver with respect to shares of Series A Preferred Stock shall be made only by the consent or vote of the Series A Majority and (ii) any such waiver with respect to shares of Series D Preferred Stock shall be made only by the consent or vote of the Series D Majority. Any such waiver shall bind all future holders of shares of such series of Preferred Stock.</w:t>
      </w:r>
    </w:p>
    <w:p>
      <w:pPr>
        <w:spacing w:after="0" w:line="163" w:lineRule="exact"/>
        <w:rPr>
          <w:rFonts w:ascii="Times New Roman" w:cs="Times New Roman" w:eastAsia="Times New Roman" w:hAnsi="Times New Roman"/>
          <w:sz w:val="17"/>
          <w:szCs w:val="17"/>
          <w:color w:val="auto"/>
        </w:rPr>
      </w:pPr>
    </w:p>
    <w:p>
      <w:pPr>
        <w:ind w:left="1200" w:hanging="213"/>
        <w:spacing w:after="0"/>
        <w:tabs>
          <w:tab w:leader="none" w:pos="12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Notices of Record Date. </w:t>
      </w:r>
      <w:r>
        <w:rPr>
          <w:rFonts w:ascii="Times New Roman" w:cs="Times New Roman" w:eastAsia="Times New Roman" w:hAnsi="Times New Roman"/>
          <w:sz w:val="18"/>
          <w:szCs w:val="18"/>
          <w:color w:val="auto"/>
        </w:rPr>
        <w:t>In the event that this Corporation shall propose at any time:</w:t>
      </w:r>
    </w:p>
    <w:p>
      <w:pPr>
        <w:spacing w:after="0" w:line="229" w:lineRule="exact"/>
        <w:rPr>
          <w:rFonts w:ascii="Times New Roman" w:cs="Times New Roman" w:eastAsia="Times New Roman" w:hAnsi="Times New Roman"/>
          <w:sz w:val="18"/>
          <w:szCs w:val="18"/>
          <w:color w:val="auto"/>
        </w:rPr>
      </w:pPr>
    </w:p>
    <w:p>
      <w:pPr>
        <w:ind w:right="120" w:firstLine="1428"/>
        <w:spacing w:after="0" w:line="282" w:lineRule="auto"/>
        <w:tabs>
          <w:tab w:leader="none" w:pos="1647"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declare any Distribution upon its Common Stock, whether in cash, property, stock or other securities, whether or not a regular cash dividend and whether or not out of earnings or earned surplus;</w:t>
      </w:r>
    </w:p>
    <w:p>
      <w:pPr>
        <w:spacing w:after="0" w:line="161"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any reclassification or recapitalization of its Common Stock outstanding involving a change in the Common Stock; or</w:t>
      </w:r>
    </w:p>
    <w:p>
      <w:pPr>
        <w:spacing w:after="0" w:line="225" w:lineRule="exact"/>
        <w:rPr>
          <w:rFonts w:ascii="Times New Roman" w:cs="Times New Roman" w:eastAsia="Times New Roman" w:hAnsi="Times New Roman"/>
          <w:sz w:val="18"/>
          <w:szCs w:val="18"/>
          <w:color w:val="auto"/>
        </w:rPr>
      </w:pPr>
    </w:p>
    <w:p>
      <w:pPr>
        <w:ind w:right="180" w:firstLine="1428"/>
        <w:spacing w:after="0" w:line="282" w:lineRule="auto"/>
        <w:tabs>
          <w:tab w:leader="none" w:pos="1747"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voluntarily liquidate or dissolve or to enter into any transaction deemed to be a liquidation, dissolution or winding up of the Corporation pursuant to Section 3(c);</w:t>
      </w:r>
    </w:p>
    <w:p>
      <w:pPr>
        <w:spacing w:after="0" w:line="162"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then, in connection with each such event, this Corporation shall send to the holders of the Preferred Stock at least 10 days’ prior written notice of the date on which a record shall be taken for such Distribution (and specifying the date on which the holders of Common Stock shall be entitled thereto and, if applicable, the amount and character of such Distribution) or for determining rights to vote in respect of the matters referred to in (ii) and (iii) above.</w:t>
      </w:r>
    </w:p>
    <w:p>
      <w:pPr>
        <w:spacing w:after="0" w:line="158"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Such written notice shall be given by first class mail (or express courier), postage prepaid, addressed to the holders of Preferred Stock at the address for each such holder as shown on the books of the Corporation and shall be deemed given on the date such notice is mailed.</w:t>
      </w:r>
    </w:p>
    <w:p>
      <w:pPr>
        <w:spacing w:after="0" w:line="162"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The notice provisions set forth in this section may be shortened or waived prospectively or retrospectively by the consent or vote of Preferred Majority.</w:t>
      </w:r>
    </w:p>
    <w:p>
      <w:pPr>
        <w:spacing w:after="0" w:line="158" w:lineRule="exact"/>
        <w:rPr>
          <w:sz w:val="20"/>
          <w:szCs w:val="20"/>
          <w:color w:val="auto"/>
        </w:rPr>
      </w:pPr>
    </w:p>
    <w:p>
      <w:pPr>
        <w:ind w:firstLine="987"/>
        <w:spacing w:after="0" w:line="257" w:lineRule="auto"/>
        <w:tabs>
          <w:tab w:leader="none" w:pos="1246"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Reservation of Stock Issuable Upon Conversion. </w:t>
      </w:r>
      <w:r>
        <w:rPr>
          <w:rFonts w:ascii="Times New Roman" w:cs="Times New Roman" w:eastAsia="Times New Roman" w:hAnsi="Times New Roman"/>
          <w:sz w:val="18"/>
          <w:szCs w:val="18"/>
          <w:color w:val="auto"/>
        </w:rPr>
        <w:t>The Corporation shall at all times reserve and keep available out of its authorized but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unissued shares of Common Stock solely for the purpose of effecting the conversion of the shares of the Preferred Stock, such number of its shares of Common Stock as shall from time to time be sufficient to effect the conversion of all then outstanding shares of the Preferred Stock; and if at any time the number of authorized but unissued shares of Common Stock shall not be sufficient to effect the conversion of all then outstanding shares of the Preferred Stock, the Corporation will take such corporate action as may, in the opinion of its counsel, be necessary to increase its authorized but unissued shares of Common Stock to such number of shares as shall be sufficient for such purpose.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75" w:name="page276"/>
    <w:bookmarkEnd w:id="275"/>
    <w:p>
      <w:pPr>
        <w:ind w:left="620" w:hanging="184"/>
        <w:spacing w:after="0"/>
        <w:tabs>
          <w:tab w:leader="none" w:pos="62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Voting.</w:t>
      </w:r>
    </w:p>
    <w:p>
      <w:pPr>
        <w:spacing w:after="0" w:line="225" w:lineRule="exact"/>
        <w:rPr>
          <w:rFonts w:ascii="Times New Roman" w:cs="Times New Roman" w:eastAsia="Times New Roman" w:hAnsi="Times New Roman"/>
          <w:sz w:val="18"/>
          <w:szCs w:val="18"/>
          <w:color w:val="auto"/>
        </w:rPr>
      </w:pPr>
    </w:p>
    <w:p>
      <w:pPr>
        <w:ind w:right="260" w:firstLine="987"/>
        <w:spacing w:after="0" w:line="286" w:lineRule="auto"/>
        <w:tabs>
          <w:tab w:leader="none" w:pos="1236"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Restricted Class Voting. </w:t>
      </w:r>
      <w:r>
        <w:rPr>
          <w:rFonts w:ascii="Times New Roman" w:cs="Times New Roman" w:eastAsia="Times New Roman" w:hAnsi="Times New Roman"/>
          <w:sz w:val="18"/>
          <w:szCs w:val="18"/>
          <w:color w:val="auto"/>
        </w:rPr>
        <w:t>Except as otherwise expressly provided herein or as required by law, the holders of Preferred Stock and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Common Stock shall vote together and not as separate classes.</w:t>
      </w:r>
    </w:p>
    <w:p>
      <w:pPr>
        <w:spacing w:after="0" w:line="154"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 Series Voting. </w:t>
      </w:r>
      <w:r>
        <w:rPr>
          <w:rFonts w:ascii="Times New Roman" w:cs="Times New Roman" w:eastAsia="Times New Roman" w:hAnsi="Times New Roman"/>
          <w:sz w:val="18"/>
          <w:szCs w:val="18"/>
          <w:color w:val="auto"/>
        </w:rPr>
        <w:t>Other than as provided herein or required by law, there shall be no series voting.</w:t>
      </w:r>
    </w:p>
    <w:p>
      <w:pPr>
        <w:spacing w:after="0" w:line="225" w:lineRule="exact"/>
        <w:rPr>
          <w:rFonts w:ascii="Times New Roman" w:cs="Times New Roman" w:eastAsia="Times New Roman" w:hAnsi="Times New Roman"/>
          <w:sz w:val="18"/>
          <w:szCs w:val="18"/>
          <w:color w:val="auto"/>
        </w:rPr>
      </w:pPr>
    </w:p>
    <w:p>
      <w:pPr>
        <w:ind w:firstLine="987"/>
        <w:spacing w:after="0" w:line="257" w:lineRule="auto"/>
        <w:tabs>
          <w:tab w:leader="none" w:pos="1236"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Preferred Stock. </w:t>
      </w:r>
      <w:r>
        <w:rPr>
          <w:rFonts w:ascii="Times New Roman" w:cs="Times New Roman" w:eastAsia="Times New Roman" w:hAnsi="Times New Roman"/>
          <w:sz w:val="18"/>
          <w:szCs w:val="18"/>
          <w:color w:val="auto"/>
        </w:rPr>
        <w:t>Each holder of Preferred Stock shall be entitled to the number of votes equal to the number of shares of Common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into which the shares of Preferred Stock held by such holder could be converted as of the record date. Fractional votes shall not be permitted and any fractional voting rights resulting from the above formula (after aggregating all shares into which shares of Preferred Stock held by each holder could be converted) shall be disregarded. Except as otherwise expressly provided herein or as required by law, the holders of shares of the Preferred Stock shall be entitled to vote on all matters on which the Common Stock shall be entitled to vote. Holders of Preferred Stock shall be entitled to notice of any stockholders’ meeting in accordance with the Bylaws of the Corporation.</w:t>
      </w:r>
    </w:p>
    <w:p>
      <w:pPr>
        <w:spacing w:after="0" w:line="182"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Election of Directors. </w:t>
      </w:r>
      <w:r>
        <w:rPr>
          <w:rFonts w:ascii="Times New Roman" w:cs="Times New Roman" w:eastAsia="Times New Roman" w:hAnsi="Times New Roman"/>
          <w:sz w:val="18"/>
          <w:szCs w:val="18"/>
          <w:color w:val="auto"/>
        </w:rPr>
        <w:t>The holders of Preferred Stock, voting as a separate class, shall be entitled to elect four members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Corporation’s Board of Directors at each meeting or pursuant to each consent of the Corporation’s stockholders for the election of directors. The holders of Common Stock, voting as a separate class, shall be entitled to elect two members of the Corporation’s Board of Directors at each meeting or pursuant to each consent of the Corporation’s stockholders for the election of directors. Any additional members of the Corporation’s Board of Directors shall be elected by the holders of Common Stock and the holders of Preferred Stock, voting together as a single class on an as converted to Common Stock basis. If a vacancy on the Board of Directors is to be filled by the Board of Directors, only directors elected by the same class or classes of stockholders as those who would be entitled to vote to fill such vacancy shall vote to fill such vacancy.</w:t>
      </w:r>
    </w:p>
    <w:p>
      <w:pPr>
        <w:spacing w:after="0" w:line="182" w:lineRule="exact"/>
        <w:rPr>
          <w:rFonts w:ascii="Times New Roman" w:cs="Times New Roman" w:eastAsia="Times New Roman" w:hAnsi="Times New Roman"/>
          <w:sz w:val="18"/>
          <w:szCs w:val="18"/>
          <w:color w:val="auto"/>
        </w:rPr>
      </w:pPr>
    </w:p>
    <w:p>
      <w:pPr>
        <w:ind w:firstLine="987"/>
        <w:spacing w:after="0" w:line="268" w:lineRule="auto"/>
        <w:tabs>
          <w:tab w:leader="none" w:pos="1236"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Adjustment in Authorized Common Stock. </w:t>
      </w:r>
      <w:r>
        <w:rPr>
          <w:rFonts w:ascii="Times New Roman" w:cs="Times New Roman" w:eastAsia="Times New Roman" w:hAnsi="Times New Roman"/>
          <w:sz w:val="18"/>
          <w:szCs w:val="18"/>
          <w:color w:val="auto"/>
        </w:rPr>
        <w:t>The number of authorized shares of Common Stock may be increased or decreased (but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below the number of shares of Common Stock then outstanding) by an affirmative vote of the holders in the aggregate of a majority of the then outstanding stock of the Corporation, irrespective of the provisions of Section 242(b)(2) of the General Corporation Law of the State of Delaware.</w:t>
      </w:r>
    </w:p>
    <w:p>
      <w:pPr>
        <w:spacing w:after="0" w:line="170"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Common Stock. </w:t>
      </w:r>
      <w:r>
        <w:rPr>
          <w:rFonts w:ascii="Times New Roman" w:cs="Times New Roman" w:eastAsia="Times New Roman" w:hAnsi="Times New Roman"/>
          <w:sz w:val="18"/>
          <w:szCs w:val="18"/>
          <w:color w:val="auto"/>
        </w:rPr>
        <w:t>Each holder of shares of Common Stock shall be entitled to one vote for each share thereof held.</w:t>
      </w:r>
    </w:p>
    <w:p>
      <w:pPr>
        <w:spacing w:after="0" w:line="225" w:lineRule="exact"/>
        <w:rPr>
          <w:rFonts w:ascii="Times New Roman" w:cs="Times New Roman" w:eastAsia="Times New Roman" w:hAnsi="Times New Roman"/>
          <w:sz w:val="18"/>
          <w:szCs w:val="18"/>
          <w:color w:val="auto"/>
        </w:rPr>
      </w:pPr>
    </w:p>
    <w:p>
      <w:pPr>
        <w:jc w:val="both"/>
        <w:ind w:right="20" w:firstLine="436"/>
        <w:spacing w:after="0" w:line="259" w:lineRule="auto"/>
        <w:tabs>
          <w:tab w:leader="none" w:pos="620" w:val="left"/>
        </w:tabs>
        <w:numPr>
          <w:ilvl w:val="0"/>
          <w:numId w:val="1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Amendments and Changes. </w:t>
      </w:r>
      <w:r>
        <w:rPr>
          <w:rFonts w:ascii="Times New Roman" w:cs="Times New Roman" w:eastAsia="Times New Roman" w:hAnsi="Times New Roman"/>
          <w:sz w:val="18"/>
          <w:szCs w:val="18"/>
          <w:color w:val="auto"/>
        </w:rPr>
        <w:t>So long as at least 29,682,664 of all originally issued shares of Preferred Stock remain outstanding (as adjusted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any stock splits, stock dividends, combinations, subdivisions, recapitalizations, reorganizations, reclassifications or the like), the Corporation shall not, without first obtaining the approval (by vote or written consent as provided by law) of the holders of the Preferred Majority (in addition to any other vote required by law or the Certificate of Incorporation or bylaws of the Corporation) either directly or indirectly, by amendment, merger, consolidation, reclassification or otherwise:</w:t>
      </w:r>
    </w:p>
    <w:p>
      <w:pPr>
        <w:spacing w:after="0" w:line="183" w:lineRule="exact"/>
        <w:rPr>
          <w:rFonts w:ascii="Times New Roman" w:cs="Times New Roman" w:eastAsia="Times New Roman" w:hAnsi="Times New Roman"/>
          <w:sz w:val="18"/>
          <w:szCs w:val="18"/>
          <w:b w:val="1"/>
          <w:bCs w:val="1"/>
          <w:color w:val="auto"/>
        </w:rPr>
      </w:pPr>
    </w:p>
    <w:p>
      <w:pPr>
        <w:ind w:right="120" w:firstLine="987"/>
        <w:spacing w:after="0" w:line="282" w:lineRule="auto"/>
        <w:tabs>
          <w:tab w:leader="none" w:pos="1236"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merger, liquidation, dissolution or winding up of the Corporation or any transaction or series of related transactions deemed to be a liquidation, dissolution or winding up of the Corporation pursuant to Section 3(e);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66" w:right="459" w:bottom="1440" w:gutter="0" w:footer="0" w:header="0"/>
        </w:sectPr>
      </w:pPr>
    </w:p>
    <w:bookmarkStart w:id="276" w:name="page277"/>
    <w:bookmarkEnd w:id="276"/>
    <w:p>
      <w:pPr>
        <w:ind w:right="60" w:firstLine="987"/>
        <w:spacing w:after="0" w:line="266" w:lineRule="auto"/>
        <w:tabs>
          <w:tab w:leader="none" w:pos="124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 alter, waive or repeal any provision of the Certificate of Incorporation or bylaws of the Corporation if such amendment, alteration, waive or repeal would amend, alter, waive or repeal the rights, preferences, privileges or powers of, or restrictions provided for the benefit of, the Preferred Stock or any series thereof;</w:t>
      </w:r>
    </w:p>
    <w:p>
      <w:pPr>
        <w:spacing w:after="0" w:line="175" w:lineRule="exact"/>
        <w:rPr>
          <w:rFonts w:ascii="Times New Roman" w:cs="Times New Roman" w:eastAsia="Times New Roman" w:hAnsi="Times New Roman"/>
          <w:sz w:val="18"/>
          <w:szCs w:val="18"/>
          <w:color w:val="auto"/>
        </w:rPr>
      </w:pPr>
    </w:p>
    <w:p>
      <w:pPr>
        <w:ind w:right="40" w:firstLine="987"/>
        <w:spacing w:after="0" w:line="266" w:lineRule="auto"/>
        <w:tabs>
          <w:tab w:leader="none" w:pos="123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or create or issue or obligate itself to issue any class or series of equity security (including any security convertible into or exercisable for any equity security) having rights, preferences or privileges with respect to dividends, redemption or payments upon liquidation senior to or on a parity with any series of Preferred Stock;</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the authorized number of shares of Common Stock or Preferred Stock or any series thereof;</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any Distribution with respect to the Common Stock or Preferred Stock of the Corporation;</w:t>
      </w:r>
    </w:p>
    <w:p>
      <w:pPr>
        <w:spacing w:after="0" w:line="225" w:lineRule="exact"/>
        <w:rPr>
          <w:rFonts w:ascii="Times New Roman" w:cs="Times New Roman" w:eastAsia="Times New Roman" w:hAnsi="Times New Roman"/>
          <w:sz w:val="18"/>
          <w:szCs w:val="18"/>
          <w:color w:val="auto"/>
        </w:rPr>
      </w:pPr>
    </w:p>
    <w:p>
      <w:pPr>
        <w:jc w:val="both"/>
        <w:ind w:right="180" w:firstLine="987"/>
        <w:spacing w:after="0" w:line="266" w:lineRule="auto"/>
        <w:tabs>
          <w:tab w:leader="none" w:pos="121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incur or create any indebtedness (including any debt securities convertible into or exercisable for any equity security of the Corporation) in any single transaction or series of related transactions having an aggregate principal amount in excess of $500,000 or if the issuance of such indebtedness would result in the Corporation’s cumulative indebtedness exceeding $2,000,000 in the aggregate;</w:t>
      </w:r>
    </w:p>
    <w:p>
      <w:pPr>
        <w:spacing w:after="0" w:line="175" w:lineRule="exact"/>
        <w:rPr>
          <w:rFonts w:ascii="Times New Roman" w:cs="Times New Roman" w:eastAsia="Times New Roman" w:hAnsi="Times New Roman"/>
          <w:sz w:val="18"/>
          <w:szCs w:val="18"/>
          <w:color w:val="auto"/>
        </w:rPr>
      </w:pPr>
    </w:p>
    <w:p>
      <w:pPr>
        <w:ind w:right="240" w:firstLine="987"/>
        <w:spacing w:after="0" w:line="282" w:lineRule="auto"/>
        <w:tabs>
          <w:tab w:leader="none" w:pos="124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hold capital stock in, any subsidiary that is not wholly owned (either directly or through one or more other subsidiaries) by the Corporation, or dispose of any capital stock or all or substantially all of the assets of any subsidiary;</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or decrease the size of the Board of Directors;</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license, pledge, or encumber any material assets of the Corporation, other than licenses granted in the ordinary course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206" w:lineRule="exact"/>
        <w:rPr>
          <w:rFonts w:ascii="Times New Roman" w:cs="Times New Roman" w:eastAsia="Times New Roman" w:hAnsi="Times New Roman"/>
          <w:sz w:val="18"/>
          <w:szCs w:val="18"/>
          <w:color w:val="auto"/>
        </w:rPr>
      </w:pPr>
    </w:p>
    <w:p>
      <w:pPr>
        <w:jc w:val="both"/>
        <w:ind w:right="240" w:firstLine="987"/>
        <w:spacing w:after="0" w:line="266" w:lineRule="auto"/>
        <w:tabs>
          <w:tab w:leader="none" w:pos="120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interested party transaction, unless approved by the Board, including the approval of (i) a majority of the disinterested directors and (ii) a majority of the Preferred Directors if at least a majority of Preferred Directors are disinterested or, if only one Preferred Director is disinterested, such disinterested Preferred Director, if any;</w:t>
      </w:r>
    </w:p>
    <w:p>
      <w:pPr>
        <w:spacing w:after="0" w:line="175" w:lineRule="exact"/>
        <w:rPr>
          <w:rFonts w:ascii="Times New Roman" w:cs="Times New Roman" w:eastAsia="Times New Roman" w:hAnsi="Times New Roman"/>
          <w:sz w:val="18"/>
          <w:szCs w:val="18"/>
          <w:color w:val="auto"/>
        </w:rPr>
      </w:pPr>
    </w:p>
    <w:p>
      <w:pPr>
        <w:ind w:right="180" w:firstLine="987"/>
        <w:spacing w:after="0" w:line="266" w:lineRule="auto"/>
        <w:tabs>
          <w:tab w:leader="none" w:pos="124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or amend (including any increase in the number of shares subject to issuance thereunder) any stock plan or other similar equity incentive arrangement for the benefit of employees or other service providers unless approved by the Board of Directors including a majority of the Preferred Directors;</w:t>
      </w:r>
    </w:p>
    <w:p>
      <w:pPr>
        <w:spacing w:after="0" w:line="175" w:lineRule="exact"/>
        <w:rPr>
          <w:rFonts w:ascii="Times New Roman" w:cs="Times New Roman" w:eastAsia="Times New Roman" w:hAnsi="Times New Roman"/>
          <w:sz w:val="18"/>
          <w:szCs w:val="18"/>
          <w:color w:val="auto"/>
        </w:rPr>
      </w:pPr>
    </w:p>
    <w:p>
      <w:pPr>
        <w:ind w:firstLine="987"/>
        <w:spacing w:after="0" w:line="282" w:lineRule="auto"/>
        <w:tabs>
          <w:tab w:leader="none" w:pos="1206"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hold capital stock in, any subsidiary that is not wholly owned (either directly or through one or more other subsidiaries) by the Corporation, or permit any subsidiary to create, or authorize the creation of, or issue or obligate itself to issue, any shares of any class or series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70" w:right="439" w:bottom="1440" w:gutter="0" w:footer="0" w:header="0"/>
        </w:sectPr>
      </w:pPr>
    </w:p>
    <w:bookmarkStart w:id="277" w:name="page278"/>
    <w:bookmarkEnd w:id="277"/>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capital stock, or sell, transfer or otherwise dispose of any capital stock of any direct or indirect subsidiary of the Corporation, or permit any direct or indirect subsidiary to sell, lease, transfer, exclusively license or otherwise dispose (in a single transaction or series of related transactions) of all or substantially all of the assets of such subsidiary;</w:t>
      </w:r>
    </w:p>
    <w:p>
      <w:pPr>
        <w:spacing w:after="0" w:line="176" w:lineRule="exact"/>
        <w:rPr>
          <w:sz w:val="20"/>
          <w:szCs w:val="20"/>
          <w:color w:val="auto"/>
        </w:rPr>
      </w:pPr>
    </w:p>
    <w:p>
      <w:pPr>
        <w:ind w:left="1300" w:hanging="313"/>
        <w:spacing w:after="0"/>
        <w:tabs>
          <w:tab w:leader="none" w:pos="130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authorize or permit any subsidiary to take any of the foregoing actions; or</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this Section 6.</w:t>
      </w:r>
    </w:p>
    <w:p>
      <w:pPr>
        <w:spacing w:after="0" w:line="221" w:lineRule="exact"/>
        <w:rPr>
          <w:rFonts w:ascii="Times New Roman" w:cs="Times New Roman" w:eastAsia="Times New Roman" w:hAnsi="Times New Roman"/>
          <w:sz w:val="18"/>
          <w:szCs w:val="18"/>
          <w:color w:val="auto"/>
        </w:rPr>
      </w:pPr>
    </w:p>
    <w:p>
      <w:pPr>
        <w:ind w:firstLine="436"/>
        <w:spacing w:after="0" w:line="256" w:lineRule="auto"/>
        <w:tabs>
          <w:tab w:leader="none" w:pos="6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Series A Protective Provisions</w:t>
      </w:r>
      <w:r>
        <w:rPr>
          <w:rFonts w:ascii="Times New Roman" w:cs="Times New Roman" w:eastAsia="Times New Roman" w:hAnsi="Times New Roman"/>
          <w:sz w:val="18"/>
          <w:szCs w:val="18"/>
          <w:color w:val="auto"/>
        </w:rPr>
        <w:t>. So long as at least 8,505,228 shares of Series A Preferred Stock originally issued remain outstanding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adjusted for any stock splits, stock dividends, combinations, subdivisions, recapitalizations, reorganizations, reclassifications or the like), the Corporation shall not, either directly or indirectly, by amendment, merger, consolidation, reclassification or otherwise, amend, alter or repeal any provision of this Corporation’s Certificate of Incorporation or Bylaws in a manner that would adversely alter the rights, preferences or privileges of the Series A Preferred Stock but not so adversely affect the rights, preferences, and privileges of the other series of Preferred Stock in the same manner without (in addition to any other vote required by law or the Certificate of Incorporation) first obtaining the approval (by vote or written consent, as provided by law) of the Series A Majority.</w:t>
      </w:r>
    </w:p>
    <w:p>
      <w:pPr>
        <w:spacing w:after="0" w:line="182" w:lineRule="exact"/>
        <w:rPr>
          <w:rFonts w:ascii="Times New Roman" w:cs="Times New Roman" w:eastAsia="Times New Roman" w:hAnsi="Times New Roman"/>
          <w:sz w:val="18"/>
          <w:szCs w:val="18"/>
          <w:color w:val="auto"/>
        </w:rPr>
      </w:pPr>
    </w:p>
    <w:p>
      <w:pPr>
        <w:ind w:firstLine="436"/>
        <w:spacing w:after="0" w:line="256" w:lineRule="auto"/>
        <w:tabs>
          <w:tab w:leader="none" w:pos="6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Series B Protective Provisions</w:t>
      </w:r>
      <w:r>
        <w:rPr>
          <w:rFonts w:ascii="Times New Roman" w:cs="Times New Roman" w:eastAsia="Times New Roman" w:hAnsi="Times New Roman"/>
          <w:sz w:val="18"/>
          <w:szCs w:val="18"/>
          <w:color w:val="auto"/>
        </w:rPr>
        <w:t>. So long as at least 8,079,360 shares of Series B Preferred Stock originally issued remain outstanding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adjusted for any stock splits, stock dividends, combinations, subdivisions, recapitalizations, reorganizations, reclassifications or the like), the Corporation shall not, either directly or indirectly, by amendment, merger, consolidation, reclassification or otherwise, amend, alter or repeal any provision of this Corporation’s Certificate of Incorporation or Bylaws in a manner that would adversely alter the rights, preferences or privileges of the Series B Preferred Stock but not so adversely affect the rights, preferences, and privileges of the other series of Preferred Stock in the same manner without (in addition to any other vote required by law or the Certificate of Incorporation) first obtaining the approval (by vote or written consent, as provided by law) of the holders of a majority of the outstanding shares of Series B Preferred Stock.</w:t>
      </w:r>
    </w:p>
    <w:p>
      <w:pPr>
        <w:spacing w:after="0" w:line="182" w:lineRule="exact"/>
        <w:rPr>
          <w:rFonts w:ascii="Times New Roman" w:cs="Times New Roman" w:eastAsia="Times New Roman" w:hAnsi="Times New Roman"/>
          <w:sz w:val="18"/>
          <w:szCs w:val="18"/>
          <w:color w:val="auto"/>
        </w:rPr>
      </w:pPr>
    </w:p>
    <w:p>
      <w:pPr>
        <w:ind w:firstLine="436"/>
        <w:spacing w:after="0" w:line="259" w:lineRule="auto"/>
        <w:tabs>
          <w:tab w:leader="none" w:pos="62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Series C Protective Provisions</w:t>
      </w:r>
      <w:r>
        <w:rPr>
          <w:rFonts w:ascii="Times New Roman" w:cs="Times New Roman" w:eastAsia="Times New Roman" w:hAnsi="Times New Roman"/>
          <w:sz w:val="18"/>
          <w:szCs w:val="18"/>
          <w:color w:val="auto"/>
        </w:rPr>
        <w:t>. So long as at least 5,759,610 shares of Series C Preferred Stock originally issued remain outstanding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adjusted for any stock splits, stock dividends, combinations, subdivisions, recapitalizations, reorganizations, reclassifications or the like), the Corporation shall not, without (in addition to any other vote required by law or the Certificate of Incorporation) first obtaining the approval (by vote or written consent, as provided by law) of the Series C Majority, either directly or indirectly, by amendment, merger, consolidation, reclassification or otherwise:</w:t>
      </w:r>
    </w:p>
    <w:p>
      <w:pPr>
        <w:spacing w:after="0" w:line="183" w:lineRule="exact"/>
        <w:rPr>
          <w:rFonts w:ascii="Times New Roman" w:cs="Times New Roman" w:eastAsia="Times New Roman" w:hAnsi="Times New Roman"/>
          <w:sz w:val="18"/>
          <w:szCs w:val="18"/>
          <w:color w:val="auto"/>
        </w:rPr>
      </w:pPr>
    </w:p>
    <w:p>
      <w:pPr>
        <w:ind w:right="60" w:firstLine="987"/>
        <w:spacing w:after="0" w:line="266" w:lineRule="auto"/>
        <w:tabs>
          <w:tab w:leader="none" w:pos="1236"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alter or repeal any provision of this Corporation’s Certificate of Incorporation or Bylaws in a manner that would adversely alter the rights, preferences or privileges of the Series C Preferred Stock but not so adversely affect the rights, preferences, and privileges of the other series of Preferred Stock in the same manner; or</w:t>
      </w:r>
    </w:p>
    <w:p>
      <w:pPr>
        <w:spacing w:after="0" w:line="175" w:lineRule="exact"/>
        <w:rPr>
          <w:rFonts w:ascii="Times New Roman" w:cs="Times New Roman" w:eastAsia="Times New Roman" w:hAnsi="Times New Roman"/>
          <w:sz w:val="18"/>
          <w:szCs w:val="18"/>
          <w:color w:val="auto"/>
        </w:rPr>
      </w:pPr>
    </w:p>
    <w:p>
      <w:pPr>
        <w:ind w:right="20" w:firstLine="987"/>
        <w:spacing w:after="0" w:line="282" w:lineRule="auto"/>
        <w:tabs>
          <w:tab w:leader="none" w:pos="1246"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liquidation, dissolution or winding up of the Corporation or any transaction or series of related transactions deemed to be a liquidation, dissolution or winding up of</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60"/>
          </w:cols>
          <w:pgMar w:left="440" w:top="270" w:right="599" w:bottom="1440" w:gutter="0" w:footer="0" w:header="0"/>
        </w:sectPr>
      </w:pPr>
    </w:p>
    <w:bookmarkStart w:id="278" w:name="page279"/>
    <w:bookmarkEnd w:id="278"/>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Corporation pursuant to Section 3(e) unless each share of Series C Preferred Stock receives at least the Original Issue Price of the Series C Preferred Stock in any such transaction (exclusive of any contingent consideration).</w:t>
      </w:r>
    </w:p>
    <w:p>
      <w:pPr>
        <w:spacing w:after="0" w:line="158" w:lineRule="exact"/>
        <w:rPr>
          <w:sz w:val="20"/>
          <w:szCs w:val="20"/>
          <w:color w:val="auto"/>
        </w:rPr>
      </w:pPr>
    </w:p>
    <w:p>
      <w:pPr>
        <w:ind w:right="100" w:firstLine="436"/>
        <w:spacing w:after="0" w:line="259" w:lineRule="auto"/>
        <w:tabs>
          <w:tab w:leader="none" w:pos="71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Series D Protective Provisions</w:t>
      </w:r>
      <w:r>
        <w:rPr>
          <w:rFonts w:ascii="Times New Roman" w:cs="Times New Roman" w:eastAsia="Times New Roman" w:hAnsi="Times New Roman"/>
          <w:sz w:val="18"/>
          <w:szCs w:val="18"/>
          <w:color w:val="auto"/>
        </w:rPr>
        <w:t>. So long as at least 5,604,035 of the shares of Series D Preferred Stock originally issued remain outstanding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adjusted for any stock splits, stock dividends, combinations, subdivisions, recapitalizations, reorganizations, reclassifications or the like), the Corporation shall not, without (in addition to any other vote required by law or the Certificate of Incorporation) first obtaining the approval (by vote or written consent, as provided by law) of the Series D Majority, either directly or indirectly, by amendment, merger, consolidation, reclassification or otherwise:</w:t>
      </w:r>
    </w:p>
    <w:p>
      <w:pPr>
        <w:spacing w:after="0" w:line="183" w:lineRule="exact"/>
        <w:rPr>
          <w:rFonts w:ascii="Times New Roman" w:cs="Times New Roman" w:eastAsia="Times New Roman" w:hAnsi="Times New Roman"/>
          <w:sz w:val="18"/>
          <w:szCs w:val="18"/>
          <w:color w:val="auto"/>
        </w:rPr>
      </w:pPr>
    </w:p>
    <w:p>
      <w:pPr>
        <w:ind w:right="560" w:firstLine="987"/>
        <w:spacing w:after="0" w:line="270" w:lineRule="auto"/>
        <w:tabs>
          <w:tab w:leader="none" w:pos="1236"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waive, alter or repeal any provision of this Corporation’s Certificate of Incorporation or Bylaws in a manner that would adversely alter the series-specific rights, preferences or privileges of the Series D Preferred Stock (it being agreed that any amendment, waiver, alteration or repeal of the definition of “Series D Majority”, Section 2(e)(ii), any waiver of the Series D Preferred Stock’s Liquidation Rights in Section 3 in connection with any liquidation, dissolution or winding up of the Corporation, or any amendment, waiver, alteration or repeal of</w:t>
      </w:r>
    </w:p>
    <w:p>
      <w:pPr>
        <w:spacing w:after="0" w:line="2" w:lineRule="exact"/>
        <w:rPr>
          <w:rFonts w:ascii="Times New Roman" w:cs="Times New Roman" w:eastAsia="Times New Roman" w:hAnsi="Times New Roman"/>
          <w:sz w:val="17"/>
          <w:szCs w:val="17"/>
          <w:color w:val="auto"/>
        </w:rPr>
      </w:pPr>
    </w:p>
    <w:p>
      <w:pPr>
        <w:ind w:right="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4(j)(ii) that results in a disproportionate effect on the Series D Preferred Stock would adversely alter such rights, preferences or privileges of the Series D Preferred Stock); or</w:t>
      </w:r>
    </w:p>
    <w:p>
      <w:pPr>
        <w:spacing w:after="0" w:line="181" w:lineRule="exact"/>
        <w:rPr>
          <w:rFonts w:ascii="Times New Roman" w:cs="Times New Roman" w:eastAsia="Times New Roman" w:hAnsi="Times New Roman"/>
          <w:sz w:val="17"/>
          <w:szCs w:val="17"/>
          <w:color w:val="auto"/>
        </w:rPr>
      </w:pPr>
    </w:p>
    <w:p>
      <w:pPr>
        <w:ind w:right="120" w:firstLine="987"/>
        <w:spacing w:after="0" w:line="266" w:lineRule="auto"/>
        <w:tabs>
          <w:tab w:leader="none" w:pos="1246"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 any liquidation, dissolution or winding up of the Corporation or any transaction or series of related transactions deemed to be a liquidation, dissolution or winding up of the Corporation pursuant to Section 3(e) unless each share of Series D Preferred Stock receives at least the Original Issue Price of the Series D Preferred Stock in any such transaction (exclusive of any contingent consideration).</w:t>
      </w:r>
    </w:p>
    <w:p>
      <w:pPr>
        <w:spacing w:after="0" w:line="171" w:lineRule="exact"/>
        <w:rPr>
          <w:rFonts w:ascii="Times New Roman" w:cs="Times New Roman" w:eastAsia="Times New Roman" w:hAnsi="Times New Roman"/>
          <w:sz w:val="18"/>
          <w:szCs w:val="18"/>
          <w:color w:val="auto"/>
        </w:rPr>
      </w:pPr>
    </w:p>
    <w:p>
      <w:pPr>
        <w:ind w:right="680" w:firstLine="436"/>
        <w:spacing w:after="0" w:line="317" w:lineRule="auto"/>
        <w:tabs>
          <w:tab w:leader="none" w:pos="703"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Reissuance of Preferred Stock. </w:t>
      </w:r>
      <w:r>
        <w:rPr>
          <w:rFonts w:ascii="Times New Roman" w:cs="Times New Roman" w:eastAsia="Times New Roman" w:hAnsi="Times New Roman"/>
          <w:sz w:val="17"/>
          <w:szCs w:val="17"/>
          <w:color w:val="auto"/>
        </w:rPr>
        <w:t>In the event that any shares of Preferred Stock shall be converted pursuant to Section 4 or otherwise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repurchased by the Corporation, the shares so converted or repurchased shall be cancelled and shall not be issuable by this Corporation.</w:t>
      </w:r>
    </w:p>
    <w:p>
      <w:pPr>
        <w:spacing w:after="0" w:line="131" w:lineRule="exact"/>
        <w:rPr>
          <w:rFonts w:ascii="Times New Roman" w:cs="Times New Roman" w:eastAsia="Times New Roman" w:hAnsi="Times New Roman"/>
          <w:sz w:val="17"/>
          <w:szCs w:val="17"/>
          <w:color w:val="auto"/>
        </w:rPr>
      </w:pPr>
    </w:p>
    <w:p>
      <w:pPr>
        <w:jc w:val="both"/>
        <w:ind w:right="380" w:firstLine="436"/>
        <w:spacing w:after="0" w:line="268" w:lineRule="auto"/>
        <w:tabs>
          <w:tab w:leader="none" w:pos="71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Any notice required by the provisions of this ARTICLE V to be given to the holders of Preferred Stock shall be deemed given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deposited in the United States mail, postage prepaid, and addressed to each holder of record at such holder’s address appearing on the books of the Corporation.</w:t>
      </w:r>
    </w:p>
    <w:p>
      <w:pPr>
        <w:spacing w:after="0" w:line="3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Corporation is to have perpetual existence.</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Elections of directors need not be by written ballot unless the Bylaws of the Corporation shall so provide.</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40" w:top="270" w:right="499" w:bottom="1440" w:gutter="0" w:footer="0" w:header="0"/>
        </w:sectPr>
      </w:pPr>
    </w:p>
    <w:bookmarkStart w:id="279" w:name="page280"/>
    <w:bookmarkEnd w:id="27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VIII</w:t>
      </w:r>
    </w:p>
    <w:p>
      <w:pPr>
        <w:spacing w:after="0" w:line="229"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Unless otherwise set forth herein, the number of directors that constitute the Board of Directors of the Corporation shall be fixed by, or in the manner provided in, the Bylaws of the Corporation.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9"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In furtherance and not in limitation of the powers conferred by statute, the Board of Directors of the Corporation is expressly authorized to adopt, amend or repeal the Bylaws of the Corporation.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9" w:lineRule="exact"/>
        <w:rPr>
          <w:sz w:val="20"/>
          <w:szCs w:val="20"/>
          <w:color w:val="auto"/>
        </w:rPr>
      </w:pPr>
    </w:p>
    <w:p>
      <w:pPr>
        <w:ind w:right="100" w:firstLine="436"/>
        <w:spacing w:after="0" w:line="255" w:lineRule="auto"/>
        <w:tabs>
          <w:tab w:leader="none" w:pos="6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the Delaware General Corporation Law as the same exists or as may hereafter be amended, a director of the Corporation shall not be personally liable to the Corporation or its stockholders for monetary damages for a breach of fiduciary duty as a director. If the Delaware General Corporation Law is amended to authorize corporate action further eliminating or limiting the personal liability of directors, then the liability of a director of the Corporation shall be eliminated or limited to the fullest extent permitted by the Delaware General Corporation Law, as so amended. Neither any amendment nor repeal of this Section 1, nor the adoption of any provision of this Corporation’s Certificate of Incorporation inconsistent with this Section 1, shall eliminate or reduce the effect of this Section 1, in respect of any matter occurring, or any action or proceeding accruing or arising or that, but for this Section 1, would accrue or arise, prior to such amendment, repeal or adoption of an inconsistent provision.</w:t>
      </w:r>
    </w:p>
    <w:p>
      <w:pPr>
        <w:spacing w:after="0" w:line="188" w:lineRule="exact"/>
        <w:rPr>
          <w:rFonts w:ascii="Times New Roman" w:cs="Times New Roman" w:eastAsia="Times New Roman" w:hAnsi="Times New Roman"/>
          <w:sz w:val="18"/>
          <w:szCs w:val="18"/>
          <w:color w:val="auto"/>
        </w:rPr>
      </w:pPr>
    </w:p>
    <w:p>
      <w:pPr>
        <w:ind w:firstLine="436"/>
        <w:spacing w:after="0" w:line="253" w:lineRule="auto"/>
        <w:tabs>
          <w:tab w:leader="none" w:pos="62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have the power to indemnify, to the extent permitted by the Delaware General Corporation Law, as it presently exists or may hereafter be amended from time to time, any person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by reason of the fact that he or she is or was a director, officer, employee or agent of the Corporation or is or was serving at the request of the Corporation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A right to indemnification or to advancement of expenses arising under a provision of this Certificate of Incorporation or a bylaw of the Corporation shall not be eliminated or impaired by an amendment to this Certificate of Incorporation or the Bylaws of the Corporation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9"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Meetings of stockholders may be held within or without the State of Delaware, as the Bylaws may provide. The books of the Corporation may be kept (subject to any provision contained in the statutes) outside of the State of Delaware at such place or places as may be designated from time to time by the Board of Directors or in the Bylaws of the Corporation.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66" w:right="459" w:bottom="1440" w:gutter="0" w:footer="0" w:header="0"/>
        </w:sectPr>
      </w:pPr>
    </w:p>
    <w:bookmarkStart w:id="280" w:name="page281"/>
    <w:bookmarkEnd w:id="28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XII</w:t>
      </w:r>
    </w:p>
    <w:p>
      <w:pPr>
        <w:spacing w:after="0" w:line="229"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To the extent permitted by law, the Corporation renounces any expectancy that a Covered Person offer the Corporation an opportunity to participate in a Specified Opportunity and waives any claim that the Specified Opportunity constitutes a corporate opportunity that should have been presented by the Covered Person to the Corporation;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Covered Person acts in good faith. A “</w:t>
      </w:r>
      <w:r>
        <w:rPr>
          <w:rFonts w:ascii="Times New Roman" w:cs="Times New Roman" w:eastAsia="Times New Roman" w:hAnsi="Times New Roman"/>
          <w:sz w:val="18"/>
          <w:szCs w:val="18"/>
          <w:b w:val="1"/>
          <w:bCs w:val="1"/>
          <w:i w:val="1"/>
          <w:iCs w:val="1"/>
          <w:color w:val="auto"/>
        </w:rPr>
        <w:t>Covered Person</w:t>
      </w:r>
      <w:r>
        <w:rPr>
          <w:rFonts w:ascii="Times New Roman" w:cs="Times New Roman" w:eastAsia="Times New Roman" w:hAnsi="Times New Roman"/>
          <w:sz w:val="18"/>
          <w:szCs w:val="18"/>
          <w:color w:val="auto"/>
        </w:rPr>
        <w:t>” is any member of the Board of Directors of the Corporation (who is not an employee of the Corporation or any of its subsidiaries) who is a partner, member or employee of a Fund. A “</w:t>
      </w:r>
      <w:r>
        <w:rPr>
          <w:rFonts w:ascii="Times New Roman" w:cs="Times New Roman" w:eastAsia="Times New Roman" w:hAnsi="Times New Roman"/>
          <w:sz w:val="18"/>
          <w:szCs w:val="18"/>
          <w:b w:val="1"/>
          <w:bCs w:val="1"/>
          <w:i w:val="1"/>
          <w:iCs w:val="1"/>
          <w:color w:val="auto"/>
        </w:rPr>
        <w:t>Specified Opportunity</w:t>
      </w:r>
      <w:r>
        <w:rPr>
          <w:rFonts w:ascii="Times New Roman" w:cs="Times New Roman" w:eastAsia="Times New Roman" w:hAnsi="Times New Roman"/>
          <w:sz w:val="18"/>
          <w:szCs w:val="18"/>
          <w:color w:val="auto"/>
        </w:rPr>
        <w:t>” is any transaction or other matter that is presented to the Covered Person in his or her capacity as a partner, member or employee of a Fund (and other than in connection with his or her service as a member of the Board of Directors of the Corporation) that may be an opportunity of interest for both the Corporation and the Fund. A “</w:t>
      </w:r>
      <w:r>
        <w:rPr>
          <w:rFonts w:ascii="Times New Roman" w:cs="Times New Roman" w:eastAsia="Times New Roman" w:hAnsi="Times New Roman"/>
          <w:sz w:val="18"/>
          <w:szCs w:val="18"/>
          <w:b w:val="1"/>
          <w:bCs w:val="1"/>
          <w:i w:val="1"/>
          <w:iCs w:val="1"/>
          <w:color w:val="auto"/>
        </w:rPr>
        <w:t>Fund</w:t>
      </w:r>
      <w:r>
        <w:rPr>
          <w:rFonts w:ascii="Times New Roman" w:cs="Times New Roman" w:eastAsia="Times New Roman" w:hAnsi="Times New Roman"/>
          <w:sz w:val="18"/>
          <w:szCs w:val="18"/>
          <w:color w:val="auto"/>
        </w:rPr>
        <w:t>” is an entity that is a holder of Preferred Stock and that is primarily in the business of investing in other entities, or an entity that manages such an entity.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XIII</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Unless the Corporation consents in writing to the selection of an alternative forum, the Court of Chancery of the State of Delaware shall be the sole and exclusive forum for (i) any derivative action or proceeding brought on behalf of the Corporation, (ii) any action asserting a claim of breach of a fiduciary duty owed by any director, officer or other employee of the Corporation to the Corporation or the Corporation’s stockholders, (iii) any action asserting a claim arising pursuant to any provision of the DGCL or the Corporation’s Certificate of Incorporation or bylaws, or (iv) any action asserting a claim against the Corporation governed by the internal affairs doctrine. Any person or entity purchasing or otherwise acquiring any interest in shares of capital stock of the Corporation shall be deemed to have notice of and consented to the provisions of this Article XIII.</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6" w:right="459" w:bottom="1440" w:gutter="0" w:footer="0" w:header="0"/>
        </w:sectPr>
      </w:pPr>
    </w:p>
    <w:bookmarkStart w:id="281" w:name="page282"/>
    <w:bookmarkEnd w:id="281"/>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225"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PMV Pharmaceuticals, Inc., a corporation organized and existing under the laws of the State of Delaware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does hereby certify as follows:</w:t>
      </w:r>
    </w:p>
    <w:p>
      <w:pPr>
        <w:spacing w:after="0" w:line="159"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A. The Company was originally incorporated under the name of PJ Pharmaceuticals, Inc., and the original Certificate of Incorporation of the Company was filed with the Secretary of State of the State of Delaware on March 19, 2013.</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B. This Amended and Restated Certificate of Incorporation was duly adopted in accordance with Sections 242 and 245 of the General Corporation Law of the State of Delaware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by the Board of Directors of the Company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and has been duly approved by the written consent of the stockholders of the Company in accordance with Section 228 of the DGCL.</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 The text of the Amended and Restated Certificate of Incorporation is hereby amended and restated in its entirety to read as follows: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name of the Company is PMV Pharmaceuticals, Inc.</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address of the Company’s registered office in the State of Delaware is 1209 Orange Street, in the City of Wilmington, County of New Castle, Delaware 19801. The name of its registered agent at such address is The Corporation Trust Company.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ind w:right="800" w:firstLine="440"/>
        <w:spacing w:after="0" w:line="282" w:lineRule="auto"/>
        <w:rPr>
          <w:sz w:val="20"/>
          <w:szCs w:val="20"/>
          <w:color w:val="auto"/>
        </w:rPr>
      </w:pPr>
      <w:r>
        <w:rPr>
          <w:rFonts w:ascii="Times New Roman" w:cs="Times New Roman" w:eastAsia="Times New Roman" w:hAnsi="Times New Roman"/>
          <w:sz w:val="18"/>
          <w:szCs w:val="18"/>
          <w:color w:val="auto"/>
        </w:rPr>
        <w:t>The nature of the business or purposes to be conducted or promoted by the Company is to engage in any lawful act or activity for which corporations may be organized under the DGCL.</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Section 1. This Company is authorized to issue two classes of stock, to be designated, respectively, Common Stock and Preferred Stock. The total number of shares of stock that the Company shall have authority to issue is one billion and five million (1,005,000,000) of which one billion (1,000,000,000) shares are Common Stock, $0.00001 par value per share, and five million (5,000,000) shares are Preferred Stock, $0.00001 par value per share.</w:t>
      </w:r>
    </w:p>
    <w:p>
      <w:pPr>
        <w:spacing w:after="0" w:line="18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Section 2. Each share of Common Stock outstanding as of the applicable record date shall entitle the holder thereof to one (1) vote on any matter submitted to a vote at a meeting of stockholders.</w:t>
      </w:r>
    </w:p>
    <w:p>
      <w:pPr>
        <w:spacing w:after="0" w:line="162" w:lineRule="exact"/>
        <w:rPr>
          <w:sz w:val="20"/>
          <w:szCs w:val="20"/>
          <w:color w:val="auto"/>
        </w:rPr>
      </w:pPr>
    </w:p>
    <w:p>
      <w:pPr>
        <w:ind w:right="300" w:firstLine="440"/>
        <w:spacing w:after="0" w:line="312" w:lineRule="auto"/>
        <w:rPr>
          <w:sz w:val="20"/>
          <w:szCs w:val="20"/>
          <w:color w:val="auto"/>
        </w:rPr>
      </w:pPr>
      <w:r>
        <w:rPr>
          <w:rFonts w:ascii="Times New Roman" w:cs="Times New Roman" w:eastAsia="Times New Roman" w:hAnsi="Times New Roman"/>
          <w:sz w:val="17"/>
          <w:szCs w:val="17"/>
          <w:color w:val="auto"/>
        </w:rPr>
        <w:t>Section 3. The Preferred Stock may be issued from time to time in one or more series pursuant to a resolution or resolutions providing for such issue duly adopted by the Board of Directors (authority to do so being hereby expressly vested in the Board of Directors). The Board of Directors is</w:t>
      </w:r>
    </w:p>
    <w:p>
      <w:pPr>
        <w:sectPr>
          <w:pgSz w:w="11900" w:h="16838" w:orient="portrait"/>
          <w:cols w:equalWidth="0" w:num="1">
            <w:col w:w="11020"/>
          </w:cols>
          <w:pgMar w:left="440" w:top="117" w:right="439" w:bottom="1440" w:gutter="0" w:footer="0" w:header="0"/>
        </w:sectPr>
      </w:pPr>
    </w:p>
    <w:bookmarkStart w:id="282" w:name="page283"/>
    <w:bookmarkEnd w:id="282"/>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further authorized, subject to limitations prescribed by law, to fix by resolution or resolutions the designations, powers, preferences and rights, and the qualifications, limitations or restrictions thereof, of any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Board of Directors is further authorized to increase (but not above the total number of authorized shares of the class) or decrease (but not below the number of shares of any such series then outstanding) the number of shares of any series, subject to the powers, preferences and rights, and the qualifications, limitations and restrictions thereof stated in this Amended and Restated Certificate of Incorporation or the resolution of the Board of Directors originally fixing the number of shares of such series. Except as may be otherwise specified by the terms of any series of Preferred Stock, if the number of shares of any series of Preferred Stock is so decreased, then the Company shall take all such steps as are necessary to cause the shares constituting such decrease to resume the status which they had prior to the adoption of the resolution originally fixing the number of shares of such series.</w:t>
      </w:r>
    </w:p>
    <w:p>
      <w:pPr>
        <w:spacing w:after="0" w:line="19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Section 4. Except as otherwise required by law or provided in this Amended and Restated Certificate of Incorporation, holders of Common Stock shall not be entitled to vote on any amendment to this Amended and Restated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Amended and Restated Certificate of Incorporation (including any certificate of designation filed with respect to any series of Preferred Stock).</w:t>
      </w:r>
    </w:p>
    <w:p>
      <w:pPr>
        <w:spacing w:after="0" w:line="183"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Section 5. The number of authorized shares of Preferred Stock or Common Stock may be increased or decreased (but not below the number of shares thereof then outstanding) by the affirmative vote of the holders of a majority of the voting power of all the then-outstanding shares of capital stock of the Company entitled to vote thereon, without a separate vote of the holders of the class or classes the number of authorized shares of which are being increased or decreased, unless a vote of any holders of one or more series of Preferred Stock is required pursuant to the terms of any certificate of designation relating to any series of Preferred Stock, irrespective of the provisions of Section 242(b)(2) of the DGCL.</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Section 1. Subject to the rights of holders of Preferred Stock, the number of directors that constitutes the entire Board of Directors of the Company shall be fixed only by resolution of the Board of Directors acting pursuant to a resolution adopted by a majority of the Whole Board. For the purposes of this Amended and Restated Certificate of Incorporation, the term “</w:t>
      </w:r>
      <w:r>
        <w:rPr>
          <w:rFonts w:ascii="Times New Roman" w:cs="Times New Roman" w:eastAsia="Times New Roman" w:hAnsi="Times New Roman"/>
          <w:sz w:val="18"/>
          <w:szCs w:val="18"/>
          <w:b w:val="1"/>
          <w:bCs w:val="1"/>
          <w:color w:val="auto"/>
        </w:rPr>
        <w:t>Whole Board</w:t>
      </w:r>
      <w:r>
        <w:rPr>
          <w:rFonts w:ascii="Times New Roman" w:cs="Times New Roman" w:eastAsia="Times New Roman" w:hAnsi="Times New Roman"/>
          <w:sz w:val="18"/>
          <w:szCs w:val="18"/>
          <w:color w:val="auto"/>
        </w:rPr>
        <w:t>” shall mean the total number of authorized directorships whether or not there exist any vacancies or other unfilled seats in previously authorized directorships. At each annual meeting of stockholders, directors of the Company shall be elected to hold office until the expiration of the term for which they are elected and until their successors have been duly elected and qualified or until their earlier resignation or removal; except that if any such meeting shall not be so held, such election shall take place at a stockholders’ meeting called and held in accordance with the DGCL.</w:t>
      </w:r>
    </w:p>
    <w:p>
      <w:pPr>
        <w:spacing w:after="0" w:line="189"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Section 2. From and after the effectiveness of this Amended and Restated Certificate of Incorporation, the directors of the Company (other than any who may be elected by holders of Preferred Stock under specified circumstances) shall be divided into three classes as nearly equal in size as is practicable, hereby designated Class I, Class II and Class III. Directors already in office shall be assigned to each class at the time such classification becomes effective in accordance with a resolution or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283" w:name="page284"/>
    <w:bookmarkEnd w:id="283"/>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resolutions adopted by the Board of Directors. At the first annual meeting of stockholders following the date hereof, the term of office of the Class I directors shall expire and Class I directors shall be elected for a full term of three years. At the second annual meeting of stockholders following the date hereof, the term of office of the Class II directors shall expire and Class II directors shall be elected for a full term of three years. At the third annual meeting of stockholders following the date hereof,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If the number of directors is changed, any newly created directorships or decrease in directorships shall be so apportioned hereafter among the classes as to make all classes as nearly equal in number as is practicable,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no decrease in the number of directors constituting the Board of Directors shall shorten the term of any incumbent director.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Section 1. From and after the effectiveness of this Amended and Restated Certificate of Incorporation, only for so long as the Board of Directors is classified and subject to the rights of holders of Preferred Stock, any director or the entire Board of Directors may be removed from office at any time, but only for cause, and only by the affirmative vote of the holders of at least a majority of the voting power of the issued and outstanding capital stock of the Company entitled to vote in the election of directors.</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Section 2. Except as otherwise provided for or fixed by or pursuant to the provisions of ARTICLE IV hereof in relation to the rights of the holders of Preferred Stock to elect directors under specified circumstances or except as otherwise provided by resolution of a majority of the Whole Board, newly created directorships resulting from any increase in the number of directors, created in accordance with the Bylaws of the Company, and any vacancies on the Board of Directors resulting from death, resignation, disqualification, removal or other cause shall be filled only by the affirmative vote of a majority of the remaining directors then in office, even though less than a quorum of the Board of Directors, or by a sole remaining director, and not by the stockholders. A person so elected by the Board of Directors to fill a vacancy or newly created directorship shall hold office until the next election of the class for which such director shall have been chosen until his or her successor shall have been duly elected and qualified, or until such director’s earlier death, resignation or removal. No decrease in the number of directors constituting the Board of Directors shall shorten the term of any incumbent director.</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 The Company is to have perpetual existence.</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Section 2. The business and affairs of the Company shall be managed by or under the direction of the Board of Directors. In addition to the powers and authority expressly conferred upon them by statute or by this Amended and Restated Certificate of Incorporation or the Bylaws of the Company, the directors are hereby empowered to exercise all such powers and do all such acts and things as may be exercised or done by the Company.</w:t>
      </w:r>
    </w:p>
    <w:p>
      <w:pPr>
        <w:spacing w:after="0" w:line="176"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Section 3. In furtherance and not in limitation of the powers conferred by statute, the Board of Directors is expressly authorized to adopt, alter, amend or repeal the Bylaws of the Company. The affirmative vote of at least a majority of the Whole Board shall be required in order for the Board of Directors to adopt, amend, alter or repeal the Company’s Bylaws. The Company’s Bylaws may also be adopted, amended, altered or repealed by the stockholders of the Company. Notwithstanding the above or any other provision of this Amended and Restated Certificate of Incorporation, the Bylaws of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284" w:name="page285"/>
    <w:bookmarkEnd w:id="284"/>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Company may not be amended, altered or repealed except in accordance with the provisions of the Bylaws relating to amendments to the Bylaws. No Bylaw hereafter legally adopted, amended, altered or repealed shall invalidate any prior act of the directors or officers of the Company that would have been valid if such Bylaw had not been adopted, amended, altered or repealed.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4. The election of directors need not be by written ballot unless the Bylaws of the Company shall so provide.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5. No stockholder will be permitted to cumulate votes at any election of directors.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9"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Section 1. From and after the closing of a firm commitment underwritten initial public offering of securities of the Company pursuant to an effective registration statement filed under the Securities Act of 1933, as amended, and subject to the rights of holders of Preferred Stock, any action required or permitted to be taken by the stockholders of the Company must be effected at a duly called annual or special meeting of stockholders of the Company and may not be effected by any consent in writing by such stockholders.</w:t>
      </w:r>
    </w:p>
    <w:p>
      <w:pPr>
        <w:spacing w:after="0" w:line="180"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Section 2. Subject to the terms of any series of Preferred Stock, special meetings of stockholders of the Company may be called only by the Chairperson of the Board of Directors, the Chief Executive Officer, the President or the Board of Directors acting pursuant to a resolution adopted by a majority of the Whole Board, but a special meeting may not be called by any other person or persons and any power of stockholders to call a special meeting of stockholders is specifically denied. Only such business shall be considered at a special meeting of stockholders as shall have been stated in the notice for such meeting.</w:t>
      </w:r>
    </w:p>
    <w:p>
      <w:pPr>
        <w:spacing w:after="0" w:line="183"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Section 3. Advance notice of stockholder nominations for the election of directors and of business to be brought by stockholders before any meeting of the stockholders of the Company shall be given in the manner and to the extent provided in the Bylaws of the Company.</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Section 1. To the fullest extent permitted by the DGCL as the same exists or as may hereafter be amended from time to time, a director of the Company shall not be personally liable to the Company or its stockholders for monetary damages for breach of fiduciary duty as a director. If the DGCL is amended to authorize corporate action further eliminating or limiting the personal liability of directors, then the liability of a director of the Company shall be eliminated or limited to the fullest extent permitted by the DGCL, as so amended.</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Section 2. Subject to any provisions in the Bylaws of the Company related to indemnification of directors of the Company, the Company shall indemnify, to the fullest extent permitted by applicable law, any director of the Company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18"/>
          <w:szCs w:val="18"/>
          <w:b w:val="1"/>
          <w:bCs w:val="1"/>
          <w:color w:val="auto"/>
        </w:rPr>
        <w:t>Proceeding</w:t>
      </w:r>
      <w:r>
        <w:rPr>
          <w:rFonts w:ascii="Times New Roman" w:cs="Times New Roman" w:eastAsia="Times New Roman" w:hAnsi="Times New Roman"/>
          <w:sz w:val="18"/>
          <w:szCs w:val="18"/>
          <w:color w:val="auto"/>
        </w:rPr>
        <w:t>”) by reason of the fact that he or she is or was a director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Company shall be required to indemnify a person in connection with a Proceeding (or part thereof) initiated by such person only if the Proceeding (or part thereof) was authorized by the Board of Directors.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285" w:name="page286"/>
    <w:bookmarkEnd w:id="285"/>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3. The Company shall have the power to indemnify, to the extent permitted by applicable law, any officer, employee or agent of the Company who was or is a party or is threatened to be made a party to any Proceeding by reason of the fact that he or she is or was a director, officer, employee or agent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83"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Section 4. Neither any amendment nor repeal of any Section of this ARTICLE IX, nor the adoption of any provision of this Amended and Restated Certificate of Incorporation or the Bylaws of the Company inconsistent with this ARTICLE IX, shall eliminate or reduce the effect of this ARTICLE IX in respect of any matter occurring, or any Proceeding accruing or arising or that, but for this ARTICLE IX, would accrue or arise, prior to such amendment, repeal or adoption of an inconsistent provision.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9"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Meetings of stockholders may be held within or outside of the State of Delaware, as the Bylaws may provide. The books of the Company may be kept (subject to any provision of applicable law) outside of the State of Delaware at such place or places or in such manner or manners as may be designated from time to time by the Board of Directors or in the Bylaws of the Company.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9"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Company reserves the right to amend or repeal any provision contained in this Amended and Restated Certificate of Incorporation in the manner prescribed by the laws of the State of Delaware and all rights conferred upon stockholders are granted subject to this reservation;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any other provision of this Amended and Restated Certificate of Incorporation or any provision of law that might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permit a lesser vote, the Board of Directors acting pursuant to a resolution adopted by a majority of the Whole Board and the affirmative vote of 66 2/3% of the voting power of the then outstanding voting securities of the Company, voting together as a single class, shall be required for the amendment, repeal or modification of the provisions of Section 3 of ARTICLE IV, Section 2 of ARTICLE V, Section 1 of ARTICLE VI, Section 2 of ARTICLE VI, Section 5 of ARTICLE VII, Section 1 of ARTICLE VIII, Section 2 of ARTICLE VIII, Section 3 of ARTICLE VIII, or this ARTICLE XI of this Amended and Restated Certificate of Incorporation.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286" w:name="page287"/>
    <w:bookmarkEnd w:id="286"/>
    <w:p>
      <w:pPr>
        <w:ind w:left="44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PMV Pharmaceuticals, Inc. has caused this Amended and Restated Certificate of Incorporation to be signed by a duly</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authorized officer of the Company on this   day of</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r>
    </w:tbl>
    <w:p>
      <w:pPr>
        <w:spacing w:after="0" w:line="20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David Mack</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440" w:top="270" w:right="539" w:bottom="1440" w:gutter="0" w:footer="0" w:header="0"/>
        </w:sectPr>
      </w:pPr>
    </w:p>
    <w:bookmarkStart w:id="287" w:name="page288"/>
    <w:bookmarkEnd w:id="287"/>
    <w:p>
      <w:pPr>
        <w:jc w:val="right"/>
        <w:spacing w:after="0"/>
        <w:rPr>
          <w:sz w:val="20"/>
          <w:szCs w:val="20"/>
          <w:color w:val="auto"/>
        </w:rPr>
      </w:pPr>
      <w:r>
        <w:rPr>
          <w:rFonts w:ascii="Times New Roman" w:cs="Times New Roman" w:eastAsia="Times New Roman" w:hAnsi="Times New Roman"/>
          <w:sz w:val="18"/>
          <w:szCs w:val="18"/>
          <w:b w:val="1"/>
          <w:bCs w:val="1"/>
          <w:color w:val="auto"/>
        </w:rPr>
        <w:t>Exhibit 3.3</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BYLAWS OF</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PMV PHARMACEUTICALS, INC.</w:t>
      </w:r>
    </w:p>
    <w:p>
      <w:pPr>
        <w:spacing w:after="0" w:line="237"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Adopted June 25, 2013</w:t>
      </w:r>
    </w:p>
    <w:p>
      <w:pPr>
        <w:sectPr>
          <w:pgSz w:w="11900" w:h="16838" w:orient="portrait"/>
          <w:cols w:equalWidth="0" w:num="1">
            <w:col w:w="10020"/>
          </w:cols>
          <w:pgMar w:left="1440" w:top="117" w:right="439" w:bottom="1440" w:gutter="0" w:footer="0" w:header="0"/>
        </w:sectPr>
      </w:pPr>
    </w:p>
    <w:bookmarkStart w:id="288" w:name="page289"/>
    <w:bookmarkEnd w:id="288"/>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7680" w:type="dxa"/>
            <w:vAlign w:val="bottom"/>
          </w:tcPr>
          <w:p>
            <w:pPr>
              <w:ind w:left="3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0" w:type="dxa"/>
            <w:vAlign w:val="bottom"/>
          </w:tcPr>
          <w:p>
            <w:pPr>
              <w:spacing w:after="0"/>
              <w:rPr>
                <w:sz w:val="20"/>
                <w:szCs w:val="20"/>
                <w:color w:val="auto"/>
              </w:rPr>
            </w:pPr>
          </w:p>
        </w:tc>
      </w:tr>
      <w:tr>
        <w:trPr>
          <w:trHeight w:val="408"/>
        </w:trPr>
        <w:tc>
          <w:tcPr>
            <w:tcW w:w="88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Page</w:t>
            </w:r>
          </w:p>
        </w:tc>
      </w:tr>
      <w:tr>
        <w:trPr>
          <w:trHeight w:val="307"/>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 MEETINGS OF STOCKHOLDERS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2"/>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1.1</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Place of Meetings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1.2</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Annual Meeting</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1.3</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1.4</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Notice of Stockholders’ Meetings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1.5</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Quorum</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1.6</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Adjourned Meeting; Notice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1.7</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1.8</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Voting</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1.9</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Stockholder Action by Written Consent Without a Meeting</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1.10</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Record Dates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1.11</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Proxies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8"/>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1.12</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List of Stockholders Entitled to Vote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 DIRECTORS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2"/>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2.1</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Powers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2.2</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2.3</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Election, Qualification and Term of Office of Directors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2.4</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Resignation and Vacancies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2.5</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Place of Meetings; Meetings by Telephone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2.6</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Conduct of Business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2.7</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Regular Meetings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2.8</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Notice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2.9</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Quorum; Voting</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2.10</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Board Action by Written Consent Without a Meeting</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2.11</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Fees and Compensation of Directors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8"/>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2.12</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Removal of Directors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 COMMITTEES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02"/>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3.1</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Committees of Directors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3.2</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Committee Minutes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3.3</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Meetings and Actions of Committees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8"/>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3.4</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Subcommittees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 OFFICERS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02"/>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4.1</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Officers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4.2</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Appointment of Officers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4.3</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Subordinate Officers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4.4</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Removal and Resignation of Officers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4.5</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Vacancies in Offices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4.6</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Representation of Shares of Other Corporations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8"/>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4.7</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Authority and Duties of Officers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 INDEMNIFICATION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5.1</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Officers in Third Party Proceedings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bl>
    <w:p>
      <w:pPr>
        <w:jc w:val="right"/>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89" w:name="page290"/>
    <w:bookmarkEnd w:id="28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 w:type="dxa"/>
            <w:vAlign w:val="bottom"/>
          </w:tcPr>
          <w:p>
            <w:pPr>
              <w:spacing w:after="0"/>
              <w:rPr>
                <w:sz w:val="16"/>
                <w:szCs w:val="16"/>
                <w:color w:val="auto"/>
              </w:rPr>
            </w:pPr>
          </w:p>
        </w:tc>
        <w:tc>
          <w:tcPr>
            <w:tcW w:w="8220" w:type="dxa"/>
            <w:vAlign w:val="bottom"/>
          </w:tcPr>
          <w:p>
            <w:pPr>
              <w:spacing w:after="0"/>
              <w:rPr>
                <w:sz w:val="16"/>
                <w:szCs w:val="16"/>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Page</w:t>
            </w:r>
          </w:p>
        </w:tc>
      </w:tr>
      <w:tr>
        <w:trPr>
          <w:trHeight w:val="285"/>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5.2</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Directors and Officers in Actions by or in the Right of the Company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5.3</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Successful Defense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5.4</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of Others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5.5</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Advanced Payment of Expenses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5.6</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Limitation on Indemnification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5.7</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Determination; Claim</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5.8</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Non-Exclusivity of Rights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5.9</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Insurance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5.10</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Survival</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5.11</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Effect of Repeal or Modification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8"/>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5.12</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Certain Definitions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 STOCK</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02"/>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6.1</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Stock Certificates; Partly Paid Shares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6.2</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Special Designation on Certificates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6.3</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Lost Certificates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6.4</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6.5</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Stock Transfer Agreements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6.6</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Registered Stockholders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8"/>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6.7</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Transfers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 MANNER OF GIVING NOTICE AND WAIVER</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2"/>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7.1</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Notice of Stockholder Meetings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7.2</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Notice by Electronic Transmission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7.3</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Notice to Stockholders Sharing an Address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7.4</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Notice to Person with Whom Communication is Unlawful</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8"/>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7.5</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Waiver of Notice</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 GENERAL MATTERS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2"/>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8.1</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8.2</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Seal</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8.3</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Annual Report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8"/>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8.4</w:t>
            </w:r>
          </w:p>
        </w:tc>
        <w:tc>
          <w:tcPr>
            <w:tcW w:w="82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Construction; Definitions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9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 AMENDMENTS</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65"/>
        </w:trPr>
        <w:tc>
          <w:tcPr>
            <w:tcW w:w="880" w:type="dxa"/>
            <w:vAlign w:val="bottom"/>
          </w:tcPr>
          <w:p>
            <w:pPr>
              <w:spacing w:after="0"/>
              <w:rPr>
                <w:sz w:val="24"/>
                <w:szCs w:val="24"/>
                <w:color w:val="auto"/>
              </w:rPr>
            </w:pPr>
          </w:p>
        </w:tc>
        <w:tc>
          <w:tcPr>
            <w:tcW w:w="8220" w:type="dxa"/>
            <w:vAlign w:val="bottom"/>
          </w:tcPr>
          <w:p>
            <w:pPr>
              <w:ind w:left="4580"/>
              <w:spacing w:after="0"/>
              <w:rPr>
                <w:sz w:val="20"/>
                <w:szCs w:val="20"/>
                <w:color w:val="auto"/>
              </w:rPr>
            </w:pPr>
            <w:r>
              <w:rPr>
                <w:rFonts w:ascii="Times New Roman" w:cs="Times New Roman" w:eastAsia="Times New Roman" w:hAnsi="Times New Roman"/>
                <w:sz w:val="18"/>
                <w:szCs w:val="18"/>
                <w:color w:val="auto"/>
              </w:rPr>
              <w:t>ii</w:t>
            </w:r>
          </w:p>
        </w:tc>
        <w:tc>
          <w:tcPr>
            <w:tcW w:w="1860" w:type="dxa"/>
            <w:vAlign w:val="bottom"/>
          </w:tcPr>
          <w:p>
            <w:pPr>
              <w:spacing w:after="0"/>
              <w:rPr>
                <w:sz w:val="24"/>
                <w:szCs w:val="24"/>
                <w:color w:val="auto"/>
              </w:rPr>
            </w:pPr>
          </w:p>
        </w:tc>
      </w:tr>
    </w:tbl>
    <w:p>
      <w:pPr>
        <w:sectPr>
          <w:pgSz w:w="11900" w:h="16838" w:orient="portrait"/>
          <w:cols w:equalWidth="0" w:num="1">
            <w:col w:w="10960"/>
          </w:cols>
          <w:pgMar w:left="440" w:top="266" w:right="499" w:bottom="1440" w:gutter="0" w:footer="0" w:header="0"/>
        </w:sectPr>
      </w:pPr>
    </w:p>
    <w:bookmarkStart w:id="290" w:name="page291"/>
    <w:bookmarkEnd w:id="29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BYLAWS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 — MEETINGS OF STOCKHOLDERS</w:t>
      </w:r>
    </w:p>
    <w:p>
      <w:pPr>
        <w:spacing w:after="0" w:line="225"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b w:val="1"/>
          <w:bCs w:val="1"/>
          <w:i w:val="1"/>
          <w:iCs w:val="1"/>
          <w:color w:val="auto"/>
        </w:rPr>
        <w:t>Place of Meetings</w:t>
      </w:r>
      <w:r>
        <w:rPr>
          <w:rFonts w:ascii="Times New Roman" w:cs="Times New Roman" w:eastAsia="Times New Roman" w:hAnsi="Times New Roman"/>
          <w:sz w:val="18"/>
          <w:szCs w:val="18"/>
          <w:color w:val="auto"/>
        </w:rPr>
        <w:t>. Meetings of stockholders of PMV Pharmaceuticals,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be held at any place, within or outside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Delaware, determined by the Company’s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The Board may, in its sole discretion, determine that a meeting of stockholders shall not be held at any place, but may instead be held solely by means of remote communication as authorized by Section 211(a)(2) of the Delaware General Corporation Law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In the absence of any such designation or determination, stockholders’ meetings shall be held at the Company’s principal executive office.</w:t>
      </w:r>
    </w:p>
    <w:p>
      <w:pPr>
        <w:spacing w:after="0" w:line="179" w:lineRule="exact"/>
        <w:rPr>
          <w:sz w:val="20"/>
          <w:szCs w:val="20"/>
          <w:color w:val="auto"/>
        </w:rPr>
      </w:pPr>
    </w:p>
    <w:p>
      <w:pPr>
        <w:ind w:right="14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An annual meeting of stockholders shall be held for the election of directors at such date and time as may be designated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resolution of the Board from time to time. Any other proper business may be transacted at the annual meeting. The Company shall not be required to hold an annual meeting of stockholders,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stockholders are permitted to act by written consent under the Company’s certificate of incorporation and these bylaws, (ii) the stockholders take action by written consent to elect directors and (iii) the stockholders unanimously consent to such action or, if such consent is less than unanimous, all of the directorships to which directors could be elected at an annual meeting held at the effective time of such action are vacant and are filled by such action.</w:t>
      </w:r>
    </w:p>
    <w:p>
      <w:pPr>
        <w:spacing w:after="0" w:line="182"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1.3 </w:t>
      </w:r>
      <w:r>
        <w:rPr>
          <w:rFonts w:ascii="Times New Roman" w:cs="Times New Roman" w:eastAsia="Times New Roman" w:hAnsi="Times New Roman"/>
          <w:sz w:val="18"/>
          <w:szCs w:val="18"/>
          <w:b w:val="1"/>
          <w:bCs w:val="1"/>
          <w:i w:val="1"/>
          <w:iCs w:val="1"/>
          <w:color w:val="auto"/>
        </w:rPr>
        <w:t>Special Meeting</w:t>
      </w:r>
      <w:r>
        <w:rPr>
          <w:rFonts w:ascii="Times New Roman" w:cs="Times New Roman" w:eastAsia="Times New Roman" w:hAnsi="Times New Roman"/>
          <w:sz w:val="18"/>
          <w:szCs w:val="18"/>
          <w:color w:val="auto"/>
        </w:rPr>
        <w:t>. A special meeting of the stockholders may be called at any time by the Board, Chairperson of the Board, 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or President (in the absence of a Chief Executive Officer) or by one or more stockholders holding shares in the aggregate entitled to cast not less than 10% of the votes at that meeting.</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any person(s) other than the Board calls a special meeting, the request shall:</w:t>
      </w:r>
    </w:p>
    <w:p>
      <w:pPr>
        <w:spacing w:after="0" w:line="225" w:lineRule="exact"/>
        <w:rPr>
          <w:sz w:val="20"/>
          <w:szCs w:val="20"/>
          <w:color w:val="auto"/>
        </w:rPr>
      </w:pPr>
    </w:p>
    <w:p>
      <w:pPr>
        <w:ind w:left="1200" w:hanging="213"/>
        <w:spacing w:after="0"/>
        <w:tabs>
          <w:tab w:leader="none" w:pos="12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 writing;</w:t>
      </w:r>
    </w:p>
    <w:p>
      <w:pPr>
        <w:spacing w:after="0" w:line="225"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time of such meeting and the general nature of the business proposed to be transacted; and</w:t>
      </w:r>
    </w:p>
    <w:p>
      <w:pPr>
        <w:spacing w:after="0" w:line="225" w:lineRule="exact"/>
        <w:rPr>
          <w:rFonts w:ascii="Times New Roman" w:cs="Times New Roman" w:eastAsia="Times New Roman" w:hAnsi="Times New Roman"/>
          <w:sz w:val="18"/>
          <w:szCs w:val="18"/>
          <w:color w:val="auto"/>
        </w:rPr>
      </w:pPr>
    </w:p>
    <w:p>
      <w:pPr>
        <w:ind w:right="200" w:firstLine="987"/>
        <w:spacing w:after="0" w:line="282" w:lineRule="auto"/>
        <w:tabs>
          <w:tab w:leader="none" w:pos="1306"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delivered personally or sent by registered mail or by facsimile transmission to the Chairperson of the Board, the Chief Executive Officer, the President (in the absence of a Chief Executive Officer) or the Secretary of the Company.</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officer(s) receiving the request shall cause notice to be promptly given to the stockholders entitled to vote at such meeting, in accordance with these bylaws, that a meeting will be held at the time requested by the person or persons calling the meeting. No business may be transacted at such special meeting other than the business specified in such notice to stockholders. Nothing contained in this paragraph of this </w:t>
      </w:r>
      <w:r>
        <w:rPr>
          <w:rFonts w:ascii="Times New Roman" w:cs="Times New Roman" w:eastAsia="Times New Roman" w:hAnsi="Times New Roman"/>
          <w:sz w:val="18"/>
          <w:szCs w:val="18"/>
          <w:b w:val="1"/>
          <w:bCs w:val="1"/>
          <w:color w:val="auto"/>
        </w:rPr>
        <w:t>section 1.3</w:t>
      </w:r>
      <w:r>
        <w:rPr>
          <w:rFonts w:ascii="Times New Roman" w:cs="Times New Roman" w:eastAsia="Times New Roman" w:hAnsi="Times New Roman"/>
          <w:sz w:val="18"/>
          <w:szCs w:val="18"/>
          <w:color w:val="auto"/>
        </w:rPr>
        <w:t xml:space="preserve"> shall be construed as limiting, fixing, or affecting the time when a meeting of stockholders called by action of the Board may be held.</w:t>
      </w:r>
    </w:p>
    <w:p>
      <w:pPr>
        <w:spacing w:after="0" w:line="176" w:lineRule="exact"/>
        <w:rPr>
          <w:sz w:val="20"/>
          <w:szCs w:val="20"/>
          <w:color w:val="auto"/>
        </w:rPr>
      </w:pPr>
    </w:p>
    <w:p>
      <w:pPr>
        <w:ind w:right="2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1.4 </w:t>
      </w:r>
      <w:r>
        <w:rPr>
          <w:rFonts w:ascii="Times New Roman" w:cs="Times New Roman" w:eastAsia="Times New Roman" w:hAnsi="Times New Roman"/>
          <w:sz w:val="18"/>
          <w:szCs w:val="18"/>
          <w:b w:val="1"/>
          <w:bCs w:val="1"/>
          <w:i w:val="1"/>
          <w:iCs w:val="1"/>
          <w:color w:val="auto"/>
        </w:rPr>
        <w:t>Notice of Stockholders’ Meetings</w:t>
      </w:r>
      <w:r>
        <w:rPr>
          <w:rFonts w:ascii="Times New Roman" w:cs="Times New Roman" w:eastAsia="Times New Roman" w:hAnsi="Times New Roman"/>
          <w:sz w:val="18"/>
          <w:szCs w:val="18"/>
          <w:color w:val="auto"/>
        </w:rPr>
        <w:t>. Whenever stockholders are required or permitted to take any action at a meeting, a written notice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shall be given which shall state the place, if any, date and hour of the meeting, the means of remote communications, if any, by which stockholders and proxy holders may be deemed to be present in person and vote at such meeting, the record date for</w:t>
      </w:r>
    </w:p>
    <w:p>
      <w:pPr>
        <w:sectPr>
          <w:pgSz w:w="11900" w:h="16838" w:orient="portrait"/>
          <w:cols w:equalWidth="0" w:num="1">
            <w:col w:w="10980"/>
          </w:cols>
          <w:pgMar w:left="440" w:top="266" w:right="479" w:bottom="1440" w:gutter="0" w:footer="0" w:header="0"/>
        </w:sectPr>
      </w:pPr>
    </w:p>
    <w:bookmarkStart w:id="291" w:name="page292"/>
    <w:bookmarkEnd w:id="291"/>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written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pacing w:after="0" w:line="179"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1.5 </w:t>
      </w:r>
      <w:r>
        <w:rPr>
          <w:rFonts w:ascii="Times New Roman" w:cs="Times New Roman" w:eastAsia="Times New Roman" w:hAnsi="Times New Roman"/>
          <w:sz w:val="18"/>
          <w:szCs w:val="18"/>
          <w:b w:val="1"/>
          <w:bCs w:val="1"/>
          <w:i w:val="1"/>
          <w:iCs w:val="1"/>
          <w:color w:val="auto"/>
        </w:rPr>
        <w:t>Quorum</w:t>
      </w:r>
      <w:r>
        <w:rPr>
          <w:rFonts w:ascii="Times New Roman" w:cs="Times New Roman" w:eastAsia="Times New Roman" w:hAnsi="Times New Roman"/>
          <w:sz w:val="18"/>
          <w:szCs w:val="18"/>
          <w:color w:val="auto"/>
        </w:rPr>
        <w:t>. Except as otherwise provided by law, the certificate of incorporation or these bylaws, at each meeting of stockholders the presence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 or by proxy of the holders of shares of stock having a majority of the votes which could be cast by the holders of all outstanding shares of stock entitled to vote at the meeting shall be necessary and sufficient to constitute a quorum. Where a separate vote by a class or series or classes or series is required, a majority of the outstanding shares of such class or series or classes or series, present in person or represented by proxy, shall constitute a quorum entitled to take action with respect to that vote on that matter, except as otherwise provided by law, the certificate of incorporation or these bylaws.</w:t>
      </w:r>
    </w:p>
    <w:p>
      <w:pPr>
        <w:spacing w:after="0" w:line="186"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If, however, such quorum is not present or represented at any meeting of the stockholders, then either (i) the chairperson of the meeting, or (ii) the stockholders entitled to vote at the meeting, present in person or represented by proxy, shall have the power to adjourn the meeting from time to time, in the manner provided in </w:t>
      </w:r>
      <w:r>
        <w:rPr>
          <w:rFonts w:ascii="Times New Roman" w:cs="Times New Roman" w:eastAsia="Times New Roman" w:hAnsi="Times New Roman"/>
          <w:sz w:val="18"/>
          <w:szCs w:val="18"/>
          <w:b w:val="1"/>
          <w:bCs w:val="1"/>
          <w:color w:val="auto"/>
        </w:rPr>
        <w:t>section 1.6</w:t>
      </w:r>
      <w:r>
        <w:rPr>
          <w:rFonts w:ascii="Times New Roman" w:cs="Times New Roman" w:eastAsia="Times New Roman" w:hAnsi="Times New Roman"/>
          <w:sz w:val="18"/>
          <w:szCs w:val="18"/>
          <w:color w:val="auto"/>
        </w:rPr>
        <w:t>, until a quorum is present or represented.</w:t>
      </w:r>
    </w:p>
    <w:p>
      <w:pPr>
        <w:spacing w:after="0" w:line="172" w:lineRule="exact"/>
        <w:rPr>
          <w:sz w:val="20"/>
          <w:szCs w:val="20"/>
          <w:color w:val="auto"/>
        </w:rPr>
      </w:pPr>
    </w:p>
    <w:p>
      <w:pPr>
        <w:jc w:val="both"/>
        <w:ind w:firstLine="440"/>
        <w:spacing w:after="0" w:line="272" w:lineRule="auto"/>
        <w:rPr>
          <w:sz w:val="20"/>
          <w:szCs w:val="20"/>
          <w:color w:val="auto"/>
        </w:rPr>
      </w:pPr>
      <w:r>
        <w:rPr>
          <w:rFonts w:ascii="Times New Roman" w:cs="Times New Roman" w:eastAsia="Times New Roman" w:hAnsi="Times New Roman"/>
          <w:sz w:val="17"/>
          <w:szCs w:val="17"/>
          <w:b w:val="1"/>
          <w:bCs w:val="1"/>
          <w:color w:val="auto"/>
        </w:rPr>
        <w:t xml:space="preserve">1.6 </w:t>
      </w:r>
      <w:r>
        <w:rPr>
          <w:rFonts w:ascii="Times New Roman" w:cs="Times New Roman" w:eastAsia="Times New Roman" w:hAnsi="Times New Roman"/>
          <w:sz w:val="17"/>
          <w:szCs w:val="17"/>
          <w:b w:val="1"/>
          <w:bCs w:val="1"/>
          <w:i w:val="1"/>
          <w:iCs w:val="1"/>
          <w:color w:val="auto"/>
        </w:rPr>
        <w:t>Adjourned Meeting; Notice</w:t>
      </w:r>
      <w:r>
        <w:rPr>
          <w:rFonts w:ascii="Times New Roman" w:cs="Times New Roman" w:eastAsia="Times New Roman" w:hAnsi="Times New Roman"/>
          <w:sz w:val="17"/>
          <w:szCs w:val="17"/>
          <w:color w:val="auto"/>
        </w:rPr>
        <w:t>. Any meeting of stockholders, annual or special, may adjourn from time to time to reconvene at the same or some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other place, and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Company may transact any business which might have been transacted at the original meeting.</w:t>
      </w:r>
    </w:p>
    <w:p>
      <w:pPr>
        <w:ind w:right="80"/>
        <w:spacing w:after="0" w:line="253" w:lineRule="auto"/>
        <w:rPr>
          <w:sz w:val="20"/>
          <w:szCs w:val="20"/>
          <w:color w:val="auto"/>
        </w:rPr>
      </w:pPr>
      <w:r>
        <w:rPr>
          <w:rFonts w:ascii="Times New Roman" w:cs="Times New Roman" w:eastAsia="Times New Roman" w:hAnsi="Times New Roman"/>
          <w:sz w:val="18"/>
          <w:szCs w:val="18"/>
          <w:color w:val="auto"/>
        </w:rPr>
        <w:t xml:space="preserve">If the adjournment is for more than 30 days, a notice of the adjourned meeting shall be given to each stockholder of record entitled to vote at the meeting. If after the adjournment a new record date for stockholders entitled to vote is fixed for the adjourned meeting, the Board shall fix a new record date for notice of such adjourned meeting in accordance with Section 213(a) of the DGCL and </w:t>
      </w:r>
      <w:r>
        <w:rPr>
          <w:rFonts w:ascii="Times New Roman" w:cs="Times New Roman" w:eastAsia="Times New Roman" w:hAnsi="Times New Roman"/>
          <w:sz w:val="18"/>
          <w:szCs w:val="18"/>
          <w:b w:val="1"/>
          <w:bCs w:val="1"/>
          <w:color w:val="auto"/>
        </w:rPr>
        <w:t>section 1.10</w:t>
      </w:r>
      <w:r>
        <w:rPr>
          <w:rFonts w:ascii="Times New Roman" w:cs="Times New Roman" w:eastAsia="Times New Roman" w:hAnsi="Times New Roman"/>
          <w:sz w:val="18"/>
          <w:szCs w:val="18"/>
          <w:color w:val="auto"/>
        </w:rPr>
        <w:t xml:space="preserve"> of these bylaws, and shall give notice of the adjourned meeting to each stockholder of record entitled to vote at such adjourned meeting as of the record date fixed for notice of such adjourned meeting.</w:t>
      </w:r>
    </w:p>
    <w:p>
      <w:pPr>
        <w:spacing w:after="0" w:line="183"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1.7 </w:t>
      </w:r>
      <w:r>
        <w:rPr>
          <w:rFonts w:ascii="Times New Roman" w:cs="Times New Roman" w:eastAsia="Times New Roman" w:hAnsi="Times New Roman"/>
          <w:sz w:val="18"/>
          <w:szCs w:val="18"/>
          <w:b w:val="1"/>
          <w:bCs w:val="1"/>
          <w:i w:val="1"/>
          <w:iCs w:val="1"/>
          <w:color w:val="auto"/>
        </w:rPr>
        <w:t>Conduct of Business.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Meetings of stockholders shall be presided over by the Chairperson of the Board, if any, or in his or her absence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Chairperson of the Board, if any, or in the absence of the foregoing persons by the Chief Executive Officer, or in the absence of the foregoing persons by the President, or in the absence of the foregoing persons by a Vice President, or in the absence of the foregoing persons by a chairperson designated by the Board, or in the absence of such designation by a chairperson chosen at the meeting. The Secretary shall act as secretary of the meeting, but in his or her absence the chairperson of the meeting may appoint any person to act as secretary of the meeting. The chairperson of any meeting of stockholders shall determine the order of business and the procedure at the meeting, including such regulation of the manner of voting and the conduct of business.</w:t>
      </w:r>
    </w:p>
    <w:p>
      <w:pPr>
        <w:spacing w:after="0" w:line="183"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1.8 </w:t>
      </w:r>
      <w:r>
        <w:rPr>
          <w:rFonts w:ascii="Times New Roman" w:cs="Times New Roman" w:eastAsia="Times New Roman" w:hAnsi="Times New Roman"/>
          <w:sz w:val="18"/>
          <w:szCs w:val="18"/>
          <w:b w:val="1"/>
          <w:bCs w:val="1"/>
          <w:i w:val="1"/>
          <w:iCs w:val="1"/>
          <w:color w:val="auto"/>
        </w:rPr>
        <w:t>Voting</w:t>
      </w:r>
      <w:r>
        <w:rPr>
          <w:rFonts w:ascii="Times New Roman" w:cs="Times New Roman" w:eastAsia="Times New Roman" w:hAnsi="Times New Roman"/>
          <w:sz w:val="18"/>
          <w:szCs w:val="18"/>
          <w:color w:val="auto"/>
        </w:rPr>
        <w:t>. The stockholders entitled to vote at any meeting of stockholders shall be determined in accordance with the provisions of</w:t>
      </w:r>
      <w:r>
        <w:rPr>
          <w:rFonts w:ascii="Times New Roman" w:cs="Times New Roman" w:eastAsia="Times New Roman" w:hAnsi="Times New Roman"/>
          <w:sz w:val="18"/>
          <w:szCs w:val="18"/>
          <w:b w:val="1"/>
          <w:bCs w:val="1"/>
          <w:color w:val="auto"/>
        </w:rPr>
        <w:t xml:space="preserve"> section 1.10 </w:t>
      </w:r>
      <w:r>
        <w:rPr>
          <w:rFonts w:ascii="Times New Roman" w:cs="Times New Roman" w:eastAsia="Times New Roman" w:hAnsi="Times New Roman"/>
          <w:sz w:val="18"/>
          <w:szCs w:val="18"/>
          <w:color w:val="auto"/>
        </w:rPr>
        <w:t>of these bylaws, subject to Section 217 (relating to voting rights of fiduciaries, pledgors and joint owners of stock) and Section 218 (relating to voting trusts and other voting agreements) of the DGCL.</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292" w:name="page293"/>
    <w:bookmarkEnd w:id="292"/>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Except as may be otherwise provided in the certificate of incorporation, each stockholder entitled to vote at any meeting of stockholders shall be entitled to one vote for each share of capital stock held by such stockholder which has voting power upon the matter in question. Voting at meetings of stockholders need not be by written ballot and, unless otherwise required by law, need not be conducted by inspectors of election unless so determined by the holders of shares of stock having a majority of the votes which could be cast by the holders of all outstanding shares of stock entitled to vote thereon which are present in person or by proxy at such meeting. If authorized by the Board, such requirement of a written ballot shall be satisfied by a ballot submitted by electronic transmission (as defined in </w:t>
      </w:r>
      <w:r>
        <w:rPr>
          <w:rFonts w:ascii="Times New Roman" w:cs="Times New Roman" w:eastAsia="Times New Roman" w:hAnsi="Times New Roman"/>
          <w:sz w:val="18"/>
          <w:szCs w:val="18"/>
          <w:b w:val="1"/>
          <w:bCs w:val="1"/>
          <w:color w:val="auto"/>
        </w:rPr>
        <w:t>section 7.2</w:t>
      </w:r>
      <w:r>
        <w:rPr>
          <w:rFonts w:ascii="Times New Roman" w:cs="Times New Roman" w:eastAsia="Times New Roman" w:hAnsi="Times New Roman"/>
          <w:sz w:val="18"/>
          <w:szCs w:val="18"/>
          <w:color w:val="auto"/>
        </w:rPr>
        <w:t xml:space="preserve"> of these bylaws),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electronic transmission must either set forth or be submitted with information from which it can be determined that the electronic transmission was authorized by the stockholder or proxy holder.</w:t>
      </w:r>
    </w:p>
    <w:p>
      <w:pPr>
        <w:spacing w:after="0" w:line="19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Except as otherwise required by law, the certificate of incorporation or these bylaws,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shares of such class or series or classes or series present in person or represented by proxy at the meeting shall be the act of such class or series or classes or series, except as otherwise provided by law, the certificate of incorporation or these bylaws.</w:t>
      </w:r>
    </w:p>
    <w:p>
      <w:pPr>
        <w:spacing w:after="0" w:line="185"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1.9 </w:t>
      </w:r>
      <w:r>
        <w:rPr>
          <w:rFonts w:ascii="Times New Roman" w:cs="Times New Roman" w:eastAsia="Times New Roman" w:hAnsi="Times New Roman"/>
          <w:sz w:val="18"/>
          <w:szCs w:val="18"/>
          <w:b w:val="1"/>
          <w:bCs w:val="1"/>
          <w:i w:val="1"/>
          <w:iCs w:val="1"/>
          <w:color w:val="auto"/>
        </w:rPr>
        <w:t>Stockholder Action by Written Consent Without a Meeting</w:t>
      </w:r>
      <w:r>
        <w:rPr>
          <w:rFonts w:ascii="Times New Roman" w:cs="Times New Roman" w:eastAsia="Times New Roman" w:hAnsi="Times New Roman"/>
          <w:sz w:val="18"/>
          <w:szCs w:val="18"/>
          <w:color w:val="auto"/>
        </w:rPr>
        <w:t>. Unless otherwise provided in the certificate of incorporation, any action required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the DGCL to be taken at any annual or special meeting of stockholders of a corporation, or any action which may be taken at any annual or special meeting of such stockholders, may be taken without a meeting, without prior notice, and without a vote, if a consent or consents in writing, setting forth the action so taken, shall be signed by the holders of outstanding stock having not less than the minimum number of votes that would be necessary to authorize or take such action at a meeting at which all shares entitled to vote thereon were present and voted.</w:t>
      </w:r>
    </w:p>
    <w:p>
      <w:pPr>
        <w:spacing w:after="0" w:line="179"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 xml:space="preserve">An electronic transmission (as defined in </w:t>
      </w:r>
      <w:r>
        <w:rPr>
          <w:rFonts w:ascii="Times New Roman" w:cs="Times New Roman" w:eastAsia="Times New Roman" w:hAnsi="Times New Roman"/>
          <w:sz w:val="18"/>
          <w:szCs w:val="18"/>
          <w:b w:val="1"/>
          <w:bCs w:val="1"/>
          <w:color w:val="auto"/>
        </w:rPr>
        <w:t>section 7.2</w:t>
      </w:r>
      <w:r>
        <w:rPr>
          <w:rFonts w:ascii="Times New Roman" w:cs="Times New Roman" w:eastAsia="Times New Roman" w:hAnsi="Times New Roman"/>
          <w:sz w:val="18"/>
          <w:szCs w:val="18"/>
          <w:color w:val="auto"/>
        </w:rPr>
        <w:t xml:space="preserve">) consenting to an action to be taken and transmitted by a stockholder or proxy holder, or by a person or persons authorized to act for a stockholder or proxy holder, shall be deemed to be written, signed and dated for purposes of this section,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such electronic transmission sets forth or is delivered with information from which the Company can determine (i) that the electronic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transmission was transmitted by the stockholder or proxy holder or by a person or persons authorized to act for the stockholder or proxy holder and (ii) the date on which such stockholder or proxy holder or authorized person or persons transmitted such electronic transmission.</w:t>
      </w:r>
    </w:p>
    <w:p>
      <w:pPr>
        <w:spacing w:after="0" w:line="183"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In the event that the Board shall have instructed the officers of the Company to solicit the vote or written consent of the stockholders of the Company, an electronic transmission of a stockholder written consent given pursuant to such solicitation may be delivered to the Secretary or the President of the Company or to a person designated by the Secretary or the President. The Secretary or the President of the Company or a designee of the Secretary or the President shall cause any such written consent by electronic transmission to be reproduced in paper form and inserted into the corporate records.</w:t>
      </w:r>
    </w:p>
    <w:p>
      <w:pPr>
        <w:spacing w:after="0" w:line="183"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Prompt notice of the taking of the corporate action without a meeting by less than unanimous written consent shall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293" w:name="page294"/>
    <w:bookmarkEnd w:id="293"/>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holders to take the action were delivered to the Company as provided in Section 228 of the DGCL. In the event that the action which is consented to is such as would have required the filing of a certificate under any provision of the DGCL, if such action had been voted on by stockholders at a meeting thereof, the certificate filed under such provision shall state, in lieu of any statement required by such provision concerning any vote of stockholders, that written consent has been given in accordance with Section 228 of the DGCL.</w:t>
      </w:r>
    </w:p>
    <w:p>
      <w:pPr>
        <w:spacing w:after="0" w:line="176"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1.10 </w:t>
      </w:r>
      <w:r>
        <w:rPr>
          <w:rFonts w:ascii="Times New Roman" w:cs="Times New Roman" w:eastAsia="Times New Roman" w:hAnsi="Times New Roman"/>
          <w:sz w:val="18"/>
          <w:szCs w:val="18"/>
          <w:b w:val="1"/>
          <w:bCs w:val="1"/>
          <w:i w:val="1"/>
          <w:iCs w:val="1"/>
          <w:color w:val="auto"/>
        </w:rPr>
        <w:t>Record Dates.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order that the Company may determine the stockholders entitled to notice of any meeting of stockholders or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adjournment thereof, the Board may fix a record date, which record date shall not precede the date upon which the resolution fixing the record date is adopted by the Board and which record date shall not be more than 60 nor less than 10 days before the date of such meeting. If the Board so fixes a date, such date shall also be the record date for determining the stockholders entitled to vote at such meeting unless the Board determines, at the time it fixes such record date, that a later date on or before the date of the meeting shall be the date for making such determination.</w:t>
      </w:r>
    </w:p>
    <w:p>
      <w:pPr>
        <w:spacing w:after="0" w:line="183"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If no record date is fixed by the Board,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76"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Board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1.10 at the adjourned meeting.</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order that the Company may determine the stockholders entitled to consent to corporate action in writing without a meeting, the Board may fix a record date, which record date shall not precede the date upon which the resolution fixing the record date is adopted by the Board, and which date shall not be more than 10 days after the date upon which the resolution fixing the record date is adopted by the Board. If no record date has been fixed by the Board, the record date for determining stockholders entitled to consent to corporate action in writing without a meeting, when no prior action by the Board is required by law, shall be the first date on which a signed written consent setting forth the action taken or proposed to be taken is delivered to the Company in accordance with applicable law. If no record date has been fixed by the Board and prior action by the Board is required by law, the record date for determining stockholders entitled to consent to corporate action in writing without a meeting shall be at the close of business on the day on which the Board adopts the resolution taking such prior action.</w:t>
      </w:r>
    </w:p>
    <w:p>
      <w:pPr>
        <w:spacing w:after="0" w:line="19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In order that the Company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adopts the resolution relating thereto.</w:t>
      </w:r>
    </w:p>
    <w:p>
      <w:pPr>
        <w:spacing w:after="0" w:line="179" w:lineRule="exact"/>
        <w:rPr>
          <w:sz w:val="20"/>
          <w:szCs w:val="20"/>
          <w:color w:val="auto"/>
        </w:rPr>
      </w:pPr>
    </w:p>
    <w:p>
      <w:pPr>
        <w:ind w:right="8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1.11 </w:t>
      </w:r>
      <w:r>
        <w:rPr>
          <w:rFonts w:ascii="Times New Roman" w:cs="Times New Roman" w:eastAsia="Times New Roman" w:hAnsi="Times New Roman"/>
          <w:sz w:val="17"/>
          <w:szCs w:val="17"/>
          <w:b w:val="1"/>
          <w:bCs w:val="1"/>
          <w:i w:val="1"/>
          <w:iCs w:val="1"/>
          <w:color w:val="auto"/>
        </w:rPr>
        <w:t>Proxies</w:t>
      </w:r>
      <w:r>
        <w:rPr>
          <w:rFonts w:ascii="Times New Roman" w:cs="Times New Roman" w:eastAsia="Times New Roman" w:hAnsi="Times New Roman"/>
          <w:sz w:val="17"/>
          <w:szCs w:val="17"/>
          <w:color w:val="auto"/>
        </w:rPr>
        <w:t>. Each stockholder entitled to vote at a meeting of stockholders or to express consent or dissent to corporate action in writing without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 meeting may authorize another person or persons to act for such stockholder by proxy authorized by an instrument in writing or by a transmission</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294" w:name="page295"/>
    <w:bookmarkEnd w:id="294"/>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w:t>
      </w:r>
    </w:p>
    <w:p>
      <w:pPr>
        <w:spacing w:after="0" w:line="17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1.12 </w:t>
      </w:r>
      <w:r>
        <w:rPr>
          <w:rFonts w:ascii="Times New Roman" w:cs="Times New Roman" w:eastAsia="Times New Roman" w:hAnsi="Times New Roman"/>
          <w:sz w:val="18"/>
          <w:szCs w:val="18"/>
          <w:b w:val="1"/>
          <w:bCs w:val="1"/>
          <w:i w:val="1"/>
          <w:iCs w:val="1"/>
          <w:color w:val="auto"/>
        </w:rPr>
        <w:t>List of Stockholders Entitled to Vote</w:t>
      </w:r>
      <w:r>
        <w:rPr>
          <w:rFonts w:ascii="Times New Roman" w:cs="Times New Roman" w:eastAsia="Times New Roman" w:hAnsi="Times New Roman"/>
          <w:sz w:val="18"/>
          <w:szCs w:val="18"/>
          <w:color w:val="auto"/>
        </w:rPr>
        <w:t>. The officer who has charge of the stock ledger of the Company shall prepare and make, at least 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days before every meeting of stockholders, a complete list of the stockholders entitled to vote at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Company shall not be required to include electronic mail addresses or other electronic contact information on such list. Such list shall be open to the examination of any stockholder for any purpose germane to the meeting for a period of at least ten days prior to the meeting: (i) on a reasonably accessible electronic network,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information required to gain access to such list is provided with the notice of the meeting, or (ii) during ordinary business hours, at the Company’s principal place of business. In the event that the Company determines to make the list available on an electronic network, the Company may take reasonable steps to ensure that such information is available only to stockholders of the Company. If the meeting is to be held at a place, then the list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 — DIRECTORS</w:t>
      </w:r>
    </w:p>
    <w:p>
      <w:pPr>
        <w:spacing w:after="0" w:line="225" w:lineRule="exact"/>
        <w:rPr>
          <w:sz w:val="20"/>
          <w:szCs w:val="20"/>
          <w:color w:val="auto"/>
        </w:rPr>
      </w:pPr>
    </w:p>
    <w:p>
      <w:pPr>
        <w:ind w:right="6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b w:val="1"/>
          <w:bCs w:val="1"/>
          <w:i w:val="1"/>
          <w:iCs w:val="1"/>
          <w:color w:val="auto"/>
        </w:rPr>
        <w:t>Powers</w:t>
      </w:r>
      <w:r>
        <w:rPr>
          <w:rFonts w:ascii="Times New Roman" w:cs="Times New Roman" w:eastAsia="Times New Roman" w:hAnsi="Times New Roman"/>
          <w:sz w:val="18"/>
          <w:szCs w:val="18"/>
          <w:color w:val="auto"/>
        </w:rPr>
        <w:t>. The business and affairs of the Company shall be managed by or under the direction of the Board, except as may be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in the DGCL or the certificate of incorporation.</w:t>
      </w:r>
    </w:p>
    <w:p>
      <w:pPr>
        <w:spacing w:after="0" w:line="155"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b w:val="1"/>
          <w:bCs w:val="1"/>
          <w:i w:val="1"/>
          <w:iCs w:val="1"/>
          <w:color w:val="auto"/>
        </w:rPr>
        <w:t>Number of Directors</w:t>
      </w:r>
      <w:r>
        <w:rPr>
          <w:rFonts w:ascii="Times New Roman" w:cs="Times New Roman" w:eastAsia="Times New Roman" w:hAnsi="Times New Roman"/>
          <w:sz w:val="18"/>
          <w:szCs w:val="18"/>
          <w:color w:val="auto"/>
        </w:rPr>
        <w:t>. The Board shall consist of one or more members, each of whom shall be a natural person. Unless the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fixes the number of directors, the number of directors shall be determined from time to time by resolution of the Board. No reduction of the authorized number of directors shall have the effect of removing any director before that director’s term of office expires.</w:t>
      </w:r>
    </w:p>
    <w:p>
      <w:pPr>
        <w:spacing w:after="0" w:line="171" w:lineRule="exact"/>
        <w:rPr>
          <w:sz w:val="20"/>
          <w:szCs w:val="20"/>
          <w:color w:val="auto"/>
        </w:rPr>
      </w:pPr>
    </w:p>
    <w:p>
      <w:pPr>
        <w:ind w:right="2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2.3 </w:t>
      </w:r>
      <w:r>
        <w:rPr>
          <w:rFonts w:ascii="Times New Roman" w:cs="Times New Roman" w:eastAsia="Times New Roman" w:hAnsi="Times New Roman"/>
          <w:sz w:val="18"/>
          <w:szCs w:val="18"/>
          <w:b w:val="1"/>
          <w:bCs w:val="1"/>
          <w:i w:val="1"/>
          <w:iCs w:val="1"/>
          <w:color w:val="auto"/>
        </w:rPr>
        <w:t>Election, Qualification and Term of Office of Directors</w:t>
      </w:r>
      <w:r>
        <w:rPr>
          <w:rFonts w:ascii="Times New Roman" w:cs="Times New Roman" w:eastAsia="Times New Roman" w:hAnsi="Times New Roman"/>
          <w:sz w:val="18"/>
          <w:szCs w:val="18"/>
          <w:color w:val="auto"/>
        </w:rPr>
        <w:t>. Except as provided in</w:t>
      </w:r>
      <w:r>
        <w:rPr>
          <w:rFonts w:ascii="Times New Roman" w:cs="Times New Roman" w:eastAsia="Times New Roman" w:hAnsi="Times New Roman"/>
          <w:sz w:val="18"/>
          <w:szCs w:val="18"/>
          <w:b w:val="1"/>
          <w:bCs w:val="1"/>
          <w:color w:val="auto"/>
        </w:rPr>
        <w:t xml:space="preserve"> section 2.4 </w:t>
      </w:r>
      <w:r>
        <w:rPr>
          <w:rFonts w:ascii="Times New Roman" w:cs="Times New Roman" w:eastAsia="Times New Roman" w:hAnsi="Times New Roman"/>
          <w:sz w:val="18"/>
          <w:szCs w:val="18"/>
          <w:color w:val="auto"/>
        </w:rPr>
        <w:t>of these bylaws, and subject to</w:t>
      </w:r>
      <w:r>
        <w:rPr>
          <w:rFonts w:ascii="Times New Roman" w:cs="Times New Roman" w:eastAsia="Times New Roman" w:hAnsi="Times New Roman"/>
          <w:sz w:val="18"/>
          <w:szCs w:val="18"/>
          <w:b w:val="1"/>
          <w:bCs w:val="1"/>
          <w:color w:val="auto"/>
        </w:rPr>
        <w:t xml:space="preserve"> sections 1.2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1.9 </w:t>
      </w:r>
      <w:r>
        <w:rPr>
          <w:rFonts w:ascii="Times New Roman" w:cs="Times New Roman" w:eastAsia="Times New Roman" w:hAnsi="Times New Roman"/>
          <w:sz w:val="18"/>
          <w:szCs w:val="18"/>
          <w:color w:val="auto"/>
        </w:rPr>
        <w:t>of these bylaws, directors shall be elected at each annual meeting of stockholders. Directors need not be stockholders unless so required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or these bylaws. The certificate of incorporation or these bylaws may prescribe other qualifications for directors. Each director shall hold office until such director’s successor is elected and qualified or until such director’s earlier death, resignation or removal.</w:t>
      </w:r>
    </w:p>
    <w:p>
      <w:pPr>
        <w:spacing w:after="0" w:line="176"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2.4 </w:t>
      </w:r>
      <w:r>
        <w:rPr>
          <w:rFonts w:ascii="Times New Roman" w:cs="Times New Roman" w:eastAsia="Times New Roman" w:hAnsi="Times New Roman"/>
          <w:sz w:val="18"/>
          <w:szCs w:val="18"/>
          <w:b w:val="1"/>
          <w:bCs w:val="1"/>
          <w:i w:val="1"/>
          <w:iCs w:val="1"/>
          <w:color w:val="auto"/>
        </w:rPr>
        <w:t>Resignation and Vacancies</w:t>
      </w:r>
      <w:r>
        <w:rPr>
          <w:rFonts w:ascii="Times New Roman" w:cs="Times New Roman" w:eastAsia="Times New Roman" w:hAnsi="Times New Roman"/>
          <w:sz w:val="18"/>
          <w:szCs w:val="18"/>
          <w:color w:val="auto"/>
        </w:rPr>
        <w:t>. Any director may resign at any time upon notice given in writing or by electronic transmission to the Company.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295" w:name="page296"/>
    <w:bookmarkEnd w:id="295"/>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certificate of incorporation or these bylaws, when one or more directors resign from the Board,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Unless otherwise provided in the certificate of incorporation or these bylaws:</w:t>
      </w:r>
    </w:p>
    <w:p>
      <w:pPr>
        <w:spacing w:after="0" w:line="225" w:lineRule="exact"/>
        <w:rPr>
          <w:sz w:val="20"/>
          <w:szCs w:val="20"/>
          <w:color w:val="auto"/>
        </w:rPr>
      </w:pPr>
    </w:p>
    <w:p>
      <w:pPr>
        <w:ind w:firstLine="987"/>
        <w:spacing w:after="0" w:line="266" w:lineRule="auto"/>
        <w:tabs>
          <w:tab w:leader="none" w:pos="120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w:t>
      </w:r>
    </w:p>
    <w:p>
      <w:pPr>
        <w:spacing w:after="0" w:line="175" w:lineRule="exact"/>
        <w:rPr>
          <w:rFonts w:ascii="Times New Roman" w:cs="Times New Roman" w:eastAsia="Times New Roman" w:hAnsi="Times New Roman"/>
          <w:sz w:val="18"/>
          <w:szCs w:val="18"/>
          <w:color w:val="auto"/>
        </w:rPr>
      </w:pPr>
    </w:p>
    <w:p>
      <w:pPr>
        <w:jc w:val="both"/>
        <w:ind w:right="200" w:firstLine="987"/>
        <w:spacing w:after="0" w:line="266" w:lineRule="auto"/>
        <w:tabs>
          <w:tab w:leader="none" w:pos="1256"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the holders of any class or classes of stock or series thereof are entitled to elect one or more directors by the provisions of the certificate of incorporation, vacancies and newly created directorships of such class or classes or series may be filled by a majority of the directors elected by such class or classes or series thereof then in office, or by a sole remaining director so elected.</w:t>
      </w:r>
    </w:p>
    <w:p>
      <w:pPr>
        <w:spacing w:after="0" w:line="176"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If at any time, by reason of death or resignation or other cause, the Company should have no directors in office, then any officer or any stockholder or an executor, administrator, trustee or guardian of a stockholder, or other fiduciary entrusted with like responsibility for the person or estate of a stockholder, may call a special meeting of stockholders in accordance with the provisions of the certificate of incorporation or these bylaws, or may apply to the Court of Chancery for a decree summarily ordering an election as provided in Section 211 of the DGCL.</w:t>
      </w:r>
    </w:p>
    <w:p>
      <w:pPr>
        <w:spacing w:after="0" w:line="18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If, at the time of filling any vacancy or any newly created directorship, the directors then in office constitute less than a majority of the whole Board (as constituted immediately prior to any such increase), the Court of Chancery may, upon application of any stockholder or stockholders holding at least 10% of the voting stock at the time outstanding having the right to vote for such directors, summarily order an election to be held to fill any such vacancies or newly created directorships, or to replace the directors chosen by the directors then in office as aforesaid, which election shall be governed by the provisions of Section 211 of the DGCL as far as applicable.</w:t>
      </w:r>
    </w:p>
    <w:p>
      <w:pPr>
        <w:spacing w:after="0" w:line="183"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A director elected to fill a vacancy shall be elected for the unexpired term of his or her predecessor in office and until such director’s successor is elected and qualified, or until such director’s earlier death, resignation or removal.</w:t>
      </w:r>
    </w:p>
    <w:p>
      <w:pPr>
        <w:spacing w:after="0" w:line="158" w:lineRule="exact"/>
        <w:rPr>
          <w:sz w:val="20"/>
          <w:szCs w:val="20"/>
          <w:color w:val="auto"/>
        </w:rPr>
      </w:pPr>
    </w:p>
    <w:p>
      <w:pPr>
        <w:ind w:right="4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2.5 </w:t>
      </w:r>
      <w:r>
        <w:rPr>
          <w:rFonts w:ascii="Times New Roman" w:cs="Times New Roman" w:eastAsia="Times New Roman" w:hAnsi="Times New Roman"/>
          <w:sz w:val="18"/>
          <w:szCs w:val="18"/>
          <w:b w:val="1"/>
          <w:bCs w:val="1"/>
          <w:i w:val="1"/>
          <w:iCs w:val="1"/>
          <w:color w:val="auto"/>
        </w:rPr>
        <w:t>Place of Meetings; Meetings by Telephone</w:t>
      </w:r>
      <w:r>
        <w:rPr>
          <w:rFonts w:ascii="Times New Roman" w:cs="Times New Roman" w:eastAsia="Times New Roman" w:hAnsi="Times New Roman"/>
          <w:sz w:val="18"/>
          <w:szCs w:val="18"/>
          <w:color w:val="auto"/>
        </w:rPr>
        <w:t>. The Board may hold meetings, both regular and special, either within or outside the State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Delaware.</w:t>
      </w:r>
    </w:p>
    <w:p>
      <w:pPr>
        <w:spacing w:after="0" w:line="159" w:lineRule="exact"/>
        <w:rPr>
          <w:sz w:val="20"/>
          <w:szCs w:val="20"/>
          <w:color w:val="auto"/>
        </w:rPr>
      </w:pPr>
    </w:p>
    <w:p>
      <w:pPr>
        <w:jc w:val="both"/>
        <w:ind w:right="60" w:firstLine="440"/>
        <w:spacing w:after="0" w:line="289" w:lineRule="auto"/>
        <w:rPr>
          <w:sz w:val="20"/>
          <w:szCs w:val="20"/>
          <w:color w:val="auto"/>
        </w:rPr>
      </w:pPr>
      <w:r>
        <w:rPr>
          <w:rFonts w:ascii="Times New Roman" w:cs="Times New Roman" w:eastAsia="Times New Roman" w:hAnsi="Times New Roman"/>
          <w:sz w:val="17"/>
          <w:szCs w:val="17"/>
          <w:color w:val="auto"/>
        </w:rPr>
        <w:t>Unless otherwise restricted by the certificate of incorporation or these bylaws, members of the Board, or any committee designated by the Board, may participate in a meeting of the Board, or any committee, by means of conference telephone or other communications equipment by means of which all persons participating in the meeting can hear each other, and such participation in a meeting shall constitute presence in person at the meeting.</w:t>
      </w:r>
    </w:p>
    <w:p>
      <w:pPr>
        <w:spacing w:after="0" w:line="154" w:lineRule="exact"/>
        <w:rPr>
          <w:sz w:val="20"/>
          <w:szCs w:val="20"/>
          <w:color w:val="auto"/>
        </w:rPr>
      </w:pPr>
    </w:p>
    <w:p>
      <w:pPr>
        <w:ind w:right="1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2.6 </w:t>
      </w:r>
      <w:r>
        <w:rPr>
          <w:rFonts w:ascii="Times New Roman" w:cs="Times New Roman" w:eastAsia="Times New Roman" w:hAnsi="Times New Roman"/>
          <w:sz w:val="18"/>
          <w:szCs w:val="18"/>
          <w:b w:val="1"/>
          <w:bCs w:val="1"/>
          <w:i w:val="1"/>
          <w:iCs w:val="1"/>
          <w:color w:val="auto"/>
        </w:rPr>
        <w:t>Conduct of Business</w:t>
      </w:r>
      <w:r>
        <w:rPr>
          <w:rFonts w:ascii="Times New Roman" w:cs="Times New Roman" w:eastAsia="Times New Roman" w:hAnsi="Times New Roman"/>
          <w:sz w:val="18"/>
          <w:szCs w:val="18"/>
          <w:color w:val="auto"/>
        </w:rPr>
        <w:t>. Meetings of the Board shall be presided over by the Chairperson of the Board, if any, or in his or her absence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Chairperson of the Board, if any, or in the absence of the foregoing persons by a chairperson designated by the Board, or in the absence of such designation by a chairperson chosen at the meeting. The Secretary shall act as secretary of the meeting, but in his or her absence the chairperson of the meeting may appoint any person to act as secretary of the meeting.</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296" w:name="page297"/>
    <w:bookmarkEnd w:id="296"/>
    <w:p>
      <w:pPr>
        <w:ind w:right="3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2.7 </w:t>
      </w:r>
      <w:r>
        <w:rPr>
          <w:rFonts w:ascii="Times New Roman" w:cs="Times New Roman" w:eastAsia="Times New Roman" w:hAnsi="Times New Roman"/>
          <w:sz w:val="18"/>
          <w:szCs w:val="18"/>
          <w:b w:val="1"/>
          <w:bCs w:val="1"/>
          <w:i w:val="1"/>
          <w:iCs w:val="1"/>
          <w:color w:val="auto"/>
        </w:rPr>
        <w:t>Regular Meetings</w:t>
      </w:r>
      <w:r>
        <w:rPr>
          <w:rFonts w:ascii="Times New Roman" w:cs="Times New Roman" w:eastAsia="Times New Roman" w:hAnsi="Times New Roman"/>
          <w:sz w:val="18"/>
          <w:szCs w:val="18"/>
          <w:color w:val="auto"/>
        </w:rPr>
        <w:t>. Regular meetings of the Board may be held without notice at such time and at such place as shall from time to time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determined by the Board.</w:t>
      </w:r>
    </w:p>
    <w:p>
      <w:pPr>
        <w:spacing w:after="0" w:line="155"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2.8 </w:t>
      </w:r>
      <w:r>
        <w:rPr>
          <w:rFonts w:ascii="Times New Roman" w:cs="Times New Roman" w:eastAsia="Times New Roman" w:hAnsi="Times New Roman"/>
          <w:sz w:val="18"/>
          <w:szCs w:val="18"/>
          <w:b w:val="1"/>
          <w:bCs w:val="1"/>
          <w:i w:val="1"/>
          <w:iCs w:val="1"/>
          <w:color w:val="auto"/>
        </w:rPr>
        <w:t>Special Meetings; Notice</w:t>
      </w:r>
      <w:r>
        <w:rPr>
          <w:rFonts w:ascii="Times New Roman" w:cs="Times New Roman" w:eastAsia="Times New Roman" w:hAnsi="Times New Roman"/>
          <w:sz w:val="18"/>
          <w:szCs w:val="18"/>
          <w:color w:val="auto"/>
        </w:rPr>
        <w:t>. Special meetings of the Board for any purpose or purposes may be called at any time by the Chairperson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the Chief Executive Officer, the President, the Secretary or any two directors.</w:t>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Notice of the time and place of special meetings shall be:</w:t>
      </w:r>
    </w:p>
    <w:p>
      <w:pPr>
        <w:spacing w:after="0" w:line="225" w:lineRule="exact"/>
        <w:rPr>
          <w:sz w:val="20"/>
          <w:szCs w:val="20"/>
          <w:color w:val="auto"/>
        </w:rPr>
      </w:pPr>
    </w:p>
    <w:p>
      <w:pPr>
        <w:ind w:left="1200" w:hanging="213"/>
        <w:spacing w:after="0"/>
        <w:tabs>
          <w:tab w:leader="none" w:pos="12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personally by hand, by courier or by telephone;</w:t>
      </w:r>
    </w:p>
    <w:p>
      <w:pPr>
        <w:spacing w:after="0" w:line="225"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United States first-class mail, postage prepaid;</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facsimile; or</w:t>
      </w:r>
    </w:p>
    <w:p>
      <w:pPr>
        <w:spacing w:after="0" w:line="225"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electronic mail,</w:t>
      </w:r>
    </w:p>
    <w:p>
      <w:pPr>
        <w:spacing w:after="0" w:line="225"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directed to each director at that director’s address, telephone number, facsimile number or electronic mail address, as the case may be, as shown on the Company’s records.</w:t>
      </w:r>
    </w:p>
    <w:p>
      <w:pPr>
        <w:spacing w:after="0" w:line="162" w:lineRule="exact"/>
        <w:rPr>
          <w:sz w:val="20"/>
          <w:szCs w:val="20"/>
          <w:color w:val="auto"/>
        </w:rPr>
      </w:pPr>
    </w:p>
    <w:p>
      <w:pPr>
        <w:ind w:right="260" w:firstLine="440"/>
        <w:spacing w:after="0" w:line="281" w:lineRule="auto"/>
        <w:rPr>
          <w:sz w:val="20"/>
          <w:szCs w:val="20"/>
          <w:color w:val="auto"/>
        </w:rPr>
      </w:pPr>
      <w:r>
        <w:rPr>
          <w:rFonts w:ascii="Times New Roman" w:cs="Times New Roman" w:eastAsia="Times New Roman" w:hAnsi="Times New Roman"/>
          <w:sz w:val="17"/>
          <w:szCs w:val="17"/>
          <w:color w:val="auto"/>
        </w:rPr>
        <w:t>If the notice is (i) delivered personally by hand, by courier or by telephone, (ii) sent by facsimile or (iii) sent by electronic mail, it shall be delivered or sent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Company’s principal executive office) nor the purpose of the meeting.</w:t>
      </w:r>
    </w:p>
    <w:p>
      <w:pPr>
        <w:spacing w:after="0" w:line="160" w:lineRule="exact"/>
        <w:rPr>
          <w:sz w:val="20"/>
          <w:szCs w:val="20"/>
          <w:color w:val="auto"/>
        </w:rPr>
      </w:pPr>
    </w:p>
    <w:p>
      <w:pPr>
        <w:ind w:right="1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2.9 </w:t>
      </w:r>
      <w:r>
        <w:rPr>
          <w:rFonts w:ascii="Times New Roman" w:cs="Times New Roman" w:eastAsia="Times New Roman" w:hAnsi="Times New Roman"/>
          <w:sz w:val="18"/>
          <w:szCs w:val="18"/>
          <w:b w:val="1"/>
          <w:bCs w:val="1"/>
          <w:i w:val="1"/>
          <w:iCs w:val="1"/>
          <w:color w:val="auto"/>
        </w:rPr>
        <w:t>Quorum; Voting</w:t>
      </w:r>
      <w:r>
        <w:rPr>
          <w:rFonts w:ascii="Times New Roman" w:cs="Times New Roman" w:eastAsia="Times New Roman" w:hAnsi="Times New Roman"/>
          <w:sz w:val="18"/>
          <w:szCs w:val="18"/>
          <w:color w:val="auto"/>
        </w:rPr>
        <w:t>. At all meetings of the Board, a majority of the total authorized number of directors shall constitute a quorum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 of business. If a quorum is not present at any meeting of the Board, then the directors present thereat may adjourn the meeting from time to time, without notice other than announcement at the meeting, until a quorum is present. A meeting at which a quorum is initially present may continue to transact business notwithstanding the withdrawal of directors, if any action taken is approved by at least a majority of the required quorum for that meeting.</w:t>
      </w:r>
    </w:p>
    <w:p>
      <w:pPr>
        <w:spacing w:after="0" w:line="183" w:lineRule="exact"/>
        <w:rPr>
          <w:sz w:val="20"/>
          <w:szCs w:val="20"/>
          <w:color w:val="auto"/>
        </w:rPr>
      </w:pPr>
    </w:p>
    <w:p>
      <w:pPr>
        <w:ind w:right="620" w:firstLine="440"/>
        <w:spacing w:after="0" w:line="282" w:lineRule="auto"/>
        <w:rPr>
          <w:sz w:val="20"/>
          <w:szCs w:val="20"/>
          <w:color w:val="auto"/>
        </w:rPr>
      </w:pPr>
      <w:r>
        <w:rPr>
          <w:rFonts w:ascii="Times New Roman" w:cs="Times New Roman" w:eastAsia="Times New Roman" w:hAnsi="Times New Roman"/>
          <w:sz w:val="18"/>
          <w:szCs w:val="18"/>
          <w:color w:val="auto"/>
        </w:rPr>
        <w:t>The vote of a majority of the directors present at any meeting at which a quorum is present shall be the act of the Board, except as may be otherwise specifically provided by statute, the certificate of incorporation or these bylaws.</w:t>
      </w:r>
    </w:p>
    <w:p>
      <w:pPr>
        <w:spacing w:after="0" w:line="162" w:lineRule="exact"/>
        <w:rPr>
          <w:sz w:val="20"/>
          <w:szCs w:val="20"/>
          <w:color w:val="auto"/>
        </w:rPr>
      </w:pPr>
    </w:p>
    <w:p>
      <w:pPr>
        <w:ind w:right="440" w:firstLine="440"/>
        <w:spacing w:after="0" w:line="312" w:lineRule="auto"/>
        <w:rPr>
          <w:sz w:val="20"/>
          <w:szCs w:val="20"/>
          <w:color w:val="auto"/>
        </w:rPr>
      </w:pPr>
      <w:r>
        <w:rPr>
          <w:rFonts w:ascii="Times New Roman" w:cs="Times New Roman" w:eastAsia="Times New Roman" w:hAnsi="Times New Roman"/>
          <w:sz w:val="17"/>
          <w:szCs w:val="17"/>
          <w:color w:val="auto"/>
        </w:rPr>
        <w:t>If the certificate of incorporation provides that one or more directors shall have more or less than one vote per director on any matter, every reference in these bylaws to a majority or other proportion of the directors shall refer to a majority or other proportion of the votes of the directors.</w:t>
      </w:r>
    </w:p>
    <w:p>
      <w:pPr>
        <w:spacing w:after="0" w:line="136"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2.10 </w:t>
      </w:r>
      <w:r>
        <w:rPr>
          <w:rFonts w:ascii="Times New Roman" w:cs="Times New Roman" w:eastAsia="Times New Roman" w:hAnsi="Times New Roman"/>
          <w:sz w:val="18"/>
          <w:szCs w:val="18"/>
          <w:b w:val="1"/>
          <w:bCs w:val="1"/>
          <w:i w:val="1"/>
          <w:iCs w:val="1"/>
          <w:color w:val="auto"/>
        </w:rPr>
        <w:t>Board Action by Written Consent Without a Meeting</w:t>
      </w:r>
      <w:r>
        <w:rPr>
          <w:rFonts w:ascii="Times New Roman" w:cs="Times New Roman" w:eastAsia="Times New Roman" w:hAnsi="Times New Roman"/>
          <w:sz w:val="18"/>
          <w:szCs w:val="18"/>
          <w:color w:val="auto"/>
        </w:rPr>
        <w:t>. Unless otherwise restricted by the certificate of incorporation or these bylaws,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action required or permitted to be taken at any meeting of the Board,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Such filing shall be in paper form if the minutes are maintained in paper form and shall be in electronic form if the minutes are maintained in electronic form.</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66" w:right="479" w:bottom="1440" w:gutter="0" w:footer="0" w:header="0"/>
        </w:sectPr>
      </w:pPr>
    </w:p>
    <w:bookmarkStart w:id="297" w:name="page298"/>
    <w:bookmarkEnd w:id="297"/>
    <w:p>
      <w:pPr>
        <w:ind w:left="4"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2.11 </w:t>
      </w:r>
      <w:r>
        <w:rPr>
          <w:rFonts w:ascii="Times New Roman" w:cs="Times New Roman" w:eastAsia="Times New Roman" w:hAnsi="Times New Roman"/>
          <w:sz w:val="18"/>
          <w:szCs w:val="18"/>
          <w:b w:val="1"/>
          <w:bCs w:val="1"/>
          <w:i w:val="1"/>
          <w:iCs w:val="1"/>
          <w:color w:val="auto"/>
        </w:rPr>
        <w:t>Fees and Compensation of Directors</w:t>
      </w:r>
      <w:r>
        <w:rPr>
          <w:rFonts w:ascii="Times New Roman" w:cs="Times New Roman" w:eastAsia="Times New Roman" w:hAnsi="Times New Roman"/>
          <w:sz w:val="18"/>
          <w:szCs w:val="18"/>
          <w:color w:val="auto"/>
        </w:rPr>
        <w:t>. Unless otherwise restricted by the certificate of incorporation or these bylaws, the Board shall have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authority to fix the compensation of directors.</w:t>
      </w:r>
    </w:p>
    <w:p>
      <w:pPr>
        <w:spacing w:after="0" w:line="155" w:lineRule="exact"/>
        <w:rPr>
          <w:sz w:val="20"/>
          <w:szCs w:val="20"/>
          <w:color w:val="auto"/>
        </w:rPr>
      </w:pPr>
    </w:p>
    <w:p>
      <w:pPr>
        <w:ind w:left="4" w:right="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2.12 </w:t>
      </w:r>
      <w:r>
        <w:rPr>
          <w:rFonts w:ascii="Times New Roman" w:cs="Times New Roman" w:eastAsia="Times New Roman" w:hAnsi="Times New Roman"/>
          <w:sz w:val="18"/>
          <w:szCs w:val="18"/>
          <w:b w:val="1"/>
          <w:bCs w:val="1"/>
          <w:i w:val="1"/>
          <w:iCs w:val="1"/>
          <w:color w:val="auto"/>
        </w:rPr>
        <w:t>Removal of Directors</w:t>
      </w:r>
      <w:r>
        <w:rPr>
          <w:rFonts w:ascii="Times New Roman" w:cs="Times New Roman" w:eastAsia="Times New Roman" w:hAnsi="Times New Roman"/>
          <w:sz w:val="18"/>
          <w:szCs w:val="18"/>
          <w:color w:val="auto"/>
        </w:rPr>
        <w:t>. Unless otherwise restricted by statute, the certificate of incorporation or these bylaws, any director or the entire Board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removed, with or without cause, by the holders of a majority of the shares then entitled to vote at an election of directors.</w:t>
      </w:r>
    </w:p>
    <w:p>
      <w:pPr>
        <w:spacing w:after="0" w:line="159"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No reduction of the authorized number of directors shall have the effect of removing any director prior to the expiration of such director’s term of office.</w:t>
      </w:r>
    </w:p>
    <w:p>
      <w:pPr>
        <w:spacing w:after="0" w:line="37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III — COMMITTEES</w:t>
      </w:r>
    </w:p>
    <w:p>
      <w:pPr>
        <w:spacing w:after="0" w:line="225" w:lineRule="exact"/>
        <w:rPr>
          <w:sz w:val="20"/>
          <w:szCs w:val="20"/>
          <w:color w:val="auto"/>
        </w:rPr>
      </w:pPr>
    </w:p>
    <w:p>
      <w:pPr>
        <w:ind w:left="4" w:right="20" w:firstLine="44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3.1 </w:t>
      </w:r>
      <w:r>
        <w:rPr>
          <w:rFonts w:ascii="Times New Roman" w:cs="Times New Roman" w:eastAsia="Times New Roman" w:hAnsi="Times New Roman"/>
          <w:sz w:val="17"/>
          <w:szCs w:val="17"/>
          <w:b w:val="1"/>
          <w:bCs w:val="1"/>
          <w:i w:val="1"/>
          <w:iCs w:val="1"/>
          <w:color w:val="auto"/>
        </w:rPr>
        <w:t>Committees of Directors</w:t>
      </w:r>
      <w:r>
        <w:rPr>
          <w:rFonts w:ascii="Times New Roman" w:cs="Times New Roman" w:eastAsia="Times New Roman" w:hAnsi="Times New Roman"/>
          <w:sz w:val="17"/>
          <w:szCs w:val="17"/>
          <w:color w:val="auto"/>
        </w:rPr>
        <w:t>. The Board may designate one or more committees, each committee to consist of one or more of the directors of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to act at the meeting in the place of any such absent or disqualified member. Any such committee, to the extent provided in the resolution of the Board or in these bylaws, shall have and may exercise all the powers and authority of the Board in the management of the business and affairs of the Company, and may authorize the seal of the Company to be affixed to all papers that may require it; but no such committee shall have the power or authority to</w:t>
      </w:r>
    </w:p>
    <w:p>
      <w:pPr>
        <w:spacing w:after="0" w:line="1" w:lineRule="exact"/>
        <w:rPr>
          <w:sz w:val="20"/>
          <w:szCs w:val="20"/>
          <w:color w:val="auto"/>
        </w:rPr>
      </w:pPr>
    </w:p>
    <w:p>
      <w:pPr>
        <w:ind w:left="4" w:right="180" w:hanging="4"/>
        <w:spacing w:after="0" w:line="260" w:lineRule="auto"/>
        <w:tabs>
          <w:tab w:leader="none" w:pos="21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or adopt, or recommend to the stockholders, any action or matter (other than the election or removal of directors) expressly required by the DGCL to be submitted to stockholders for approval, or (ii) adopt, amend or repeal any bylaw of the Company.</w:t>
      </w:r>
    </w:p>
    <w:p>
      <w:pPr>
        <w:spacing w:after="0" w:line="17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3.2 </w:t>
      </w:r>
      <w:r>
        <w:rPr>
          <w:rFonts w:ascii="Times New Roman" w:cs="Times New Roman" w:eastAsia="Times New Roman" w:hAnsi="Times New Roman"/>
          <w:sz w:val="18"/>
          <w:szCs w:val="18"/>
          <w:b w:val="1"/>
          <w:bCs w:val="1"/>
          <w:i w:val="1"/>
          <w:iCs w:val="1"/>
          <w:color w:val="auto"/>
        </w:rPr>
        <w:t>Committee Minutes</w:t>
      </w:r>
      <w:r>
        <w:rPr>
          <w:rFonts w:ascii="Times New Roman" w:cs="Times New Roman" w:eastAsia="Times New Roman" w:hAnsi="Times New Roman"/>
          <w:sz w:val="18"/>
          <w:szCs w:val="18"/>
          <w:color w:val="auto"/>
        </w:rPr>
        <w:t>. Each committee shall keep regular minutes of its meetings and report the same to the Board when required.</w:t>
      </w:r>
    </w:p>
    <w:p>
      <w:pPr>
        <w:spacing w:after="0" w:line="225" w:lineRule="exact"/>
        <w:rPr>
          <w:sz w:val="20"/>
          <w:szCs w:val="20"/>
          <w:color w:val="auto"/>
        </w:rPr>
      </w:pPr>
    </w:p>
    <w:p>
      <w:pPr>
        <w:ind w:left="4"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3.3 </w:t>
      </w:r>
      <w:r>
        <w:rPr>
          <w:rFonts w:ascii="Times New Roman" w:cs="Times New Roman" w:eastAsia="Times New Roman" w:hAnsi="Times New Roman"/>
          <w:sz w:val="18"/>
          <w:szCs w:val="18"/>
          <w:b w:val="1"/>
          <w:bCs w:val="1"/>
          <w:i w:val="1"/>
          <w:iCs w:val="1"/>
          <w:color w:val="auto"/>
        </w:rPr>
        <w:t>Meetings and Actions of Committees</w:t>
      </w:r>
      <w:r>
        <w:rPr>
          <w:rFonts w:ascii="Times New Roman" w:cs="Times New Roman" w:eastAsia="Times New Roman" w:hAnsi="Times New Roman"/>
          <w:sz w:val="18"/>
          <w:szCs w:val="18"/>
          <w:color w:val="auto"/>
        </w:rPr>
        <w:t>. Meetings and actions of committees shall be governed by, and held and taken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w:t>
      </w:r>
    </w:p>
    <w:p>
      <w:pPr>
        <w:spacing w:after="0" w:line="155" w:lineRule="exact"/>
        <w:rPr>
          <w:sz w:val="20"/>
          <w:szCs w:val="20"/>
          <w:color w:val="auto"/>
        </w:rPr>
      </w:pPr>
    </w:p>
    <w:p>
      <w:pPr>
        <w:ind w:left="1204" w:hanging="213"/>
        <w:spacing w:after="0"/>
        <w:tabs>
          <w:tab w:leader="none" w:pos="120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2.5 </w:t>
      </w:r>
      <w:r>
        <w:rPr>
          <w:rFonts w:ascii="Times New Roman" w:cs="Times New Roman" w:eastAsia="Times New Roman" w:hAnsi="Times New Roman"/>
          <w:sz w:val="18"/>
          <w:szCs w:val="18"/>
          <w:color w:val="auto"/>
        </w:rPr>
        <w:t>(Place of Meetings; Meetings by Telephone);</w:t>
      </w:r>
    </w:p>
    <w:p>
      <w:pPr>
        <w:spacing w:after="0" w:line="225" w:lineRule="exact"/>
        <w:rPr>
          <w:rFonts w:ascii="Times New Roman" w:cs="Times New Roman" w:eastAsia="Times New Roman" w:hAnsi="Times New Roman"/>
          <w:sz w:val="18"/>
          <w:szCs w:val="18"/>
          <w:color w:val="auto"/>
        </w:rPr>
      </w:pPr>
    </w:p>
    <w:p>
      <w:pPr>
        <w:ind w:left="1264" w:hanging="273"/>
        <w:spacing w:after="0"/>
        <w:tabs>
          <w:tab w:leader="none" w:pos="126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2.7 </w:t>
      </w:r>
      <w:r>
        <w:rPr>
          <w:rFonts w:ascii="Times New Roman" w:cs="Times New Roman" w:eastAsia="Times New Roman" w:hAnsi="Times New Roman"/>
          <w:sz w:val="18"/>
          <w:szCs w:val="18"/>
          <w:color w:val="auto"/>
        </w:rPr>
        <w:t>(Regular Meetings);</w:t>
      </w:r>
    </w:p>
    <w:p>
      <w:pPr>
        <w:spacing w:after="0" w:line="225"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2.8 </w:t>
      </w:r>
      <w:r>
        <w:rPr>
          <w:rFonts w:ascii="Times New Roman" w:cs="Times New Roman" w:eastAsia="Times New Roman" w:hAnsi="Times New Roman"/>
          <w:sz w:val="18"/>
          <w:szCs w:val="18"/>
          <w:color w:val="auto"/>
        </w:rPr>
        <w:t>(Special Meetings; Notice);</w:t>
      </w:r>
    </w:p>
    <w:p>
      <w:pPr>
        <w:spacing w:after="0" w:line="225"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2.9 </w:t>
      </w:r>
      <w:r>
        <w:rPr>
          <w:rFonts w:ascii="Times New Roman" w:cs="Times New Roman" w:eastAsia="Times New Roman" w:hAnsi="Times New Roman"/>
          <w:sz w:val="18"/>
          <w:szCs w:val="18"/>
          <w:color w:val="auto"/>
        </w:rPr>
        <w:t>(Quorum; Voting);</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2.10 </w:t>
      </w:r>
      <w:r>
        <w:rPr>
          <w:rFonts w:ascii="Times New Roman" w:cs="Times New Roman" w:eastAsia="Times New Roman" w:hAnsi="Times New Roman"/>
          <w:sz w:val="18"/>
          <w:szCs w:val="18"/>
          <w:color w:val="auto"/>
        </w:rPr>
        <w:t>(Board Action by Written Consent Without a Meeting); and</w:t>
      </w:r>
    </w:p>
    <w:p>
      <w:pPr>
        <w:spacing w:after="0" w:line="225"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section 7.5 </w:t>
      </w:r>
      <w:r>
        <w:rPr>
          <w:rFonts w:ascii="Times New Roman" w:cs="Times New Roman" w:eastAsia="Times New Roman" w:hAnsi="Times New Roman"/>
          <w:sz w:val="18"/>
          <w:szCs w:val="18"/>
          <w:color w:val="auto"/>
        </w:rPr>
        <w:t>(Waiver of Notice)</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66" w:right="459" w:bottom="1440" w:gutter="0" w:footer="0" w:header="0"/>
        </w:sectPr>
      </w:pPr>
    </w:p>
    <w:bookmarkStart w:id="298" w:name="page299"/>
    <w:bookmarkEnd w:id="29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with such changes in the context of those bylaws as are necessary to substitute the committee and its members for the Board and its members.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200" w:hanging="213"/>
        <w:spacing w:after="0"/>
        <w:tabs>
          <w:tab w:leader="none" w:pos="120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of regular meetings of committees may be determined either by resolution of the Board or by resolution of the committee;</w:t>
      </w:r>
    </w:p>
    <w:p>
      <w:pPr>
        <w:spacing w:after="0" w:line="225"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committees may also be called by resolution of the Board; and</w:t>
      </w:r>
    </w:p>
    <w:p>
      <w:pPr>
        <w:spacing w:after="0" w:line="225" w:lineRule="exact"/>
        <w:rPr>
          <w:rFonts w:ascii="Times New Roman" w:cs="Times New Roman" w:eastAsia="Times New Roman" w:hAnsi="Times New Roman"/>
          <w:sz w:val="18"/>
          <w:szCs w:val="18"/>
          <w:color w:val="auto"/>
        </w:rPr>
      </w:pPr>
    </w:p>
    <w:p>
      <w:pPr>
        <w:ind w:firstLine="987"/>
        <w:spacing w:after="0" w:line="282" w:lineRule="auto"/>
        <w:tabs>
          <w:tab w:leader="none" w:pos="1306"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 of special meetings of committees shall also be given to all alternate members, who shall have the right to attend all meetings of the committee. The Board may adopt rules for the government of any committee not inconsistent with the provisions of these bylaws.</w:t>
      </w:r>
    </w:p>
    <w:p>
      <w:pPr>
        <w:spacing w:after="0" w:line="162"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spacing w:after="0" w:line="158"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3.4 </w:t>
      </w:r>
      <w:r>
        <w:rPr>
          <w:rFonts w:ascii="Times New Roman" w:cs="Times New Roman" w:eastAsia="Times New Roman" w:hAnsi="Times New Roman"/>
          <w:sz w:val="18"/>
          <w:szCs w:val="18"/>
          <w:b w:val="1"/>
          <w:bCs w:val="1"/>
          <w:i w:val="1"/>
          <w:iCs w:val="1"/>
          <w:color w:val="auto"/>
        </w:rPr>
        <w:t>Subcommittees</w:t>
      </w:r>
      <w:r>
        <w:rPr>
          <w:rFonts w:ascii="Times New Roman" w:cs="Times New Roman" w:eastAsia="Times New Roman" w:hAnsi="Times New Roman"/>
          <w:sz w:val="18"/>
          <w:szCs w:val="18"/>
          <w:color w:val="auto"/>
        </w:rPr>
        <w:t>. Unless otherwise provided in the certificate of incorporation, these bylaws or the resolutions of the Board designating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a committee may create one or more subcommittees, each subcommittee to consist of one or more members of the committee, and delegate to a subcommittee any or all of the powers and authority of the committee.</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 — OFFICERS</w:t>
      </w:r>
    </w:p>
    <w:p>
      <w:pPr>
        <w:spacing w:after="0" w:line="225"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4.1 </w:t>
      </w:r>
      <w:r>
        <w:rPr>
          <w:rFonts w:ascii="Times New Roman" w:cs="Times New Roman" w:eastAsia="Times New Roman" w:hAnsi="Times New Roman"/>
          <w:sz w:val="18"/>
          <w:szCs w:val="18"/>
          <w:b w:val="1"/>
          <w:bCs w:val="1"/>
          <w:i w:val="1"/>
          <w:iCs w:val="1"/>
          <w:color w:val="auto"/>
        </w:rPr>
        <w:t>Officers</w:t>
      </w:r>
      <w:r>
        <w:rPr>
          <w:rFonts w:ascii="Times New Roman" w:cs="Times New Roman" w:eastAsia="Times New Roman" w:hAnsi="Times New Roman"/>
          <w:sz w:val="18"/>
          <w:szCs w:val="18"/>
          <w:color w:val="auto"/>
        </w:rPr>
        <w:t>. The officers of the Company shall be a President and a Secretary. The Company may also have, at the discretion of the Board,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Chairperson of the Board, a Vice Chairperson of the Board, a Chief Executive Officer, one or more Vice Presidents, a Chief Financial Officer, a Treasurer, one or more Assistant Treasurers, one or more Assistant Secretaries, and any such other officers as may be appointed in accordance with the provisions of these bylaws. Any number of offices may be held by the same person.</w:t>
      </w:r>
    </w:p>
    <w:p>
      <w:pPr>
        <w:spacing w:after="0" w:line="176"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4.2 </w:t>
      </w:r>
      <w:r>
        <w:rPr>
          <w:rFonts w:ascii="Times New Roman" w:cs="Times New Roman" w:eastAsia="Times New Roman" w:hAnsi="Times New Roman"/>
          <w:sz w:val="18"/>
          <w:szCs w:val="18"/>
          <w:b w:val="1"/>
          <w:bCs w:val="1"/>
          <w:i w:val="1"/>
          <w:iCs w:val="1"/>
          <w:color w:val="auto"/>
        </w:rPr>
        <w:t>Appointment of Officers</w:t>
      </w:r>
      <w:r>
        <w:rPr>
          <w:rFonts w:ascii="Times New Roman" w:cs="Times New Roman" w:eastAsia="Times New Roman" w:hAnsi="Times New Roman"/>
          <w:sz w:val="18"/>
          <w:szCs w:val="18"/>
          <w:color w:val="auto"/>
        </w:rPr>
        <w:t>. The Board shall appoint the officers of the Company, except such officers as may be appointed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b w:val="1"/>
          <w:bCs w:val="1"/>
          <w:color w:val="auto"/>
        </w:rPr>
        <w:t>section 4.3</w:t>
      </w:r>
      <w:r>
        <w:rPr>
          <w:rFonts w:ascii="Times New Roman" w:cs="Times New Roman" w:eastAsia="Times New Roman" w:hAnsi="Times New Roman"/>
          <w:sz w:val="18"/>
          <w:szCs w:val="18"/>
          <w:color w:val="auto"/>
        </w:rPr>
        <w:t xml:space="preserve"> of these bylaws.</w:t>
      </w:r>
    </w:p>
    <w:p>
      <w:pPr>
        <w:spacing w:after="0" w:line="155"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4.3 </w:t>
      </w:r>
      <w:r>
        <w:rPr>
          <w:rFonts w:ascii="Times New Roman" w:cs="Times New Roman" w:eastAsia="Times New Roman" w:hAnsi="Times New Roman"/>
          <w:sz w:val="18"/>
          <w:szCs w:val="18"/>
          <w:b w:val="1"/>
          <w:bCs w:val="1"/>
          <w:i w:val="1"/>
          <w:iCs w:val="1"/>
          <w:color w:val="auto"/>
        </w:rPr>
        <w:t>Subordinate Officers</w:t>
      </w:r>
      <w:r>
        <w:rPr>
          <w:rFonts w:ascii="Times New Roman" w:cs="Times New Roman" w:eastAsia="Times New Roman" w:hAnsi="Times New Roman"/>
          <w:sz w:val="18"/>
          <w:szCs w:val="18"/>
          <w:color w:val="auto"/>
        </w:rPr>
        <w:t>. The Board may appoint, or empower the Chief Executive Officer or, in the absence of a Chief Executive Officer,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to appoint, such other officers and agents as the business of the Company may require. Each of such officers and agents shall hold office for such period, have such authority, and perform such duties as are provided in these bylaws or as the Board may from time to time determine.</w:t>
      </w:r>
    </w:p>
    <w:p>
      <w:pPr>
        <w:spacing w:after="0" w:line="171"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4.4 </w:t>
      </w:r>
      <w:r>
        <w:rPr>
          <w:rFonts w:ascii="Times New Roman" w:cs="Times New Roman" w:eastAsia="Times New Roman" w:hAnsi="Times New Roman"/>
          <w:sz w:val="18"/>
          <w:szCs w:val="18"/>
          <w:b w:val="1"/>
          <w:bCs w:val="1"/>
          <w:i w:val="1"/>
          <w:iCs w:val="1"/>
          <w:color w:val="auto"/>
        </w:rPr>
        <w:t>Removal and Resignation of Officers</w:t>
      </w:r>
      <w:r>
        <w:rPr>
          <w:rFonts w:ascii="Times New Roman" w:cs="Times New Roman" w:eastAsia="Times New Roman" w:hAnsi="Times New Roman"/>
          <w:sz w:val="18"/>
          <w:szCs w:val="18"/>
          <w:color w:val="auto"/>
        </w:rPr>
        <w:t>. Any officer may be removed, either with or without cause, by an affirmative vote of the majority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at any regular or special meeting of the Board or, except in the case of an officer chosen by the Board, by any officer upon whom such power of removal may be conferred by the Board.</w:t>
      </w:r>
    </w:p>
    <w:p>
      <w:pPr>
        <w:spacing w:after="0" w:line="17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Any officer may resign at any time by giving written notice to the Company.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Company under any contract to which the officer is a party.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8" w:right="459" w:bottom="1440" w:gutter="0" w:footer="0" w:header="0"/>
        </w:sectPr>
      </w:pPr>
    </w:p>
    <w:bookmarkStart w:id="299" w:name="page300"/>
    <w:bookmarkEnd w:id="299"/>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4.5 </w:t>
      </w:r>
      <w:r>
        <w:rPr>
          <w:rFonts w:ascii="Times New Roman" w:cs="Times New Roman" w:eastAsia="Times New Roman" w:hAnsi="Times New Roman"/>
          <w:sz w:val="18"/>
          <w:szCs w:val="18"/>
          <w:b w:val="1"/>
          <w:bCs w:val="1"/>
          <w:i w:val="1"/>
          <w:iCs w:val="1"/>
          <w:color w:val="auto"/>
        </w:rPr>
        <w:t>Vacancies in Offices</w:t>
      </w:r>
      <w:r>
        <w:rPr>
          <w:rFonts w:ascii="Times New Roman" w:cs="Times New Roman" w:eastAsia="Times New Roman" w:hAnsi="Times New Roman"/>
          <w:sz w:val="18"/>
          <w:szCs w:val="18"/>
          <w:color w:val="auto"/>
        </w:rPr>
        <w:t>. Any vacancy occurring in any office of the Company shall be filled by the Board or as provided in</w:t>
      </w:r>
      <w:r>
        <w:rPr>
          <w:rFonts w:ascii="Times New Roman" w:cs="Times New Roman" w:eastAsia="Times New Roman" w:hAnsi="Times New Roman"/>
          <w:sz w:val="18"/>
          <w:szCs w:val="18"/>
          <w:b w:val="1"/>
          <w:bCs w:val="1"/>
          <w:color w:val="auto"/>
        </w:rPr>
        <w:t xml:space="preserve"> section 4.3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4.6 </w:t>
      </w:r>
      <w:r>
        <w:rPr>
          <w:rFonts w:ascii="Times New Roman" w:cs="Times New Roman" w:eastAsia="Times New Roman" w:hAnsi="Times New Roman"/>
          <w:sz w:val="18"/>
          <w:szCs w:val="18"/>
          <w:b w:val="1"/>
          <w:bCs w:val="1"/>
          <w:i w:val="1"/>
          <w:iCs w:val="1"/>
          <w:color w:val="auto"/>
        </w:rPr>
        <w:t>Representation of Shares of Other Corporations</w:t>
      </w:r>
      <w:r>
        <w:rPr>
          <w:rFonts w:ascii="Times New Roman" w:cs="Times New Roman" w:eastAsia="Times New Roman" w:hAnsi="Times New Roman"/>
          <w:sz w:val="18"/>
          <w:szCs w:val="18"/>
          <w:color w:val="auto"/>
        </w:rPr>
        <w:t>. Unless otherwise directed by the Board, the President or any other person authorized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or the President is authorized to vote, represent and exercise on behalf of the Company all rights incident to any and all shares of any other corporation or corporations standing in the name of the Company. The authority granted herein may be exercised either by such person directly or by any other person authorized to do so by proxy or power of attorney duly executed by such person having the authority.</w:t>
      </w:r>
    </w:p>
    <w:p>
      <w:pPr>
        <w:spacing w:after="0" w:line="176"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4.7 </w:t>
      </w:r>
      <w:r>
        <w:rPr>
          <w:rFonts w:ascii="Times New Roman" w:cs="Times New Roman" w:eastAsia="Times New Roman" w:hAnsi="Times New Roman"/>
          <w:sz w:val="18"/>
          <w:szCs w:val="18"/>
          <w:b w:val="1"/>
          <w:bCs w:val="1"/>
          <w:i w:val="1"/>
          <w:iCs w:val="1"/>
          <w:color w:val="auto"/>
        </w:rPr>
        <w:t>Authority and Duties of Officers</w:t>
      </w:r>
      <w:r>
        <w:rPr>
          <w:rFonts w:ascii="Times New Roman" w:cs="Times New Roman" w:eastAsia="Times New Roman" w:hAnsi="Times New Roman"/>
          <w:sz w:val="18"/>
          <w:szCs w:val="18"/>
          <w:color w:val="auto"/>
        </w:rPr>
        <w:t>. Except as otherwise provided in these bylaws, the officers of the Company shall have such powers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duties in the management of the Company as may be designated from time to time by the Board and, to the extent not so provided, as generally pertain to their respective offices, subject to the control of the Board.</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 — INDEMNIFICATION</w:t>
      </w:r>
    </w:p>
    <w:p>
      <w:pPr>
        <w:spacing w:after="0" w:line="225"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b w:val="1"/>
          <w:bCs w:val="1"/>
          <w:i w:val="1"/>
          <w:iCs w:val="1"/>
          <w:color w:val="auto"/>
        </w:rPr>
        <w:t>Indemnification of Directors and Officers in Third Party Proceedings</w:t>
      </w:r>
      <w:r>
        <w:rPr>
          <w:rFonts w:ascii="Times New Roman" w:cs="Times New Roman" w:eastAsia="Times New Roman" w:hAnsi="Times New Roman"/>
          <w:sz w:val="18"/>
          <w:szCs w:val="18"/>
          <w:color w:val="auto"/>
        </w:rPr>
        <w:t>. Subject to the other provisions of this</w:t>
      </w:r>
      <w:r>
        <w:rPr>
          <w:rFonts w:ascii="Times New Roman" w:cs="Times New Roman" w:eastAsia="Times New Roman" w:hAnsi="Times New Roman"/>
          <w:sz w:val="18"/>
          <w:szCs w:val="18"/>
          <w:b w:val="1"/>
          <w:bCs w:val="1"/>
          <w:color w:val="auto"/>
        </w:rPr>
        <w:t xml:space="preserve"> Article V</w:t>
      </w:r>
      <w:r>
        <w:rPr>
          <w:rFonts w:ascii="Times New Roman" w:cs="Times New Roman" w:eastAsia="Times New Roman" w:hAnsi="Times New Roman"/>
          <w:sz w:val="18"/>
          <w:szCs w:val="18"/>
          <w:color w:val="auto"/>
        </w:rPr>
        <w:t>, the Company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18"/>
          <w:szCs w:val="18"/>
          <w:b w:val="1"/>
          <w:bCs w:val="1"/>
          <w:i w:val="1"/>
          <w:iCs w:val="1"/>
          <w:color w:val="auto"/>
        </w:rPr>
        <w:t>Proceeding</w:t>
      </w:r>
      <w:r>
        <w:rPr>
          <w:rFonts w:ascii="Times New Roman" w:cs="Times New Roman" w:eastAsia="Times New Roman" w:hAnsi="Times New Roman"/>
          <w:sz w:val="18"/>
          <w:szCs w:val="18"/>
          <w:color w:val="auto"/>
        </w:rPr>
        <w:t xml:space="preserve">”)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Company, and, with respect to any criminal action or proceeding, had no reasonable cause to believe such person’s conduct was unlawful. The termination of any Proceeding by judgment, order, settlement, conviction, or upon a plea of </w:t>
      </w:r>
      <w:r>
        <w:rPr>
          <w:rFonts w:ascii="Times New Roman" w:cs="Times New Roman" w:eastAsia="Times New Roman" w:hAnsi="Times New Roman"/>
          <w:sz w:val="18"/>
          <w:szCs w:val="18"/>
          <w:i w:val="1"/>
          <w:iCs w:val="1"/>
          <w:color w:val="auto"/>
        </w:rPr>
        <w:t>nolo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contendere </w:t>
      </w:r>
      <w:r>
        <w:rPr>
          <w:rFonts w:ascii="Times New Roman" w:cs="Times New Roman" w:eastAsia="Times New Roman" w:hAnsi="Times New Roman"/>
          <w:sz w:val="18"/>
          <w:szCs w:val="18"/>
          <w:color w:val="auto"/>
        </w:rPr>
        <w:t>or its equivalent, shall not, of itself, create a presumption that the person did not act in good faith and in a manner which such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reasonably believed to be in or not opposed to the best interests of the Company, and, with respect to any criminal action or proceeding, had reasonable cause to believe that such person’s conduct was unlawful.</w:t>
      </w:r>
    </w:p>
    <w:p>
      <w:pPr>
        <w:spacing w:after="0" w:line="19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b w:val="1"/>
          <w:bCs w:val="1"/>
          <w:i w:val="1"/>
          <w:iCs w:val="1"/>
          <w:color w:val="auto"/>
        </w:rPr>
        <w:t>Indemnification of Directors and Officers in Actions by or in the Right of the Company</w:t>
      </w:r>
      <w:r>
        <w:rPr>
          <w:rFonts w:ascii="Times New Roman" w:cs="Times New Roman" w:eastAsia="Times New Roman" w:hAnsi="Times New Roman"/>
          <w:sz w:val="18"/>
          <w:szCs w:val="18"/>
          <w:color w:val="auto"/>
        </w:rPr>
        <w:t>. Subject to the other provisions of this</w:t>
      </w:r>
      <w:r>
        <w:rPr>
          <w:rFonts w:ascii="Times New Roman" w:cs="Times New Roman" w:eastAsia="Times New Roman" w:hAnsi="Times New Roman"/>
          <w:sz w:val="18"/>
          <w:szCs w:val="18"/>
          <w:b w:val="1"/>
          <w:bCs w:val="1"/>
          <w:color w:val="auto"/>
        </w:rPr>
        <w:t xml:space="preserve"> Article V</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shall indemnify, to the fullest extent permitted by the DGCL, as now or hereinafter in effect, any person who was or is a party or is threatened to be made a party to any threatened, pending or completed action or suit by or in the right of the Company to procure a judgment in its favor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actually and reasonably incurred by such person in connection with the defense or settlement of such action or suit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0"/>
          </w:cols>
          <w:pgMar w:left="440" w:top="266" w:right="479" w:bottom="1440" w:gutter="0" w:footer="0" w:header="0"/>
        </w:sectPr>
      </w:pPr>
    </w:p>
    <w:bookmarkStart w:id="300" w:name="page301"/>
    <w:bookmarkEnd w:id="300"/>
    <w:p>
      <w:pPr>
        <w:jc w:val="both"/>
        <w:ind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5.3 </w:t>
      </w:r>
      <w:r>
        <w:rPr>
          <w:rFonts w:ascii="Times New Roman" w:cs="Times New Roman" w:eastAsia="Times New Roman" w:hAnsi="Times New Roman"/>
          <w:sz w:val="18"/>
          <w:szCs w:val="18"/>
          <w:b w:val="1"/>
          <w:bCs w:val="1"/>
          <w:i w:val="1"/>
          <w:iCs w:val="1"/>
          <w:color w:val="auto"/>
        </w:rPr>
        <w:t>Successful Defense</w:t>
      </w:r>
      <w:r>
        <w:rPr>
          <w:rFonts w:ascii="Times New Roman" w:cs="Times New Roman" w:eastAsia="Times New Roman" w:hAnsi="Times New Roman"/>
          <w:sz w:val="18"/>
          <w:szCs w:val="18"/>
          <w:color w:val="auto"/>
        </w:rPr>
        <w:t>. To the extent that a present or former director or officer of the Company has been successful on the merits or otherwise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defense of any action, suit or proceeding described in </w:t>
      </w:r>
      <w:r>
        <w:rPr>
          <w:rFonts w:ascii="Times New Roman" w:cs="Times New Roman" w:eastAsia="Times New Roman" w:hAnsi="Times New Roman"/>
          <w:sz w:val="18"/>
          <w:szCs w:val="18"/>
          <w:b w:val="1"/>
          <w:bCs w:val="1"/>
          <w:color w:val="auto"/>
        </w:rPr>
        <w:t>section 5.1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section 5.2</w:t>
      </w:r>
      <w:r>
        <w:rPr>
          <w:rFonts w:ascii="Times New Roman" w:cs="Times New Roman" w:eastAsia="Times New Roman" w:hAnsi="Times New Roman"/>
          <w:sz w:val="18"/>
          <w:szCs w:val="18"/>
          <w:color w:val="auto"/>
        </w:rPr>
        <w:t>, or in defense of any claim, issue or matter therein, such person shall be indemnified against expenses (including attorneys’ fees) actually and reasonably incurred by such person in connection therewith.</w:t>
      </w:r>
    </w:p>
    <w:p>
      <w:pPr>
        <w:spacing w:after="0" w:line="171"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5.4 </w:t>
      </w:r>
      <w:r>
        <w:rPr>
          <w:rFonts w:ascii="Times New Roman" w:cs="Times New Roman" w:eastAsia="Times New Roman" w:hAnsi="Times New Roman"/>
          <w:sz w:val="18"/>
          <w:szCs w:val="18"/>
          <w:b w:val="1"/>
          <w:bCs w:val="1"/>
          <w:i w:val="1"/>
          <w:iCs w:val="1"/>
          <w:color w:val="auto"/>
        </w:rPr>
        <w:t>Indemnification of Others</w:t>
      </w:r>
      <w:r>
        <w:rPr>
          <w:rFonts w:ascii="Times New Roman" w:cs="Times New Roman" w:eastAsia="Times New Roman" w:hAnsi="Times New Roman"/>
          <w:sz w:val="18"/>
          <w:szCs w:val="18"/>
          <w:color w:val="auto"/>
        </w:rPr>
        <w:t>. Subject to the other provisions of this</w:t>
      </w:r>
      <w:r>
        <w:rPr>
          <w:rFonts w:ascii="Times New Roman" w:cs="Times New Roman" w:eastAsia="Times New Roman" w:hAnsi="Times New Roman"/>
          <w:sz w:val="18"/>
          <w:szCs w:val="18"/>
          <w:b w:val="1"/>
          <w:bCs w:val="1"/>
          <w:color w:val="auto"/>
        </w:rPr>
        <w:t xml:space="preserve"> Article V</w:t>
      </w:r>
      <w:r>
        <w:rPr>
          <w:rFonts w:ascii="Times New Roman" w:cs="Times New Roman" w:eastAsia="Times New Roman" w:hAnsi="Times New Roman"/>
          <w:sz w:val="18"/>
          <w:szCs w:val="18"/>
          <w:color w:val="auto"/>
        </w:rPr>
        <w:t>, the Company shall have power to indemnify its employees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agents to the extent not prohibited by the DGCL or other applicable law. The Board shall have the power to delegate to such person or persons the determination of whether employees or agents shall be indemnified.</w:t>
      </w:r>
    </w:p>
    <w:p>
      <w:pPr>
        <w:spacing w:after="0" w:line="17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5.5 </w:t>
      </w:r>
      <w:r>
        <w:rPr>
          <w:rFonts w:ascii="Times New Roman" w:cs="Times New Roman" w:eastAsia="Times New Roman" w:hAnsi="Times New Roman"/>
          <w:sz w:val="18"/>
          <w:szCs w:val="18"/>
          <w:b w:val="1"/>
          <w:bCs w:val="1"/>
          <w:i w:val="1"/>
          <w:iCs w:val="1"/>
          <w:color w:val="auto"/>
        </w:rPr>
        <w:t>Advanced Payment of Expenses</w:t>
      </w:r>
      <w:r>
        <w:rPr>
          <w:rFonts w:ascii="Times New Roman" w:cs="Times New Roman" w:eastAsia="Times New Roman" w:hAnsi="Times New Roman"/>
          <w:sz w:val="18"/>
          <w:szCs w:val="18"/>
          <w:color w:val="auto"/>
        </w:rPr>
        <w:t>. Expenses (including attorneys’ fees) incurred by an officer or director of the Company in defending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Proceeding shall be paid by the Company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w:t>
      </w:r>
      <w:r>
        <w:rPr>
          <w:rFonts w:ascii="Times New Roman" w:cs="Times New Roman" w:eastAsia="Times New Roman" w:hAnsi="Times New Roman"/>
          <w:sz w:val="18"/>
          <w:szCs w:val="18"/>
          <w:b w:val="1"/>
          <w:bCs w:val="1"/>
          <w:color w:val="auto"/>
        </w:rPr>
        <w:t>Article V</w:t>
      </w:r>
      <w:r>
        <w:rPr>
          <w:rFonts w:ascii="Times New Roman" w:cs="Times New Roman" w:eastAsia="Times New Roman" w:hAnsi="Times New Roman"/>
          <w:sz w:val="18"/>
          <w:szCs w:val="18"/>
          <w:color w:val="auto"/>
        </w:rPr>
        <w:t xml:space="preserve"> or the DGCL. Such expenses (including attorneys’ fees) incurred by former directors and officers or other employees and agents of the Company or by persons serving at the request of the Company as directors, officers, employees or agents of another corporation, partnership, joint venture, trust or other enterprise may be so paid upon such terms and conditions, if any, as the Company deems appropriate. The right to advancement of expenses shall not apply to any Proceeding for which indemnity is excluded pursuant to these bylaws, but shall apply to any Proceeding referenced in </w:t>
      </w:r>
      <w:r>
        <w:rPr>
          <w:rFonts w:ascii="Times New Roman" w:cs="Times New Roman" w:eastAsia="Times New Roman" w:hAnsi="Times New Roman"/>
          <w:sz w:val="18"/>
          <w:szCs w:val="18"/>
          <w:b w:val="1"/>
          <w:bCs w:val="1"/>
          <w:color w:val="auto"/>
        </w:rPr>
        <w:t>section 5.6(ii)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5.6(iii)</w:t>
      </w:r>
      <w:r>
        <w:rPr>
          <w:rFonts w:ascii="Times New Roman" w:cs="Times New Roman" w:eastAsia="Times New Roman" w:hAnsi="Times New Roman"/>
          <w:sz w:val="18"/>
          <w:szCs w:val="18"/>
          <w:color w:val="auto"/>
        </w:rPr>
        <w:t xml:space="preserve"> prior to a determination that the person is not entitled to be indemnified by the Company.</w:t>
      </w:r>
    </w:p>
    <w:p>
      <w:pPr>
        <w:spacing w:after="0" w:line="188"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5.6 </w:t>
      </w:r>
      <w:r>
        <w:rPr>
          <w:rFonts w:ascii="Times New Roman" w:cs="Times New Roman" w:eastAsia="Times New Roman" w:hAnsi="Times New Roman"/>
          <w:sz w:val="18"/>
          <w:szCs w:val="18"/>
          <w:b w:val="1"/>
          <w:bCs w:val="1"/>
          <w:i w:val="1"/>
          <w:iCs w:val="1"/>
          <w:color w:val="auto"/>
        </w:rPr>
        <w:t>Limitation on Indemnification</w:t>
      </w:r>
      <w:r>
        <w:rPr>
          <w:rFonts w:ascii="Times New Roman" w:cs="Times New Roman" w:eastAsia="Times New Roman" w:hAnsi="Times New Roman"/>
          <w:sz w:val="18"/>
          <w:szCs w:val="18"/>
          <w:color w:val="auto"/>
        </w:rPr>
        <w:t>. Subject to the requirements in</w:t>
      </w:r>
      <w:r>
        <w:rPr>
          <w:rFonts w:ascii="Times New Roman" w:cs="Times New Roman" w:eastAsia="Times New Roman" w:hAnsi="Times New Roman"/>
          <w:sz w:val="18"/>
          <w:szCs w:val="18"/>
          <w:b w:val="1"/>
          <w:bCs w:val="1"/>
          <w:color w:val="auto"/>
        </w:rPr>
        <w:t xml:space="preserve"> section 5.3 </w:t>
      </w:r>
      <w:r>
        <w:rPr>
          <w:rFonts w:ascii="Times New Roman" w:cs="Times New Roman" w:eastAsia="Times New Roman" w:hAnsi="Times New Roman"/>
          <w:sz w:val="18"/>
          <w:szCs w:val="18"/>
          <w:color w:val="auto"/>
        </w:rPr>
        <w:t>and the DGCL, the Company shall not be obligated to indemnify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person pursuant to this </w:t>
      </w:r>
      <w:r>
        <w:rPr>
          <w:rFonts w:ascii="Times New Roman" w:cs="Times New Roman" w:eastAsia="Times New Roman" w:hAnsi="Times New Roman"/>
          <w:sz w:val="18"/>
          <w:szCs w:val="18"/>
          <w:b w:val="1"/>
          <w:bCs w:val="1"/>
          <w:color w:val="auto"/>
        </w:rPr>
        <w:t>Article V</w:t>
      </w:r>
      <w:r>
        <w:rPr>
          <w:rFonts w:ascii="Times New Roman" w:cs="Times New Roman" w:eastAsia="Times New Roman" w:hAnsi="Times New Roman"/>
          <w:sz w:val="18"/>
          <w:szCs w:val="18"/>
          <w:color w:val="auto"/>
        </w:rPr>
        <w:t xml:space="preserve"> in connection with any Proceeding (or any part of any Proceeding):</w:t>
      </w:r>
    </w:p>
    <w:p>
      <w:pPr>
        <w:spacing w:after="0" w:line="159" w:lineRule="exact"/>
        <w:rPr>
          <w:sz w:val="20"/>
          <w:szCs w:val="20"/>
          <w:color w:val="auto"/>
        </w:rPr>
      </w:pPr>
    </w:p>
    <w:p>
      <w:pPr>
        <w:ind w:right="20" w:firstLine="987"/>
        <w:spacing w:after="0" w:line="282" w:lineRule="auto"/>
        <w:tabs>
          <w:tab w:leader="none" w:pos="120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made to or on behalf of such person under any statute, insurance policy, indemnity provision, vote or otherwise, except with respect to any excess beyond the amount paid;</w:t>
      </w:r>
    </w:p>
    <w:p>
      <w:pPr>
        <w:spacing w:after="0" w:line="161" w:lineRule="exact"/>
        <w:rPr>
          <w:rFonts w:ascii="Times New Roman" w:cs="Times New Roman" w:eastAsia="Times New Roman" w:hAnsi="Times New Roman"/>
          <w:sz w:val="18"/>
          <w:szCs w:val="18"/>
          <w:color w:val="auto"/>
        </w:rPr>
      </w:pPr>
    </w:p>
    <w:p>
      <w:pPr>
        <w:ind w:right="80" w:firstLine="987"/>
        <w:spacing w:after="0" w:line="266" w:lineRule="auto"/>
        <w:tabs>
          <w:tab w:leader="none" w:pos="125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or disgorgement of profits pursuant to Section 16(b) of the Securities Exchange Act of 1934, as amended, or similar provisions of federal, state or local statutory law or common law, if such person is held liable therefor (including pursuant to any settlement arrangements);</w:t>
      </w:r>
    </w:p>
    <w:p>
      <w:pPr>
        <w:spacing w:after="0" w:line="175" w:lineRule="exact"/>
        <w:rPr>
          <w:rFonts w:ascii="Times New Roman" w:cs="Times New Roman" w:eastAsia="Times New Roman" w:hAnsi="Times New Roman"/>
          <w:sz w:val="18"/>
          <w:szCs w:val="18"/>
          <w:color w:val="auto"/>
        </w:rPr>
      </w:pPr>
    </w:p>
    <w:p>
      <w:pPr>
        <w:ind w:right="60" w:firstLine="987"/>
        <w:spacing w:after="0" w:line="277" w:lineRule="auto"/>
        <w:tabs>
          <w:tab w:leader="none" w:pos="1306"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reimbursement of the Company by such person of any bonus or other incentive-based or equity-based compensation or of any profits realized by such person from the sale of securities of the Company, as required in each case under the Securities Exchange Act of 1934, as amended (including any such reimbursements that arise from an accounting restatement of the Company pursuant to Section 304 of the Sarbanes-Oxley Act of 2002 (the “</w:t>
      </w:r>
      <w:r>
        <w:rPr>
          <w:rFonts w:ascii="Times New Roman" w:cs="Times New Roman" w:eastAsia="Times New Roman" w:hAnsi="Times New Roman"/>
          <w:sz w:val="17"/>
          <w:szCs w:val="17"/>
          <w:b w:val="1"/>
          <w:bCs w:val="1"/>
          <w:i w:val="1"/>
          <w:iCs w:val="1"/>
          <w:color w:val="auto"/>
        </w:rPr>
        <w:t>Sarbanes-Oxley Act</w:t>
      </w:r>
      <w:r>
        <w:rPr>
          <w:rFonts w:ascii="Times New Roman" w:cs="Times New Roman" w:eastAsia="Times New Roman" w:hAnsi="Times New Roman"/>
          <w:sz w:val="17"/>
          <w:szCs w:val="17"/>
          <w:color w:val="auto"/>
        </w:rPr>
        <w:t>”), or the payment to the Company of profits arising from the purchase and sale by such person of securities in violation of Section 306 of the Sarbanes-Oxley Act), if such person is held liable therefor (including pursuant to any settlement arrangements);</w:t>
      </w:r>
    </w:p>
    <w:p>
      <w:pPr>
        <w:spacing w:after="0" w:line="167" w:lineRule="exact"/>
        <w:rPr>
          <w:rFonts w:ascii="Times New Roman" w:cs="Times New Roman" w:eastAsia="Times New Roman" w:hAnsi="Times New Roman"/>
          <w:sz w:val="17"/>
          <w:szCs w:val="17"/>
          <w:color w:val="auto"/>
        </w:rPr>
      </w:pPr>
    </w:p>
    <w:p>
      <w:pPr>
        <w:ind w:right="20" w:firstLine="987"/>
        <w:spacing w:after="0" w:line="282" w:lineRule="auto"/>
        <w:tabs>
          <w:tab w:leader="none" w:pos="1296"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by such person, including any Proceeding (or any part of any Proceeding) initiated by such person against the Company or its directors, officers, employees, agents 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66" w:right="479" w:bottom="1440" w:gutter="0" w:footer="0" w:header="0"/>
        </w:sectPr>
      </w:pPr>
    </w:p>
    <w:bookmarkStart w:id="301" w:name="page302"/>
    <w:bookmarkEnd w:id="301"/>
    <w:p>
      <w:pPr>
        <w:ind w:right="3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other indemnitees, unless (a) the Board authorized the Proceeding (or the relevant part of the Proceeding) prior to its initiation, (b) the Company provides the indemnification, in its sole discretion, pursuant to the powers vested in the Company under applicable law, (c) otherwise required to be made under </w:t>
      </w:r>
      <w:r>
        <w:rPr>
          <w:rFonts w:ascii="Times New Roman" w:cs="Times New Roman" w:eastAsia="Times New Roman" w:hAnsi="Times New Roman"/>
          <w:sz w:val="18"/>
          <w:szCs w:val="18"/>
          <w:b w:val="1"/>
          <w:bCs w:val="1"/>
          <w:color w:val="auto"/>
        </w:rPr>
        <w:t>section 5.7</w:t>
      </w:r>
      <w:r>
        <w:rPr>
          <w:rFonts w:ascii="Times New Roman" w:cs="Times New Roman" w:eastAsia="Times New Roman" w:hAnsi="Times New Roman"/>
          <w:sz w:val="18"/>
          <w:szCs w:val="18"/>
          <w:color w:val="auto"/>
        </w:rPr>
        <w:t xml:space="preserve"> or (d) otherwise required by applicable law; or</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 if prohibited by applicable law.</w:t>
      </w:r>
    </w:p>
    <w:p>
      <w:pPr>
        <w:spacing w:after="0" w:line="22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5.7 </w:t>
      </w:r>
      <w:r>
        <w:rPr>
          <w:rFonts w:ascii="Times New Roman" w:cs="Times New Roman" w:eastAsia="Times New Roman" w:hAnsi="Times New Roman"/>
          <w:sz w:val="18"/>
          <w:szCs w:val="18"/>
          <w:b w:val="1"/>
          <w:bCs w:val="1"/>
          <w:i w:val="1"/>
          <w:iCs w:val="1"/>
          <w:color w:val="auto"/>
        </w:rPr>
        <w:t>Determination; Claim</w:t>
      </w:r>
      <w:r>
        <w:rPr>
          <w:rFonts w:ascii="Times New Roman" w:cs="Times New Roman" w:eastAsia="Times New Roman" w:hAnsi="Times New Roman"/>
          <w:sz w:val="18"/>
          <w:szCs w:val="18"/>
          <w:color w:val="auto"/>
        </w:rPr>
        <w:t>. If a claim for indemnification or advancement of expenses under this</w:t>
      </w:r>
      <w:r>
        <w:rPr>
          <w:rFonts w:ascii="Times New Roman" w:cs="Times New Roman" w:eastAsia="Times New Roman" w:hAnsi="Times New Roman"/>
          <w:sz w:val="18"/>
          <w:szCs w:val="18"/>
          <w:b w:val="1"/>
          <w:bCs w:val="1"/>
          <w:color w:val="auto"/>
        </w:rPr>
        <w:t xml:space="preserve"> Article V </w:t>
      </w:r>
      <w:r>
        <w:rPr>
          <w:rFonts w:ascii="Times New Roman" w:cs="Times New Roman" w:eastAsia="Times New Roman" w:hAnsi="Times New Roman"/>
          <w:sz w:val="18"/>
          <w:szCs w:val="18"/>
          <w:color w:val="auto"/>
        </w:rPr>
        <w:t>is not paid by the Company or on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behalf within 90 days after receipt by the Company of a written request therefor, the claimant shall be entitled to an adjudication by a court of competent jurisdiction of his or her entitlement to such indemnification or advancement of expenses. To the extent not prohibited by law, the Company shall indemnify such person against all expenses actually and reasonably incurred by such person in connection with any action for indemnification or advancement of expenses from the Company under this </w:t>
      </w:r>
      <w:r>
        <w:rPr>
          <w:rFonts w:ascii="Times New Roman" w:cs="Times New Roman" w:eastAsia="Times New Roman" w:hAnsi="Times New Roman"/>
          <w:sz w:val="18"/>
          <w:szCs w:val="18"/>
          <w:b w:val="1"/>
          <w:bCs w:val="1"/>
          <w:color w:val="auto"/>
        </w:rPr>
        <w:t>Article V</w:t>
      </w:r>
      <w:r>
        <w:rPr>
          <w:rFonts w:ascii="Times New Roman" w:cs="Times New Roman" w:eastAsia="Times New Roman" w:hAnsi="Times New Roman"/>
          <w:sz w:val="18"/>
          <w:szCs w:val="18"/>
          <w:color w:val="auto"/>
        </w:rPr>
        <w:t>, to the extent such person is successful in such action. In any such suit, the Company shall, to the fullest extent not prohibited by law, have the burden of proving that the claimant is not entitled to the requested indemnification or advancement of expenses.</w:t>
      </w:r>
    </w:p>
    <w:p>
      <w:pPr>
        <w:spacing w:after="0" w:line="183"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5.8 </w:t>
      </w:r>
      <w:r>
        <w:rPr>
          <w:rFonts w:ascii="Times New Roman" w:cs="Times New Roman" w:eastAsia="Times New Roman" w:hAnsi="Times New Roman"/>
          <w:sz w:val="18"/>
          <w:szCs w:val="18"/>
          <w:b w:val="1"/>
          <w:bCs w:val="1"/>
          <w:i w:val="1"/>
          <w:iCs w:val="1"/>
          <w:color w:val="auto"/>
        </w:rPr>
        <w:t>Non-Exclusivity of Rights</w:t>
      </w:r>
      <w:r>
        <w:rPr>
          <w:rFonts w:ascii="Times New Roman" w:cs="Times New Roman" w:eastAsia="Times New Roman" w:hAnsi="Times New Roman"/>
          <w:sz w:val="18"/>
          <w:szCs w:val="18"/>
          <w:color w:val="auto"/>
        </w:rPr>
        <w:t>. The indemnification and advancement of expenses provided by, or granted pursuant to, this</w:t>
      </w:r>
      <w:r>
        <w:rPr>
          <w:rFonts w:ascii="Times New Roman" w:cs="Times New Roman" w:eastAsia="Times New Roman" w:hAnsi="Times New Roman"/>
          <w:sz w:val="18"/>
          <w:szCs w:val="18"/>
          <w:b w:val="1"/>
          <w:bCs w:val="1"/>
          <w:color w:val="auto"/>
        </w:rPr>
        <w:t xml:space="preserve"> Article V </w:t>
      </w:r>
      <w:r>
        <w:rPr>
          <w:rFonts w:ascii="Times New Roman" w:cs="Times New Roman" w:eastAsia="Times New Roman" w:hAnsi="Times New Roman"/>
          <w:sz w:val="18"/>
          <w:szCs w:val="18"/>
          <w:color w:val="auto"/>
        </w:rPr>
        <w:t>shall not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Company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82"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5.9 </w:t>
      </w:r>
      <w:r>
        <w:rPr>
          <w:rFonts w:ascii="Times New Roman" w:cs="Times New Roman" w:eastAsia="Times New Roman" w:hAnsi="Times New Roman"/>
          <w:sz w:val="18"/>
          <w:szCs w:val="18"/>
          <w:b w:val="1"/>
          <w:bCs w:val="1"/>
          <w:i w:val="1"/>
          <w:iCs w:val="1"/>
          <w:color w:val="auto"/>
        </w:rPr>
        <w:t>Insurance</w:t>
      </w:r>
      <w:r>
        <w:rPr>
          <w:rFonts w:ascii="Times New Roman" w:cs="Times New Roman" w:eastAsia="Times New Roman" w:hAnsi="Times New Roman"/>
          <w:sz w:val="18"/>
          <w:szCs w:val="18"/>
          <w:color w:val="auto"/>
        </w:rPr>
        <w:t>. The Company may purchase and maintain insurance on behalf of any person who is or was a director, officer, employee or agent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DGCL.</w:t>
      </w:r>
    </w:p>
    <w:p>
      <w:pPr>
        <w:spacing w:after="0" w:line="179"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5.10 </w:t>
      </w:r>
      <w:r>
        <w:rPr>
          <w:rFonts w:ascii="Times New Roman" w:cs="Times New Roman" w:eastAsia="Times New Roman" w:hAnsi="Times New Roman"/>
          <w:sz w:val="18"/>
          <w:szCs w:val="18"/>
          <w:b w:val="1"/>
          <w:bCs w:val="1"/>
          <w:i w:val="1"/>
          <w:iCs w:val="1"/>
          <w:color w:val="auto"/>
        </w:rPr>
        <w:t>Survival</w:t>
      </w:r>
      <w:r>
        <w:rPr>
          <w:rFonts w:ascii="Times New Roman" w:cs="Times New Roman" w:eastAsia="Times New Roman" w:hAnsi="Times New Roman"/>
          <w:sz w:val="18"/>
          <w:szCs w:val="18"/>
          <w:color w:val="auto"/>
        </w:rPr>
        <w:t>. The rights to indemnification and advancement of expenses conferred by this</w:t>
      </w:r>
      <w:r>
        <w:rPr>
          <w:rFonts w:ascii="Times New Roman" w:cs="Times New Roman" w:eastAsia="Times New Roman" w:hAnsi="Times New Roman"/>
          <w:sz w:val="18"/>
          <w:szCs w:val="18"/>
          <w:b w:val="1"/>
          <w:bCs w:val="1"/>
          <w:color w:val="auto"/>
        </w:rPr>
        <w:t xml:space="preserve"> Article V </w:t>
      </w:r>
      <w:r>
        <w:rPr>
          <w:rFonts w:ascii="Times New Roman" w:cs="Times New Roman" w:eastAsia="Times New Roman" w:hAnsi="Times New Roman"/>
          <w:sz w:val="18"/>
          <w:szCs w:val="18"/>
          <w:color w:val="auto"/>
        </w:rPr>
        <w:t>shall continue as to a person who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ceased to be a director, officer, employee or agent and shall inure to the benefit of the heirs, executors and administrators of such a person.</w:t>
      </w:r>
    </w:p>
    <w:p>
      <w:pPr>
        <w:spacing w:after="0" w:line="155"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5.11 </w:t>
      </w:r>
      <w:r>
        <w:rPr>
          <w:rFonts w:ascii="Times New Roman" w:cs="Times New Roman" w:eastAsia="Times New Roman" w:hAnsi="Times New Roman"/>
          <w:sz w:val="18"/>
          <w:szCs w:val="18"/>
          <w:b w:val="1"/>
          <w:bCs w:val="1"/>
          <w:i w:val="1"/>
          <w:iCs w:val="1"/>
          <w:color w:val="auto"/>
        </w:rPr>
        <w:t>Effect of Repeal or Modification</w:t>
      </w:r>
      <w:r>
        <w:rPr>
          <w:rFonts w:ascii="Times New Roman" w:cs="Times New Roman" w:eastAsia="Times New Roman" w:hAnsi="Times New Roman"/>
          <w:sz w:val="18"/>
          <w:szCs w:val="18"/>
          <w:color w:val="auto"/>
        </w:rPr>
        <w:t>. A right to indemnification or to advancement of expenses arising under a provision of the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or a bylaw shall not be eliminated or impaired by an amendment to the certificate of incorporation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79"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5.12 </w:t>
      </w:r>
      <w:r>
        <w:rPr>
          <w:rFonts w:ascii="Times New Roman" w:cs="Times New Roman" w:eastAsia="Times New Roman" w:hAnsi="Times New Roman"/>
          <w:sz w:val="18"/>
          <w:szCs w:val="18"/>
          <w:b w:val="1"/>
          <w:bCs w:val="1"/>
          <w:i w:val="1"/>
          <w:iCs w:val="1"/>
          <w:color w:val="auto"/>
        </w:rPr>
        <w:t>Certain Definitions</w:t>
      </w:r>
      <w:r>
        <w:rPr>
          <w:rFonts w:ascii="Times New Roman" w:cs="Times New Roman" w:eastAsia="Times New Roman" w:hAnsi="Times New Roman"/>
          <w:sz w:val="18"/>
          <w:szCs w:val="18"/>
          <w:color w:val="auto"/>
        </w:rPr>
        <w:t>. For purposes of this</w:t>
      </w:r>
      <w:r>
        <w:rPr>
          <w:rFonts w:ascii="Times New Roman" w:cs="Times New Roman" w:eastAsia="Times New Roman" w:hAnsi="Times New Roman"/>
          <w:sz w:val="18"/>
          <w:szCs w:val="18"/>
          <w:b w:val="1"/>
          <w:bCs w:val="1"/>
          <w:color w:val="auto"/>
        </w:rPr>
        <w:t xml:space="preserve"> Article V</w:t>
      </w:r>
      <w:r>
        <w:rPr>
          <w:rFonts w:ascii="Times New Roman" w:cs="Times New Roman" w:eastAsia="Times New Roman" w:hAnsi="Times New Roman"/>
          <w:sz w:val="18"/>
          <w:szCs w:val="18"/>
          <w:color w:val="auto"/>
        </w:rPr>
        <w:t>, references to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shall include, in addition to the resulting corporation,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302" w:name="page303"/>
    <w:bookmarkEnd w:id="302"/>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at the request of such constituent corporation as a director, officer, employee or agent of another corporation, partnership, joint venture, trust or other enterprise, shall stand in the same position under the provisions of this </w:t>
      </w:r>
      <w:r>
        <w:rPr>
          <w:rFonts w:ascii="Times New Roman" w:cs="Times New Roman" w:eastAsia="Times New Roman" w:hAnsi="Times New Roman"/>
          <w:sz w:val="18"/>
          <w:szCs w:val="18"/>
          <w:b w:val="1"/>
          <w:bCs w:val="1"/>
          <w:color w:val="auto"/>
        </w:rPr>
        <w:t>Article V</w:t>
      </w:r>
      <w:r>
        <w:rPr>
          <w:rFonts w:ascii="Times New Roman" w:cs="Times New Roman" w:eastAsia="Times New Roman" w:hAnsi="Times New Roman"/>
          <w:sz w:val="18"/>
          <w:szCs w:val="18"/>
          <w:color w:val="auto"/>
        </w:rPr>
        <w:t xml:space="preserve"> with respect to the resulting or surviving corporation as such person would have with respect to such constituent corporation if its separate existence had continued. For purposes of this </w:t>
      </w:r>
      <w:r>
        <w:rPr>
          <w:rFonts w:ascii="Times New Roman" w:cs="Times New Roman" w:eastAsia="Times New Roman" w:hAnsi="Times New Roman"/>
          <w:sz w:val="18"/>
          <w:szCs w:val="18"/>
          <w:b w:val="1"/>
          <w:bCs w:val="1"/>
          <w:color w:val="auto"/>
        </w:rPr>
        <w:t>Article V</w:t>
      </w:r>
      <w:r>
        <w:rPr>
          <w:rFonts w:ascii="Times New Roman" w:cs="Times New Roman" w:eastAsia="Times New Roman" w:hAnsi="Times New Roman"/>
          <w:sz w:val="18"/>
          <w:szCs w:val="18"/>
          <w:color w:val="auto"/>
        </w:rPr>
        <w:t>, references to “</w:t>
      </w:r>
      <w:r>
        <w:rPr>
          <w:rFonts w:ascii="Times New Roman" w:cs="Times New Roman" w:eastAsia="Times New Roman" w:hAnsi="Times New Roman"/>
          <w:sz w:val="18"/>
          <w:szCs w:val="18"/>
          <w:b w:val="1"/>
          <w:bCs w:val="1"/>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enterprises</w:t>
      </w:r>
      <w:r>
        <w:rPr>
          <w:rFonts w:ascii="Times New Roman" w:cs="Times New Roman" w:eastAsia="Times New Roman" w:hAnsi="Times New Roman"/>
          <w:sz w:val="18"/>
          <w:szCs w:val="18"/>
          <w:color w:val="auto"/>
        </w:rPr>
        <w:t>” shall include employee benefit plans; references to “</w:t>
      </w:r>
      <w:r>
        <w:rPr>
          <w:rFonts w:ascii="Times New Roman" w:cs="Times New Roman" w:eastAsia="Times New Roman" w:hAnsi="Times New Roman"/>
          <w:sz w:val="18"/>
          <w:szCs w:val="18"/>
          <w:b w:val="1"/>
          <w:bCs w:val="1"/>
          <w:i w:val="1"/>
          <w:iCs w:val="1"/>
          <w:color w:val="auto"/>
        </w:rPr>
        <w:t>fines</w:t>
      </w:r>
      <w:r>
        <w:rPr>
          <w:rFonts w:ascii="Times New Roman" w:cs="Times New Roman" w:eastAsia="Times New Roman" w:hAnsi="Times New Roman"/>
          <w:sz w:val="18"/>
          <w:szCs w:val="18"/>
          <w:color w:val="auto"/>
        </w:rPr>
        <w:t>” shall include any excise taxes assessed on a person with respect to an employee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benefit plan; and references to “</w:t>
      </w:r>
      <w:r>
        <w:rPr>
          <w:rFonts w:ascii="Times New Roman" w:cs="Times New Roman" w:eastAsia="Times New Roman" w:hAnsi="Times New Roman"/>
          <w:sz w:val="18"/>
          <w:szCs w:val="18"/>
          <w:b w:val="1"/>
          <w:bCs w:val="1"/>
          <w:i w:val="1"/>
          <w:iCs w:val="1"/>
          <w:color w:val="auto"/>
        </w:rPr>
        <w:t>serving at the request of the Company</w:t>
      </w:r>
      <w:r>
        <w:rPr>
          <w:rFonts w:ascii="Times New Roman" w:cs="Times New Roman" w:eastAsia="Times New Roman" w:hAnsi="Times New Roman"/>
          <w:sz w:val="18"/>
          <w:szCs w:val="18"/>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Times New Roman" w:cs="Times New Roman" w:eastAsia="Times New Roman" w:hAnsi="Times New Roman"/>
          <w:sz w:val="18"/>
          <w:szCs w:val="18"/>
          <w:b w:val="1"/>
          <w:bCs w:val="1"/>
          <w:i w:val="1"/>
          <w:iCs w:val="1"/>
          <w:color w:val="auto"/>
        </w:rPr>
        <w:t>not opposed to the best interests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as referred to in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Article V</w:t>
      </w:r>
      <w:r>
        <w:rPr>
          <w:rFonts w:ascii="Times New Roman" w:cs="Times New Roman" w:eastAsia="Times New Roman" w:hAnsi="Times New Roman"/>
          <w:sz w:val="18"/>
          <w:szCs w:val="18"/>
          <w:color w:val="auto"/>
        </w:rPr>
        <w:t>.</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 — STOCK</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b w:val="1"/>
          <w:bCs w:val="1"/>
          <w:i w:val="1"/>
          <w:iCs w:val="1"/>
          <w:color w:val="auto"/>
        </w:rPr>
        <w:t>Stock Certificates; Partly Paid Shares</w:t>
      </w:r>
      <w:r>
        <w:rPr>
          <w:rFonts w:ascii="Times New Roman" w:cs="Times New Roman" w:eastAsia="Times New Roman" w:hAnsi="Times New Roman"/>
          <w:sz w:val="18"/>
          <w:szCs w:val="18"/>
          <w:color w:val="auto"/>
        </w:rPr>
        <w:t>. The shares of the Company shall be represented by certificates,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the Board may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resolution or resolutions that some or all of any or all classes or series of its stock shall be uncertificated shares. Any such resolution shall not apply to shares represented by a certificate until such certificate is surrendered to the Company. Every holder of stock represented by certificates shall be entitled to have a certificate signed by, or in the name of the Company by the Chairperson of the Board or Vice-Chairperson of the Board, or the President or a Vice-President, and by the Treasurer or an Assistant Treasurer, or the Secretary or an Assistant Secretary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w:t>
      </w:r>
    </w:p>
    <w:p>
      <w:pPr>
        <w:spacing w:after="0" w:line="192"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The Company may issue the whole or any part of its shares as partly paid and subject to call for the remainder of the consideration to be paid therefor. Upon the face or back of each stock certificate issued to represent any such partly paid shares, or upon the books and records of the Company in the case of uncertificated partly paid shares, the total amount of the consideration to be paid therefor and the amount paid thereon shall be stated. Upon the declaration of any dividend on fully paid shares, the Company shall declare a dividend upon partly paid shares of the same class, but only upon the basis of the percentage of the consideration actually paid thereon.</w:t>
      </w:r>
    </w:p>
    <w:p>
      <w:pPr>
        <w:spacing w:after="0" w:line="179"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b w:val="1"/>
          <w:bCs w:val="1"/>
          <w:i w:val="1"/>
          <w:iCs w:val="1"/>
          <w:color w:val="auto"/>
        </w:rPr>
        <w:t>Special Designation on Certificates</w:t>
      </w:r>
      <w:r>
        <w:rPr>
          <w:rFonts w:ascii="Times New Roman" w:cs="Times New Roman" w:eastAsia="Times New Roman" w:hAnsi="Times New Roman"/>
          <w:sz w:val="18"/>
          <w:szCs w:val="18"/>
          <w:color w:val="auto"/>
        </w:rPr>
        <w:t>. If the Company is authorized to issue more than one class of stock or more than one series of any class,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otherwise provided in Section 202 of the DGCL, in lieu of the foregoing requirements there may be set forth on the face or back of the certificate that the Company shall issue to represent such class or series of stock,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Company shall send to the registered owner thereof a written notice containing</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70" w:right="499" w:bottom="1440" w:gutter="0" w:footer="0" w:header="0"/>
        </w:sectPr>
      </w:pPr>
    </w:p>
    <w:bookmarkStart w:id="303" w:name="page304"/>
    <w:bookmarkEnd w:id="303"/>
    <w:p>
      <w:pPr>
        <w:ind w:right="16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the information required to be set forth or stated on certificates pursuant to this </w:t>
      </w:r>
      <w:r>
        <w:rPr>
          <w:rFonts w:ascii="Times New Roman" w:cs="Times New Roman" w:eastAsia="Times New Roman" w:hAnsi="Times New Roman"/>
          <w:sz w:val="18"/>
          <w:szCs w:val="18"/>
          <w:b w:val="1"/>
          <w:bCs w:val="1"/>
          <w:color w:val="auto"/>
        </w:rPr>
        <w:t>section 6.2</w:t>
      </w:r>
      <w:r>
        <w:rPr>
          <w:rFonts w:ascii="Times New Roman" w:cs="Times New Roman" w:eastAsia="Times New Roman" w:hAnsi="Times New Roman"/>
          <w:sz w:val="18"/>
          <w:szCs w:val="18"/>
          <w:color w:val="auto"/>
        </w:rPr>
        <w:t xml:space="preserve"> or Sections 156, 202(a) or 218(a) of the DGCL or with respect to this </w:t>
      </w:r>
      <w:r>
        <w:rPr>
          <w:rFonts w:ascii="Times New Roman" w:cs="Times New Roman" w:eastAsia="Times New Roman" w:hAnsi="Times New Roman"/>
          <w:sz w:val="18"/>
          <w:szCs w:val="18"/>
          <w:b w:val="1"/>
          <w:bCs w:val="1"/>
          <w:color w:val="auto"/>
        </w:rPr>
        <w:t>section 6.2</w:t>
      </w:r>
      <w:r>
        <w:rPr>
          <w:rFonts w:ascii="Times New Roman" w:cs="Times New Roman" w:eastAsia="Times New Roman" w:hAnsi="Times New Roman"/>
          <w:sz w:val="18"/>
          <w:szCs w:val="18"/>
          <w:color w:val="auto"/>
        </w:rPr>
        <w:t xml:space="preserve">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79"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6.3 </w:t>
      </w:r>
      <w:r>
        <w:rPr>
          <w:rFonts w:ascii="Times New Roman" w:cs="Times New Roman" w:eastAsia="Times New Roman" w:hAnsi="Times New Roman"/>
          <w:sz w:val="18"/>
          <w:szCs w:val="18"/>
          <w:b w:val="1"/>
          <w:bCs w:val="1"/>
          <w:i w:val="1"/>
          <w:iCs w:val="1"/>
          <w:color w:val="auto"/>
        </w:rPr>
        <w:t>Lost Certificates</w:t>
      </w:r>
      <w:r>
        <w:rPr>
          <w:rFonts w:ascii="Times New Roman" w:cs="Times New Roman" w:eastAsia="Times New Roman" w:hAnsi="Times New Roman"/>
          <w:sz w:val="18"/>
          <w:szCs w:val="18"/>
          <w:color w:val="auto"/>
        </w:rPr>
        <w:t>. Except as provided in this</w:t>
      </w:r>
      <w:r>
        <w:rPr>
          <w:rFonts w:ascii="Times New Roman" w:cs="Times New Roman" w:eastAsia="Times New Roman" w:hAnsi="Times New Roman"/>
          <w:sz w:val="18"/>
          <w:szCs w:val="18"/>
          <w:b w:val="1"/>
          <w:bCs w:val="1"/>
          <w:color w:val="auto"/>
        </w:rPr>
        <w:t xml:space="preserve"> section 6.3</w:t>
      </w:r>
      <w:r>
        <w:rPr>
          <w:rFonts w:ascii="Times New Roman" w:cs="Times New Roman" w:eastAsia="Times New Roman" w:hAnsi="Times New Roman"/>
          <w:sz w:val="18"/>
          <w:szCs w:val="18"/>
          <w:color w:val="auto"/>
        </w:rPr>
        <w:t>, no new certificates for shares shall be issued to replace a previously issued certificate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unless the latter is surrendered to the Company and cancelled at the same time. The Company may issue a new certificate of stock or uncertificated shares in the place of any certificate theretofore issued by it, alleged to have been lost, stolen or destroyed, and the Company may require the owner of the lost, stolen or destroyed certificate, or such owner’s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spacing w:after="0" w:line="182"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6.4 </w:t>
      </w: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 The Board, subject to any restrictions contained in the certificate of incorporation or applicable law, may declare and pay dividends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 shares of the Company’s capital stock. Dividends may be paid in cash, in property, or in shares of the Company’s capital stock, subject to the provisions of the certificate of incorporation.</w:t>
      </w:r>
    </w:p>
    <w:p>
      <w:pPr>
        <w:spacing w:after="0" w:line="175"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The Board may set apart out of any of the funds of the Company available for dividends a reserve or reserves for any proper purpose and may abolish any such reserve.</w:t>
      </w:r>
    </w:p>
    <w:p>
      <w:pPr>
        <w:spacing w:after="0" w:line="158"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6.5 </w:t>
      </w:r>
      <w:r>
        <w:rPr>
          <w:rFonts w:ascii="Times New Roman" w:cs="Times New Roman" w:eastAsia="Times New Roman" w:hAnsi="Times New Roman"/>
          <w:sz w:val="18"/>
          <w:szCs w:val="18"/>
          <w:b w:val="1"/>
          <w:bCs w:val="1"/>
          <w:i w:val="1"/>
          <w:iCs w:val="1"/>
          <w:color w:val="auto"/>
        </w:rPr>
        <w:t>Stock Transfer Agreements</w:t>
      </w:r>
      <w:r>
        <w:rPr>
          <w:rFonts w:ascii="Times New Roman" w:cs="Times New Roman" w:eastAsia="Times New Roman" w:hAnsi="Times New Roman"/>
          <w:sz w:val="18"/>
          <w:szCs w:val="18"/>
          <w:color w:val="auto"/>
        </w:rPr>
        <w:t>. The Company shall have power to enter into and perform any agreement with any number of stockholders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one or more classes of stock of the Company to restrict the transfer of shares of stock of the Company of any one or more classes owned by such stockholders in any manner not prohibited by the DGCL.</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6.6 </w:t>
      </w:r>
      <w:r>
        <w:rPr>
          <w:rFonts w:ascii="Times New Roman" w:cs="Times New Roman" w:eastAsia="Times New Roman" w:hAnsi="Times New Roman"/>
          <w:sz w:val="18"/>
          <w:szCs w:val="18"/>
          <w:b w:val="1"/>
          <w:bCs w:val="1"/>
          <w:i w:val="1"/>
          <w:iCs w:val="1"/>
          <w:color w:val="auto"/>
        </w:rPr>
        <w:t>Registered Stockholders</w:t>
      </w:r>
      <w:r>
        <w:rPr>
          <w:rFonts w:ascii="Times New Roman" w:cs="Times New Roman" w:eastAsia="Times New Roman" w:hAnsi="Times New Roman"/>
          <w:sz w:val="18"/>
          <w:szCs w:val="18"/>
          <w:color w:val="auto"/>
        </w:rPr>
        <w:t>. The Company:</w:t>
      </w:r>
    </w:p>
    <w:p>
      <w:pPr>
        <w:spacing w:after="0" w:line="229" w:lineRule="exact"/>
        <w:rPr>
          <w:sz w:val="20"/>
          <w:szCs w:val="20"/>
          <w:color w:val="auto"/>
        </w:rPr>
      </w:pPr>
    </w:p>
    <w:p>
      <w:pPr>
        <w:ind w:right="220" w:firstLine="987"/>
        <w:spacing w:after="0" w:line="282" w:lineRule="auto"/>
        <w:tabs>
          <w:tab w:leader="none" w:pos="120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entitled to recognize the exclusive right of a person registered on its books as the owner of shares to receive dividends and to vote as such owner;</w:t>
      </w:r>
    </w:p>
    <w:p>
      <w:pPr>
        <w:spacing w:after="0" w:line="161"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entitled to hold liable for calls and assessments the person registered on its books as the owner of shares; and</w:t>
      </w:r>
    </w:p>
    <w:p>
      <w:pPr>
        <w:spacing w:after="0" w:line="225" w:lineRule="exact"/>
        <w:rPr>
          <w:rFonts w:ascii="Times New Roman" w:cs="Times New Roman" w:eastAsia="Times New Roman" w:hAnsi="Times New Roman"/>
          <w:sz w:val="18"/>
          <w:szCs w:val="18"/>
          <w:color w:val="auto"/>
        </w:rPr>
      </w:pPr>
    </w:p>
    <w:p>
      <w:pPr>
        <w:ind w:right="580" w:firstLine="987"/>
        <w:spacing w:after="0" w:line="282" w:lineRule="auto"/>
        <w:tabs>
          <w:tab w:leader="none" w:pos="130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58"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6.7 </w:t>
      </w:r>
      <w:r>
        <w:rPr>
          <w:rFonts w:ascii="Times New Roman" w:cs="Times New Roman" w:eastAsia="Times New Roman" w:hAnsi="Times New Roman"/>
          <w:sz w:val="18"/>
          <w:szCs w:val="18"/>
          <w:b w:val="1"/>
          <w:bCs w:val="1"/>
          <w:i w:val="1"/>
          <w:iCs w:val="1"/>
          <w:color w:val="auto"/>
        </w:rPr>
        <w:t>Transfers</w:t>
      </w:r>
      <w:r>
        <w:rPr>
          <w:rFonts w:ascii="Times New Roman" w:cs="Times New Roman" w:eastAsia="Times New Roman" w:hAnsi="Times New Roman"/>
          <w:sz w:val="18"/>
          <w:szCs w:val="18"/>
          <w:color w:val="auto"/>
        </w:rPr>
        <w:t>. Transfers of record of shares of stock of the Company shall be made only upon its books by the holders thereof, in person or by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attorney duly authorized, and, if such stock is certificated, upon the surrender of a certificate or certificates for a like number of shares, properly endorsed or accompanied by proper evidence of succession, assignation or authority to transfer.</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6" w:right="459" w:bottom="1440" w:gutter="0" w:footer="0" w:header="0"/>
        </w:sectPr>
      </w:pPr>
    </w:p>
    <w:bookmarkStart w:id="304" w:name="page305"/>
    <w:bookmarkEnd w:id="304"/>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VII — MANNER OF GIVING NOTICE AND WAIVER</w:t>
      </w:r>
    </w:p>
    <w:p>
      <w:pPr>
        <w:spacing w:after="0" w:line="225" w:lineRule="exact"/>
        <w:rPr>
          <w:sz w:val="20"/>
          <w:szCs w:val="20"/>
          <w:color w:val="auto"/>
        </w:rPr>
      </w:pPr>
    </w:p>
    <w:p>
      <w:pPr>
        <w:ind w:left="4"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b w:val="1"/>
          <w:bCs w:val="1"/>
          <w:i w:val="1"/>
          <w:iCs w:val="1"/>
          <w:color w:val="auto"/>
        </w:rPr>
        <w:t>Notice of Stockholder Meetings</w:t>
      </w:r>
      <w:r>
        <w:rPr>
          <w:rFonts w:ascii="Times New Roman" w:cs="Times New Roman" w:eastAsia="Times New Roman" w:hAnsi="Times New Roman"/>
          <w:sz w:val="18"/>
          <w:szCs w:val="18"/>
          <w:color w:val="auto"/>
        </w:rPr>
        <w:t>. Notice of any meeting of stockholders, if mailed, is given when deposited in the United States mail, postage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prepaid, directed to the stockholder at such stockholder’s address as it appears on the Company’s records. An affidavit of the Secretary or an Assistant Secretary of the Company or of the transfer agent or other agent of the Company that the notice has been given shall, in the absence of fraud, be </w:t>
      </w:r>
      <w:r>
        <w:rPr>
          <w:rFonts w:ascii="Times New Roman" w:cs="Times New Roman" w:eastAsia="Times New Roman" w:hAnsi="Times New Roman"/>
          <w:sz w:val="18"/>
          <w:szCs w:val="18"/>
          <w:i w:val="1"/>
          <w:iCs w:val="1"/>
          <w:color w:val="auto"/>
        </w:rPr>
        <w:t>prima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facie </w:t>
      </w:r>
      <w:r>
        <w:rPr>
          <w:rFonts w:ascii="Times New Roman" w:cs="Times New Roman" w:eastAsia="Times New Roman" w:hAnsi="Times New Roman"/>
          <w:sz w:val="18"/>
          <w:szCs w:val="18"/>
          <w:color w:val="auto"/>
        </w:rPr>
        <w:t>evidence of the facts stated therein.</w:t>
      </w:r>
    </w:p>
    <w:p>
      <w:pPr>
        <w:spacing w:after="0" w:line="176"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7"/>
          <w:szCs w:val="17"/>
          <w:b w:val="1"/>
          <w:bCs w:val="1"/>
          <w:color w:val="auto"/>
        </w:rPr>
        <w:t xml:space="preserve">7.2 </w:t>
      </w:r>
      <w:r>
        <w:rPr>
          <w:rFonts w:ascii="Times New Roman" w:cs="Times New Roman" w:eastAsia="Times New Roman" w:hAnsi="Times New Roman"/>
          <w:sz w:val="17"/>
          <w:szCs w:val="17"/>
          <w:b w:val="1"/>
          <w:bCs w:val="1"/>
          <w:i w:val="1"/>
          <w:iCs w:val="1"/>
          <w:color w:val="auto"/>
        </w:rPr>
        <w:t>Notice by Electronic Transmission</w:t>
      </w:r>
      <w:r>
        <w:rPr>
          <w:rFonts w:ascii="Times New Roman" w:cs="Times New Roman" w:eastAsia="Times New Roman" w:hAnsi="Times New Roman"/>
          <w:sz w:val="17"/>
          <w:szCs w:val="17"/>
          <w:color w:val="auto"/>
        </w:rPr>
        <w:t>. Without limiting the manner by which notice otherwise may be given effectively to stockholders pursuant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the DGCL, the certificate of incorporation or these bylaws, any notice to stockholders given by the Company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Company. Any such consent shall be deemed revoked if:</w:t>
      </w:r>
    </w:p>
    <w:p>
      <w:pPr>
        <w:spacing w:after="0" w:line="16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(i) the Company is unable to deliver by electronic transmission two consecutive notices given by the Company in accordance with such</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consent; and</w:t>
      </w:r>
    </w:p>
    <w:p>
      <w:pPr>
        <w:spacing w:after="0" w:line="207" w:lineRule="exact"/>
        <w:rPr>
          <w:sz w:val="20"/>
          <w:szCs w:val="20"/>
          <w:color w:val="auto"/>
        </w:rPr>
      </w:pPr>
    </w:p>
    <w:p>
      <w:pPr>
        <w:ind w:left="4" w:right="480" w:firstLine="987"/>
        <w:spacing w:after="0" w:line="282" w:lineRule="auto"/>
        <w:tabs>
          <w:tab w:leader="none" w:pos="12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inability becomes known to the Secretary or an Assistant Secretary of the Company or to the transfer agent, or other person responsible for the giving of notice.</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However, the inadvertent failure to treat such inability as a revocation shall not invalidate any meeting or other action.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Any notice given pursuant to the preceding paragraph shall be deemed given:</w:t>
      </w:r>
    </w:p>
    <w:p>
      <w:pPr>
        <w:spacing w:after="0" w:line="225" w:lineRule="exact"/>
        <w:rPr>
          <w:sz w:val="20"/>
          <w:szCs w:val="20"/>
          <w:color w:val="auto"/>
        </w:rPr>
      </w:pPr>
    </w:p>
    <w:p>
      <w:pPr>
        <w:ind w:left="1204" w:hanging="213"/>
        <w:spacing w:after="0"/>
        <w:tabs>
          <w:tab w:leader="none" w:pos="1204"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facsimile telecommunication, when directed to a number at which the stockholder has consented to receive notice;</w:t>
      </w:r>
    </w:p>
    <w:p>
      <w:pPr>
        <w:spacing w:after="0" w:line="225" w:lineRule="exact"/>
        <w:rPr>
          <w:rFonts w:ascii="Times New Roman" w:cs="Times New Roman" w:eastAsia="Times New Roman" w:hAnsi="Times New Roman"/>
          <w:sz w:val="18"/>
          <w:szCs w:val="18"/>
          <w:color w:val="auto"/>
        </w:rPr>
      </w:pPr>
    </w:p>
    <w:p>
      <w:pPr>
        <w:ind w:left="1264" w:hanging="273"/>
        <w:spacing w:after="0"/>
        <w:tabs>
          <w:tab w:leader="none" w:pos="1264"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electronic mail, when directed to an electronic mail address at which the stockholder has consented to receive notice;</w:t>
      </w:r>
    </w:p>
    <w:p>
      <w:pPr>
        <w:spacing w:after="0" w:line="225"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1"/>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 posting on an electronic network together with separate notice to the stockholder of such specific posting, upon the later of</w:t>
      </w:r>
    </w:p>
    <w:p>
      <w:pPr>
        <w:spacing w:after="0" w:line="27"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posting and (B) the giving of such separate notice; and</w:t>
      </w:r>
    </w:p>
    <w:p>
      <w:pPr>
        <w:spacing w:after="0" w:line="206"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by any other form of electronic transmission, when directed to the stockholder.</w:t>
      </w:r>
    </w:p>
    <w:p>
      <w:pPr>
        <w:spacing w:after="0" w:line="225" w:lineRule="exact"/>
        <w:rPr>
          <w:sz w:val="20"/>
          <w:szCs w:val="20"/>
          <w:color w:val="auto"/>
        </w:rPr>
      </w:pPr>
    </w:p>
    <w:p>
      <w:pPr>
        <w:ind w:left="4"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An affidavit of the Secretary or an Assistant Secretary or of the transfer agent or other agent of the Company that the notice has been given by a form of electronic transmission shall, in the absence of fraud, be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facts stated therein.</w:t>
      </w:r>
    </w:p>
    <w:p>
      <w:pPr>
        <w:spacing w:after="0" w:line="158" w:lineRule="exact"/>
        <w:rPr>
          <w:sz w:val="20"/>
          <w:szCs w:val="20"/>
          <w:color w:val="auto"/>
        </w:rPr>
      </w:pPr>
    </w:p>
    <w:p>
      <w:pPr>
        <w:jc w:val="both"/>
        <w:ind w:left="4" w:right="160" w:firstLine="440"/>
        <w:spacing w:after="0" w:line="268" w:lineRule="auto"/>
        <w:rPr>
          <w:sz w:val="20"/>
          <w:szCs w:val="20"/>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b w:val="1"/>
          <w:bCs w:val="1"/>
          <w:i w:val="1"/>
          <w:iCs w:val="1"/>
          <w:color w:val="auto"/>
        </w:rPr>
        <w:t>electronic transmission</w:t>
      </w:r>
      <w:r>
        <w:rPr>
          <w:rFonts w:ascii="Times New Roman" w:cs="Times New Roman" w:eastAsia="Times New Roman" w:hAnsi="Times New Roman"/>
          <w:sz w:val="18"/>
          <w:szCs w:val="18"/>
          <w:color w:val="auto"/>
        </w:rPr>
        <w:t>” means any form of communication, not directly involving the physical transmission of paper, that creates a record that may be retained, retrieved, and reviewed by a recipient thereof, and that may be directly reproduced in paper form by such a recipient through an automated process.</w:t>
      </w:r>
    </w:p>
    <w:p>
      <w:pPr>
        <w:spacing w:after="0" w:line="17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Notice by a form of electronic transmission shall not apply to Sections 164, 296, 311, 312 or 324 of the DGCL.</w:t>
      </w:r>
    </w:p>
    <w:p>
      <w:pPr>
        <w:spacing w:after="0" w:line="158"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4"/>
          </w:cols>
          <w:pgMar w:left="436" w:top="266" w:right="479" w:bottom="1440" w:gutter="0" w:footer="0" w:header="0"/>
        </w:sectPr>
      </w:pPr>
    </w:p>
    <w:bookmarkStart w:id="305" w:name="page306"/>
    <w:bookmarkEnd w:id="305"/>
    <w:p>
      <w:pPr>
        <w:ind w:right="1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 xml:space="preserve">7.3 </w:t>
      </w:r>
      <w:r>
        <w:rPr>
          <w:rFonts w:ascii="Times New Roman" w:cs="Times New Roman" w:eastAsia="Times New Roman" w:hAnsi="Times New Roman"/>
          <w:sz w:val="18"/>
          <w:szCs w:val="18"/>
          <w:b w:val="1"/>
          <w:bCs w:val="1"/>
          <w:i w:val="1"/>
          <w:iCs w:val="1"/>
          <w:color w:val="auto"/>
        </w:rPr>
        <w:t>Notice to Stockholders Sharing an Address</w:t>
      </w:r>
      <w:r>
        <w:rPr>
          <w:rFonts w:ascii="Times New Roman" w:cs="Times New Roman" w:eastAsia="Times New Roman" w:hAnsi="Times New Roman"/>
          <w:sz w:val="18"/>
          <w:szCs w:val="18"/>
          <w:color w:val="auto"/>
        </w:rPr>
        <w:t>. Except as otherwise prohibited under the DGCL, without limiting the manner by which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otherwise may be given effectively to stockholders, any notice to stockholders given by the Company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Company. Any stockholder who fails to object in writing to the Company, within 60 days of having been given written notice by the Company of its intention to send the single notice, shall be deemed to have consented to receiving such single written notice.</w:t>
      </w:r>
    </w:p>
    <w:p>
      <w:pPr>
        <w:spacing w:after="0" w:line="18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7.4 </w:t>
      </w:r>
      <w:r>
        <w:rPr>
          <w:rFonts w:ascii="Times New Roman" w:cs="Times New Roman" w:eastAsia="Times New Roman" w:hAnsi="Times New Roman"/>
          <w:sz w:val="18"/>
          <w:szCs w:val="18"/>
          <w:b w:val="1"/>
          <w:bCs w:val="1"/>
          <w:i w:val="1"/>
          <w:iCs w:val="1"/>
          <w:color w:val="auto"/>
        </w:rPr>
        <w:t>Notice to Person with Whom Communication is Unlawful</w:t>
      </w:r>
      <w:r>
        <w:rPr>
          <w:rFonts w:ascii="Times New Roman" w:cs="Times New Roman" w:eastAsia="Times New Roman" w:hAnsi="Times New Roman"/>
          <w:sz w:val="18"/>
          <w:szCs w:val="18"/>
          <w:color w:val="auto"/>
        </w:rPr>
        <w:t>. Whenever notice is required to be given, under the DGCL, the certificate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Company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7.5 </w:t>
      </w:r>
      <w:r>
        <w:rPr>
          <w:rFonts w:ascii="Times New Roman" w:cs="Times New Roman" w:eastAsia="Times New Roman" w:hAnsi="Times New Roman"/>
          <w:sz w:val="18"/>
          <w:szCs w:val="18"/>
          <w:b w:val="1"/>
          <w:bCs w:val="1"/>
          <w:i w:val="1"/>
          <w:iCs w:val="1"/>
          <w:color w:val="auto"/>
        </w:rPr>
        <w:t>Waiver of Notice</w:t>
      </w:r>
      <w:r>
        <w:rPr>
          <w:rFonts w:ascii="Times New Roman" w:cs="Times New Roman" w:eastAsia="Times New Roman" w:hAnsi="Times New Roman"/>
          <w:sz w:val="18"/>
          <w:szCs w:val="18"/>
          <w:color w:val="auto"/>
        </w:rPr>
        <w:t>. Whenever notice is required to be given under any provision of the DGCL, the certificate of incorporation or these bylaws,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 — GENERAL MATTERS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b w:val="1"/>
          <w:bCs w:val="1"/>
          <w:i w:val="1"/>
          <w:iCs w:val="1"/>
          <w:color w:val="auto"/>
        </w:rPr>
        <w:t>Fiscal Year</w:t>
      </w:r>
      <w:r>
        <w:rPr>
          <w:rFonts w:ascii="Times New Roman" w:cs="Times New Roman" w:eastAsia="Times New Roman" w:hAnsi="Times New Roman"/>
          <w:sz w:val="18"/>
          <w:szCs w:val="18"/>
          <w:color w:val="auto"/>
        </w:rPr>
        <w:t>. The fiscal year of the Company shall be fixed by resolution of the Board and may be changed by the Board.</w:t>
      </w:r>
    </w:p>
    <w:p>
      <w:pPr>
        <w:spacing w:after="0" w:line="225" w:lineRule="exact"/>
        <w:rPr>
          <w:sz w:val="20"/>
          <w:szCs w:val="20"/>
          <w:color w:val="auto"/>
        </w:rPr>
      </w:pPr>
    </w:p>
    <w:p>
      <w:pPr>
        <w:ind w:right="6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8.2 </w:t>
      </w:r>
      <w:r>
        <w:rPr>
          <w:rFonts w:ascii="Times New Roman" w:cs="Times New Roman" w:eastAsia="Times New Roman" w:hAnsi="Times New Roman"/>
          <w:sz w:val="18"/>
          <w:szCs w:val="18"/>
          <w:b w:val="1"/>
          <w:bCs w:val="1"/>
          <w:i w:val="1"/>
          <w:iCs w:val="1"/>
          <w:color w:val="auto"/>
        </w:rPr>
        <w:t>Seal</w:t>
      </w:r>
      <w:r>
        <w:rPr>
          <w:rFonts w:ascii="Times New Roman" w:cs="Times New Roman" w:eastAsia="Times New Roman" w:hAnsi="Times New Roman"/>
          <w:sz w:val="18"/>
          <w:szCs w:val="18"/>
          <w:color w:val="auto"/>
        </w:rPr>
        <w:t>. The Company may adopt a corporate seal, which shall be in such form as may be approved from time to time by the Board.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use the corporate seal by causing it or a facsimile thereof to be impressed or affixed or in any other manner reproduced.</w:t>
      </w:r>
    </w:p>
    <w:p>
      <w:pPr>
        <w:spacing w:after="0" w:line="15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8.3 </w:t>
      </w:r>
      <w:r>
        <w:rPr>
          <w:rFonts w:ascii="Times New Roman" w:cs="Times New Roman" w:eastAsia="Times New Roman" w:hAnsi="Times New Roman"/>
          <w:sz w:val="18"/>
          <w:szCs w:val="18"/>
          <w:b w:val="1"/>
          <w:bCs w:val="1"/>
          <w:i w:val="1"/>
          <w:iCs w:val="1"/>
          <w:color w:val="auto"/>
        </w:rPr>
        <w:t>Annual Report</w:t>
      </w:r>
      <w:r>
        <w:rPr>
          <w:rFonts w:ascii="Times New Roman" w:cs="Times New Roman" w:eastAsia="Times New Roman" w:hAnsi="Times New Roman"/>
          <w:sz w:val="18"/>
          <w:szCs w:val="18"/>
          <w:color w:val="auto"/>
        </w:rPr>
        <w:t>. The Company shall cause an annual report to be sent to the stockholders of the Company to the extent required by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law. If and so long as there are fewer than 100 holders of record of the Company’s shares, the requirement of sending an annual report to the stockholders of the Company is expressly waived (to the extent permitted under applicable law).</w:t>
      </w:r>
    </w:p>
    <w:p>
      <w:pPr>
        <w:spacing w:after="0" w:line="171"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8.4 </w:t>
      </w:r>
      <w:r>
        <w:rPr>
          <w:rFonts w:ascii="Times New Roman" w:cs="Times New Roman" w:eastAsia="Times New Roman" w:hAnsi="Times New Roman"/>
          <w:sz w:val="18"/>
          <w:szCs w:val="18"/>
          <w:b w:val="1"/>
          <w:bCs w:val="1"/>
          <w:i w:val="1"/>
          <w:iCs w:val="1"/>
          <w:color w:val="auto"/>
        </w:rPr>
        <w:t>Construction; Definitions</w:t>
      </w:r>
      <w:r>
        <w:rPr>
          <w:rFonts w:ascii="Times New Roman" w:cs="Times New Roman" w:eastAsia="Times New Roman" w:hAnsi="Times New Roman"/>
          <w:sz w:val="18"/>
          <w:szCs w:val="18"/>
          <w:color w:val="auto"/>
        </w:rPr>
        <w:t>. Unless the context requires otherwise, the general provisions, rules of construction, and definitions in the DGCL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shall govern the construction of these bylaws. Without limiting the generality of this provision, the singular number includes the plural, the plural number includes the singular, and the term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includes both a corporation and a natural person.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6" w:right="459" w:bottom="1440" w:gutter="0" w:footer="0" w:header="0"/>
        </w:sectPr>
      </w:pPr>
    </w:p>
    <w:bookmarkStart w:id="306" w:name="page307"/>
    <w:bookmarkEnd w:id="306"/>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IX — AMENDMENTS</w:t>
      </w:r>
    </w:p>
    <w:p>
      <w:pPr>
        <w:spacing w:after="0" w:line="22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These bylaws may be adopted, amended or repealed by the stockholders entitled to vote. However, the Company may, in its certificate of incorporation, confer the power to adopt, amend or repeal bylaws upon the directors. The fact that such power has been so conferred upon the directors shall not divest the stockholders of the power, nor limit their power to adopt, amend or repeal bylaws.</w:t>
      </w:r>
    </w:p>
    <w:p>
      <w:pPr>
        <w:spacing w:after="0" w:line="176"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A bylaw amendment adopted by stockholders which specifies the votes that shall be necessary for the election of directors shall not be further amended or repealed by the Board.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80"/>
          </w:cols>
          <w:pgMar w:left="440" w:top="266" w:right="579" w:bottom="1440" w:gutter="0" w:footer="0" w:header="0"/>
        </w:sectPr>
      </w:pPr>
    </w:p>
    <w:bookmarkStart w:id="307" w:name="page308"/>
    <w:bookmarkEnd w:id="307"/>
    <w:p>
      <w:pPr>
        <w:jc w:val="right"/>
        <w:spacing w:after="0"/>
        <w:rPr>
          <w:sz w:val="20"/>
          <w:szCs w:val="20"/>
          <w:color w:val="auto"/>
        </w:rPr>
      </w:pPr>
      <w:r>
        <w:rPr>
          <w:rFonts w:ascii="Times New Roman" w:cs="Times New Roman" w:eastAsia="Times New Roman" w:hAnsi="Times New Roman"/>
          <w:sz w:val="18"/>
          <w:szCs w:val="18"/>
          <w:b w:val="1"/>
          <w:bCs w:val="1"/>
          <w:color w:val="auto"/>
        </w:rPr>
        <w:t>Exhibit 3.4</w:t>
      </w:r>
    </w:p>
    <w:p>
      <w:pPr>
        <w:spacing w:after="0" w:line="34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AMENDED AND RESTATED BYLAWS OF</w:t>
      </w:r>
    </w:p>
    <w:p>
      <w:pPr>
        <w:spacing w:after="0" w:line="2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(initially adopted on August 5, 2020)</w:t>
      </w:r>
    </w:p>
    <w:p>
      <w:pPr>
        <w:spacing w:after="0" w:line="22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(effective as of the closing of the company’s initial public offering)</w:t>
      </w:r>
    </w:p>
    <w:p>
      <w:pPr>
        <w:sectPr>
          <w:pgSz w:w="11900" w:h="16838" w:orient="portrait"/>
          <w:cols w:equalWidth="0" w:num="1">
            <w:col w:w="10020"/>
          </w:cols>
          <w:pgMar w:left="1440" w:top="117" w:right="439" w:bottom="1440" w:gutter="0" w:footer="0" w:header="0"/>
        </w:sectPr>
      </w:pPr>
    </w:p>
    <w:bookmarkStart w:id="308" w:name="page309"/>
    <w:bookmarkEnd w:id="308"/>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7980" w:type="dxa"/>
            <w:vAlign w:val="bottom"/>
          </w:tcPr>
          <w:p>
            <w:pPr>
              <w:ind w:left="3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100" w:type="dxa"/>
            <w:vAlign w:val="bottom"/>
          </w:tcPr>
          <w:p>
            <w:pPr>
              <w:spacing w:after="0"/>
              <w:rPr>
                <w:sz w:val="20"/>
                <w:szCs w:val="20"/>
                <w:color w:val="auto"/>
              </w:rPr>
            </w:pPr>
          </w:p>
        </w:tc>
      </w:tr>
      <w:tr>
        <w:trPr>
          <w:trHeight w:val="408"/>
        </w:trPr>
        <w:tc>
          <w:tcPr>
            <w:tcW w:w="88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Page</w:t>
            </w:r>
          </w:p>
        </w:tc>
      </w:tr>
      <w:tr>
        <w:trPr>
          <w:trHeight w:val="307"/>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 CORPORATE OFFICES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1.1</w:t>
            </w:r>
          </w:p>
        </w:tc>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REGISTERED OFFICE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1.2</w:t>
            </w:r>
          </w:p>
        </w:tc>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OFFICES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 MEETINGS OF STOCKHOLDERS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PLACE OF MEETINGS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ANNUAL MEETING</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MEETING</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ADVANCE NOTICE PROCEDURES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 OF STOCKHOLDERS’ MEETINGS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QUORUM</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ADJOURNED MEETING; NOTICE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2.8</w:t>
            </w:r>
          </w:p>
        </w:tc>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CONDUCT OF BUSINESS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2.9</w:t>
            </w:r>
          </w:p>
        </w:tc>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VOTING</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2.10</w:t>
            </w:r>
          </w:p>
        </w:tc>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STOCKHOLDER ACTION BY WRITTEN CONSENT WITHOUT A MEETING</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2.11</w:t>
            </w:r>
          </w:p>
        </w:tc>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RECORD DATES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2.12</w:t>
            </w:r>
          </w:p>
        </w:tc>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PROXIES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2.13</w:t>
            </w:r>
          </w:p>
        </w:tc>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LIST OF STOCKHOLDERS ENTITLED TO VOTE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2.14</w:t>
            </w:r>
          </w:p>
        </w:tc>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INSPECTORS OF ELECTION</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 DIRECTORS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POWERS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NUMBER OF DIRECTORS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w:t>
            </w:r>
          </w:p>
        </w:tc>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ELECTION, QUALIFICATION AND TERM OF OFFICE OF DIRECTORS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w:t>
            </w:r>
          </w:p>
        </w:tc>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RESIGNATION AND VACANCIES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w:t>
            </w:r>
          </w:p>
        </w:tc>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PLACE OF MEETINGS; MEETINGS BY TELEPHONE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3.6</w:t>
            </w:r>
          </w:p>
        </w:tc>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REGULAR MEETINGS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3.7</w:t>
            </w:r>
          </w:p>
        </w:tc>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MEETINGS; NOTICE</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3.8</w:t>
            </w:r>
          </w:p>
        </w:tc>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QUORUM; VOTING</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3.9</w:t>
            </w:r>
          </w:p>
        </w:tc>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BOARD ACTION BY WRITTEN CONSENT WITHOUT A MEETING</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3.10</w:t>
            </w:r>
          </w:p>
        </w:tc>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FEES AND COMPENSATION OF DIRECTORS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3.11</w:t>
            </w:r>
          </w:p>
        </w:tc>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REMOVAL OF DIRECTORS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 COMMITTEES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w:t>
            </w:r>
          </w:p>
        </w:tc>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COMMITTEES OF DIRECTORS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COMMITTEE MINUTES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w:t>
            </w:r>
          </w:p>
        </w:tc>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MEETINGS AND ACTION OF COMMITTEES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4.4</w:t>
            </w:r>
          </w:p>
        </w:tc>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SUBCOMMITTEES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8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 OFFICERS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OFFICERS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APPOINTMENT OF OFFICERS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5.3</w:t>
            </w:r>
          </w:p>
        </w:tc>
        <w:tc>
          <w:tcPr>
            <w:tcW w:w="79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SUBORDINATE OFFICERS</w:t>
            </w: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309" w:name="page310"/>
    <w:bookmarkEnd w:id="30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TABLE OF CONTENTS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 w:type="dxa"/>
            <w:vAlign w:val="bottom"/>
          </w:tcPr>
          <w:p>
            <w:pPr>
              <w:spacing w:after="0"/>
              <w:rPr>
                <w:sz w:val="16"/>
                <w:szCs w:val="16"/>
                <w:color w:val="auto"/>
              </w:rPr>
            </w:pPr>
          </w:p>
        </w:tc>
        <w:tc>
          <w:tcPr>
            <w:tcW w:w="93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Page</w:t>
            </w:r>
          </w:p>
        </w:tc>
      </w:tr>
      <w:tr>
        <w:trPr>
          <w:trHeight w:val="289"/>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5.4</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REMOVAL AND RESIGNATION OF OFFICERS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5.5</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VACANCIES IN OFFICES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5.6</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REPRESENTATION OF SECURITIES OF OTHER ENTITIES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5.7</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AUTHORITY AND DUTIES OF OFFICERS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 STOCK</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CERTIFICATES; PARTLY PAID SHARES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6.2</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SPECIAL DESIGNATION ON CERTIFICATES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6.3</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LOST CERTIFICATES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6.4</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6.5</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TRANSFER OF STOCK</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6.6</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 TRANSFER AGREEMENTS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6.7</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REGISTERED STOCKHOLDERS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 MANNER OF GIVING NOTICE AND WAIVER</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 OF STOCKHOLDERS’ MEETINGS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 TO STOCKHOLDERS SHARING AN ADDRESS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7.3</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NOTICE TO PERSON WITH WHOM COMMUNICATION IS UNLAWFUL</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7.4</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WAIVER OF NOTICE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 INDEMNIFICATION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INDEMNIFICATION OF DIRECTORS AND OFFICERS IN THIRD PARTY PROCEEDINGS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8.2</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INDEMNIFICATION OF DIRECTORS AND OFFICERS IN ACTIONS BY OR IN THE RIGHT OF THE COMPANY</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8.3</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SUCCESSFUL DEFENSE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8.4</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INDEMNIFICATION OF OTHERS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8.5</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ADVANCED PAYMENT OF EXPENSES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8.6</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LIMITATION ON INDEMNIFICATION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8.7</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DETERMINATION; CLAIM</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8.8</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NON-EXCLUSIVITY OF RIGHTS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8.9</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8.10</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SURVIVAL</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8.11</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EFFECT OF REPEAL OR MODIFICATION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8.12</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CERTAIN DEFINITIONS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 GENERAL MATTERS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EXECUTION OF CORPORATE CONTRACTS AND INSTRUMENTS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9.2</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FISCAL YEAR</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9.3</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SEAL</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9.4</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CONSTRUCTION; DEFINITIONS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9.5</w:t>
            </w:r>
          </w:p>
        </w:tc>
        <w:tc>
          <w:tcPr>
            <w:tcW w:w="9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FORUM SELECTION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10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 AMENDMENTS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65"/>
        </w:trPr>
        <w:tc>
          <w:tcPr>
            <w:tcW w:w="880" w:type="dxa"/>
            <w:vAlign w:val="bottom"/>
          </w:tcPr>
          <w:p>
            <w:pPr>
              <w:spacing w:after="0"/>
              <w:rPr>
                <w:sz w:val="24"/>
                <w:szCs w:val="24"/>
                <w:color w:val="auto"/>
              </w:rPr>
            </w:pPr>
          </w:p>
        </w:tc>
        <w:tc>
          <w:tcPr>
            <w:tcW w:w="9340" w:type="dxa"/>
            <w:vAlign w:val="bottom"/>
          </w:tcPr>
          <w:p>
            <w:pPr>
              <w:ind w:left="4520"/>
              <w:spacing w:after="0"/>
              <w:rPr>
                <w:sz w:val="20"/>
                <w:szCs w:val="20"/>
                <w:color w:val="auto"/>
              </w:rPr>
            </w:pPr>
            <w:r>
              <w:rPr>
                <w:rFonts w:ascii="Times New Roman" w:cs="Times New Roman" w:eastAsia="Times New Roman" w:hAnsi="Times New Roman"/>
                <w:sz w:val="18"/>
                <w:szCs w:val="18"/>
                <w:color w:val="auto"/>
              </w:rPr>
              <w:t>-ii-</w:t>
            </w:r>
          </w:p>
        </w:tc>
        <w:tc>
          <w:tcPr>
            <w:tcW w:w="740" w:type="dxa"/>
            <w:vAlign w:val="bottom"/>
          </w:tcPr>
          <w:p>
            <w:pPr>
              <w:spacing w:after="0"/>
              <w:rPr>
                <w:sz w:val="24"/>
                <w:szCs w:val="24"/>
                <w:color w:val="auto"/>
              </w:rPr>
            </w:pPr>
          </w:p>
        </w:tc>
      </w:tr>
    </w:tbl>
    <w:p>
      <w:pPr>
        <w:sectPr>
          <w:pgSz w:w="11900" w:h="16838" w:orient="portrait"/>
          <w:cols w:equalWidth="0" w:num="1">
            <w:col w:w="10960"/>
          </w:cols>
          <w:pgMar w:left="440" w:top="266" w:right="499" w:bottom="1440" w:gutter="0" w:footer="0" w:header="0"/>
        </w:sectPr>
      </w:pPr>
    </w:p>
    <w:bookmarkStart w:id="310" w:name="page311"/>
    <w:bookmarkEnd w:id="31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BYLAWS OF PMV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2528570</wp:posOffset>
            </wp:positionH>
            <wp:positionV relativeFrom="paragraph">
              <wp:posOffset>173990</wp:posOffset>
            </wp:positionV>
            <wp:extent cx="195453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954530" cy="8255"/>
                    </a:xfrm>
                    <a:prstGeom prst="rect">
                      <a:avLst/>
                    </a:prstGeom>
                    <a:noFill/>
                  </pic:spPr>
                </pic:pic>
              </a:graphicData>
            </a:graphic>
          </wp:anchor>
        </w:drawing>
        <w:drawing>
          <wp:anchor simplePos="0" relativeHeight="251657728" behindDoc="1" locked="0" layoutInCell="0" allowOverlap="1">
            <wp:simplePos x="0" y="0"/>
            <wp:positionH relativeFrom="column">
              <wp:posOffset>2528570</wp:posOffset>
            </wp:positionH>
            <wp:positionV relativeFrom="paragraph">
              <wp:posOffset>191135</wp:posOffset>
            </wp:positionV>
            <wp:extent cx="195453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 - CORPORATE OFFICES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1.1 REGISTERED OFFICE</w:t>
      </w:r>
    </w:p>
    <w:p>
      <w:pPr>
        <w:spacing w:after="0" w:line="221" w:lineRule="exact"/>
        <w:rPr>
          <w:sz w:val="20"/>
          <w:szCs w:val="20"/>
          <w:color w:val="auto"/>
        </w:rPr>
      </w:pPr>
    </w:p>
    <w:p>
      <w:pPr>
        <w:ind w:left="4" w:right="280" w:firstLine="440"/>
        <w:spacing w:after="0" w:line="286" w:lineRule="auto"/>
        <w:rPr>
          <w:sz w:val="20"/>
          <w:szCs w:val="20"/>
          <w:color w:val="auto"/>
        </w:rPr>
      </w:pPr>
      <w:r>
        <w:rPr>
          <w:rFonts w:ascii="Times New Roman" w:cs="Times New Roman" w:eastAsia="Times New Roman" w:hAnsi="Times New Roman"/>
          <w:sz w:val="18"/>
          <w:szCs w:val="18"/>
          <w:color w:val="auto"/>
        </w:rPr>
        <w:t>The registered office of PMV Pharmaceuticals,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be fixed in the Company’s certificate of incorporation, as the same may be amended from time to time.</w:t>
      </w:r>
    </w:p>
    <w:p>
      <w:pPr>
        <w:spacing w:after="0" w:line="15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1.2 OTHER OFFICES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Company may at any time establish other offices.</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II - MEETINGS OF STOCKHOLDERS</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2.1 PLACE OF MEETINGS</w:t>
      </w:r>
    </w:p>
    <w:p>
      <w:pPr>
        <w:spacing w:after="0" w:line="225"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Meetings of stockholders shall be held at a place, if any, within or outside the State of Delaware, determined by the board of directors of the Company (the “</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The Board of Directors may, in its sole discretion, determine that a meeting of stockholders shall not be held at any place, but may instead be held solely by means of remote communication as authorized by Section 211(a)(2) of the Delaware General Corporation Law (the “</w:t>
      </w:r>
      <w:r>
        <w:rPr>
          <w:rFonts w:ascii="Times New Roman" w:cs="Times New Roman" w:eastAsia="Times New Roman" w:hAnsi="Times New Roman"/>
          <w:sz w:val="18"/>
          <w:szCs w:val="18"/>
          <w:b w:val="1"/>
          <w:bCs w:val="1"/>
          <w:color w:val="auto"/>
        </w:rPr>
        <w:t>DGCL</w:t>
      </w:r>
      <w:r>
        <w:rPr>
          <w:rFonts w:ascii="Times New Roman" w:cs="Times New Roman" w:eastAsia="Times New Roman" w:hAnsi="Times New Roman"/>
          <w:sz w:val="18"/>
          <w:szCs w:val="18"/>
          <w:color w:val="auto"/>
        </w:rPr>
        <w:t>”). In the absence of any such designation or determination, stockholders’ meetings shall be held at the Company’s principal executive office.</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2.2 ANNUAL MEETING</w:t>
      </w:r>
    </w:p>
    <w:p>
      <w:pPr>
        <w:spacing w:after="0" w:line="225"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The annual meeting of stockholders shall be held each year. The Board of Directors shall designate the date and time of the annual meeting. At the annual meeting, directors shall be elected and any other proper business, brought in accordance with Section 2.4 of these bylaws, may be transacted. The Board of Directors acting pursuant to a resolution adopted by a majority of the Whole Board may cancel, postpone or reschedule any previously scheduled annual meeting at any time, before or after the notice for such meeting has been sent to the stockholders. For the purposes of these bylaws, the term “</w:t>
      </w:r>
      <w:r>
        <w:rPr>
          <w:rFonts w:ascii="Times New Roman" w:cs="Times New Roman" w:eastAsia="Times New Roman" w:hAnsi="Times New Roman"/>
          <w:sz w:val="18"/>
          <w:szCs w:val="18"/>
          <w:b w:val="1"/>
          <w:bCs w:val="1"/>
          <w:color w:val="auto"/>
        </w:rPr>
        <w:t>Whole Board</w:t>
      </w:r>
      <w:r>
        <w:rPr>
          <w:rFonts w:ascii="Times New Roman" w:cs="Times New Roman" w:eastAsia="Times New Roman" w:hAnsi="Times New Roman"/>
          <w:sz w:val="18"/>
          <w:szCs w:val="18"/>
          <w:color w:val="auto"/>
        </w:rPr>
        <w:t>” shall mean the total number of authorized directorships whether or not there exist any vacancies or other unfilled seats in previously authorized directorships.</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2.3 SPECIAL MEETING</w:t>
      </w:r>
    </w:p>
    <w:p>
      <w:pPr>
        <w:spacing w:after="0" w:line="225" w:lineRule="exact"/>
        <w:rPr>
          <w:sz w:val="20"/>
          <w:szCs w:val="20"/>
          <w:color w:val="auto"/>
        </w:rPr>
      </w:pPr>
    </w:p>
    <w:p>
      <w:pPr>
        <w:ind w:left="4" w:right="140" w:firstLine="987"/>
        <w:spacing w:after="0" w:line="276" w:lineRule="auto"/>
        <w:tabs>
          <w:tab w:leader="none" w:pos="1240" w:val="left"/>
        </w:tabs>
        <w:numPr>
          <w:ilvl w:val="1"/>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special meeting of the stockholders, other than as required by statute, may be called at any time by (i) the Board of Directors acting pursuant to a resolution adopted by a majority of the Whole Board, (ii) the chairperson of the Board of Directors, (iii) the chief executive officer or</w:t>
      </w:r>
    </w:p>
    <w:p>
      <w:pPr>
        <w:ind w:left="4" w:right="360" w:hanging="4"/>
        <w:spacing w:after="0" w:line="253" w:lineRule="auto"/>
        <w:tabs>
          <w:tab w:leader="none" w:pos="309"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president, but a special meeting may not be called by any other person or persons and any power of stockholders to call a special meeting of stockholders is specifically denied. The Board of Directors acting pursuant to a resolution adopted by a majority of the Whole Board may cancel, postpone or reschedule any previously scheduled special meeting at any time, before or after the notice for such meeting has been sent to the stockholders.</w:t>
      </w:r>
    </w:p>
    <w:p>
      <w:pPr>
        <w:spacing w:after="0" w:line="121"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2"/>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w:t>
      </w:r>
    </w:p>
    <w:p>
      <w:pPr>
        <w:sectPr>
          <w:pgSz w:w="11900" w:h="16838" w:orient="portrait"/>
          <w:cols w:equalWidth="0" w:num="1">
            <w:col w:w="11004"/>
          </w:cols>
          <w:pgMar w:left="436" w:top="266" w:right="459" w:bottom="1440" w:gutter="0" w:footer="0" w:header="0"/>
        </w:sectPr>
      </w:pPr>
    </w:p>
    <w:bookmarkStart w:id="311" w:name="page312"/>
    <w:bookmarkEnd w:id="311"/>
    <w:p>
      <w:pPr>
        <w:ind w:left="4" w:firstLine="987"/>
        <w:spacing w:after="0" w:line="261" w:lineRule="auto"/>
        <w:tabs>
          <w:tab w:leader="none" w:pos="125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The notice of a special meeting shall include the purpose for which the meeting is called. Only such business shall be conducted at a special meeting of stockholders as shall have been brought before the meeting by or at the direction of a majority of the Whole Board, the chairperson of the Board of Directors, the chief executive officer or the president. Nothing contained in this Section 2.3(b) shall be construed as limiting, fixing or affecting the time when a meeting of stockholders called by action of the Board of Directors may be held.</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2.4 ADVANCE NOTICE PROCEDURES</w:t>
      </w:r>
    </w:p>
    <w:p>
      <w:pPr>
        <w:spacing w:after="0" w:line="223" w:lineRule="exact"/>
        <w:rPr>
          <w:sz w:val="20"/>
          <w:szCs w:val="20"/>
          <w:color w:val="auto"/>
        </w:rPr>
      </w:pPr>
    </w:p>
    <w:p>
      <w:pPr>
        <w:ind w:left="1244" w:hanging="253"/>
        <w:spacing w:after="0"/>
        <w:tabs>
          <w:tab w:leader="none" w:pos="1244" w:val="left"/>
        </w:tabs>
        <w:numPr>
          <w:ilvl w:val="1"/>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Meetings of Stockholders.</w:t>
      </w:r>
    </w:p>
    <w:p>
      <w:pPr>
        <w:spacing w:after="0" w:line="227" w:lineRule="exact"/>
        <w:rPr>
          <w:rFonts w:ascii="Times New Roman" w:cs="Times New Roman" w:eastAsia="Times New Roman" w:hAnsi="Times New Roman"/>
          <w:sz w:val="18"/>
          <w:szCs w:val="18"/>
          <w:color w:val="auto"/>
        </w:rPr>
      </w:pPr>
    </w:p>
    <w:p>
      <w:pPr>
        <w:ind w:left="4" w:right="420" w:firstLine="1428"/>
        <w:spacing w:after="0" w:line="276" w:lineRule="auto"/>
        <w:tabs>
          <w:tab w:leader="none" w:pos="1651" w:val="left"/>
        </w:tabs>
        <w:numPr>
          <w:ilvl w:val="2"/>
          <w:numId w:val="1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Nominations of persons for election to the Board of Directors or the proposal of other business to be transacted by the stockholders at an annual meeting of stockholders may be made only (1) pursuant to the Company’s notice of meeting (or any supplement thereto);</w:t>
      </w:r>
    </w:p>
    <w:p>
      <w:pPr>
        <w:ind w:left="264" w:hanging="264"/>
        <w:spacing w:after="0"/>
        <w:tabs>
          <w:tab w:leader="none" w:pos="264"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 at the direction of the Board of Directors; (3) as may be provided in the certificate of designations for any class or series of preferred stock; or</w:t>
      </w:r>
    </w:p>
    <w:p>
      <w:pPr>
        <w:spacing w:after="0" w:line="9" w:lineRule="exact"/>
        <w:rPr>
          <w:rFonts w:ascii="Times New Roman" w:cs="Times New Roman" w:eastAsia="Times New Roman" w:hAnsi="Times New Roman"/>
          <w:sz w:val="18"/>
          <w:szCs w:val="18"/>
          <w:color w:val="auto"/>
        </w:rPr>
      </w:pPr>
    </w:p>
    <w:p>
      <w:pPr>
        <w:jc w:val="both"/>
        <w:ind w:left="4" w:right="60" w:hanging="4"/>
        <w:spacing w:after="0" w:line="253" w:lineRule="auto"/>
        <w:tabs>
          <w:tab w:leader="none" w:pos="25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any stockholder of the Company who (A) is a stockholder of record at the time of giving of the notice contemplated by Section 2.4(a)(ii); (B) is a stockholder of record on the record date for the determination of stockholders entitled to notice of the annual meeting; (C) is a stockholder of record on the record date for the determination of stockholders entitled to vote at the annual meeting; (D) is a stockholder of record at the time of the annual meeting; and (E) complies with the procedures set forth in this Section 2.4(a).</w:t>
      </w:r>
    </w:p>
    <w:p>
      <w:pPr>
        <w:spacing w:after="0" w:line="188" w:lineRule="exact"/>
        <w:rPr>
          <w:rFonts w:ascii="Times New Roman" w:cs="Times New Roman" w:eastAsia="Times New Roman" w:hAnsi="Times New Roman"/>
          <w:sz w:val="18"/>
          <w:szCs w:val="18"/>
          <w:color w:val="auto"/>
        </w:rPr>
      </w:pPr>
    </w:p>
    <w:p>
      <w:pPr>
        <w:ind w:left="4" w:firstLine="1428"/>
        <w:spacing w:after="0" w:line="252" w:lineRule="auto"/>
        <w:tabs>
          <w:tab w:leader="none" w:pos="1701" w:val="left"/>
        </w:tabs>
        <w:numPr>
          <w:ilvl w:val="2"/>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nominations or other business to be properly brought before an annual meeting of stockholders by a stockholder pursuant to clause (4) of Section 2.4(a)(i), the stockholder must have given timely notice in writing to the secretary and any such nomination or proposed business must constitute a proper matter for stockholder action. To be timely, a stockholder’s notice must be received by the secretary at the principal executive offices of the Company no earlier than 8:00 a.m., local time, on the 120th day and no later than 5:00 p.m., local time, on the 90th day prior to the day of the first anniversary of the preceding year’s annual meeting of stockholders. However, if no annual meeting of stockholders was held in the preceding year, or if the date of the applicable annual meeting has been changed by more than 25 days from the first anniversary of the preceding year’s annual meeting, then to be timely such notice must be received by the secretary at the principal executive offices of the Company no earlier than 8:00 a.m., local time, on the 120th day prior to the day of the annual meeting and no later than 5:00 p.m., local time, on the 10th day following the day on which public announcement of the date of the annual meeting was first made by the Company. In no event will the adjournment, rescheduling or postponement of any annual meeting, or any announcement thereof, commence a new time period (or extend any time period) for the giving of a stockholder’s notice as described above. If the number of directors to be elected to the Board of Directors is increased and there is no public announcement naming all of the nominees for director or specifying the size of the increased Board of Directors at least 10 days before the last day that a stockholder may deliver a notice of nomination pursuant to the foregoing provisions, then a stockholder’s notice required by this Section 2.4(a)(ii) will also be considered timely, but only with respect to nominees for any new positions created by such increase, if it is received by the secretary at the principal executive offices of the Company no later than 5:00 p.m., local time, on the 10th day following the day on which such public announcement is first made. “</w:t>
      </w:r>
      <w:r>
        <w:rPr>
          <w:rFonts w:ascii="Times New Roman" w:cs="Times New Roman" w:eastAsia="Times New Roman" w:hAnsi="Times New Roman"/>
          <w:sz w:val="18"/>
          <w:szCs w:val="18"/>
          <w:b w:val="1"/>
          <w:bCs w:val="1"/>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announcement</w:t>
      </w:r>
      <w:r>
        <w:rPr>
          <w:rFonts w:ascii="Times New Roman" w:cs="Times New Roman" w:eastAsia="Times New Roman" w:hAnsi="Times New Roman"/>
          <w:sz w:val="18"/>
          <w:szCs w:val="18"/>
          <w:color w:val="auto"/>
        </w:rPr>
        <w:t>” means disclosure in a press release reported by a national news service or in a document publicly filed by the Company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and Exchange Commission pursuant to Section 13, 14 or 15(d) of the Securities Exchange Act of 1934 (as amended and inclusive of rules and regulations thereunder, the “</w:t>
      </w:r>
      <w:r>
        <w:rPr>
          <w:rFonts w:ascii="Times New Roman" w:cs="Times New Roman" w:eastAsia="Times New Roman" w:hAnsi="Times New Roman"/>
          <w:sz w:val="18"/>
          <w:szCs w:val="18"/>
          <w:b w:val="1"/>
          <w:bCs w:val="1"/>
          <w:color w:val="auto"/>
        </w:rPr>
        <w:t>1934 Act</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3"/>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1004"/>
          </w:cols>
          <w:pgMar w:left="436" w:top="270" w:right="459" w:bottom="1440" w:gutter="0" w:footer="0" w:header="0"/>
        </w:sectPr>
      </w:pPr>
    </w:p>
    <w:bookmarkStart w:id="312" w:name="page313"/>
    <w:bookmarkEnd w:id="312"/>
    <w:p>
      <w:pPr>
        <w:ind w:left="740" w:hanging="312"/>
        <w:spacing w:after="0"/>
        <w:tabs>
          <w:tab w:leader="none" w:pos="74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 stockholder’s notice to the secretary must set forth:</w:t>
      </w:r>
    </w:p>
    <w:p>
      <w:pPr>
        <w:spacing w:after="0" w:line="225"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person whom the stockholder proposes to nominate for election as a director:</w:t>
      </w:r>
    </w:p>
    <w:p>
      <w:pPr>
        <w:spacing w:after="0" w:line="225" w:lineRule="exact"/>
        <w:rPr>
          <w:rFonts w:ascii="Times New Roman" w:cs="Times New Roman" w:eastAsia="Times New Roman" w:hAnsi="Times New Roman"/>
          <w:sz w:val="18"/>
          <w:szCs w:val="18"/>
          <w:color w:val="auto"/>
        </w:rPr>
      </w:pPr>
    </w:p>
    <w:p>
      <w:pPr>
        <w:ind w:left="-1000" w:right="180" w:firstLine="2419"/>
        <w:spacing w:after="0" w:line="282" w:lineRule="auto"/>
        <w:tabs>
          <w:tab w:leader="none" w:pos="1718" w:val="left"/>
        </w:tabs>
        <w:numPr>
          <w:ilvl w:val="2"/>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relating to such person that is required to be disclosed in solicitations of proxies for the contested election of directors, or is otherwise required, in each case pursuant to the Section 14 of the 1934 Act;</w:t>
      </w:r>
    </w:p>
    <w:p>
      <w:pPr>
        <w:spacing w:after="0" w:line="161" w:lineRule="exact"/>
        <w:rPr>
          <w:rFonts w:ascii="Times New Roman" w:cs="Times New Roman" w:eastAsia="Times New Roman" w:hAnsi="Times New Roman"/>
          <w:sz w:val="18"/>
          <w:szCs w:val="18"/>
          <w:color w:val="auto"/>
        </w:rPr>
      </w:pPr>
    </w:p>
    <w:p>
      <w:pPr>
        <w:ind w:left="-1000" w:right="700" w:firstLine="2419"/>
        <w:spacing w:after="0" w:line="282" w:lineRule="auto"/>
        <w:tabs>
          <w:tab w:leader="none" w:pos="1708" w:val="left"/>
        </w:tabs>
        <w:numPr>
          <w:ilvl w:val="2"/>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person’s written consent to being named in such stockholder’s proxy statement as a nominee of such stockholder and to serving as a director of the Company if elected;</w:t>
      </w:r>
    </w:p>
    <w:p>
      <w:pPr>
        <w:spacing w:after="0" w:line="161" w:lineRule="exact"/>
        <w:rPr>
          <w:rFonts w:ascii="Times New Roman" w:cs="Times New Roman" w:eastAsia="Times New Roman" w:hAnsi="Times New Roman"/>
          <w:sz w:val="18"/>
          <w:szCs w:val="18"/>
          <w:color w:val="auto"/>
        </w:rPr>
      </w:pPr>
    </w:p>
    <w:p>
      <w:pPr>
        <w:ind w:left="-1000" w:firstLine="2419"/>
        <w:spacing w:after="0" w:line="261" w:lineRule="auto"/>
        <w:tabs>
          <w:tab w:leader="none" w:pos="1708" w:val="left"/>
        </w:tabs>
        <w:numPr>
          <w:ilvl w:val="2"/>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reasonably detailed description of any direct or indirect compensatory, payment, indemnification or other financial agreement, arrangement or understanding that such person has, or has had within the past three years, with any person or entity other than the Company (including the amount of any payment or payments received or receivable thereunder), in each case in connection with candidacy or service as a director of the Company (a “</w:t>
      </w:r>
      <w:r>
        <w:rPr>
          <w:rFonts w:ascii="Times New Roman" w:cs="Times New Roman" w:eastAsia="Times New Roman" w:hAnsi="Times New Roman"/>
          <w:sz w:val="18"/>
          <w:szCs w:val="18"/>
          <w:b w:val="1"/>
          <w:bCs w:val="1"/>
          <w:color w:val="auto"/>
        </w:rPr>
        <w:t>Third-Party Compensation Arrangement</w:t>
      </w:r>
      <w:r>
        <w:rPr>
          <w:rFonts w:ascii="Times New Roman" w:cs="Times New Roman" w:eastAsia="Times New Roman" w:hAnsi="Times New Roman"/>
          <w:sz w:val="18"/>
          <w:szCs w:val="18"/>
          <w:color w:val="auto"/>
        </w:rPr>
        <w:t>”); and</w:t>
      </w:r>
    </w:p>
    <w:p>
      <w:pPr>
        <w:spacing w:after="0" w:line="179" w:lineRule="exact"/>
        <w:rPr>
          <w:rFonts w:ascii="Times New Roman" w:cs="Times New Roman" w:eastAsia="Times New Roman" w:hAnsi="Times New Roman"/>
          <w:sz w:val="18"/>
          <w:szCs w:val="18"/>
          <w:color w:val="auto"/>
        </w:rPr>
      </w:pPr>
    </w:p>
    <w:p>
      <w:pPr>
        <w:ind w:left="-1000" w:right="220" w:firstLine="2419"/>
        <w:spacing w:after="0" w:line="266" w:lineRule="auto"/>
        <w:tabs>
          <w:tab w:leader="none" w:pos="1718" w:val="left"/>
        </w:tabs>
        <w:numPr>
          <w:ilvl w:val="2"/>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other material relationships between such person and such person’s respective affiliates and associates, or others acting in concert with them, on the one hand, and such stockholder giving the notice and the beneficial owner, if any, on whose behalf the nomination is made, and their respective affiliates and associates, or others acting in concert with them, on the other hand;</w:t>
      </w:r>
    </w:p>
    <w:p>
      <w:pPr>
        <w:spacing w:after="0" w:line="175" w:lineRule="exact"/>
        <w:rPr>
          <w:rFonts w:ascii="Times New Roman" w:cs="Times New Roman" w:eastAsia="Times New Roman" w:hAnsi="Times New Roman"/>
          <w:sz w:val="18"/>
          <w:szCs w:val="18"/>
          <w:color w:val="auto"/>
        </w:rPr>
      </w:pPr>
    </w:p>
    <w:p>
      <w:pPr>
        <w:ind w:left="1240" w:hanging="261"/>
        <w:spacing w:after="0"/>
        <w:tabs>
          <w:tab w:leader="none" w:pos="1240" w:val="left"/>
        </w:tabs>
        <w:numPr>
          <w:ilvl w:val="1"/>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any other business that the stockholder proposes to bring before the annual meeting:</w:t>
      </w:r>
    </w:p>
    <w:p>
      <w:pPr>
        <w:spacing w:after="0" w:line="225" w:lineRule="exact"/>
        <w:rPr>
          <w:rFonts w:ascii="Times New Roman" w:cs="Times New Roman" w:eastAsia="Times New Roman" w:hAnsi="Times New Roman"/>
          <w:sz w:val="18"/>
          <w:szCs w:val="18"/>
          <w:color w:val="auto"/>
        </w:rPr>
      </w:pPr>
    </w:p>
    <w:p>
      <w:pPr>
        <w:ind w:left="1720" w:hanging="301"/>
        <w:spacing w:after="0"/>
        <w:tabs>
          <w:tab w:leader="none" w:pos="1720" w:val="left"/>
        </w:tabs>
        <w:numPr>
          <w:ilvl w:val="2"/>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description of the business desired to be brought before the annual meeting;</w:t>
      </w:r>
    </w:p>
    <w:p>
      <w:pPr>
        <w:spacing w:after="0" w:line="225" w:lineRule="exact"/>
        <w:rPr>
          <w:rFonts w:ascii="Times New Roman" w:cs="Times New Roman" w:eastAsia="Times New Roman" w:hAnsi="Times New Roman"/>
          <w:sz w:val="18"/>
          <w:szCs w:val="18"/>
          <w:color w:val="auto"/>
        </w:rPr>
      </w:pPr>
    </w:p>
    <w:p>
      <w:pPr>
        <w:ind w:left="-1000" w:right="620" w:firstLine="2419"/>
        <w:spacing w:after="0" w:line="282" w:lineRule="auto"/>
        <w:tabs>
          <w:tab w:leader="none" w:pos="1708" w:val="left"/>
        </w:tabs>
        <w:numPr>
          <w:ilvl w:val="2"/>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proposal or business (including the text of any resolutions proposed for consideration and, if applicable, the text of any proposed amendment to these bylaws or the Company’s certificate of incorporation);</w:t>
      </w:r>
    </w:p>
    <w:p>
      <w:pPr>
        <w:spacing w:after="0" w:line="161" w:lineRule="exact"/>
        <w:rPr>
          <w:rFonts w:ascii="Times New Roman" w:cs="Times New Roman" w:eastAsia="Times New Roman" w:hAnsi="Times New Roman"/>
          <w:sz w:val="18"/>
          <w:szCs w:val="18"/>
          <w:color w:val="auto"/>
        </w:rPr>
      </w:pPr>
    </w:p>
    <w:p>
      <w:pPr>
        <w:ind w:left="1700" w:hanging="281"/>
        <w:spacing w:after="0"/>
        <w:tabs>
          <w:tab w:leader="none" w:pos="1700" w:val="left"/>
        </w:tabs>
        <w:numPr>
          <w:ilvl w:val="2"/>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reasons for conducting such business at the annual meeting;</w:t>
      </w:r>
    </w:p>
    <w:p>
      <w:pPr>
        <w:spacing w:after="0" w:line="225" w:lineRule="exact"/>
        <w:rPr>
          <w:rFonts w:ascii="Times New Roman" w:cs="Times New Roman" w:eastAsia="Times New Roman" w:hAnsi="Times New Roman"/>
          <w:sz w:val="18"/>
          <w:szCs w:val="18"/>
          <w:color w:val="auto"/>
        </w:rPr>
      </w:pPr>
    </w:p>
    <w:p>
      <w:pPr>
        <w:ind w:left="-1000" w:right="320" w:firstLine="2419"/>
        <w:spacing w:after="0" w:line="282" w:lineRule="auto"/>
        <w:tabs>
          <w:tab w:leader="none" w:pos="1718" w:val="left"/>
        </w:tabs>
        <w:numPr>
          <w:ilvl w:val="2"/>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interest in such business of such stockholder giving the notice and the beneficial owner, if any, on whose behalf the proposal is made, and their respective affiliates and associates, or others acting in concert with them; and</w:t>
      </w:r>
    </w:p>
    <w:p>
      <w:pPr>
        <w:spacing w:after="0" w:line="161" w:lineRule="exact"/>
        <w:rPr>
          <w:rFonts w:ascii="Times New Roman" w:cs="Times New Roman" w:eastAsia="Times New Roman" w:hAnsi="Times New Roman"/>
          <w:sz w:val="18"/>
          <w:szCs w:val="18"/>
          <w:color w:val="auto"/>
        </w:rPr>
      </w:pPr>
    </w:p>
    <w:p>
      <w:pPr>
        <w:jc w:val="both"/>
        <w:ind w:left="-1000" w:right="380" w:firstLine="2419"/>
        <w:spacing w:after="0" w:line="266" w:lineRule="auto"/>
        <w:tabs>
          <w:tab w:leader="none" w:pos="1698" w:val="left"/>
        </w:tabs>
        <w:numPr>
          <w:ilvl w:val="2"/>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all agreements, arrangements and understandings between such stockholder and the beneficial owner, if any, on whose behalf the proposal is made, and their respective affiliates or associates or others acting in concert with them, and any other person or persons (including their names) in connection with the proposal of such business by such stockholder; and</w:t>
      </w:r>
    </w:p>
    <w:p>
      <w:pPr>
        <w:spacing w:after="0" w:line="108" w:lineRule="exact"/>
        <w:rPr>
          <w:rFonts w:ascii="Times New Roman" w:cs="Times New Roman" w:eastAsia="Times New Roman" w:hAnsi="Times New Roman"/>
          <w:sz w:val="18"/>
          <w:szCs w:val="18"/>
          <w:color w:val="auto"/>
        </w:rPr>
      </w:pPr>
    </w:p>
    <w:p>
      <w:pPr>
        <w:ind w:left="4460" w:hanging="106"/>
        <w:spacing w:after="0"/>
        <w:tabs>
          <w:tab w:leader="none" w:pos="4460" w:val="left"/>
        </w:tabs>
        <w:numPr>
          <w:ilvl w:val="3"/>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0000"/>
          </w:cols>
          <w:pgMar w:left="1440" w:top="270" w:right="459" w:bottom="1440" w:gutter="0" w:footer="0" w:header="0"/>
        </w:sectPr>
      </w:pPr>
    </w:p>
    <w:bookmarkStart w:id="313" w:name="page314"/>
    <w:bookmarkEnd w:id="313"/>
    <w:p>
      <w:pPr>
        <w:ind w:left="1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(3) as to the stockholder giving the notice and the beneficial owner, if any, on whose behalf the nomination or proposal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made:</w:t>
      </w:r>
    </w:p>
    <w:p>
      <w:pPr>
        <w:spacing w:after="0" w:line="207" w:lineRule="exact"/>
        <w:rPr>
          <w:sz w:val="20"/>
          <w:szCs w:val="20"/>
          <w:color w:val="auto"/>
        </w:rPr>
      </w:pPr>
    </w:p>
    <w:p>
      <w:pPr>
        <w:ind w:right="100" w:firstLine="2419"/>
        <w:spacing w:after="0" w:line="282" w:lineRule="auto"/>
        <w:tabs>
          <w:tab w:leader="none" w:pos="271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such stockholder (as they appear on the Company’s books), of such beneficial owner and of their respective affiliates or associates or others acting in concert with them;</w:t>
      </w:r>
    </w:p>
    <w:p>
      <w:pPr>
        <w:spacing w:after="0" w:line="161" w:lineRule="exact"/>
        <w:rPr>
          <w:rFonts w:ascii="Times New Roman" w:cs="Times New Roman" w:eastAsia="Times New Roman" w:hAnsi="Times New Roman"/>
          <w:sz w:val="18"/>
          <w:szCs w:val="18"/>
          <w:color w:val="auto"/>
        </w:rPr>
      </w:pPr>
    </w:p>
    <w:p>
      <w:pPr>
        <w:ind w:right="20" w:firstLine="2419"/>
        <w:spacing w:after="0" w:line="312" w:lineRule="auto"/>
        <w:tabs>
          <w:tab w:leader="none" w:pos="2708"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class or series, the number of shares of stock of the Company that are, directly or indirectly, held of record or are beneficially owned by such stockholder, such beneficial owner or their respective affiliates or associates or others acting in concert with them;</w:t>
      </w:r>
    </w:p>
    <w:p>
      <w:pPr>
        <w:spacing w:after="0" w:line="139" w:lineRule="exact"/>
        <w:rPr>
          <w:rFonts w:ascii="Times New Roman" w:cs="Times New Roman" w:eastAsia="Times New Roman" w:hAnsi="Times New Roman"/>
          <w:sz w:val="17"/>
          <w:szCs w:val="17"/>
          <w:color w:val="auto"/>
        </w:rPr>
      </w:pPr>
    </w:p>
    <w:p>
      <w:pPr>
        <w:ind w:right="60" w:firstLine="2419"/>
        <w:spacing w:after="0" w:line="266" w:lineRule="auto"/>
        <w:tabs>
          <w:tab w:leader="none" w:pos="270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agreement, arrangement or understanding between such stockholder, such beneficial owner or their respective affiliates or associates or others acting in concert with them, and any other person or persons (including, in each case, their names) in connection with the proposal of such nomination or other business;</w:t>
      </w:r>
    </w:p>
    <w:p>
      <w:pPr>
        <w:spacing w:after="0" w:line="175" w:lineRule="exact"/>
        <w:rPr>
          <w:rFonts w:ascii="Times New Roman" w:cs="Times New Roman" w:eastAsia="Times New Roman" w:hAnsi="Times New Roman"/>
          <w:sz w:val="18"/>
          <w:szCs w:val="18"/>
          <w:color w:val="auto"/>
        </w:rPr>
      </w:pPr>
    </w:p>
    <w:p>
      <w:pPr>
        <w:ind w:firstLine="2419"/>
        <w:spacing w:after="0" w:line="255" w:lineRule="auto"/>
        <w:tabs>
          <w:tab w:leader="none" w:pos="271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such stockholder, such beneficial owner or their respective affiliates or associates or others acting in concert with them, with respect to the Company’s securities (any of the foregoing, a “</w:t>
      </w:r>
      <w:r>
        <w:rPr>
          <w:rFonts w:ascii="Times New Roman" w:cs="Times New Roman" w:eastAsia="Times New Roman" w:hAnsi="Times New Roman"/>
          <w:sz w:val="18"/>
          <w:szCs w:val="18"/>
          <w:b w:val="1"/>
          <w:bCs w:val="1"/>
          <w:color w:val="auto"/>
        </w:rPr>
        <w:t>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Instrument</w:t>
      </w:r>
      <w:r>
        <w:rPr>
          <w:rFonts w:ascii="Times New Roman" w:cs="Times New Roman" w:eastAsia="Times New Roman" w:hAnsi="Times New Roman"/>
          <w:sz w:val="18"/>
          <w:szCs w:val="18"/>
          <w:color w:val="auto"/>
        </w:rPr>
        <w:t>”), or any other agreement, arrangement or understanding that has been made the effect or intent of which is to create or mitigate loss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manage risk or benefit of share price changes for or increase or decrease the voting power of such stockholder, such beneficial owner or their respective affiliates or associates or others acting in concert with them, with respect to the Company’s securities;</w:t>
      </w:r>
    </w:p>
    <w:p>
      <w:pPr>
        <w:spacing w:after="0" w:line="188" w:lineRule="exact"/>
        <w:rPr>
          <w:rFonts w:ascii="Times New Roman" w:cs="Times New Roman" w:eastAsia="Times New Roman" w:hAnsi="Times New Roman"/>
          <w:sz w:val="18"/>
          <w:szCs w:val="18"/>
          <w:color w:val="auto"/>
        </w:rPr>
      </w:pPr>
    </w:p>
    <w:p>
      <w:pPr>
        <w:ind w:right="20" w:firstLine="2419"/>
        <w:spacing w:after="0" w:line="282" w:lineRule="auto"/>
        <w:tabs>
          <w:tab w:leader="none" w:pos="269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rights to dividends on the Company’s securities owned beneficially by such stockholder, such beneficial owner or their respective affiliates or associates or others acting in concert with them, that are separated or separable from the underlying security;</w:t>
      </w:r>
    </w:p>
    <w:p>
      <w:pPr>
        <w:spacing w:after="0" w:line="161" w:lineRule="exact"/>
        <w:rPr>
          <w:rFonts w:ascii="Times New Roman" w:cs="Times New Roman" w:eastAsia="Times New Roman" w:hAnsi="Times New Roman"/>
          <w:sz w:val="18"/>
          <w:szCs w:val="18"/>
          <w:color w:val="auto"/>
        </w:rPr>
      </w:pPr>
    </w:p>
    <w:p>
      <w:pPr>
        <w:ind w:right="20" w:firstLine="2419"/>
        <w:spacing w:after="0" w:line="266" w:lineRule="auto"/>
        <w:tabs>
          <w:tab w:leader="none" w:pos="268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proportionate interest in the Company’s securities or Derivative Instruments held, directly or indirectly, by a general or limited partnership in which such stockholder, such beneficial owner or their respective affiliates or associates or others acting in concert with them, is a general partner or, directly or indirectly, beneficially owns an interest in a general partner of such general or limited partnership;</w:t>
      </w:r>
    </w:p>
    <w:p>
      <w:pPr>
        <w:spacing w:after="0" w:line="175" w:lineRule="exact"/>
        <w:rPr>
          <w:rFonts w:ascii="Times New Roman" w:cs="Times New Roman" w:eastAsia="Times New Roman" w:hAnsi="Times New Roman"/>
          <w:sz w:val="18"/>
          <w:szCs w:val="18"/>
          <w:color w:val="auto"/>
        </w:rPr>
      </w:pPr>
    </w:p>
    <w:p>
      <w:pPr>
        <w:ind w:right="100" w:firstLine="2419"/>
        <w:spacing w:after="0" w:line="261" w:lineRule="auto"/>
        <w:tabs>
          <w:tab w:leader="none" w:pos="271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performance-related fees (other than an asset-based fee) that such stockholder, such beneficial owner or their respective affiliates or associates or others acting in concert with, them is entitled to based on any increase or decrease in the value of the Company’s securities or Derivative Instruments, including, without limitation, any such interests held by members of the immediate family of such persons sharing the same household;</w:t>
      </w:r>
    </w:p>
    <w:p>
      <w:pPr>
        <w:spacing w:after="0" w:line="179" w:lineRule="exact"/>
        <w:rPr>
          <w:rFonts w:ascii="Times New Roman" w:cs="Times New Roman" w:eastAsia="Times New Roman" w:hAnsi="Times New Roman"/>
          <w:sz w:val="18"/>
          <w:szCs w:val="18"/>
          <w:color w:val="auto"/>
        </w:rPr>
      </w:pPr>
    </w:p>
    <w:p>
      <w:pPr>
        <w:ind w:right="100" w:firstLine="2419"/>
        <w:spacing w:after="0" w:line="282" w:lineRule="auto"/>
        <w:tabs>
          <w:tab w:leader="none" w:pos="2718"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equity interests or any Derivative Instruments in any principal competitor of the Company that are held by such stockholder, such beneficial owner or their respective affiliates or associates or others acting in concert with them;</w:t>
      </w:r>
    </w:p>
    <w:p>
      <w:pPr>
        <w:spacing w:after="0" w:line="94"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1000"/>
          </w:cols>
          <w:pgMar w:left="440" w:top="270" w:right="459" w:bottom="1440" w:gutter="0" w:footer="0" w:header="0"/>
        </w:sectPr>
      </w:pPr>
    </w:p>
    <w:bookmarkStart w:id="314" w:name="page315"/>
    <w:bookmarkEnd w:id="314"/>
    <w:p>
      <w:pPr>
        <w:jc w:val="both"/>
        <w:ind w:left="-987" w:firstLine="2419"/>
        <w:spacing w:after="0" w:line="266" w:lineRule="auto"/>
        <w:tabs>
          <w:tab w:leader="none" w:pos="1661" w:val="left"/>
        </w:tabs>
        <w:numPr>
          <w:ilvl w:val="2"/>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any direct or indirect interest of such stockholder, such beneficial owner or their respective affiliates or associates or others acting in concert with them, in any contract with the Company, any affiliate of the Company or any principal competitor of the Company (in each case, including any employment agreement, collective bargaining agreement or consulting agreement);</w:t>
      </w:r>
    </w:p>
    <w:p>
      <w:pPr>
        <w:spacing w:after="0" w:line="175" w:lineRule="exact"/>
        <w:rPr>
          <w:rFonts w:ascii="Times New Roman" w:cs="Times New Roman" w:eastAsia="Times New Roman" w:hAnsi="Times New Roman"/>
          <w:sz w:val="18"/>
          <w:szCs w:val="18"/>
          <w:color w:val="auto"/>
        </w:rPr>
      </w:pPr>
    </w:p>
    <w:p>
      <w:pPr>
        <w:ind w:left="-987" w:right="20" w:firstLine="2419"/>
        <w:spacing w:after="0" w:line="266" w:lineRule="auto"/>
        <w:tabs>
          <w:tab w:leader="none" w:pos="1671" w:val="left"/>
        </w:tabs>
        <w:numPr>
          <w:ilvl w:val="2"/>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and undertaking that the stockholder is a holder of record of stock of the Company as of the date of submission of the stockholder’s notice and intends to appear in person or by proxy at the meeting to bring such nomination or other business before the meeting;</w:t>
      </w:r>
    </w:p>
    <w:p>
      <w:pPr>
        <w:spacing w:after="0" w:line="175" w:lineRule="exact"/>
        <w:rPr>
          <w:rFonts w:ascii="Times New Roman" w:cs="Times New Roman" w:eastAsia="Times New Roman" w:hAnsi="Times New Roman"/>
          <w:sz w:val="18"/>
          <w:szCs w:val="18"/>
          <w:color w:val="auto"/>
        </w:rPr>
      </w:pPr>
    </w:p>
    <w:p>
      <w:pPr>
        <w:ind w:left="-987" w:right="120" w:firstLine="2419"/>
        <w:spacing w:after="0" w:line="261" w:lineRule="auto"/>
        <w:tabs>
          <w:tab w:leader="none" w:pos="1731" w:val="left"/>
        </w:tabs>
        <w:numPr>
          <w:ilvl w:val="2"/>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representation and undertaking that such stockholder or any such beneficial owner intends, or is part of a group that intends, to (x) deliver a proxy statement or form of proxy to holders of at least the percentage of the voting power of the Company’s then-outstanding stock required to approve or adopt the proposal or to elect each such nominee; or (y) otherwise solicit proxies from stockholders in support of such proposal or nomination;</w:t>
      </w:r>
    </w:p>
    <w:p>
      <w:pPr>
        <w:spacing w:after="0" w:line="179" w:lineRule="exact"/>
        <w:rPr>
          <w:rFonts w:ascii="Times New Roman" w:cs="Times New Roman" w:eastAsia="Times New Roman" w:hAnsi="Times New Roman"/>
          <w:sz w:val="18"/>
          <w:szCs w:val="18"/>
          <w:color w:val="auto"/>
        </w:rPr>
      </w:pPr>
    </w:p>
    <w:p>
      <w:pPr>
        <w:jc w:val="both"/>
        <w:ind w:left="-987" w:firstLine="2419"/>
        <w:spacing w:after="0" w:line="261" w:lineRule="auto"/>
        <w:tabs>
          <w:tab w:leader="none" w:pos="1711" w:val="left"/>
        </w:tabs>
        <w:numPr>
          <w:ilvl w:val="2"/>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relating to such stockholder, such beneficial owner, or their respective affiliates or associates or others acting in concert with them, or director nominee or proposed business that, in each case, would be required to be disclosed in a proxy statement or other filing required to be made in connection with the solicitation of proxies in support of such nominee (in a contested election of directors) or proposal pursuant to Section 14 of the 1934 Act; and</w:t>
      </w:r>
    </w:p>
    <w:p>
      <w:pPr>
        <w:spacing w:after="0" w:line="179" w:lineRule="exact"/>
        <w:rPr>
          <w:rFonts w:ascii="Times New Roman" w:cs="Times New Roman" w:eastAsia="Times New Roman" w:hAnsi="Times New Roman"/>
          <w:sz w:val="18"/>
          <w:szCs w:val="18"/>
          <w:color w:val="auto"/>
        </w:rPr>
      </w:pPr>
    </w:p>
    <w:p>
      <w:pPr>
        <w:ind w:left="-987" w:right="500" w:firstLine="2419"/>
        <w:spacing w:after="0" w:line="282" w:lineRule="auto"/>
        <w:tabs>
          <w:tab w:leader="none" w:pos="1761" w:val="left"/>
        </w:tabs>
        <w:numPr>
          <w:ilvl w:val="2"/>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information relating to any proposed item of business as the Company may reasonably require to determine whether such proposed item of business is a proper matter for stockholder action.</w:t>
      </w:r>
    </w:p>
    <w:p>
      <w:pPr>
        <w:spacing w:after="0" w:line="161" w:lineRule="exact"/>
        <w:rPr>
          <w:rFonts w:ascii="Times New Roman" w:cs="Times New Roman" w:eastAsia="Times New Roman" w:hAnsi="Times New Roman"/>
          <w:sz w:val="18"/>
          <w:szCs w:val="18"/>
          <w:color w:val="auto"/>
        </w:rPr>
      </w:pPr>
    </w:p>
    <w:p>
      <w:pPr>
        <w:ind w:left="-987" w:right="40" w:firstLine="1428"/>
        <w:spacing w:after="0" w:line="254" w:lineRule="auto"/>
        <w:tabs>
          <w:tab w:leader="none" w:pos="749"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requirements of this Section 2.4, to be timely, a stockholder’s notice must further be updated and supplemented, if necessary, so that the information provided or required to be provided in such notice is true and correct as of the record date(s) for determining the stockholders entitled to notice of, and to vote at, the meeting and as of the date that is 10 business days prior to the meeting or any adjournment, rescheduling or postponement thereof. Such update and supplement, if applicable, must be received by the secretary at the principal executive offices of the Company not later than five business days after the record date(s) for the meeting (in the case of any update and supplement required to be made as of the record date(s)), and not later than eight business days prior to the date for the meeting or any adjournment, rescheduling or postponement thereof (in the case of the update and supplement required to be made as of 10 business days prior to the meeting or any adjournment, rescheduling or postponement thereof).</w:t>
      </w:r>
    </w:p>
    <w:p>
      <w:pPr>
        <w:spacing w:after="0" w:line="189" w:lineRule="exact"/>
        <w:rPr>
          <w:rFonts w:ascii="Times New Roman" w:cs="Times New Roman" w:eastAsia="Times New Roman" w:hAnsi="Times New Roman"/>
          <w:sz w:val="18"/>
          <w:szCs w:val="18"/>
          <w:color w:val="auto"/>
        </w:rPr>
      </w:pPr>
    </w:p>
    <w:p>
      <w:pPr>
        <w:ind w:left="-987" w:right="100" w:firstLine="987"/>
        <w:spacing w:after="0" w:line="257" w:lineRule="auto"/>
        <w:tabs>
          <w:tab w:leader="none" w:pos="259"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 Meetings of Stockholders</w:t>
      </w:r>
      <w:r>
        <w:rPr>
          <w:rFonts w:ascii="Times New Roman" w:cs="Times New Roman" w:eastAsia="Times New Roman" w:hAnsi="Times New Roman"/>
          <w:sz w:val="18"/>
          <w:szCs w:val="18"/>
          <w:color w:val="auto"/>
        </w:rPr>
        <w:t>. Except to the extent required by the DGCL, and subject to Section 2.3(a), special meetings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stockholders may be called only in accordance with the Company’s certificate of incorporation and these bylaws. Only such business will be conducted at a special meeting of stockholders as has been brought before the special meeting pursuant to the Company’s notice of meeting. If the election of directors is included as business to be brought before a special meeting in the Company’s notice of meeting, then nominations of persons for election to the Board of Directors at such special meeting may be made by any stockholder who (i) is a stockholder of record at the time of giving of the notice contemplated by this Section 2.4(b); (ii) is a stockholder of</w:t>
      </w:r>
    </w:p>
    <w:p>
      <w:pPr>
        <w:spacing w:after="0" w:line="116" w:lineRule="exact"/>
        <w:rPr>
          <w:rFonts w:ascii="Times New Roman" w:cs="Times New Roman" w:eastAsia="Times New Roman" w:hAnsi="Times New Roman"/>
          <w:sz w:val="18"/>
          <w:szCs w:val="18"/>
          <w:color w:val="auto"/>
        </w:rPr>
      </w:pPr>
    </w:p>
    <w:p>
      <w:pPr>
        <w:ind w:left="4473" w:hanging="106"/>
        <w:spacing w:after="0"/>
        <w:tabs>
          <w:tab w:leader="none" w:pos="4473" w:val="left"/>
        </w:tabs>
        <w:numPr>
          <w:ilvl w:val="3"/>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0013"/>
          </w:cols>
          <w:pgMar w:left="1427" w:top="270" w:right="459" w:bottom="1440" w:gutter="0" w:footer="0" w:header="0"/>
        </w:sectPr>
      </w:pPr>
    </w:p>
    <w:bookmarkStart w:id="315" w:name="page316"/>
    <w:bookmarkEnd w:id="315"/>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record on the record date for the determination of stockholders entitled to notice of the special meeting; (iii) is a stockholder of record on the record date for the determination of stockholders entitled to vote at the special meeting; (iv) is a stockholder of record at the time of the special meeting; and</w:t>
      </w:r>
    </w:p>
    <w:p>
      <w:pPr>
        <w:ind w:left="4" w:right="60" w:hanging="4"/>
        <w:spacing w:after="0" w:line="252" w:lineRule="auto"/>
        <w:tabs>
          <w:tab w:leader="none" w:pos="25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complies with the procedures set forth in this Section 2.4(b). For nominations to be properly brought by a stockholder before a special meeting pursuant to this Section 2.4(b), the stockholder’s notice must be received by the secretary at the principal executive offices of the Company no earlier than 8:00 a.m., local time, on the 120th day prior to the day of the special meeting and no later than 5:00 p.m., local time, on the 10th day following the day on which public announcement of the date of the special meeting was first made. In no event will any adjournment, rescheduling or postponement of a special meeting or the announcement thereof commence a new time period (or extend any time period) for the giving of a stockholder’s notice. A stockholder’s notice to the Secretary must comply with the applicable notice requirements of Section 2.4(a)(iii).</w:t>
      </w:r>
    </w:p>
    <w:p>
      <w:pPr>
        <w:spacing w:after="0" w:line="187"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Requirements.</w:t>
      </w:r>
    </w:p>
    <w:p>
      <w:pPr>
        <w:spacing w:after="0" w:line="227" w:lineRule="exact"/>
        <w:rPr>
          <w:rFonts w:ascii="Times New Roman" w:cs="Times New Roman" w:eastAsia="Times New Roman" w:hAnsi="Times New Roman"/>
          <w:sz w:val="18"/>
          <w:szCs w:val="18"/>
          <w:color w:val="auto"/>
        </w:rPr>
      </w:pPr>
    </w:p>
    <w:p>
      <w:pPr>
        <w:ind w:left="4" w:right="80" w:firstLine="1428"/>
        <w:spacing w:after="0" w:line="282" w:lineRule="auto"/>
        <w:tabs>
          <w:tab w:leader="none" w:pos="1651" w:val="left"/>
        </w:tabs>
        <w:numPr>
          <w:ilvl w:val="2"/>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eligible to be a nominee by any stockholder for election as a director of the Company, the proposed nominee must provide to the secretary, in accordance with the applicable time periods prescribed for delivery of notice under Section 2.4(a)(ii) or Section 2.4(b):</w:t>
      </w:r>
    </w:p>
    <w:p>
      <w:pPr>
        <w:spacing w:after="0" w:line="161" w:lineRule="exact"/>
        <w:rPr>
          <w:rFonts w:ascii="Times New Roman" w:cs="Times New Roman" w:eastAsia="Times New Roman" w:hAnsi="Times New Roman"/>
          <w:sz w:val="18"/>
          <w:szCs w:val="18"/>
          <w:color w:val="auto"/>
        </w:rPr>
      </w:pPr>
    </w:p>
    <w:p>
      <w:pPr>
        <w:ind w:left="4" w:right="20" w:firstLine="1979"/>
        <w:spacing w:after="0" w:line="261" w:lineRule="auto"/>
        <w:tabs>
          <w:tab w:leader="none" w:pos="2242" w:val="left"/>
        </w:tabs>
        <w:numPr>
          <w:ilvl w:val="3"/>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signed and completed written questionnaire (in the form provided by the secretary at the written request of the nominating stockholder, which form will be provided by the secretary within 10 days of receiving such request) containing information regarding such nominee’s background and qualifications and such other information as may reasonably be required by the Company to determine the eligibility of such nominee to serve as a director of the Company or to serve as an independent director of the Company;</w:t>
      </w:r>
    </w:p>
    <w:p>
      <w:pPr>
        <w:spacing w:after="0" w:line="179" w:lineRule="exact"/>
        <w:rPr>
          <w:rFonts w:ascii="Times New Roman" w:cs="Times New Roman" w:eastAsia="Times New Roman" w:hAnsi="Times New Roman"/>
          <w:sz w:val="18"/>
          <w:szCs w:val="18"/>
          <w:color w:val="auto"/>
        </w:rPr>
      </w:pPr>
    </w:p>
    <w:p>
      <w:pPr>
        <w:jc w:val="both"/>
        <w:ind w:left="4" w:right="60" w:firstLine="1979"/>
        <w:spacing w:after="0" w:line="266" w:lineRule="auto"/>
        <w:tabs>
          <w:tab w:leader="none" w:pos="2242" w:val="left"/>
        </w:tabs>
        <w:numPr>
          <w:ilvl w:val="3"/>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and undertaking that, unless previously disclosed to the Company, such nominee is not, and will not become, a party to any voting agreement, arrangement, commitment, assurance or understanding with any person or entity as to how such nominee, if elected as a director, will vote on any issue;</w:t>
      </w:r>
    </w:p>
    <w:p>
      <w:pPr>
        <w:spacing w:after="0" w:line="175" w:lineRule="exact"/>
        <w:rPr>
          <w:rFonts w:ascii="Times New Roman" w:cs="Times New Roman" w:eastAsia="Times New Roman" w:hAnsi="Times New Roman"/>
          <w:sz w:val="18"/>
          <w:szCs w:val="18"/>
          <w:color w:val="auto"/>
        </w:rPr>
      </w:pPr>
    </w:p>
    <w:p>
      <w:pPr>
        <w:ind w:left="4" w:right="60" w:firstLine="1979"/>
        <w:spacing w:after="0" w:line="282" w:lineRule="auto"/>
        <w:tabs>
          <w:tab w:leader="none" w:pos="2242" w:val="left"/>
        </w:tabs>
        <w:numPr>
          <w:ilvl w:val="3"/>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and undertaking that, unless previously disclosed to the Company, such nominee is not, and will not become, a party to any Third-Party Compensation Arrangement;</w:t>
      </w:r>
    </w:p>
    <w:p>
      <w:pPr>
        <w:spacing w:after="0" w:line="161" w:lineRule="exact"/>
        <w:rPr>
          <w:rFonts w:ascii="Times New Roman" w:cs="Times New Roman" w:eastAsia="Times New Roman" w:hAnsi="Times New Roman"/>
          <w:sz w:val="18"/>
          <w:szCs w:val="18"/>
          <w:color w:val="auto"/>
        </w:rPr>
      </w:pPr>
    </w:p>
    <w:p>
      <w:pPr>
        <w:ind w:left="4" w:right="200" w:firstLine="1979"/>
        <w:spacing w:after="0" w:line="312" w:lineRule="auto"/>
        <w:tabs>
          <w:tab w:leader="none" w:pos="2242" w:val="left"/>
        </w:tabs>
        <w:numPr>
          <w:ilvl w:val="3"/>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written representation and undertaking that, if elected as a director, such nominee would be in compliance, and will continue to comply, with the Company’s corporate governance guidelines as disclosed on the Company’s website, as amended from time to time; and</w:t>
      </w:r>
    </w:p>
    <w:p>
      <w:pPr>
        <w:spacing w:after="0" w:line="139" w:lineRule="exact"/>
        <w:rPr>
          <w:rFonts w:ascii="Times New Roman" w:cs="Times New Roman" w:eastAsia="Times New Roman" w:hAnsi="Times New Roman"/>
          <w:sz w:val="17"/>
          <w:szCs w:val="17"/>
          <w:color w:val="auto"/>
        </w:rPr>
      </w:pPr>
    </w:p>
    <w:p>
      <w:pPr>
        <w:ind w:left="2244" w:hanging="261"/>
        <w:spacing w:after="0"/>
        <w:tabs>
          <w:tab w:leader="none" w:pos="2244" w:val="left"/>
        </w:tabs>
        <w:numPr>
          <w:ilvl w:val="3"/>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written representation and undertaking that such nominee, if elected, intends to serve a full term on the Board of</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w:t>
      </w:r>
    </w:p>
    <w:p>
      <w:pPr>
        <w:spacing w:after="0" w:line="206" w:lineRule="exact"/>
        <w:rPr>
          <w:rFonts w:ascii="Times New Roman" w:cs="Times New Roman" w:eastAsia="Times New Roman" w:hAnsi="Times New Roman"/>
          <w:sz w:val="18"/>
          <w:szCs w:val="18"/>
          <w:color w:val="auto"/>
        </w:rPr>
      </w:pPr>
    </w:p>
    <w:p>
      <w:pPr>
        <w:ind w:left="4" w:right="100" w:firstLine="1428"/>
        <w:spacing w:after="0" w:line="282" w:lineRule="auto"/>
        <w:tabs>
          <w:tab w:leader="none" w:pos="1701" w:val="left"/>
        </w:tabs>
        <w:numPr>
          <w:ilvl w:val="2"/>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request of the Board of Directors, any person nominated by the Board of Directors for election as a director must furnish to the secretary the information that is required to be set forth in a stockholder’s notice of nomination that pertains to such nominee.</w:t>
      </w:r>
    </w:p>
    <w:p>
      <w:pPr>
        <w:spacing w:after="0" w:line="94"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4"/>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10964"/>
          </w:cols>
          <w:pgMar w:left="436" w:top="270" w:right="499" w:bottom="1440" w:gutter="0" w:footer="0" w:header="0"/>
        </w:sectPr>
      </w:pPr>
    </w:p>
    <w:bookmarkStart w:id="316" w:name="page317"/>
    <w:bookmarkEnd w:id="316"/>
    <w:p>
      <w:pPr>
        <w:ind w:right="40" w:firstLine="1428"/>
        <w:spacing w:after="0" w:line="266" w:lineRule="auto"/>
        <w:tabs>
          <w:tab w:leader="none" w:pos="1747"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 person will be eligible to be nominated by a stockholder for election as a director of the Company unless nominated in accordance with the procedures set forth in this Section 2.4. No business proposed by a stockholder will be conducted at a stockholder meeting except in accordance with this Section 2.4.</w:t>
      </w:r>
    </w:p>
    <w:p>
      <w:pPr>
        <w:spacing w:after="0" w:line="175" w:lineRule="exact"/>
        <w:rPr>
          <w:rFonts w:ascii="Times New Roman" w:cs="Times New Roman" w:eastAsia="Times New Roman" w:hAnsi="Times New Roman"/>
          <w:sz w:val="18"/>
          <w:szCs w:val="18"/>
          <w:color w:val="auto"/>
        </w:rPr>
      </w:pPr>
    </w:p>
    <w:p>
      <w:pPr>
        <w:ind w:right="60" w:firstLine="1428"/>
        <w:spacing w:after="0" w:line="261" w:lineRule="auto"/>
        <w:tabs>
          <w:tab w:leader="none" w:pos="1737"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chairperson of the applicable meeting of stockholders will, if the facts warrant, determine and declare to the meeting that a nomination was not made in accordance with the procedures prescribed by these bylaws or that business was not properly brought before the meeting. If the chairperson of the meeting should so determine, then the chairperson of the meeting will so declare to the meeting and the defective nomination will be disregarded or such business will not be transacted, as the case may be.</w:t>
      </w:r>
    </w:p>
    <w:p>
      <w:pPr>
        <w:spacing w:after="0" w:line="179" w:lineRule="exact"/>
        <w:rPr>
          <w:rFonts w:ascii="Times New Roman" w:cs="Times New Roman" w:eastAsia="Times New Roman" w:hAnsi="Times New Roman"/>
          <w:sz w:val="18"/>
          <w:szCs w:val="18"/>
          <w:color w:val="auto"/>
        </w:rPr>
      </w:pPr>
    </w:p>
    <w:p>
      <w:pPr>
        <w:ind w:firstLine="1428"/>
        <w:spacing w:after="0" w:line="254" w:lineRule="auto"/>
        <w:tabs>
          <w:tab w:leader="none" w:pos="1687"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2.4, unless otherwise required by law, if the stockholder (or a qualified representative of the stockholder) does not appear in person at the meeting to present a nomination or other proposed business, such nomination will be disregarded or such proposed business will not be transacted, as the case may be, notwithstanding that proxies in respect of such nomination or business may have been received by the Company and counted for purposes of determining a quorum. For purposes of this Section 2.4,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and such person must produce such writing or electronic transmission, or a reliable reproduction of the writing or electronic transmission, at the meeting.</w:t>
      </w:r>
    </w:p>
    <w:p>
      <w:pPr>
        <w:spacing w:after="0" w:line="191" w:lineRule="exact"/>
        <w:rPr>
          <w:rFonts w:ascii="Times New Roman" w:cs="Times New Roman" w:eastAsia="Times New Roman" w:hAnsi="Times New Roman"/>
          <w:sz w:val="18"/>
          <w:szCs w:val="18"/>
          <w:color w:val="auto"/>
        </w:rPr>
      </w:pPr>
    </w:p>
    <w:p>
      <w:pPr>
        <w:ind w:right="100" w:firstLine="1428"/>
        <w:spacing w:after="0" w:line="258" w:lineRule="auto"/>
        <w:tabs>
          <w:tab w:leader="none" w:pos="1737"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this Section 2.4, a stockholder must also comply with all applicable requirements of the 1934 Act with respect to the matters set forth in this Section 2.4, it being understood that (1) any references in these bylaws to the 1934 Act are not intended to, and will not, limit any requirements applicable to nominations or proposals as to any other business to be considered pursuant to this Section 2.4; and (2) compliance with clause (4) of Section 2.4(a)(i) and with Section 2.4(b) are the exclusive means for a stockholder to make nominations or submit other business (other than as provided in Section 2.4(c)(vii)).</w:t>
      </w:r>
    </w:p>
    <w:p>
      <w:pPr>
        <w:spacing w:after="0" w:line="183" w:lineRule="exact"/>
        <w:rPr>
          <w:rFonts w:ascii="Times New Roman" w:cs="Times New Roman" w:eastAsia="Times New Roman" w:hAnsi="Times New Roman"/>
          <w:sz w:val="18"/>
          <w:szCs w:val="18"/>
          <w:color w:val="auto"/>
        </w:rPr>
      </w:pPr>
    </w:p>
    <w:p>
      <w:pPr>
        <w:ind w:right="60" w:firstLine="1428"/>
        <w:spacing w:after="0" w:line="256" w:lineRule="auto"/>
        <w:tabs>
          <w:tab w:leader="none" w:pos="1787"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Section 2.4, the notice requirements set forth in these bylaws with respect to the proposal of any business pursuant to this Section 2.4 will be deemed to be satisfied by a stockholder if (1) such stockholder has submitted a proposal to the Company in compliance with Rule 14a-8 under the 1934 Act; and (2) such stockholder’s proposal has been included in a proxy statement that has been prepared by the Company to solicit proxies for the meeting of stockholders. Subject to Rule 14a-8 and other applicable rules and regulations under the 1934 Act, nothing in these bylaws will be construed to permit any stockholder, or give any stockholder the right, to include or have disseminated or described in the Company’s proxy statement any nomination of a director or any other business proposal.</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2.5 NOTICE OF STOCKHOLDERS’ MEETINGS</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Whenever stockholders are required or permitted to take any action at a meeting, a notice of the meeting shall be given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ectPr>
          <w:pgSz w:w="11900" w:h="16838" w:orient="portrait"/>
          <w:cols w:equalWidth="0" w:num="1">
            <w:col w:w="11020"/>
          </w:cols>
          <w:pgMar w:left="440" w:top="270" w:right="439" w:bottom="1440" w:gutter="0" w:footer="0" w:header="0"/>
        </w:sectPr>
      </w:pPr>
    </w:p>
    <w:bookmarkStart w:id="317" w:name="page318"/>
    <w:bookmarkEnd w:id="317"/>
    <w:p>
      <w:pPr>
        <w:ind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2.6 QUORUM</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holders of a majority of the voting power of the capital stock of the Company issued and outstanding and entitled to vote, present in person or represented by proxy, shall constitute a quorum for the transaction of business at all meetings of the stockholders.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provided by law, the certificate of incorporation or these bylaws.</w:t>
      </w:r>
    </w:p>
    <w:p>
      <w:pPr>
        <w:spacing w:after="0" w:line="183"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If, however, such quorum is not present or represented at any meeting of the stockholders, then either (a) the chairperson of the meeting, or (b)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original meeting.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2.7 ADJOURNED MEETING; NOTICE</w:t>
      </w:r>
    </w:p>
    <w:p>
      <w:pPr>
        <w:spacing w:after="0" w:line="22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Company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Section 2.11 of these bylaws, and shall give notice of the adjourned meeting to each stockholder of record entitled to vote at such adjourned meeting as of the record date fixed for notice of such adjourned meeting.</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2.8 CONDUCT OF BUSINESS</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chairperson of any meeting of stockholders shall determine the order of business and the procedure at the meeting, including such regulation of the manner of voting and the conduct of business and discussion as seem to the chairperson in order. The chairperson of any meeting of stockholders shall be designated by the Board of Directors; in the absence of such designation, the chairperson of the Board of Directors, if any, or the chief executive officer (in the absence of the chairperson of the Board of Directors) or the president (in the absence of the chairperson of the Board of Directors and the chief executive officer), or in their absence any other executive officer of the Company, shall serve as chairperson of the stockholder meeting. The chairperson of any meeting of stockholders shall have the power to adjourn the meeting to another place, if any, date or time, whether or not a quorum is present.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- 8 -</w:t>
      </w:r>
    </w:p>
    <w:p>
      <w:pPr>
        <w:sectPr>
          <w:pgSz w:w="11900" w:h="16838" w:orient="portrait"/>
          <w:cols w:equalWidth="0" w:num="1">
            <w:col w:w="11000"/>
          </w:cols>
          <w:pgMar w:left="440" w:top="270" w:right="459" w:bottom="1440" w:gutter="0" w:footer="0" w:header="0"/>
        </w:sectPr>
      </w:pPr>
    </w:p>
    <w:bookmarkStart w:id="318" w:name="page319"/>
    <w:bookmarkEnd w:id="31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2.9 VOTING</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spacing w:after="0" w:line="176"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Except as may be otherwise provided in the certificate of incorporation or these bylaws, each stockholder shall be entitled to one vote for each share of capital stock held by such stockholder.</w:t>
      </w:r>
    </w:p>
    <w:p>
      <w:pPr>
        <w:spacing w:after="0" w:line="16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Except as otherwise provided by law, the certificate of incorporation, these bylaws or the rules of the stock exchange on which the Company’s securities are listed,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the voting power of the shares of such class or series or classes or series present in person or represented by proxy at the meeting and entitled to vote on the subject matter shall be the act of such class or series or classes or series, except as otherwise provided by law, the certificate of incorporation, these bylaws or the rules of the stock exchange on which the securities of the Company are listed.</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2.10 STOCKHOLDER ACTION BY WRITTEN CONSENT WITHOUT A MEETING</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Subject to the rights of holders of preferred stock of the Company, any action required or permitted to be taken by the stockholders of the Company must be effected at a duly called annual or special meeting of stockholders of the Company and may not be effected by any consent in writing by such stockholders.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2.11 RECORD DATES</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In order that the Company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1000"/>
          </w:cols>
          <w:pgMar w:left="440" w:top="270" w:right="459" w:bottom="1440" w:gutter="0" w:footer="0" w:header="0"/>
        </w:sectPr>
      </w:pPr>
    </w:p>
    <w:bookmarkStart w:id="319" w:name="page320"/>
    <w:bookmarkEnd w:id="319"/>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76"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 determination of stockholders of record entitled to notice of or to vote at a meeting of stockholders shall apply to any adjournment of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2.11 at the adjourned meeting.</w:t>
      </w:r>
    </w:p>
    <w:p>
      <w:pPr>
        <w:spacing w:after="0" w:line="183"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In order that the Company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2.12 PROXIES</w:t>
      </w:r>
    </w:p>
    <w:p>
      <w:pPr>
        <w:spacing w:after="0" w:line="225"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Each stockholder entitled to vote at a meeting of stockholders may authorize another person or persons to act for such stockholder by proxy authorized by a document or by a transmission permitted by law filed in accordance with the procedure established for the meeting, but no such proxy shall be voted or acted upon after three years from its date, unless the proxy provides for a longer period. The revocability of a proxy that states on its face that it is irrevocable shall be governed by the provisions of Section 212 of the DGCL.</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2.13 LIST OF STOCKHOLDERS ENTITLED TO VOTE</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Company shall prepare, at least 10 days before every meeting of stockholders, a complete list of the stockholders entitled to vote at the meeting;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Company shall not be required to include electronic mail addresses or other electronic contact information on such list. Such list shall be open to the examination of any stockholder for any purpose germane to the meeting for a period of at least 10 days prior to the meeting: (a) on a reasonably accessible electronic network,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information required to gain access to such list is provided with the notice of the meeting, or (b) during ordinary business hours, at the Company’s principal place of business. In the event that the Company determines to make the list available on an electronic network, the Company may take reasonable steps to ensure that such information is available only to stockholders of the Company.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320" w:name="page321"/>
    <w:bookmarkEnd w:id="320"/>
    <w:p>
      <w:pPr>
        <w:ind w:right="4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2.14 INSPECTORS OF ELECTION</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Before any meeting of stockholders, the Company shall appoint an inspector or inspectors of election to act at the meeting or its adjournment. The Company may designate one or more persons as alternate inspectors to replace any inspector who fails to act.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Such inspectors shall:</w:t>
      </w:r>
    </w:p>
    <w:p>
      <w:pPr>
        <w:spacing w:after="0" w:line="225" w:lineRule="exact"/>
        <w:rPr>
          <w:sz w:val="20"/>
          <w:szCs w:val="20"/>
          <w:color w:val="auto"/>
        </w:rPr>
      </w:pPr>
    </w:p>
    <w:p>
      <w:pPr>
        <w:ind w:left="1240" w:hanging="253"/>
        <w:spacing w:after="0"/>
        <w:tabs>
          <w:tab w:leader="none" w:pos="12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ascertain the number of shares outstanding and the voting power of each;</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shares represented at the meeting and the validity of proxies and ballots;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 all votes and ballots;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and retain for a reasonable period a record of the disposition of any challenges made to any determination by the inspectors;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 certify their determination of the number of shares represented at the meeting, and their count of all votes and ballots.</w:t>
      </w:r>
    </w:p>
    <w:p>
      <w:pPr>
        <w:spacing w:after="0" w:line="225"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inspectors of election shall perform their duties impartially, in good faith, to the best of their ability and as expeditiously as is practical. If there are multiple inspectors of election, the decision, act or certificate of a majority is effective in all respects as the decision, act or certificate of all. Any report or certificate made by the inspectors of election is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facts stated therein.</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III - DIRECTORS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3.1 POWERS</w:t>
      </w:r>
    </w:p>
    <w:p>
      <w:pPr>
        <w:spacing w:after="0" w:line="225"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The business and affairs of the Company shall be managed by or under the direction of the Board of Directors, except as may be otherwise provided in the DGCL or the certificate of incorporation.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3.2 NUMBER OF DIRECTORS</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shall consist of one or more members, each of whom shall be a natural person. Unless the certificate of incorporation fixes the number of directors, the number of directors shall be determined from time to time by resolution of a majority of the Whole Board. No reduction of the authorized number of directors shall have the effect of removing any director before that director’s term of office expires.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70" w:right="499" w:bottom="1440" w:gutter="0" w:footer="0" w:header="0"/>
        </w:sectPr>
      </w:pPr>
    </w:p>
    <w:bookmarkStart w:id="321" w:name="page322"/>
    <w:bookmarkEnd w:id="32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3.3 ELECTION, QUALIFICATION AND TERM OF OFFICE OF DIRECTORS</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Except as provided in Section 3.4 of these bylaws, each director, including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so provided in the certificate of incorporation, the directors of the Company shall be divided into three classes.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3.4 RESIGNATION AND VACANCIES</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Any director may resign at any time upon notice given in writing or by electronic transmission to the Company.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8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or these bylaws or permitted in the specific case by resolution of the Board of Directors, and subject to the rights of holders of Preferred Stock, 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 and not by stockholders. If the directors are divided into classes, a person so chosen to fill a vacancy or newly created directorship shall hold office until the next election of the class for which such director shall have been chosen and until his or her successor shall have been duly elected and qualified.</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3.5 PLACE OF MEETINGS; MEETINGS BY TELEPHONE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Board of Directors may hold meetings, both regular and special, either within or outside the State of Delaware.</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members of the Board of Directors may participate in a meeting of the Board of Directors by means of conference telephone or other communications equipment by means of which all persons participating in the meeting can hear each other, and such participation in a meeting shall constitute presence in person at the meeting.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3.6 REGULAR MEETINGS</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Regular meetings of the Board of Directors may be held without notice at such time and at such place as shall from time to time be determined by the Board of Directors.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322" w:name="page323"/>
    <w:bookmarkEnd w:id="32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3.7 SPECIAL MEETINGS; NOTICE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Special meetings of the Board of Directors for any purpose or purposes may be called at any time by the chairperson of the Board of Directors, the chief executive officer, the president, the secretary or a majority of the Whole Board.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Notice of the time and place of special meetings shall be:</w:t>
      </w:r>
    </w:p>
    <w:p>
      <w:pPr>
        <w:spacing w:after="0" w:line="225" w:lineRule="exact"/>
        <w:rPr>
          <w:sz w:val="20"/>
          <w:szCs w:val="20"/>
          <w:color w:val="auto"/>
        </w:rPr>
      </w:pPr>
    </w:p>
    <w:p>
      <w:pPr>
        <w:ind w:left="1240" w:hanging="253"/>
        <w:spacing w:after="0"/>
        <w:tabs>
          <w:tab w:leader="none" w:pos="12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personally by hand, by courier or by telephone;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United States first-class mail, postage prepaid;</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facsimile;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sent by electronic mail; or</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given by electronic transmission (as defined in Section 232 of the DGCL),</w:t>
      </w:r>
    </w:p>
    <w:p>
      <w:pPr>
        <w:spacing w:after="0" w:line="22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directed to each director at that director’s address, telephone number, facsimile number, electronic mail address or other contact for notice by electronic transmission, as the case may be, as shown on the Company’s records.</w:t>
      </w:r>
    </w:p>
    <w:p>
      <w:pPr>
        <w:spacing w:after="0" w:line="162"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If the notice is (i) delivered personally by hand, by courier or by telephone, (ii) sent by facsimile, (iii) sent by electronic mail or (iv) otherwise given by electronic transmission, it shall be delivered, sent or otherwise directed to each director, as applicable,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Company’s principal executive office) nor the purpose of the meeting, unless required by statute.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3.8 QUORUM; VOTING</w:t>
      </w:r>
    </w:p>
    <w:p>
      <w:pPr>
        <w:spacing w:after="0" w:line="225"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At all meetings of the Board of Directors, a majority of the Whole Board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w:t>
      </w:r>
    </w:p>
    <w:p>
      <w:pPr>
        <w:spacing w:after="0" w:line="176"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affirmative vote of a majority of the directors present at any meeting at which a quorum is present shall be the act of the Board of Directors, except as may be otherwise specifically provided by statute, the certificate of incorporation or these bylaws.</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If the certificate of incorporation provides that one or more directors shall have more or less than one vote per director on any matter, except as may otherwise be expressly provided herein or therein and denoted with the phrase “notwithstanding the final paragraph of Section 3.8 of the bylaws” or language to similar effect, every reference in these bylaws to a majority or other proportion of the directors shall refer to a majority or other proportion of the votes of the directors.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323" w:name="page324"/>
    <w:bookmarkEnd w:id="32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3.9 BOARD ACTION BY WRITTEN CONSENT WITHOUT A MEETING</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Section 3.9 at such effective time so long as such person is then a director and did not revoke the consent prior to such time. Any such consent shall be revocable prior to its becoming effective.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3.10 FEES AND COMPENSATION OF DIRECTORS</w:t>
      </w:r>
    </w:p>
    <w:p>
      <w:pPr>
        <w:spacing w:after="0" w:line="225" w:lineRule="exact"/>
        <w:rPr>
          <w:sz w:val="20"/>
          <w:szCs w:val="20"/>
          <w:color w:val="auto"/>
        </w:rPr>
      </w:pPr>
    </w:p>
    <w:p>
      <w:pPr>
        <w:ind w:right="860" w:firstLine="440"/>
        <w:spacing w:after="0" w:line="282" w:lineRule="auto"/>
        <w:rPr>
          <w:sz w:val="20"/>
          <w:szCs w:val="20"/>
          <w:color w:val="auto"/>
        </w:rPr>
      </w:pPr>
      <w:r>
        <w:rPr>
          <w:rFonts w:ascii="Times New Roman" w:cs="Times New Roman" w:eastAsia="Times New Roman" w:hAnsi="Times New Roman"/>
          <w:sz w:val="18"/>
          <w:szCs w:val="18"/>
          <w:color w:val="auto"/>
        </w:rPr>
        <w:t>Unless otherwise restricted by the certificate of incorporation or these bylaws, the Board of Directors shall have the authority to fix the compensation of directors.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3.11 REMOVAL OF DIRECTORS</w:t>
      </w:r>
    </w:p>
    <w:p>
      <w:pPr>
        <w:spacing w:after="0" w:line="225"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Any director or the entire Board of Directors may be removed from office by stockholders of the Company in the manner specified in the certificate of incorporation and applicable law. No reduction of the authorized number of directors shall have the effect of removing any director prior to the expiration of such director’s term of office.</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 - COMMITTEES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4.1 COMMITTEES OF DIRECTORS</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Board of Directors may, by resolution passed by a majority of the Whole Board, designate one or more committees, each committee to consist of one or more of the directors of the Company. The Board of Directors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Company, and may authorize the seal of the Company to be affixed to all papers that may require it; but no such committee shall have the power or authority to (a) approve or adopt, or recommend to the stockholders, any action or matter (other than the election or removal of directors) expressly required by the DGCL to be submitted to stockholders for approval, or (b) adopt, amend or repeal any bylaw of the Company.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324" w:name="page325"/>
    <w:bookmarkEnd w:id="324"/>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4.2 COMMITTEE MINUTES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Each committee shall keep regular minutes of its meetings.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4.3 MEETINGS AND ACTION OF COMMITTEES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Meetings and actions of committees shall be governed by, and held and taken in accordance with, the provisions of:</w:t>
      </w:r>
    </w:p>
    <w:p>
      <w:pPr>
        <w:spacing w:after="0" w:line="225" w:lineRule="exact"/>
        <w:rPr>
          <w:sz w:val="20"/>
          <w:szCs w:val="20"/>
          <w:color w:val="auto"/>
        </w:rPr>
      </w:pPr>
    </w:p>
    <w:p>
      <w:pPr>
        <w:ind w:left="1244" w:hanging="253"/>
        <w:spacing w:after="0"/>
        <w:tabs>
          <w:tab w:leader="none" w:pos="124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3.5 (place of meetings and meetings by telephone);</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3.6 (regular meetings);</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3.7 (special meetings and notice);</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3.8 (quorum; voting);</w:t>
      </w:r>
    </w:p>
    <w:p>
      <w:pPr>
        <w:spacing w:after="0" w:line="22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3.9 (action without a meeting); and</w:t>
      </w:r>
    </w:p>
    <w:p>
      <w:pPr>
        <w:spacing w:after="0" w:line="225"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7.4 (waiver of notice)</w:t>
      </w:r>
    </w:p>
    <w:p>
      <w:pPr>
        <w:spacing w:after="0" w:line="225" w:lineRule="exact"/>
        <w:rPr>
          <w:sz w:val="20"/>
          <w:szCs w:val="20"/>
          <w:color w:val="auto"/>
        </w:rPr>
      </w:pPr>
    </w:p>
    <w:p>
      <w:pPr>
        <w:ind w:left="4" w:right="260"/>
        <w:spacing w:after="0" w:line="272" w:lineRule="auto"/>
        <w:rPr>
          <w:sz w:val="20"/>
          <w:szCs w:val="20"/>
          <w:color w:val="auto"/>
        </w:rPr>
      </w:pPr>
      <w:r>
        <w:rPr>
          <w:rFonts w:ascii="Times New Roman" w:cs="Times New Roman" w:eastAsia="Times New Roman" w:hAnsi="Times New Roman"/>
          <w:sz w:val="17"/>
          <w:szCs w:val="17"/>
          <w:color w:val="auto"/>
        </w:rPr>
        <w:t xml:space="preserve">with such changes in the context of those bylaws as are necessary to substitute the committee and its members for the Board of Directors and its members.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(i) the time and place of regular meetings of committees may be determined either by resolution of the Board of Directors or by resolution of the committee; (ii) special meetings of committees may also be called by resolution of the Board of Directors or the committee; and</w:t>
      </w:r>
    </w:p>
    <w:p>
      <w:pPr>
        <w:spacing w:after="0" w:line="2" w:lineRule="exact"/>
        <w:rPr>
          <w:sz w:val="20"/>
          <w:szCs w:val="20"/>
          <w:color w:val="auto"/>
        </w:rPr>
      </w:pPr>
    </w:p>
    <w:p>
      <w:pPr>
        <w:jc w:val="both"/>
        <w:ind w:left="4" w:right="660" w:hanging="4"/>
        <w:spacing w:after="0" w:line="290" w:lineRule="auto"/>
        <w:tabs>
          <w:tab w:leader="none" w:pos="319" w:val="left"/>
        </w:tabs>
        <w:numPr>
          <w:ilvl w:val="0"/>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notice of special meetings of committees shall also be given to all alternate members who shall have the right to attend all meetings of the committee. The Board of Directors may adopt rules for the government of any committee not inconsistent with the provisions of these bylaws.</w:t>
      </w:r>
    </w:p>
    <w:p>
      <w:pPr>
        <w:spacing w:after="0" w:line="157"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4.4 SUBCOMMITTEES</w:t>
      </w:r>
    </w:p>
    <w:p>
      <w:pPr>
        <w:spacing w:after="0" w:line="225"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10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24"/>
          </w:cols>
          <w:pgMar w:left="436" w:top="270" w:right="539" w:bottom="1440" w:gutter="0" w:footer="0" w:header="0"/>
        </w:sectPr>
      </w:pPr>
    </w:p>
    <w:bookmarkStart w:id="325" w:name="page326"/>
    <w:bookmarkEnd w:id="3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ARTICLE V - OFFICERS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5.1 OFFICERS</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officers of the Company shall be a president and a secretary. The Company may also have, at the discretion of the Board of Directors, a chairperson of the Board of Directors, a vice chairperson of the Board of Directors,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5.2 APPOINTMENT OF OFFICERS</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Board of Directors shall appoint the officers of the Company, except such officers as may be appointed in accordance with the provisions of Section 5.3 of these bylaws, subject to the rights, if any, of an officer under any contract of employment.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5.3 SUBORDINATE OFFICERS</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may appoint, or empower the chief executive officer or, in the absence of a chief executive officer, the president, to appoint, such other officers as the business of the Company may require. Each of such officers shall hold office for such period, have such authority, and perform such duties as are provided in these bylaws or as the Board of Directors may from time to time determine.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5.4 REMOVAL AND RESIGNATION OF OFFICERS</w:t>
      </w:r>
    </w:p>
    <w:p>
      <w:pPr>
        <w:spacing w:after="0" w:line="225" w:lineRule="exact"/>
        <w:rPr>
          <w:sz w:val="20"/>
          <w:szCs w:val="20"/>
          <w:color w:val="auto"/>
        </w:rPr>
      </w:pPr>
    </w:p>
    <w:p>
      <w:pPr>
        <w:jc w:val="both"/>
        <w:ind w:right="320" w:firstLine="440"/>
        <w:spacing w:after="0" w:line="266" w:lineRule="auto"/>
        <w:rPr>
          <w:sz w:val="20"/>
          <w:szCs w:val="20"/>
          <w:color w:val="auto"/>
        </w:rPr>
      </w:pPr>
      <w:r>
        <w:rPr>
          <w:rFonts w:ascii="Times New Roman" w:cs="Times New Roman" w:eastAsia="Times New Roman" w:hAnsi="Times New Roman"/>
          <w:sz w:val="18"/>
          <w:szCs w:val="18"/>
          <w:color w:val="auto"/>
        </w:rPr>
        <w:t>Subject to the rights, if any, of an officer under any contract of employment, any officer may be removed, either with or without cause, by the Board of Directors or, for the avoidance of doubt, any duly authorized committee or subcommittee thereof or by any officer who has been conferred such power of removal.</w:t>
      </w:r>
    </w:p>
    <w:p>
      <w:pPr>
        <w:spacing w:after="0" w:line="176"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Any officer may resign at any time by giving written notice to the Company.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Company under any contract to which the officer is a party.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5.5 VACANCIES IN OFFICES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vacancy occurring in any office of the Company shall be filled by the Board of Directors or as provided in Section 5.3.</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5.6 REPRESENTATION OF SECURITIES OF OTHER ENTITIES</w:t>
      </w:r>
    </w:p>
    <w:p>
      <w:pPr>
        <w:spacing w:after="0" w:line="225" w:lineRule="exact"/>
        <w:rPr>
          <w:sz w:val="20"/>
          <w:szCs w:val="20"/>
          <w:color w:val="auto"/>
        </w:rPr>
      </w:pPr>
    </w:p>
    <w:p>
      <w:pPr>
        <w:jc w:val="both"/>
        <w:ind w:right="260" w:firstLine="440"/>
        <w:spacing w:after="0" w:line="261" w:lineRule="auto"/>
        <w:rPr>
          <w:sz w:val="20"/>
          <w:szCs w:val="20"/>
          <w:color w:val="auto"/>
        </w:rPr>
      </w:pPr>
      <w:r>
        <w:rPr>
          <w:rFonts w:ascii="Times New Roman" w:cs="Times New Roman" w:eastAsia="Times New Roman" w:hAnsi="Times New Roman"/>
          <w:sz w:val="18"/>
          <w:szCs w:val="18"/>
          <w:color w:val="auto"/>
        </w:rPr>
        <w:t>The chairperson of the Board of Directors, the chief executive officer, the president, any vice president, the treasurer, the secretary or assistant secretary of this Company or any other person authorized by the Board of Directors or the chief executive officer, the president or a vice president, is authorized to vote, represent and exercise on behalf of this Company all rights incident to any and all shares or other securities of any other entity or entities, and all rights incident to any management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66" w:right="479" w:bottom="1440" w:gutter="0" w:footer="0" w:header="0"/>
        </w:sectPr>
      </w:pPr>
    </w:p>
    <w:bookmarkStart w:id="326" w:name="page327"/>
    <w:bookmarkEnd w:id="326"/>
    <w:p>
      <w:pPr>
        <w:jc w:val="both"/>
        <w:ind w:right="5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authority conferred on the Company in accordance with the governing documents of any entity or entities, standing in the name of this Company, including the right to act by written consent. The authority granted herein may be exercised either by such person directly or by any other person authorized to do so by proxy or power of attorney duly executed by such person having the authority.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5.7 AUTHORITY AND DUTIES OF OFFICERS</w:t>
      </w:r>
    </w:p>
    <w:p>
      <w:pPr>
        <w:spacing w:after="0" w:line="225"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All officers of the Company shall respectively have such authority and perform such duties in the management of the business of the Company as may be designated from time to time by the Board of Directors and, to the extent not so provided, as generally pertain to their respective offices, subject to the control of the Board of Directors.</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VI - STOCK</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6.1 STOCK CERTIFICATES; PARTLY PAID SHARES</w:t>
      </w:r>
    </w:p>
    <w:p>
      <w:pPr>
        <w:spacing w:after="0" w:line="22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The shares of the Company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Company. Unless otherwise provided by resolution of the Board of Directors, every holder of stock represented by certificates shall be entitled to have a certificate signed by, or in the name of, the Company by any two authorized officers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w:t>
      </w:r>
    </w:p>
    <w:p>
      <w:pPr>
        <w:spacing w:after="0" w:line="192"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The Company may issue the whole or any part of its shares as partly paid and subject to call for the remainder of the consideration to be paid therefor. Upon the face or back of each stock certificate issued to represent any such partly-paid shares, or upon the books and records of the Company in the case of uncertificated partly-paid shares, the total amount of the consideration to be paid therefor and the amount paid thereon shall be stated. Upon the declaration of any dividend on fully-paid shares, the Company shall declare a dividend upon partly-paid shares of the same class, but only upon the basis of the percentage of the consideration actually paid thereon.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6.2 SPECIAL DESIGNATION ON CERTIFICATES</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If the Company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except as otherwise provided in Section 202 of the DGCL, in lieu of the foregoing requirements, there may be set forth on the face or back of the certificate that the Company shall issue to represent such class or series of stock, a statement that the Company will furnish without charge to each stockholder who so requests the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327" w:name="page328"/>
    <w:bookmarkEnd w:id="32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Section 6.2 or Sections 156, 202(a), 218(a) or 364 of the DGCL or with respect to this Section 6.2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6.3 LOST CERTIFICATES</w:t>
      </w:r>
    </w:p>
    <w:p>
      <w:pPr>
        <w:spacing w:after="0" w:line="225"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Except as provided in this Section 6.3, no new certificates for shares shall be issued to replace a previously issued certificate unless the latter is surrendered to the Company and cancelled at the same time. The Company may issue a new certificate of stock or uncertificated shares in the place of any certificate theretofore issued by it, alleged to have been lost, stolen or destroyed, and the Company may require the owner of the lost, stolen or destroyed certificate, or such owner’s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6.4 DIVIDENDS</w:t>
      </w:r>
    </w:p>
    <w:p>
      <w:pPr>
        <w:spacing w:after="0" w:line="225"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The Board of Directors, subject to any restrictions contained in the certificate of incorporation or applicable law, may declare and pay dividends upon the shares of the Company’s capital stock. Dividends may be paid in cash, in property, or in shares of the Company’s capital stock, subject to the provisions of the certificate of incorporation. The Board of Directors may set apart out of any of the funds of the Company available for dividends a reserve or reserves for any proper purpose and may abolish any such reserve.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6.5 TRANSFER OF STOCK</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Transfers of record of shares of stock of the Company shall be made only upon its books by the holders thereof, in person or by an attorney duly authorized, and, if such stock is certificated, upon the surrender of a certificate or certificates for a like number of shares, properly endorsed or accompanied by proper evidence of succession, assignation or authority to transfer.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6.6 STOCK TRANSFER AGREEMENTS</w:t>
      </w:r>
    </w:p>
    <w:p>
      <w:pPr>
        <w:spacing w:after="0" w:line="225"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shall have power to enter into and perform any agreement with any number of stockholders of any one or more classes of stock of the Company to restrict the transfer of shares of stock of the Company of any one or more classes owned by such stockholders in any manner not prohibited by the DGCL.</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0"/>
          </w:cols>
          <w:pgMar w:left="440" w:top="270" w:right="519" w:bottom="1440" w:gutter="0" w:footer="0" w:header="0"/>
        </w:sectPr>
      </w:pPr>
    </w:p>
    <w:bookmarkStart w:id="328" w:name="page329"/>
    <w:bookmarkEnd w:id="32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6.7 REGISTERED STOCKHOLDERS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w:t>
      </w:r>
    </w:p>
    <w:p>
      <w:pPr>
        <w:spacing w:after="0" w:line="225" w:lineRule="exact"/>
        <w:rPr>
          <w:sz w:val="20"/>
          <w:szCs w:val="20"/>
          <w:color w:val="auto"/>
        </w:rPr>
      </w:pPr>
    </w:p>
    <w:p>
      <w:pPr>
        <w:ind w:right="340" w:firstLine="987"/>
        <w:spacing w:after="0" w:line="282" w:lineRule="auto"/>
        <w:tabs>
          <w:tab w:leader="none" w:pos="1236"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be entitled to recognize the exclusive right of a person registered on its books as the owner of shares to receive dividends and notices and to vote as such owner; and</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374"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ARTICLE VII - MANNER OF GIVING NOTICE AND WAIVER</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7.1 NOTICE OF STOCKHOLDERS’ MEETINGS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Notice of any meeting of stockholders shall be given in the manner set forth in the DGCL.</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7.2 NOTICE TO STOCKHOLDERS SHARING AN ADDRESS</w:t>
      </w:r>
    </w:p>
    <w:p>
      <w:pPr>
        <w:spacing w:after="0" w:line="225" w:lineRule="exact"/>
        <w:rPr>
          <w:sz w:val="20"/>
          <w:szCs w:val="20"/>
          <w:color w:val="auto"/>
        </w:rPr>
      </w:pPr>
    </w:p>
    <w:p>
      <w:pPr>
        <w:jc w:val="both"/>
        <w:ind w:right="20" w:firstLine="440"/>
        <w:spacing w:after="0" w:line="272" w:lineRule="auto"/>
        <w:rPr>
          <w:sz w:val="20"/>
          <w:szCs w:val="20"/>
          <w:color w:val="auto"/>
        </w:rPr>
      </w:pPr>
      <w:r>
        <w:rPr>
          <w:rFonts w:ascii="Times New Roman" w:cs="Times New Roman" w:eastAsia="Times New Roman" w:hAnsi="Times New Roman"/>
          <w:sz w:val="17"/>
          <w:szCs w:val="17"/>
          <w:color w:val="auto"/>
        </w:rPr>
        <w:t>Except as otherwise prohibited under the DGCL, without limiting the manner by which notice otherwise may be given effectively to stockholders, any notice to stockholders given by the Company under the provisions of the DGCL, the certificate of incorporation or these bylaws shall be effective if given by a single written notice to stockholders who share an address if consented to by the stockholders at that address to whom such notice is given.</w:t>
      </w:r>
    </w:p>
    <w:p>
      <w:pPr>
        <w:spacing w:after="0" w:line="2" w:lineRule="exact"/>
        <w:rPr>
          <w:sz w:val="20"/>
          <w:szCs w:val="20"/>
          <w:color w:val="auto"/>
        </w:rPr>
      </w:pPr>
    </w:p>
    <w:p>
      <w:pPr>
        <w:jc w:val="both"/>
        <w:ind w:right="620"/>
        <w:spacing w:after="0" w:line="255" w:lineRule="auto"/>
        <w:rPr>
          <w:sz w:val="20"/>
          <w:szCs w:val="20"/>
          <w:color w:val="auto"/>
        </w:rPr>
      </w:pPr>
      <w:r>
        <w:rPr>
          <w:rFonts w:ascii="Times New Roman" w:cs="Times New Roman" w:eastAsia="Times New Roman" w:hAnsi="Times New Roman"/>
          <w:sz w:val="18"/>
          <w:szCs w:val="18"/>
          <w:color w:val="auto"/>
        </w:rPr>
        <w:t>Any such consent shall be revocable by the stockholder by written notice to the Company. Any stockholder who fails to object in writing to the Company, within 60 days of having been given written notice by the Company of its intention to send the single notice, shall be deemed to have consented to receiving such single written notice. This Section 7.2 shall not apply to Sections 164, 296, 311, 312 or 324 of the DGCL.</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7.3 NOTICE TO PERSON WITH WHOM COMMUNICATION IS UNLAWFUL</w:t>
      </w:r>
    </w:p>
    <w:p>
      <w:pPr>
        <w:spacing w:after="0" w:line="225"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Company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7.4 WAIVER OF NOTICE</w:t>
      </w:r>
    </w:p>
    <w:p>
      <w:pPr>
        <w:spacing w:after="0" w:line="225" w:lineRule="exact"/>
        <w:rPr>
          <w:sz w:val="20"/>
          <w:szCs w:val="20"/>
          <w:color w:val="auto"/>
        </w:rPr>
      </w:pPr>
    </w:p>
    <w:p>
      <w:pPr>
        <w:ind w:right="300" w:firstLine="440"/>
        <w:spacing w:after="0" w:line="261" w:lineRule="auto"/>
        <w:rPr>
          <w:sz w:val="20"/>
          <w:szCs w:val="20"/>
          <w:color w:val="auto"/>
        </w:rPr>
      </w:pPr>
      <w:r>
        <w:rPr>
          <w:rFonts w:ascii="Times New Roman" w:cs="Times New Roman" w:eastAsia="Times New Roman" w:hAnsi="Times New Roman"/>
          <w:sz w:val="18"/>
          <w:szCs w:val="18"/>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40" w:top="270" w:right="479" w:bottom="1440" w:gutter="0" w:footer="0" w:header="0"/>
        </w:sectPr>
      </w:pPr>
    </w:p>
    <w:bookmarkStart w:id="329" w:name="page330"/>
    <w:bookmarkEnd w:id="329"/>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 - INDEMNIFICATION</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8.1 INDEMNIFICATION OF DIRECTORS AND OFFICERS IN THIRD PARTY PROCEEDINGS</w:t>
      </w:r>
    </w:p>
    <w:p>
      <w:pPr>
        <w:spacing w:after="0" w:line="225"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7"/>
          <w:szCs w:val="17"/>
          <w:color w:val="auto"/>
        </w:rPr>
        <w:t>Subject to the other provisions of this Article VIII, the Company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Times New Roman" w:cs="Times New Roman" w:eastAsia="Times New Roman" w:hAnsi="Times New Roman"/>
          <w:sz w:val="17"/>
          <w:szCs w:val="17"/>
          <w:b w:val="1"/>
          <w:bCs w:val="1"/>
          <w:color w:val="auto"/>
        </w:rPr>
        <w:t>Proceeding</w:t>
      </w:r>
      <w:r>
        <w:rPr>
          <w:rFonts w:ascii="Times New Roman" w:cs="Times New Roman" w:eastAsia="Times New Roman" w:hAnsi="Times New Roman"/>
          <w:sz w:val="17"/>
          <w:szCs w:val="17"/>
          <w:color w:val="auto"/>
        </w:rPr>
        <w:t xml:space="preserve">”)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Company, and, with respect to any criminal action or proceeding, had no reasonable cause to believe such person’s conduct was unlawful. The termination of any Proceeding by judgment, order, settlement, conviction, or upon a plea of </w:t>
      </w:r>
      <w:r>
        <w:rPr>
          <w:rFonts w:ascii="Times New Roman" w:cs="Times New Roman" w:eastAsia="Times New Roman" w:hAnsi="Times New Roman"/>
          <w:sz w:val="17"/>
          <w:szCs w:val="17"/>
          <w:i w:val="1"/>
          <w:iCs w:val="1"/>
          <w:color w:val="auto"/>
        </w:rPr>
        <w:t>nolo contendere</w:t>
      </w:r>
      <w:r>
        <w:rPr>
          <w:rFonts w:ascii="Times New Roman" w:cs="Times New Roman" w:eastAsia="Times New Roman" w:hAnsi="Times New Roman"/>
          <w:sz w:val="17"/>
          <w:szCs w:val="17"/>
          <w:color w:val="auto"/>
        </w:rPr>
        <w:t xml:space="preserve"> or its equivalent, shall not, of itself, create a presumption that the person did not act in good faith and in a manner which such person reasonably believed to be in or not opposed to the best interests of the Company, and, with respect to any criminal action or proceeding, had reasonable cause to believe that such person’s conduct was unlawful.</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8.2 INDEMNIFICATION OF DIRECTORS AND OFFICERS IN ACTIONS BY OR IN THE RIGHT OF THE COMPANY</w:t>
      </w:r>
    </w:p>
    <w:p>
      <w:pPr>
        <w:spacing w:after="0" w:line="225" w:lineRule="exact"/>
        <w:rPr>
          <w:sz w:val="20"/>
          <w:szCs w:val="20"/>
          <w:color w:val="auto"/>
        </w:rPr>
      </w:pPr>
    </w:p>
    <w:p>
      <w:pPr>
        <w:ind w:right="40" w:firstLine="440"/>
        <w:spacing w:after="0" w:line="272" w:lineRule="auto"/>
        <w:rPr>
          <w:sz w:val="20"/>
          <w:szCs w:val="20"/>
          <w:color w:val="auto"/>
        </w:rPr>
      </w:pPr>
      <w:r>
        <w:rPr>
          <w:rFonts w:ascii="Times New Roman" w:cs="Times New Roman" w:eastAsia="Times New Roman" w:hAnsi="Times New Roman"/>
          <w:sz w:val="17"/>
          <w:szCs w:val="17"/>
          <w:color w:val="auto"/>
        </w:rPr>
        <w:t>Subject to the other provisions of this Article VIII, the Company shall indemnify, to the fullest extent permitted by the DGCL, as now or hereinafter in effect, any person who was or is a party or is threatened to be made a party to any threatened, pending or completed Proceeding by or in the right of the Company to procure a judgment in its favor against expenses (including attorneys’ fees) actually and reasonably incurred by such person in connection with the defense or settlement of such Proceeding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330" w:name="page331"/>
    <w:bookmarkEnd w:id="33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8.3 SUCCESSFUL DEFENSE</w:t>
      </w:r>
    </w:p>
    <w:p>
      <w:pPr>
        <w:spacing w:after="0" w:line="225"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To the extent that a present or former director or officer of the Company has been successful on the merits or otherwise in defense of any action, suit or proceeding described in Section 8.1 or Section 8.2, or in defense of any claim, issue or matter therein, such person shall be indemnified against expenses (including attorneys’ fees) actually and reasonably incurred by such person in connection therewith.</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8.4 INDEMNIFICATION OF OTHERS</w:t>
      </w:r>
    </w:p>
    <w:p>
      <w:pPr>
        <w:spacing w:after="0" w:line="225" w:lineRule="exact"/>
        <w:rPr>
          <w:sz w:val="20"/>
          <w:szCs w:val="20"/>
          <w:color w:val="auto"/>
        </w:rPr>
      </w:pPr>
    </w:p>
    <w:p>
      <w:pPr>
        <w:jc w:val="both"/>
        <w:ind w:right="600" w:firstLine="440"/>
        <w:spacing w:after="0" w:line="289" w:lineRule="auto"/>
        <w:rPr>
          <w:sz w:val="20"/>
          <w:szCs w:val="20"/>
          <w:color w:val="auto"/>
        </w:rPr>
      </w:pPr>
      <w:r>
        <w:rPr>
          <w:rFonts w:ascii="Times New Roman" w:cs="Times New Roman" w:eastAsia="Times New Roman" w:hAnsi="Times New Roman"/>
          <w:sz w:val="17"/>
          <w:szCs w:val="17"/>
          <w:color w:val="auto"/>
        </w:rPr>
        <w:t>Subject to the other provisions of this Article VIII, the Company shall have power to indemnify its employees and agents to the extent not prohibited by the DGCL or other applicable law. The Board of Directors shall have the power to delegate to any person or persons identified in subsections (1) through (4) of Section 145(d) of the DGCL the determination of whether employees or agents shall be indemnified.</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8.5 ADVANCED PAYMENT OF EXPENSES</w:t>
      </w:r>
    </w:p>
    <w:p>
      <w:pPr>
        <w:spacing w:after="0" w:line="225"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Expenses (including attorneys’ fees) actually and reasonably incurred by an officer or director of the Company in defending any Proceeding shall be paid by the Company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VIII or the DGCL. Such expenses (including attorneys’ fees) actually and reasonably incurred by former directors and officers or other employees and agents of the Company or by persons serving at the request of the Company as directors, officers, employees or agents of another corporation, partnership, joint venture, trust or other enterprise may be so paid upon such terms and conditions, if any, as the Company deems appropriate. The right to advancement of expenses shall not apply to any Proceeding (or any part of any Proceeding) for which indemnity is excluded pursuant to these bylaws, but shall apply to any Proceeding (or any part of any Proceeding) referenced in Section 8.6(b) or 8.6(c) prior to a determination that the person is not entitled to be indemnified by the Company.</w:t>
      </w:r>
    </w:p>
    <w:p>
      <w:pPr>
        <w:spacing w:after="0" w:line="188"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Notwithstanding the foregoing, unless otherwise determined pursuant to Section 8.8, no advance shall be made by the Company to an officer of the Company (except by reason of the fact that such officer is or was a director of the Company, in which event this paragraph shall not apply) in any Proceeding if a determination is reasonably and promptly made (a) by a vote of the directors who are not parties to such Proceeding, even though less than a quorum, or (b) by a committee of such directors designated by the vote of the majority of such directors, even though less than a quorum, or (c) if there are no such directors, or if such directors so direct, by independent legal counsel in a written opinion, that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0"/>
          </w:cols>
          <w:pgMar w:left="440" w:top="270" w:right="499" w:bottom="1440" w:gutter="0" w:footer="0" w:header="0"/>
        </w:sectPr>
      </w:pPr>
    </w:p>
    <w:bookmarkStart w:id="331" w:name="page332"/>
    <w:bookmarkEnd w:id="33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8.6 LIMITATION ON INDEMNIFICATION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Subject to the requirements in Section 8.3 and the DGCL, the Company shall not be obligated to indemnify any person pursuant to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VIII in connection with any Proceeding (or any part of any Proceeding):</w:t>
      </w:r>
    </w:p>
    <w:p>
      <w:pPr>
        <w:spacing w:after="0" w:line="207" w:lineRule="exact"/>
        <w:rPr>
          <w:sz w:val="20"/>
          <w:szCs w:val="20"/>
          <w:color w:val="auto"/>
        </w:rPr>
      </w:pPr>
    </w:p>
    <w:p>
      <w:pPr>
        <w:ind w:firstLine="987"/>
        <w:spacing w:after="0" w:line="282" w:lineRule="auto"/>
        <w:tabs>
          <w:tab w:leader="none" w:pos="123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made to or on behalf of such person under any statute, insurance policy, indemnity provision, vote or otherwise, except with respect to any excess beyond the amount paid;</w:t>
      </w:r>
    </w:p>
    <w:p>
      <w:pPr>
        <w:spacing w:after="0" w:line="161" w:lineRule="exact"/>
        <w:rPr>
          <w:rFonts w:ascii="Times New Roman" w:cs="Times New Roman" w:eastAsia="Times New Roman" w:hAnsi="Times New Roman"/>
          <w:sz w:val="18"/>
          <w:szCs w:val="18"/>
          <w:color w:val="auto"/>
        </w:rPr>
      </w:pPr>
    </w:p>
    <w:p>
      <w:pPr>
        <w:ind w:right="180" w:firstLine="987"/>
        <w:spacing w:after="0" w:line="282" w:lineRule="auto"/>
        <w:tabs>
          <w:tab w:leader="none" w:pos="124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or disgorgement of profits pursuant to Section 16(b) of the 1934 Act, or similar provisions of federal, state or local statutory law or common law, if such person is held liable therefor (including pursuant to any settlement arrangements);</w:t>
      </w:r>
    </w:p>
    <w:p>
      <w:pPr>
        <w:spacing w:after="0" w:line="161" w:lineRule="exact"/>
        <w:rPr>
          <w:rFonts w:ascii="Times New Roman" w:cs="Times New Roman" w:eastAsia="Times New Roman" w:hAnsi="Times New Roman"/>
          <w:sz w:val="18"/>
          <w:szCs w:val="18"/>
          <w:color w:val="auto"/>
        </w:rPr>
      </w:pPr>
    </w:p>
    <w:p>
      <w:pPr>
        <w:ind w:right="40" w:firstLine="987"/>
        <w:spacing w:after="0" w:line="258" w:lineRule="auto"/>
        <w:tabs>
          <w:tab w:leader="none" w:pos="123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reimbursement of the Company by such person of any bonus or other incentive-based or equity-based compensation or of any profits realized by such person from the sale of securities of the Company, as required in each case under the 1934 Act (including any such reimbursements that arise from an accounting restatement of the Company pursuant to Section 304 of the Sarbanes-Oxley Act of 2002 (the “</w:t>
      </w:r>
      <w:r>
        <w:rPr>
          <w:rFonts w:ascii="Times New Roman" w:cs="Times New Roman" w:eastAsia="Times New Roman" w:hAnsi="Times New Roman"/>
          <w:sz w:val="18"/>
          <w:szCs w:val="18"/>
          <w:b w:val="1"/>
          <w:bCs w:val="1"/>
          <w:color w:val="auto"/>
        </w:rPr>
        <w:t>Sarbanes-Oxley Act</w:t>
      </w:r>
      <w:r>
        <w:rPr>
          <w:rFonts w:ascii="Times New Roman" w:cs="Times New Roman" w:eastAsia="Times New Roman" w:hAnsi="Times New Roman"/>
          <w:sz w:val="18"/>
          <w:szCs w:val="18"/>
          <w:color w:val="auto"/>
        </w:rPr>
        <w:t>”), or the payment to the Company of profits arising from the purchase and sale by such person of securities in violation of Section 306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Sarbanes-Oxley Act), if such person is held liable therefor (including pursuant to any settlement arrangements);</w:t>
      </w:r>
    </w:p>
    <w:p>
      <w:pPr>
        <w:spacing w:after="0" w:line="183"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by such person, including any Proceeding (or any part of any Proceeding) initiated by such person against the Company or its directors, officers, employees, agents or other indemnitees, unless (i) the Board of Directors authorized the Proceeding (or the relevant part of the Proceeding) prior to its initiation, (ii) the Company provides the indemnification, in its sole discretion, pursuant to the powers vested in the Company under applicable law, (iii) otherwise required to be made under Section 8.7 or (iv) otherwise required by applicable law; or</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prohibited by applicable law.</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8.7 DETERMINATION; CLAIM</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If a claim for indemnification or advancement of expenses under this Article VIII is not paid in full within 90 days after receipt by the Company of the written request therefor, the claimant shall be entitled to an adjudication by a court of competent jurisdiction of his or her entitlement to such indemnification or advancement of expenses. The Company shall indemnify such person against any and all expenses that are actually and reasonably incurred by such person in connection with any action for indemnification or advancement of expenses from the Company under this Article VIII, to the extent such person is successful in such action, and to the extent not prohibited by law. In any such suit, the Company shall, to the fullest extent not prohibited by law, have the burden of proving that the claimant is not entitled to the requested indemnification or advancement of expenses.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8.8 NON-EXCLUSIVITY OF RIGHTS</w:t>
      </w:r>
    </w:p>
    <w:p>
      <w:pPr>
        <w:spacing w:after="0" w:line="225"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The indemnification and advancement of expenses provided by, or granted pursuant to, this Article VIII shall not be deemed exclusive of any other rights to which those seeking indemnification or advancement of expenses may be entitled under the certificate of incorporation or any statute, bylaw,</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332" w:name="page333"/>
    <w:bookmarkEnd w:id="332"/>
    <w:p>
      <w:pPr>
        <w:ind w:right="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agreement, vote of stockholders or disinterested directors or otherwise, both as to action in such person’s official capacity and as to action in another capacity while holding such office. The Company is specifically authorized to enter into individual contracts with any or all of its directors, officers, employees or agents respecting indemnification and advancement of expenses, to the fullest extent not prohibited by the DGCL or other applicable law.</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8.9 INSURANCE</w:t>
      </w:r>
    </w:p>
    <w:p>
      <w:pPr>
        <w:spacing w:after="0" w:line="225" w:lineRule="exact"/>
        <w:rPr>
          <w:sz w:val="20"/>
          <w:szCs w:val="20"/>
          <w:color w:val="auto"/>
        </w:rPr>
      </w:pPr>
    </w:p>
    <w:p>
      <w:pPr>
        <w:ind w:firstLine="440"/>
        <w:spacing w:after="0" w:line="281" w:lineRule="auto"/>
        <w:rPr>
          <w:sz w:val="20"/>
          <w:szCs w:val="20"/>
          <w:color w:val="auto"/>
        </w:rPr>
      </w:pPr>
      <w:r>
        <w:rPr>
          <w:rFonts w:ascii="Times New Roman" w:cs="Times New Roman" w:eastAsia="Times New Roman" w:hAnsi="Times New Roman"/>
          <w:sz w:val="17"/>
          <w:szCs w:val="17"/>
          <w:color w:val="auto"/>
        </w:rPr>
        <w:t>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DGCL.</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8.10 SURVIVAL</w:t>
      </w:r>
    </w:p>
    <w:p>
      <w:pPr>
        <w:spacing w:after="0" w:line="225"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rights to indemnification and advancement of expenses conferred by this Article VIII shall continue as to a person who has ceased to be a director, officer, employee or agent and shall inure to the benefit of the heirs, executors and administrators of such a person.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8.11 EFFECT OF REPEAL OR MODIFICATION</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A right to indemnification or to advancement of expenses arising under a provision of the certificate of incorporation or a bylaw shall not be eliminated or impaired by an amendment to the certificate of incorporation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8.12 CERTAIN DEFINITIONS</w:t>
      </w:r>
    </w:p>
    <w:p>
      <w:pPr>
        <w:spacing w:after="0" w:line="22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For purposes of this Article VIII, references to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include, in addition to the resulting company, any constituent company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company, or is or was serving at the request of such constituent company as a director, officer, employee or agent of another corporation, partnership, joint venture, trust or other enterprise, shall stand in the same position under the provisions of this Article VIII with respect to the resulting or surviving company as such person would have with respect to such constituent company if its separate existence had continued. For purposes of this Article VIII, references to “</w:t>
      </w:r>
      <w:r>
        <w:rPr>
          <w:rFonts w:ascii="Times New Roman" w:cs="Times New Roman" w:eastAsia="Times New Roman" w:hAnsi="Times New Roman"/>
          <w:sz w:val="18"/>
          <w:szCs w:val="18"/>
          <w:b w:val="1"/>
          <w:bCs w:val="1"/>
          <w:color w:val="auto"/>
        </w:rPr>
        <w:t>other enterprises</w:t>
      </w:r>
      <w:r>
        <w:rPr>
          <w:rFonts w:ascii="Times New Roman" w:cs="Times New Roman" w:eastAsia="Times New Roman" w:hAnsi="Times New Roman"/>
          <w:sz w:val="18"/>
          <w:szCs w:val="18"/>
          <w:color w:val="auto"/>
        </w:rPr>
        <w:t>” shall include employee benefit plans; references to “</w:t>
      </w:r>
      <w:r>
        <w:rPr>
          <w:rFonts w:ascii="Times New Roman" w:cs="Times New Roman" w:eastAsia="Times New Roman" w:hAnsi="Times New Roman"/>
          <w:sz w:val="18"/>
          <w:szCs w:val="18"/>
          <w:b w:val="1"/>
          <w:bCs w:val="1"/>
          <w:color w:val="auto"/>
        </w:rPr>
        <w:t>fines</w:t>
      </w:r>
      <w:r>
        <w:rPr>
          <w:rFonts w:ascii="Times New Roman" w:cs="Times New Roman" w:eastAsia="Times New Roman" w:hAnsi="Times New Roman"/>
          <w:sz w:val="18"/>
          <w:szCs w:val="18"/>
          <w:color w:val="auto"/>
        </w:rPr>
        <w:t>” shall include any excise taxes assessed on a person with respect to an employee benefit plan; and references to “</w:t>
      </w:r>
      <w:r>
        <w:rPr>
          <w:rFonts w:ascii="Times New Roman" w:cs="Times New Roman" w:eastAsia="Times New Roman" w:hAnsi="Times New Roman"/>
          <w:sz w:val="18"/>
          <w:szCs w:val="18"/>
          <w:b w:val="1"/>
          <w:bCs w:val="1"/>
          <w:color w:val="auto"/>
        </w:rPr>
        <w:t>serving at the request of the Company</w:t>
      </w:r>
      <w:r>
        <w:rPr>
          <w:rFonts w:ascii="Times New Roman" w:cs="Times New Roman" w:eastAsia="Times New Roman" w:hAnsi="Times New Roman"/>
          <w:sz w:val="18"/>
          <w:szCs w:val="18"/>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Times New Roman" w:cs="Times New Roman" w:eastAsia="Times New Roman" w:hAnsi="Times New Roman"/>
          <w:sz w:val="18"/>
          <w:szCs w:val="18"/>
          <w:b w:val="1"/>
          <w:bCs w:val="1"/>
          <w:color w:val="auto"/>
        </w:rPr>
        <w:t>not opposed to the best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interests of the Company</w:t>
      </w:r>
      <w:r>
        <w:rPr>
          <w:rFonts w:ascii="Times New Roman" w:cs="Times New Roman" w:eastAsia="Times New Roman" w:hAnsi="Times New Roman"/>
          <w:sz w:val="18"/>
          <w:szCs w:val="18"/>
          <w:color w:val="auto"/>
        </w:rPr>
        <w:t>” as referred to in this Article VIII.</w:t>
      </w:r>
    </w:p>
    <w:p>
      <w:pPr>
        <w:spacing w:after="0" w:line="1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60"/>
          </w:cols>
          <w:pgMar w:left="440" w:top="270" w:right="499" w:bottom="1440" w:gutter="0" w:footer="0" w:header="0"/>
        </w:sectPr>
      </w:pPr>
    </w:p>
    <w:bookmarkStart w:id="333" w:name="page334"/>
    <w:bookmarkEnd w:id="333"/>
    <w:p>
      <w:pPr>
        <w:ind w:left="40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IX - GENERAL MATTERS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9.1 EXECUTION OF CORPORATE CONTRACTS AND INSTRUMENTS</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Except as otherwise provided by law, the certificate of incorporation or these bylaws, the Board of Directors may authorize any officer or officers, or agent or agents, to enter into any contract or execute any document or instrument in the name of and on behalf of the Company; such authority may be general or confined to specific instances. Unless so authorized or ratified by the Board of Directors or within the agency power of an officer, no officer, agent or employee shall have any power or authority to bind the Company by any contract or engagement or to pledge its credit or to render it liable for any purpose or for any amount.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9.2 FISCAL YEAR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fiscal year of the Company shall be fixed by resolution of the Board of Directors and may be changed by the Board of Directors.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9.3 SEAL</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Company may adopt a corporate seal, which shall be adopted and which may be altered by the Board of Directors. The Company may use the corporate seal by causing it or a facsimile thereof to be impressed or affixed or in any other manner reproduced.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9.4 CONSTRUCTION; DEFINITIONS</w:t>
      </w:r>
    </w:p>
    <w:p>
      <w:pPr>
        <w:spacing w:after="0" w:line="225"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includes a company (including, but not limited to, a limited liability company), corporation, partnership, joint venture, trust or other enterprise, and a natural person. Any reference in these bylaws to a section of the DGCL shall be deemed to refer to such section as amended from time to time and any successor provisions thereto.</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9.5 FORUM SELECTION</w:t>
      </w:r>
    </w:p>
    <w:p>
      <w:pPr>
        <w:spacing w:after="0" w:line="225" w:lineRule="exact"/>
        <w:rPr>
          <w:sz w:val="20"/>
          <w:szCs w:val="20"/>
          <w:color w:val="auto"/>
        </w:rPr>
      </w:pPr>
    </w:p>
    <w:p>
      <w:pPr>
        <w:ind w:right="180" w:firstLine="440"/>
        <w:spacing w:after="0" w:line="273" w:lineRule="auto"/>
        <w:rPr>
          <w:sz w:val="20"/>
          <w:szCs w:val="20"/>
          <w:color w:val="auto"/>
        </w:rPr>
      </w:pPr>
      <w:r>
        <w:rPr>
          <w:rFonts w:ascii="Times New Roman" w:cs="Times New Roman" w:eastAsia="Times New Roman" w:hAnsi="Times New Roman"/>
          <w:sz w:val="17"/>
          <w:szCs w:val="17"/>
          <w:color w:val="auto"/>
        </w:rPr>
        <w:t>To the fullest extent permitted by applicable law, unless the Company consents in writing to the selection of an alternative forum, the Court of Chancery of the State of Delaware (or, if the Court of Chancery does not have jurisdiction, another State court in Delaware or the federal district court for the District of Delaware) shall, to the fullest extent permitted by law, be the sole and exclusive forum for (a) any derivative action or proceeding brought on behalf of the Company, (b) any action asserting a claim of breach of a fiduciary duty owed by any director, stockholder, officer or other employee of the Company to the Company or the Company’s stockholders, (c) any action arising pursuant to any provision of the DGCL or the certificate of incorporation or these bylaws (as either may be amended from time to time), or (d) any action asserting a claim governed by the internal affairs doctrine, except for, as to each of (a) through (d) above, any claim as to which such court determines that there is an indispensable party not</w:t>
      </w:r>
    </w:p>
    <w:p>
      <w:pPr>
        <w:spacing w:after="0" w:line="1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66" w:right="479" w:bottom="1440" w:gutter="0" w:footer="0" w:header="0"/>
        </w:sectPr>
      </w:pPr>
    </w:p>
    <w:bookmarkStart w:id="334" w:name="page335"/>
    <w:bookmarkEnd w:id="334"/>
    <w:p>
      <w:pPr>
        <w:jc w:val="both"/>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 To the fullest extent permitted by applicable law, unless the company consents in writing to the selection of an alternative forum, the federal district courts of the United States of America shall be the exclusive forum for the resolution of any complaint asserting a cause of action arising under the Securities Act of 1933. Any person or entity purchasing or otherwise acquiring or holding any interest in any security of the Company shall be deemed to have notice of and consented to the provisions of this section 9.5.</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 - AMENDMENTS</w:t>
      </w:r>
    </w:p>
    <w:p>
      <w:pPr>
        <w:spacing w:after="0" w:line="229"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These bylaws may be adopted, amended or repealed by the stockholders entitled to vote; provided, however, that the affirmative vote of the holders of at least 66 2/3% of the total voting power of outstanding voting securities, voting together as a single class, shall be required for the stockholders of the Company to alter, amend or repeal, or adopt any bylaw inconsistent with, the following provisions of these bylaws: Article II, Sections 3.1, 3.2, 3.4 and 3.11 of Article III, Article VIII and this Article X (including, without limitation, any such Article or Section as renumbered as a result of any amendment, alteration, change, repeal, or adoption of any other Bylaw). The Board of Directors shall also have the power to adopt, amend or repeal bylaws; provided, however, that a bylaw amendment adopted by stockholders which specifies the votes that shall be necessary for the election of directors shall not be further amended or repealed by the Board of Directors.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335" w:name="page336"/>
    <w:bookmarkEnd w:id="335"/>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AMENDED AND RESTATED INVESTORS’ RIGHTS AGREEMENT</w:t>
      </w:r>
    </w:p>
    <w:p>
      <w:pPr>
        <w:spacing w:after="0" w:line="237"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8"/>
          <w:szCs w:val="18"/>
          <w:b w:val="1"/>
          <w:bCs w:val="1"/>
          <w:color w:val="auto"/>
        </w:rPr>
        <w:t>July 17, 2020</w:t>
      </w:r>
    </w:p>
    <w:p>
      <w:pPr>
        <w:sectPr>
          <w:pgSz w:w="11900" w:h="16838" w:orient="portrait"/>
          <w:cols w:equalWidth="0" w:num="1">
            <w:col w:w="10020"/>
          </w:cols>
          <w:pgMar w:left="1440" w:top="117" w:right="439" w:bottom="1440" w:gutter="0" w:footer="0" w:header="0"/>
        </w:sectPr>
      </w:pPr>
    </w:p>
    <w:bookmarkStart w:id="336" w:name="page337"/>
    <w:bookmarkEnd w:id="336"/>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7680" w:type="dxa"/>
            <w:vAlign w:val="bottom"/>
          </w:tcPr>
          <w:p>
            <w:pPr>
              <w:ind w:left="3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0" w:type="dxa"/>
            <w:vAlign w:val="bottom"/>
          </w:tcPr>
          <w:p>
            <w:pPr>
              <w:spacing w:after="0"/>
              <w:rPr>
                <w:sz w:val="20"/>
                <w:szCs w:val="20"/>
                <w:color w:val="auto"/>
              </w:rPr>
            </w:pPr>
          </w:p>
        </w:tc>
      </w:tr>
      <w:tr>
        <w:trPr>
          <w:trHeight w:val="408"/>
        </w:trPr>
        <w:tc>
          <w:tcPr>
            <w:tcW w:w="880" w:type="dxa"/>
            <w:vAlign w:val="bottom"/>
          </w:tcPr>
          <w:p>
            <w:pPr>
              <w:spacing w:after="0"/>
              <w:rPr>
                <w:sz w:val="24"/>
                <w:szCs w:val="24"/>
                <w:color w:val="auto"/>
              </w:rPr>
            </w:pPr>
          </w:p>
        </w:tc>
        <w:tc>
          <w:tcPr>
            <w:tcW w:w="768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i w:val="1"/>
                <w:iCs w:val="1"/>
                <w:color w:val="auto"/>
              </w:rPr>
              <w:t>Page</w:t>
            </w:r>
          </w:p>
        </w:tc>
      </w:tr>
      <w:tr>
        <w:trPr>
          <w:trHeight w:val="307"/>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 Definitions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1.1</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Certain Definitions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 Registration Rights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02"/>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2.1</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Requested Registration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2.2</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Company Registration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2.3</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Registration on Form S-3</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2.4</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Expenses of Registration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2.5</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Registration Procedures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2.6</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Indemnification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2.7</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Information by Holder</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2.8</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Restrictions on Transfer</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2.9</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Rule 144 Reporting</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2.10</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Market Stand-Off Agreement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2.11</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Delay of Registration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2.12</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Transfer or Assignment of Registration Rights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2.13</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Limitations on Subsequent Registration Rights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8"/>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2.14</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Termination of Registration Rights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 Information Covenants of the Company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02"/>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3.1</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Basic Financial Information and Inspection Rights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3.2</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Confidentiality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3.3</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Preferred Director Approval</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3.4</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Proprietary Information and Inventions Agreements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3.5</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Board Matters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3.6</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Employee Stock Vesting</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3.7</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Insurance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3.8</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“Bad Actor” Notice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3.9</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Right to Conduct Activities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3.10</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[Reserved.]</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3.11</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U.S. Real Property Holding Corporation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8"/>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3.12</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Termination of Covenants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 Right of First Refusal</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4.1</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Right of First Refusal to Significant Holders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 Miscellaneous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02"/>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5.1</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Amendment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5.2</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Notices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5.3</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Governing Law, Jurisdiction and Venue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5.4</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Successors and Assigns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5.5</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Entire Agreement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5.6</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Delays or Omissions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5.7</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Severability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8"/>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5.8</w:t>
            </w:r>
          </w:p>
        </w:tc>
        <w:tc>
          <w:tcPr>
            <w:tcW w:w="76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Titles and Subtitles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337" w:name="page338"/>
    <w:bookmarkEnd w:id="337"/>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5.9</w:t>
            </w:r>
          </w:p>
        </w:tc>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Counterparts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5.10</w:t>
            </w:r>
          </w:p>
        </w:tc>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Telecopy Execution and Delivery</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5.11</w:t>
            </w:r>
          </w:p>
        </w:tc>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Further Assurances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5.12</w:t>
            </w:r>
          </w:p>
        </w:tc>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Conflict</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5.13</w:t>
            </w:r>
          </w:p>
        </w:tc>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Attorneys’ Fees</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5.14</w:t>
            </w:r>
          </w:p>
        </w:tc>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Aggregation of Stock</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5.15</w:t>
            </w:r>
          </w:p>
        </w:tc>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Jury Trial</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8"/>
        </w:trPr>
        <w:tc>
          <w:tcPr>
            <w:tcW w:w="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5.16</w:t>
            </w:r>
          </w:p>
        </w:tc>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Amendment and Restatement of Prior Agreement</w:t>
            </w:r>
          </w:p>
        </w:tc>
        <w:tc>
          <w:tcPr>
            <w:tcW w:w="3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jc w:val="center"/>
        <w:ind w:right="32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600"/>
          </w:cols>
          <w:pgMar w:left="800" w:top="266" w:right="499" w:bottom="1440" w:gutter="0" w:footer="0" w:header="0"/>
        </w:sectPr>
      </w:pPr>
    </w:p>
    <w:bookmarkStart w:id="338" w:name="page339"/>
    <w:bookmarkEnd w:id="33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PMV PHARMACEUTICALS,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AMENDED AND RESTATED INVESTORS’ RIGHTS AGREEMENT</w:t>
      </w:r>
    </w:p>
    <w:p>
      <w:pPr>
        <w:spacing w:after="0" w:line="203"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color w:val="auto"/>
        </w:rPr>
        <w:t>This Amended and Restated Investors’ Rights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dated as of July 17, 2020 and is by and among PMV Pharmaceuticals,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persons and entities listed on Exhibit A (each, an “</w:t>
      </w:r>
      <w:r>
        <w:rPr>
          <w:rFonts w:ascii="Times New Roman" w:cs="Times New Roman" w:eastAsia="Times New Roman" w:hAnsi="Times New Roman"/>
          <w:sz w:val="18"/>
          <w:szCs w:val="18"/>
          <w:b w:val="1"/>
          <w:bCs w:val="1"/>
          <w:i w:val="1"/>
          <w:iCs w:val="1"/>
          <w:color w:val="auto"/>
        </w:rPr>
        <w:t>Investor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Investors</w:t>
      </w:r>
      <w:r>
        <w:rPr>
          <w:rFonts w:ascii="Times New Roman" w:cs="Times New Roman" w:eastAsia="Times New Roman" w:hAnsi="Times New Roman"/>
          <w:sz w:val="18"/>
          <w:szCs w:val="18"/>
          <w:color w:val="auto"/>
        </w:rPr>
        <w:t>”) and the entities listed on Exhibit B (each, a “</w:t>
      </w:r>
      <w:r>
        <w:rPr>
          <w:rFonts w:ascii="Times New Roman" w:cs="Times New Roman" w:eastAsia="Times New Roman" w:hAnsi="Times New Roman"/>
          <w:sz w:val="18"/>
          <w:szCs w:val="18"/>
          <w:b w:val="1"/>
          <w:bCs w:val="1"/>
          <w:i w:val="1"/>
          <w:iCs w:val="1"/>
          <w:color w:val="auto"/>
        </w:rPr>
        <w:t>Licensor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b w:val="1"/>
          <w:bCs w:val="1"/>
          <w:i w:val="1"/>
          <w:iCs w:val="1"/>
          <w:color w:val="auto"/>
        </w:rPr>
        <w:t>Licensors</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certain of the Investors and the Licensors (collectively, the “</w:t>
      </w:r>
      <w:r>
        <w:rPr>
          <w:rFonts w:ascii="Times New Roman" w:cs="Times New Roman" w:eastAsia="Times New Roman" w:hAnsi="Times New Roman"/>
          <w:sz w:val="18"/>
          <w:szCs w:val="18"/>
          <w:b w:val="1"/>
          <w:bCs w:val="1"/>
          <w:i w:val="1"/>
          <w:iCs w:val="1"/>
          <w:color w:val="auto"/>
        </w:rPr>
        <w:t>Prior Investors</w:t>
      </w:r>
      <w:r>
        <w:rPr>
          <w:rFonts w:ascii="Times New Roman" w:cs="Times New Roman" w:eastAsia="Times New Roman" w:hAnsi="Times New Roman"/>
          <w:sz w:val="18"/>
          <w:szCs w:val="18"/>
          <w:color w:val="auto"/>
        </w:rPr>
        <w:t>”) are parties to that certain Amended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Restated Investors’ Rights Agreement dated as of November 12, 2019 (the “</w:t>
      </w:r>
      <w:r>
        <w:rPr>
          <w:rFonts w:ascii="Times New Roman" w:cs="Times New Roman" w:eastAsia="Times New Roman" w:hAnsi="Times New Roman"/>
          <w:sz w:val="18"/>
          <w:szCs w:val="18"/>
          <w:b w:val="1"/>
          <w:bCs w:val="1"/>
          <w:i w:val="1"/>
          <w:iCs w:val="1"/>
          <w:color w:val="auto"/>
        </w:rPr>
        <w:t>Prior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certain of the Investors have agreed to purchase from the Company, and the Company has agreed to sell to certain of the Investors,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the Company’s Series D Preferred Stock (the “</w:t>
      </w:r>
      <w:r>
        <w:rPr>
          <w:rFonts w:ascii="Times New Roman" w:cs="Times New Roman" w:eastAsia="Times New Roman" w:hAnsi="Times New Roman"/>
          <w:sz w:val="18"/>
          <w:szCs w:val="18"/>
          <w:b w:val="1"/>
          <w:bCs w:val="1"/>
          <w:i w:val="1"/>
          <w:iCs w:val="1"/>
          <w:color w:val="auto"/>
        </w:rPr>
        <w:t>Series D Preferred Stock</w:t>
      </w:r>
      <w:r>
        <w:rPr>
          <w:rFonts w:ascii="Times New Roman" w:cs="Times New Roman" w:eastAsia="Times New Roman" w:hAnsi="Times New Roman"/>
          <w:sz w:val="18"/>
          <w:szCs w:val="18"/>
          <w:color w:val="auto"/>
        </w:rPr>
        <w:t>”) on the terms and conditions set forth in that certain Series D Stock Purchase Agreement dated as of the date hereof (the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certain of the Prior Investors who are parties to the Prior Agreement and who are holders of at least two-thirds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(2/3) of the Common Stock issued or issuable upon conversion of the Preferred Stock (the “</w:t>
      </w:r>
      <w:r>
        <w:rPr>
          <w:rFonts w:ascii="Times New Roman" w:cs="Times New Roman" w:eastAsia="Times New Roman" w:hAnsi="Times New Roman"/>
          <w:sz w:val="18"/>
          <w:szCs w:val="18"/>
          <w:b w:val="1"/>
          <w:bCs w:val="1"/>
          <w:i w:val="1"/>
          <w:iCs w:val="1"/>
          <w:color w:val="auto"/>
        </w:rPr>
        <w:t>Requisite Investors</w:t>
      </w:r>
      <w:r>
        <w:rPr>
          <w:rFonts w:ascii="Times New Roman" w:cs="Times New Roman" w:eastAsia="Times New Roman" w:hAnsi="Times New Roman"/>
          <w:sz w:val="18"/>
          <w:szCs w:val="18"/>
          <w:color w:val="auto"/>
        </w:rPr>
        <w:t>”), desire to amend and restate the Prior Agreement and to accept the rights created pursuant to this Agreement in lieu of the rights granted to them under the Prior Agreement.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Prior Agreement may be amended by the Company and the Requisite Investors pursuant to Section 5.1 of the Prior Agreement.</w:t>
      </w:r>
    </w:p>
    <w:p>
      <w:pPr>
        <w:spacing w:after="0" w:line="225" w:lineRule="exact"/>
        <w:rPr>
          <w:sz w:val="20"/>
          <w:szCs w:val="20"/>
          <w:color w:val="auto"/>
        </w:rPr>
      </w:pPr>
    </w:p>
    <w:p>
      <w:pPr>
        <w:ind w:right="4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it is a condition to the closing of the sale of the Series D Preferred Stock that the parties hereto enter into and be bound by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w:t>
      </w:r>
    </w:p>
    <w:p>
      <w:pPr>
        <w:spacing w:after="0" w:line="3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i w:val="1"/>
          <w:iCs w:val="1"/>
          <w:color w:val="auto"/>
        </w:rPr>
        <w:t>NOW, THEREFORE</w:t>
      </w:r>
      <w:r>
        <w:rPr>
          <w:rFonts w:ascii="Times New Roman" w:cs="Times New Roman" w:eastAsia="Times New Roman" w:hAnsi="Times New Roman"/>
          <w:sz w:val="18"/>
          <w:szCs w:val="18"/>
          <w:color w:val="auto"/>
        </w:rPr>
        <w:t>, in consideration of the foregoing recitals and the mutual promises hereinafter set forth,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SECTION 1</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1.1 Certain Definitions. </w:t>
      </w:r>
      <w:r>
        <w:rPr>
          <w:rFonts w:ascii="Times New Roman" w:cs="Times New Roman" w:eastAsia="Times New Roman" w:hAnsi="Times New Roman"/>
          <w:sz w:val="18"/>
          <w:szCs w:val="18"/>
          <w:color w:val="auto"/>
        </w:rPr>
        <w:t>As used in this Agreement, the following terms shall have the meanings set forth below:</w:t>
      </w:r>
    </w:p>
    <w:p>
      <w:pPr>
        <w:spacing w:after="0" w:line="225" w:lineRule="exact"/>
        <w:rPr>
          <w:sz w:val="20"/>
          <w:szCs w:val="20"/>
          <w:color w:val="auto"/>
        </w:rPr>
      </w:pPr>
    </w:p>
    <w:p>
      <w:pPr>
        <w:ind w:firstLine="987"/>
        <w:spacing w:after="0" w:line="286" w:lineRule="auto"/>
        <w:tabs>
          <w:tab w:leader="none" w:pos="1236"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shall mean, with respect to any specified Holder, any other person or entity who directly or indirectly, controls, is controlled by or is under common control with such</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60"/>
          </w:cols>
          <w:pgMar w:left="440" w:top="266" w:right="499" w:bottom="1440" w:gutter="0" w:footer="0" w:header="0"/>
        </w:sectPr>
      </w:pPr>
    </w:p>
    <w:bookmarkStart w:id="339" w:name="page340"/>
    <w:bookmarkEnd w:id="339"/>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Holder, including without limitation any general partner, managing member, officer or director of such Holder, or any venture capital, private equity or other investment fund now or hereafter existing which is controlled by one or more general partners (or member thereof) or managing members or investment advisers of, or shares the same management company (or stockholder or member thereof) or investment adviser with, such Holder; provided, however, that (i) each Wellington Investor shall be deemed to be an “Affiliate” of each other Wellington Investor, and (ii) an entity that is an “Affiliate” of a Wellington Investor shall not be deemed to be an “Affiliate” of any other Wellington Investor unless such entity is a Wellington Investor (and, for the avoidance of doubt, an “Affiliate” of such entity shall not be deemed an “Affiliate” of any Wellington Investor solely by virtue of being an “Affiliate” of such entity).</w:t>
      </w:r>
    </w:p>
    <w:p>
      <w:pPr>
        <w:spacing w:after="0" w:line="185" w:lineRule="exact"/>
        <w:rPr>
          <w:sz w:val="20"/>
          <w:szCs w:val="20"/>
          <w:color w:val="auto"/>
        </w:rPr>
      </w:pPr>
    </w:p>
    <w:p>
      <w:pPr>
        <w:ind w:right="660" w:firstLine="987"/>
        <w:spacing w:after="0" w:line="286" w:lineRule="auto"/>
        <w:tabs>
          <w:tab w:leader="none" w:pos="124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Amended and Restated Certificate”</w:t>
      </w:r>
      <w:r>
        <w:rPr>
          <w:rFonts w:ascii="Times New Roman" w:cs="Times New Roman" w:eastAsia="Times New Roman" w:hAnsi="Times New Roman"/>
          <w:sz w:val="18"/>
          <w:szCs w:val="18"/>
          <w:color w:val="auto"/>
        </w:rPr>
        <w:t xml:space="preserve"> shall mean that certain Amended and Restated Certificate of Incorporation filed with the Secretary of State of the State of Delaware on or about the date hereof, as may be amended from time to time.</w:t>
      </w:r>
    </w:p>
    <w:p>
      <w:pPr>
        <w:spacing w:after="0" w:line="154"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Acquisition</w:t>
      </w:r>
      <w:r>
        <w:rPr>
          <w:rFonts w:ascii="Times New Roman" w:cs="Times New Roman" w:eastAsia="Times New Roman" w:hAnsi="Times New Roman"/>
          <w:sz w:val="18"/>
          <w:szCs w:val="18"/>
          <w:color w:val="auto"/>
        </w:rPr>
        <w:t>” shall mean any transaction described in Article V, Section 3(e) clause (i) or clause (ii) of the Amended and Restated</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w:t>
      </w:r>
    </w:p>
    <w:p>
      <w:pPr>
        <w:spacing w:after="0" w:line="202"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Bad Actor Disqualification</w:t>
      </w:r>
      <w:r>
        <w:rPr>
          <w:rFonts w:ascii="Times New Roman" w:cs="Times New Roman" w:eastAsia="Times New Roman" w:hAnsi="Times New Roman"/>
          <w:sz w:val="18"/>
          <w:szCs w:val="18"/>
          <w:color w:val="auto"/>
        </w:rPr>
        <w:t>” shall mean any “bad actor” disqualification described in Rule 506(d)(1)(i) through (viii) under the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w:t>
      </w:r>
    </w:p>
    <w:p>
      <w:pPr>
        <w:spacing w:after="0" w:line="202"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shall mean the Securities and Exchange Commission or any other federal agency at the time administering the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Act.</w:t>
      </w:r>
    </w:p>
    <w:p>
      <w:pPr>
        <w:spacing w:after="0" w:line="202"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shall mean the Common Stock of the Company.</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Conversion Stock</w:t>
      </w:r>
      <w:r>
        <w:rPr>
          <w:rFonts w:ascii="Times New Roman" w:cs="Times New Roman" w:eastAsia="Times New Roman" w:hAnsi="Times New Roman"/>
          <w:sz w:val="18"/>
          <w:szCs w:val="18"/>
          <w:color w:val="auto"/>
        </w:rPr>
        <w:t>” shall mean shares of Common Stock issued upon conversion of the Preferred Stock.</w:t>
      </w:r>
    </w:p>
    <w:p>
      <w:pPr>
        <w:spacing w:after="0" w:line="225" w:lineRule="exact"/>
        <w:rPr>
          <w:rFonts w:ascii="Times New Roman" w:cs="Times New Roman" w:eastAsia="Times New Roman" w:hAnsi="Times New Roman"/>
          <w:sz w:val="18"/>
          <w:szCs w:val="18"/>
          <w:color w:val="auto"/>
        </w:rPr>
      </w:pPr>
    </w:p>
    <w:p>
      <w:pPr>
        <w:ind w:right="280" w:firstLine="987"/>
        <w:spacing w:after="0" w:line="286" w:lineRule="auto"/>
        <w:tabs>
          <w:tab w:leader="none" w:pos="124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shall mean the Securities Exchange Act of 1934, as amended, or any similar successor federal statute and the rules and regulations thereunder, all as the same shall be in effect from time to time.</w:t>
      </w:r>
    </w:p>
    <w:p>
      <w:pPr>
        <w:spacing w:after="0" w:line="154" w:lineRule="exact"/>
        <w:rPr>
          <w:rFonts w:ascii="Times New Roman" w:cs="Times New Roman" w:eastAsia="Times New Roman" w:hAnsi="Times New Roman"/>
          <w:sz w:val="18"/>
          <w:szCs w:val="18"/>
          <w:color w:val="auto"/>
        </w:rPr>
      </w:pPr>
    </w:p>
    <w:p>
      <w:pPr>
        <w:jc w:val="both"/>
        <w:ind w:firstLine="987"/>
        <w:spacing w:after="0" w:line="262" w:lineRule="auto"/>
        <w:tabs>
          <w:tab w:leader="none" w:pos="120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Holder</w:t>
      </w:r>
      <w:r>
        <w:rPr>
          <w:rFonts w:ascii="Times New Roman" w:cs="Times New Roman" w:eastAsia="Times New Roman" w:hAnsi="Times New Roman"/>
          <w:sz w:val="18"/>
          <w:szCs w:val="18"/>
          <w:color w:val="auto"/>
        </w:rPr>
        <w:t>” shall mean (i) any Investor who holds Registrable Securities and any holder of Registrable Securities to whom the registration rights conferred by this Agreement have been duly and validly transferred in accordance with Section 2.12 of this Agreement, (ii) solely for the purposes of Sections 2.8, 2.9, 2.10 and 2.11 hereof, any Licensor who holds Registrable Securities and (iii) solely for the purposes of Section 2, PacWest Bancorp (“</w:t>
      </w:r>
      <w:r>
        <w:rPr>
          <w:rFonts w:ascii="Times New Roman" w:cs="Times New Roman" w:eastAsia="Times New Roman" w:hAnsi="Times New Roman"/>
          <w:sz w:val="18"/>
          <w:szCs w:val="18"/>
          <w:b w:val="1"/>
          <w:bCs w:val="1"/>
          <w:i w:val="1"/>
          <w:iCs w:val="1"/>
          <w:color w:val="auto"/>
        </w:rPr>
        <w:t>PacWest</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Indemnified Party</w:t>
      </w:r>
      <w:r>
        <w:rPr>
          <w:rFonts w:ascii="Times New Roman" w:cs="Times New Roman" w:eastAsia="Times New Roman" w:hAnsi="Times New Roman"/>
          <w:sz w:val="18"/>
          <w:szCs w:val="18"/>
          <w:color w:val="auto"/>
        </w:rPr>
        <w:t>” shall have the meaning set forth in Section 2.6(c).</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Indemnifying Party</w:t>
      </w:r>
      <w:r>
        <w:rPr>
          <w:rFonts w:ascii="Times New Roman" w:cs="Times New Roman" w:eastAsia="Times New Roman" w:hAnsi="Times New Roman"/>
          <w:sz w:val="18"/>
          <w:szCs w:val="18"/>
          <w:color w:val="auto"/>
        </w:rPr>
        <w:t>” shall have the meaning set forth in Section 2.6(c).</w:t>
      </w:r>
    </w:p>
    <w:p>
      <w:pPr>
        <w:spacing w:after="0" w:line="225" w:lineRule="exact"/>
        <w:rPr>
          <w:rFonts w:ascii="Times New Roman" w:cs="Times New Roman" w:eastAsia="Times New Roman" w:hAnsi="Times New Roman"/>
          <w:sz w:val="18"/>
          <w:szCs w:val="18"/>
          <w:color w:val="auto"/>
        </w:rPr>
      </w:pPr>
    </w:p>
    <w:p>
      <w:pPr>
        <w:ind w:right="820" w:firstLine="987"/>
        <w:spacing w:after="0" w:line="286" w:lineRule="auto"/>
        <w:tabs>
          <w:tab w:leader="none" w:pos="1206"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Initial Public Offering</w:t>
      </w:r>
      <w:r>
        <w:rPr>
          <w:rFonts w:ascii="Times New Roman" w:cs="Times New Roman" w:eastAsia="Times New Roman" w:hAnsi="Times New Roman"/>
          <w:sz w:val="18"/>
          <w:szCs w:val="18"/>
          <w:color w:val="auto"/>
        </w:rPr>
        <w:t>” shall mean the closing of the Company’s first firm commitment underwritten public offering of the Company’s Common Stock registered under the Securities Act.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40" w:name="page341"/>
    <w:bookmarkEnd w:id="340"/>
    <w:p>
      <w:pPr>
        <w:ind w:left="4" w:right="20" w:firstLine="987"/>
        <w:spacing w:after="0" w:line="286" w:lineRule="auto"/>
        <w:tabs>
          <w:tab w:leader="none" w:pos="130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Initiating Holders</w:t>
      </w:r>
      <w:r>
        <w:rPr>
          <w:rFonts w:ascii="Times New Roman" w:cs="Times New Roman" w:eastAsia="Times New Roman" w:hAnsi="Times New Roman"/>
          <w:sz w:val="18"/>
          <w:szCs w:val="18"/>
          <w:color w:val="auto"/>
        </w:rPr>
        <w:t>” shall mean any Holder or Holders who in the aggregate hold not less than thirty percent (30%) of the outstanding Registrable Securities.</w:t>
      </w:r>
    </w:p>
    <w:p>
      <w:pPr>
        <w:spacing w:after="0" w:line="154" w:lineRule="exact"/>
        <w:rPr>
          <w:rFonts w:ascii="Times New Roman" w:cs="Times New Roman" w:eastAsia="Times New Roman" w:hAnsi="Times New Roman"/>
          <w:sz w:val="18"/>
          <w:szCs w:val="18"/>
          <w:color w:val="auto"/>
        </w:rPr>
      </w:pPr>
    </w:p>
    <w:p>
      <w:pPr>
        <w:ind w:left="4" w:right="540" w:firstLine="987"/>
        <w:spacing w:after="0" w:line="317" w:lineRule="auto"/>
        <w:tabs>
          <w:tab w:leader="none" w:pos="1250" w:val="left"/>
        </w:tabs>
        <w:numPr>
          <w:ilvl w:val="1"/>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Licensor Shares</w:t>
      </w:r>
      <w:r>
        <w:rPr>
          <w:rFonts w:ascii="Times New Roman" w:cs="Times New Roman" w:eastAsia="Times New Roman" w:hAnsi="Times New Roman"/>
          <w:sz w:val="17"/>
          <w:szCs w:val="17"/>
          <w:color w:val="auto"/>
        </w:rPr>
        <w:t>” shall mean the shares of Common Stock issued and sold to the Licensors under those certain Stock Purchase Agreements dated June 4, 2014, by and between the Company and each Licensor respectively, for so long as such shares are held by a Licensor.</w:t>
      </w:r>
    </w:p>
    <w:p>
      <w:pPr>
        <w:spacing w:after="0" w:line="131" w:lineRule="exact"/>
        <w:rPr>
          <w:rFonts w:ascii="Times New Roman" w:cs="Times New Roman" w:eastAsia="Times New Roman" w:hAnsi="Times New Roman"/>
          <w:sz w:val="17"/>
          <w:szCs w:val="17"/>
          <w:color w:val="auto"/>
        </w:rPr>
      </w:pPr>
    </w:p>
    <w:p>
      <w:pPr>
        <w:ind w:left="4" w:firstLine="987"/>
        <w:spacing w:after="0" w:line="256" w:lineRule="auto"/>
        <w:tabs>
          <w:tab w:leader="none" w:pos="125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Marketable Securities</w:t>
      </w:r>
      <w:r>
        <w:rPr>
          <w:rFonts w:ascii="Times New Roman" w:cs="Times New Roman" w:eastAsia="Times New Roman" w:hAnsi="Times New Roman"/>
          <w:sz w:val="18"/>
          <w:szCs w:val="18"/>
          <w:color w:val="auto"/>
        </w:rPr>
        <w:t>” shall mean securities meeting all of the following requirements: (i) the issuer thereof is then subject to the reporting requirements of Section 13 or Section 15(d) of the Exchange Act and is then current in its filing of all required reports and other information under the Securities Act and the Exchange Act; (ii) the class and series of shares or other security of the issuer that would be received by Holders in such Acquisition is then traded on a nationally recognized securities exchange, inter-dealer quotation system or over-the-counter market, and (iii) following the closing of such Acquisition, Holders would not be restricted from publicly re-selling all of the issuer’s shares and/or other securities, except to the extent that any such restriction (x) arises solely under federal or state securities laws, rules or regulations, and (y) does not extend beyond six (6) months from the closing of such Acquisition.</w:t>
      </w:r>
    </w:p>
    <w:p>
      <w:pPr>
        <w:spacing w:after="0" w:line="182"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New Securities</w:t>
      </w:r>
      <w:r>
        <w:rPr>
          <w:rFonts w:ascii="Times New Roman" w:cs="Times New Roman" w:eastAsia="Times New Roman" w:hAnsi="Times New Roman"/>
          <w:sz w:val="18"/>
          <w:szCs w:val="18"/>
          <w:color w:val="auto"/>
        </w:rPr>
        <w:t>” shall have the meaning set forth in Section 4.1(a).</w:t>
      </w:r>
    </w:p>
    <w:p>
      <w:pPr>
        <w:spacing w:after="0" w:line="225" w:lineRule="exact"/>
        <w:rPr>
          <w:rFonts w:ascii="Times New Roman" w:cs="Times New Roman" w:eastAsia="Times New Roman" w:hAnsi="Times New Roman"/>
          <w:sz w:val="18"/>
          <w:szCs w:val="18"/>
          <w:color w:val="auto"/>
        </w:rPr>
      </w:pPr>
    </w:p>
    <w:p>
      <w:pPr>
        <w:ind w:left="4" w:right="220" w:firstLine="987"/>
        <w:spacing w:after="0" w:line="286" w:lineRule="auto"/>
        <w:tabs>
          <w:tab w:leader="none" w:pos="125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Selling Stockholders</w:t>
      </w:r>
      <w:r>
        <w:rPr>
          <w:rFonts w:ascii="Times New Roman" w:cs="Times New Roman" w:eastAsia="Times New Roman" w:hAnsi="Times New Roman"/>
          <w:sz w:val="18"/>
          <w:szCs w:val="18"/>
          <w:color w:val="auto"/>
        </w:rPr>
        <w:t>” shall mean persons other than Holders who, by virtue of agreements with the Company, are entitled to include their Other Shares in certain registrations hereunder.</w:t>
      </w:r>
    </w:p>
    <w:p>
      <w:pPr>
        <w:spacing w:after="0" w:line="154" w:lineRule="exact"/>
        <w:rPr>
          <w:rFonts w:ascii="Times New Roman" w:cs="Times New Roman" w:eastAsia="Times New Roman" w:hAnsi="Times New Roman"/>
          <w:sz w:val="18"/>
          <w:szCs w:val="18"/>
          <w:color w:val="auto"/>
        </w:rPr>
      </w:pPr>
    </w:p>
    <w:p>
      <w:pPr>
        <w:ind w:left="4" w:right="620" w:firstLine="987"/>
        <w:spacing w:after="0" w:line="268" w:lineRule="auto"/>
        <w:tabs>
          <w:tab w:leader="none" w:pos="122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Shares</w:t>
      </w:r>
      <w:r>
        <w:rPr>
          <w:rFonts w:ascii="Times New Roman" w:cs="Times New Roman" w:eastAsia="Times New Roman" w:hAnsi="Times New Roman"/>
          <w:sz w:val="18"/>
          <w:szCs w:val="18"/>
          <w:color w:val="auto"/>
        </w:rPr>
        <w:t>” shall mean shares of Common Stock, other than Registrable Securities (as defined below), (including shares of Common Stock issuable upon conversion of shares of any currently unissued series of Preferred Stock of the Company) with respect to which registration rights have been granted.</w:t>
      </w:r>
    </w:p>
    <w:p>
      <w:pPr>
        <w:spacing w:after="0" w:line="170" w:lineRule="exact"/>
        <w:rPr>
          <w:rFonts w:ascii="Times New Roman" w:cs="Times New Roman" w:eastAsia="Times New Roman" w:hAnsi="Times New Roman"/>
          <w:sz w:val="18"/>
          <w:szCs w:val="18"/>
          <w:color w:val="auto"/>
        </w:rPr>
      </w:pPr>
    </w:p>
    <w:p>
      <w:pPr>
        <w:ind w:left="4" w:right="100" w:firstLine="987"/>
        <w:spacing w:after="0" w:line="286" w:lineRule="auto"/>
        <w:tabs>
          <w:tab w:leader="none" w:pos="1230"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shall mean the Series Seed Preferred Stock, the Series A Preferred Stock, the Series B Preferred Stock, the Series C Preferred Stock and the Series D Preferred Stock, collectively.</w:t>
      </w:r>
    </w:p>
    <w:p>
      <w:pPr>
        <w:spacing w:after="0" w:line="154"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 shall have the meaning set forth in the Recitals.</w:t>
      </w:r>
    </w:p>
    <w:p>
      <w:pPr>
        <w:spacing w:after="0" w:line="225" w:lineRule="exact"/>
        <w:rPr>
          <w:rFonts w:ascii="Times New Roman" w:cs="Times New Roman" w:eastAsia="Times New Roman" w:hAnsi="Times New Roman"/>
          <w:sz w:val="18"/>
          <w:szCs w:val="18"/>
          <w:color w:val="auto"/>
        </w:rPr>
      </w:pPr>
    </w:p>
    <w:p>
      <w:pPr>
        <w:ind w:left="4" w:right="20" w:firstLine="987"/>
        <w:spacing w:after="0" w:line="272" w:lineRule="auto"/>
        <w:tabs>
          <w:tab w:leader="none" w:pos="1250" w:val="left"/>
        </w:tabs>
        <w:numPr>
          <w:ilvl w:val="1"/>
          <w:numId w:val="1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Registrable Securities</w:t>
      </w:r>
      <w:r>
        <w:rPr>
          <w:rFonts w:ascii="Times New Roman" w:cs="Times New Roman" w:eastAsia="Times New Roman" w:hAnsi="Times New Roman"/>
          <w:sz w:val="17"/>
          <w:szCs w:val="17"/>
          <w:color w:val="auto"/>
        </w:rPr>
        <w:t>” shall mean (i) shares of Common Stock issued or issuable pursuant to the conversion of the Shares, including, without limitation, any Shares that may be issued to PacWest pursuant to that certain Warrant to Purchase Stock between the Company and PacWest having an issue date of December 9, 2013, (ii) any shares of Common Stock that may now be held or hereafter come to be held by a Holder other than those shares of Common Stock referenced in (i) above, (iii) solely for the purposes of Sections 2.8, 2.9, 2.10 and 2.11 hereof, the Licensor Shares, and</w:t>
      </w:r>
    </w:p>
    <w:p>
      <w:pPr>
        <w:ind w:left="4" w:right="60" w:hanging="4"/>
        <w:spacing w:after="0" w:line="273" w:lineRule="auto"/>
        <w:tabs>
          <w:tab w:leader="none" w:pos="309"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Common Stock issued as a dividend or other distribution with respect to or in exchange for or in replacement of the shares referenced in (i), (ii) or (iii) above;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Registrable Securities shall not include any shares of Common Stock described in clause (i), (ii) or (iii) above which have previously been registered or which have been sold to the public either pursuant to a registration statement or Rule 144, or which have been sold in a private transaction in which the transferor’s rights under this Agreement are not validly assigned in accordance with this Agreement.</w:t>
      </w:r>
    </w:p>
    <w:p>
      <w:pPr>
        <w:spacing w:after="0" w:line="1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6" w:right="459" w:bottom="1440" w:gutter="0" w:footer="0" w:header="0"/>
        </w:sectPr>
      </w:pPr>
    </w:p>
    <w:bookmarkStart w:id="341" w:name="page342"/>
    <w:bookmarkEnd w:id="341"/>
    <w:p>
      <w:pPr>
        <w:ind w:left="-20" w:right="180" w:firstLine="987"/>
        <w:spacing w:after="0" w:line="268" w:lineRule="auto"/>
        <w:tabs>
          <w:tab w:leader="none" w:pos="122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terms “</w:t>
      </w:r>
      <w:r>
        <w:rPr>
          <w:rFonts w:ascii="Times New Roman" w:cs="Times New Roman" w:eastAsia="Times New Roman" w:hAnsi="Times New Roman"/>
          <w:sz w:val="18"/>
          <w:szCs w:val="18"/>
          <w:b w:val="1"/>
          <w:bCs w:val="1"/>
          <w:i w:val="1"/>
          <w:iCs w:val="1"/>
          <w:color w:val="auto"/>
        </w:rPr>
        <w:t>register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i w:val="1"/>
          <w:iCs w:val="1"/>
          <w:color w:val="auto"/>
        </w:rPr>
        <w:t>registered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registration</w:t>
      </w:r>
      <w:r>
        <w:rPr>
          <w:rFonts w:ascii="Times New Roman" w:cs="Times New Roman" w:eastAsia="Times New Roman" w:hAnsi="Times New Roman"/>
          <w:sz w:val="18"/>
          <w:szCs w:val="18"/>
          <w:color w:val="auto"/>
        </w:rPr>
        <w:t>” shall refer to a registration effected by preparing and filing a registration statement in compliance with the Securities Act and applicable rules and regulations thereunder, and the declaration or ordering of the effectiveness of such registration statement.</w:t>
      </w:r>
    </w:p>
    <w:p>
      <w:pPr>
        <w:spacing w:after="0" w:line="170" w:lineRule="exact"/>
        <w:rPr>
          <w:rFonts w:ascii="Times New Roman" w:cs="Times New Roman" w:eastAsia="Times New Roman" w:hAnsi="Times New Roman"/>
          <w:sz w:val="18"/>
          <w:szCs w:val="18"/>
          <w:color w:val="auto"/>
        </w:rPr>
      </w:pPr>
    </w:p>
    <w:p>
      <w:pPr>
        <w:ind w:left="-20" w:right="80" w:firstLine="987"/>
        <w:spacing w:after="0" w:line="259" w:lineRule="auto"/>
        <w:tabs>
          <w:tab w:leader="none" w:pos="126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Registration Expenses</w:t>
      </w:r>
      <w:r>
        <w:rPr>
          <w:rFonts w:ascii="Times New Roman" w:cs="Times New Roman" w:eastAsia="Times New Roman" w:hAnsi="Times New Roman"/>
          <w:sz w:val="18"/>
          <w:szCs w:val="18"/>
          <w:color w:val="auto"/>
        </w:rPr>
        <w:t>” shall mean all expenses incurred in effecting any registration pursuant to this Agreement, including, without limitation, all registration, qualification, and filing fees, printing expenses, escrow fees, fees and disbursements of counsel for the Company, and one special counsel for the Holders not to exceed $40,000, blue sky fees and expenses, and expenses of any regular or special audits incident to or required by any such registration, but shall not include Selling Expenses, fees and disbursements of other counsel for the Holders and the compensation of regular employees of the Company, which shall be paid in any event by the Company.</w:t>
      </w:r>
    </w:p>
    <w:p>
      <w:pPr>
        <w:spacing w:after="0" w:line="179"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Securities</w:t>
      </w:r>
      <w:r>
        <w:rPr>
          <w:rFonts w:ascii="Times New Roman" w:cs="Times New Roman" w:eastAsia="Times New Roman" w:hAnsi="Times New Roman"/>
          <w:sz w:val="18"/>
          <w:szCs w:val="18"/>
          <w:color w:val="auto"/>
        </w:rPr>
        <w:t>” shall mean any Registrable Securities required to bear the first legend set forth in Section 2.8(b).</w:t>
      </w:r>
    </w:p>
    <w:p>
      <w:pPr>
        <w:spacing w:after="0" w:line="225" w:lineRule="exact"/>
        <w:rPr>
          <w:rFonts w:ascii="Times New Roman" w:cs="Times New Roman" w:eastAsia="Times New Roman" w:hAnsi="Times New Roman"/>
          <w:sz w:val="18"/>
          <w:szCs w:val="18"/>
          <w:color w:val="auto"/>
        </w:rPr>
      </w:pPr>
    </w:p>
    <w:p>
      <w:pPr>
        <w:ind w:left="-20" w:right="20" w:firstLine="987"/>
        <w:spacing w:after="0" w:line="286" w:lineRule="auto"/>
        <w:tabs>
          <w:tab w:leader="none" w:pos="122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144</w:t>
      </w:r>
      <w:r>
        <w:rPr>
          <w:rFonts w:ascii="Times New Roman" w:cs="Times New Roman" w:eastAsia="Times New Roman" w:hAnsi="Times New Roman"/>
          <w:sz w:val="18"/>
          <w:szCs w:val="18"/>
          <w:color w:val="auto"/>
        </w:rPr>
        <w:t>” shall mean Rule 144 as promulgated by the Commission under the Securities Act, as such Rule may be amended from time to time, or any similar successor rule that may be promulgated by the Commission.</w:t>
      </w:r>
    </w:p>
    <w:p>
      <w:pPr>
        <w:spacing w:after="0" w:line="154" w:lineRule="exact"/>
        <w:rPr>
          <w:rFonts w:ascii="Times New Roman" w:cs="Times New Roman" w:eastAsia="Times New Roman" w:hAnsi="Times New Roman"/>
          <w:sz w:val="18"/>
          <w:szCs w:val="18"/>
          <w:color w:val="auto"/>
        </w:rPr>
      </w:pPr>
    </w:p>
    <w:p>
      <w:pPr>
        <w:ind w:left="-20" w:right="20" w:firstLine="987"/>
        <w:spacing w:after="0" w:line="286" w:lineRule="auto"/>
        <w:tabs>
          <w:tab w:leader="none" w:pos="1216"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145</w:t>
      </w:r>
      <w:r>
        <w:rPr>
          <w:rFonts w:ascii="Times New Roman" w:cs="Times New Roman" w:eastAsia="Times New Roman" w:hAnsi="Times New Roman"/>
          <w:sz w:val="18"/>
          <w:szCs w:val="18"/>
          <w:color w:val="auto"/>
        </w:rPr>
        <w:t>” shall mean Rule 145 as promulgated by the Commission under the Securities Act, as such Rule may be amended from time to time, or any similar successor rule that may be promulgated by the Commission</w:t>
      </w:r>
    </w:p>
    <w:p>
      <w:pPr>
        <w:spacing w:after="0" w:line="155" w:lineRule="exact"/>
        <w:rPr>
          <w:sz w:val="20"/>
          <w:szCs w:val="20"/>
          <w:color w:val="auto"/>
        </w:rPr>
      </w:pPr>
    </w:p>
    <w:p>
      <w:pPr>
        <w:ind w:left="-20" w:right="680" w:firstLine="987"/>
        <w:spacing w:after="0" w:line="286" w:lineRule="auto"/>
        <w:tabs>
          <w:tab w:leader="none" w:pos="129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shall mean the Securities Act of 1933, as amended, or any similar successor federal statute and the rules and regulations thereunder, all as the same shall be in effect from time to time.</w:t>
      </w:r>
    </w:p>
    <w:p>
      <w:pPr>
        <w:spacing w:after="0" w:line="154" w:lineRule="exact"/>
        <w:rPr>
          <w:rFonts w:ascii="Times New Roman" w:cs="Times New Roman" w:eastAsia="Times New Roman" w:hAnsi="Times New Roman"/>
          <w:sz w:val="18"/>
          <w:szCs w:val="18"/>
          <w:color w:val="auto"/>
        </w:rPr>
      </w:pPr>
    </w:p>
    <w:p>
      <w:pPr>
        <w:ind w:left="-20" w:firstLine="987"/>
        <w:spacing w:after="0" w:line="268" w:lineRule="auto"/>
        <w:tabs>
          <w:tab w:leader="none" w:pos="1316"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Selling Expenses</w:t>
      </w:r>
      <w:r>
        <w:rPr>
          <w:rFonts w:ascii="Times New Roman" w:cs="Times New Roman" w:eastAsia="Times New Roman" w:hAnsi="Times New Roman"/>
          <w:sz w:val="18"/>
          <w:szCs w:val="18"/>
          <w:color w:val="auto"/>
        </w:rPr>
        <w:t>” shall mean all underwriting discounts, selling commissions and stock transfer taxes applicable to the sale of Registrable Securities and fees and disbursements of counsel for any Holder (other than the fees and disbursements of one special counsel to the Holders up to $40,000 included in Registration Expenses).</w:t>
      </w:r>
    </w:p>
    <w:p>
      <w:pPr>
        <w:spacing w:after="0" w:line="170" w:lineRule="exact"/>
        <w:rPr>
          <w:rFonts w:ascii="Times New Roman" w:cs="Times New Roman" w:eastAsia="Times New Roman" w:hAnsi="Times New Roman"/>
          <w:sz w:val="18"/>
          <w:szCs w:val="18"/>
          <w:color w:val="auto"/>
        </w:rPr>
      </w:pPr>
    </w:p>
    <w:p>
      <w:pPr>
        <w:ind w:left="1300" w:hanging="333"/>
        <w:spacing w:after="0"/>
        <w:tabs>
          <w:tab w:leader="none" w:pos="13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A Preferred Stock</w:t>
      </w:r>
      <w:r>
        <w:rPr>
          <w:rFonts w:ascii="Times New Roman" w:cs="Times New Roman" w:eastAsia="Times New Roman" w:hAnsi="Times New Roman"/>
          <w:sz w:val="18"/>
          <w:szCs w:val="18"/>
          <w:color w:val="auto"/>
        </w:rPr>
        <w:t>” shall mean the shares of the Company’s Series A Preferred Stock.</w:t>
      </w:r>
    </w:p>
    <w:p>
      <w:pPr>
        <w:spacing w:after="0" w:line="225" w:lineRule="exact"/>
        <w:rPr>
          <w:rFonts w:ascii="Times New Roman" w:cs="Times New Roman" w:eastAsia="Times New Roman" w:hAnsi="Times New Roman"/>
          <w:sz w:val="18"/>
          <w:szCs w:val="18"/>
          <w:color w:val="auto"/>
        </w:rPr>
      </w:pPr>
    </w:p>
    <w:p>
      <w:pPr>
        <w:ind w:left="1320" w:hanging="353"/>
        <w:spacing w:after="0"/>
        <w:tabs>
          <w:tab w:leader="none" w:pos="132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B Preferred Stock</w:t>
      </w:r>
      <w:r>
        <w:rPr>
          <w:rFonts w:ascii="Times New Roman" w:cs="Times New Roman" w:eastAsia="Times New Roman" w:hAnsi="Times New Roman"/>
          <w:sz w:val="18"/>
          <w:szCs w:val="18"/>
          <w:color w:val="auto"/>
        </w:rPr>
        <w:t>” shall mean the shares of the Company’s Series B Preferred Stock.</w:t>
      </w:r>
    </w:p>
    <w:p>
      <w:pPr>
        <w:spacing w:after="0" w:line="225" w:lineRule="exact"/>
        <w:rPr>
          <w:rFonts w:ascii="Times New Roman" w:cs="Times New Roman" w:eastAsia="Times New Roman" w:hAnsi="Times New Roman"/>
          <w:sz w:val="18"/>
          <w:szCs w:val="18"/>
          <w:color w:val="auto"/>
        </w:rPr>
      </w:pPr>
    </w:p>
    <w:p>
      <w:pPr>
        <w:ind w:left="1300" w:hanging="333"/>
        <w:spacing w:after="0"/>
        <w:tabs>
          <w:tab w:leader="none" w:pos="130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C Preferred Stock</w:t>
      </w:r>
      <w:r>
        <w:rPr>
          <w:rFonts w:ascii="Times New Roman" w:cs="Times New Roman" w:eastAsia="Times New Roman" w:hAnsi="Times New Roman"/>
          <w:sz w:val="18"/>
          <w:szCs w:val="18"/>
          <w:color w:val="auto"/>
        </w:rPr>
        <w:t>” shall mean the shares of the Company’s Series C Preferred Stock.</w:t>
      </w:r>
    </w:p>
    <w:p>
      <w:pPr>
        <w:spacing w:after="0" w:line="225" w:lineRule="exact"/>
        <w:rPr>
          <w:rFonts w:ascii="Times New Roman" w:cs="Times New Roman" w:eastAsia="Times New Roman" w:hAnsi="Times New Roman"/>
          <w:sz w:val="18"/>
          <w:szCs w:val="18"/>
          <w:color w:val="auto"/>
        </w:rPr>
      </w:pPr>
    </w:p>
    <w:p>
      <w:pPr>
        <w:ind w:left="1240" w:hanging="273"/>
        <w:spacing w:after="0"/>
        <w:tabs>
          <w:tab w:leader="none" w:pos="124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D Preferred Stock</w:t>
      </w:r>
      <w:r>
        <w:rPr>
          <w:rFonts w:ascii="Times New Roman" w:cs="Times New Roman" w:eastAsia="Times New Roman" w:hAnsi="Times New Roman"/>
          <w:sz w:val="18"/>
          <w:szCs w:val="18"/>
          <w:color w:val="auto"/>
        </w:rPr>
        <w:t>” shall have the meaning set forth in the Recitals.</w:t>
      </w:r>
    </w:p>
    <w:p>
      <w:pPr>
        <w:spacing w:after="0" w:line="225" w:lineRule="exact"/>
        <w:rPr>
          <w:rFonts w:ascii="Times New Roman" w:cs="Times New Roman" w:eastAsia="Times New Roman" w:hAnsi="Times New Roman"/>
          <w:sz w:val="18"/>
          <w:szCs w:val="18"/>
          <w:color w:val="auto"/>
        </w:rPr>
      </w:pPr>
    </w:p>
    <w:p>
      <w:pPr>
        <w:ind w:left="1320" w:hanging="353"/>
        <w:spacing w:after="0"/>
        <w:tabs>
          <w:tab w:leader="none" w:pos="1320"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Series Seed Preferred Stock</w:t>
      </w:r>
      <w:r>
        <w:rPr>
          <w:rFonts w:ascii="Times New Roman" w:cs="Times New Roman" w:eastAsia="Times New Roman" w:hAnsi="Times New Roman"/>
          <w:sz w:val="18"/>
          <w:szCs w:val="18"/>
          <w:color w:val="auto"/>
        </w:rPr>
        <w:t>” shall mean the shares of the Company’s Series Seed Preferred Stock.</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60" w:top="266" w:right="459" w:bottom="1440" w:gutter="0" w:footer="0" w:header="0"/>
        </w:sectPr>
      </w:pPr>
    </w:p>
    <w:bookmarkStart w:id="342" w:name="page343"/>
    <w:bookmarkEnd w:id="342"/>
    <w:p>
      <w:pPr>
        <w:ind w:right="140" w:firstLine="987"/>
        <w:spacing w:after="0" w:line="286" w:lineRule="auto"/>
        <w:tabs>
          <w:tab w:leader="none" w:pos="133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shall mean the Series D Preferred Stock, the Series C Preferred Stock, the Series B Preferred Stock, the Series A Preferred Stock and the Series Seed Preferred Stock.</w:t>
      </w:r>
    </w:p>
    <w:p>
      <w:pPr>
        <w:spacing w:after="0" w:line="154" w:lineRule="exact"/>
        <w:rPr>
          <w:rFonts w:ascii="Times New Roman" w:cs="Times New Roman" w:eastAsia="Times New Roman" w:hAnsi="Times New Roman"/>
          <w:sz w:val="18"/>
          <w:szCs w:val="18"/>
          <w:color w:val="auto"/>
        </w:rPr>
      </w:pPr>
    </w:p>
    <w:p>
      <w:pPr>
        <w:ind w:firstLine="987"/>
        <w:spacing w:after="0" w:line="259" w:lineRule="auto"/>
        <w:tabs>
          <w:tab w:leader="none" w:pos="125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Significant Holders</w:t>
      </w:r>
      <w:r>
        <w:rPr>
          <w:rFonts w:ascii="Times New Roman" w:cs="Times New Roman" w:eastAsia="Times New Roman" w:hAnsi="Times New Roman"/>
          <w:sz w:val="18"/>
          <w:szCs w:val="18"/>
          <w:color w:val="auto"/>
        </w:rPr>
        <w:t>” shall mean any Holder that, at the time that such determination is made, owns at least 35% of the aggregate number of Shares and/or Conversion Stock (as adjusted for any stock splits, stock dividends, combinations, subdivisions, recapitalizations, reorganizations, reclassifications or the like) that such Holder has purchased or may hereinafter purchase pursuant to the Purchase Agreement, the Series C Preferred Stock Purchase Agreement dated November 12, 2019, the Series B Preferred Stock Purchase Agreement dated February 17, 2017, the Series A Preferred Stock Purchase Agreement dated November 25, 2014 or the Series Seed Preferred Stock Purchase Agreement dated July 26, 2013.</w:t>
      </w:r>
    </w:p>
    <w:p>
      <w:pPr>
        <w:spacing w:after="0" w:line="179" w:lineRule="exact"/>
        <w:rPr>
          <w:rFonts w:ascii="Times New Roman" w:cs="Times New Roman" w:eastAsia="Times New Roman" w:hAnsi="Times New Roman"/>
          <w:sz w:val="18"/>
          <w:szCs w:val="18"/>
          <w:color w:val="auto"/>
        </w:rPr>
      </w:pPr>
    </w:p>
    <w:p>
      <w:pPr>
        <w:ind w:right="280" w:firstLine="987"/>
        <w:spacing w:after="0" w:line="268" w:lineRule="auto"/>
        <w:tabs>
          <w:tab w:leader="none" w:pos="1256"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Wellington Investors</w:t>
      </w:r>
      <w:r>
        <w:rPr>
          <w:rFonts w:ascii="Times New Roman" w:cs="Times New Roman" w:eastAsia="Times New Roman" w:hAnsi="Times New Roman"/>
          <w:sz w:val="18"/>
          <w:szCs w:val="18"/>
          <w:color w:val="auto"/>
        </w:rPr>
        <w:t>” shall mean, Holders, or permitted transferees of Registrable Securities held by Holders, that are advisory or subadvisory clients of Wellington Management Company LLP, including, without limitation, Wellington Biomedical Innovation Master Investors (Cayman) I L.P.</w:t>
      </w:r>
    </w:p>
    <w:p>
      <w:pPr>
        <w:spacing w:after="0" w:line="170"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Withdrawn Registration</w:t>
      </w:r>
      <w:r>
        <w:rPr>
          <w:rFonts w:ascii="Times New Roman" w:cs="Times New Roman" w:eastAsia="Times New Roman" w:hAnsi="Times New Roman"/>
          <w:sz w:val="18"/>
          <w:szCs w:val="18"/>
          <w:color w:val="auto"/>
        </w:rPr>
        <w:t>” shall mean a forfeited demand registration under Section 2.1 in accordance with the terms and conditions</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Section 2.4.</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2.1 Requested Registration.</w:t>
      </w:r>
    </w:p>
    <w:p>
      <w:pPr>
        <w:spacing w:after="0" w:line="225" w:lineRule="exact"/>
        <w:rPr>
          <w:sz w:val="20"/>
          <w:szCs w:val="20"/>
          <w:color w:val="auto"/>
        </w:rPr>
      </w:pPr>
    </w:p>
    <w:p>
      <w:pPr>
        <w:jc w:val="both"/>
        <w:ind w:right="60" w:firstLine="987"/>
        <w:spacing w:after="0" w:line="268" w:lineRule="auto"/>
        <w:tabs>
          <w:tab w:leader="none" w:pos="1236"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Request for Registration. </w:t>
      </w:r>
      <w:r>
        <w:rPr>
          <w:rFonts w:ascii="Times New Roman" w:cs="Times New Roman" w:eastAsia="Times New Roman" w:hAnsi="Times New Roman"/>
          <w:sz w:val="18"/>
          <w:szCs w:val="18"/>
          <w:color w:val="auto"/>
        </w:rPr>
        <w:t>Subject to the conditions set forth in this Section 2.1, if the Company shall receive from Initiating Holders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written request signed by such Initiating Holders that the Company effect any registration with respect to all or a part of the Registrable Securities (such request shall state the number of shares of Registrable Securities to be disposed of by such Initiating Holders), the Company will:</w:t>
      </w:r>
    </w:p>
    <w:p>
      <w:pPr>
        <w:spacing w:after="0" w:line="174"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give written notice of the proposed registration to all other Holders; and</w:t>
      </w:r>
    </w:p>
    <w:p>
      <w:pPr>
        <w:spacing w:after="0" w:line="225" w:lineRule="exact"/>
        <w:rPr>
          <w:rFonts w:ascii="Times New Roman" w:cs="Times New Roman" w:eastAsia="Times New Roman" w:hAnsi="Times New Roman"/>
          <w:sz w:val="18"/>
          <w:szCs w:val="18"/>
          <w:color w:val="auto"/>
        </w:rPr>
      </w:pPr>
    </w:p>
    <w:p>
      <w:pPr>
        <w:ind w:firstLine="1428"/>
        <w:spacing w:after="0" w:line="258" w:lineRule="auto"/>
        <w:tabs>
          <w:tab w:leader="none" w:pos="1697"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file and use its commercially reasonable efforts to effect such registration (including, without limitation, filing post-effective amendments, appropriate qualifications under applicable blue sky or other state securities laws, and appropriate compliance with the Securities Act) and to permit or facilitate the sale and distribution of all or such portion of such Registrable Securities as are specified in such request, together with all or such portion of the Registrable Securities of any Holder or Holders joining in such request as are specified in a written request received by the Company within twenty (20) days after such written notice from the Company is mailed or delivered.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343" w:name="page344"/>
    <w:bookmarkEnd w:id="343"/>
    <w:p>
      <w:pPr>
        <w:ind w:left="4" w:right="600" w:firstLine="987"/>
        <w:spacing w:after="0" w:line="286" w:lineRule="auto"/>
        <w:tabs>
          <w:tab w:leader="none" w:pos="1250"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Limitations on Requested Registration. </w:t>
      </w:r>
      <w:r>
        <w:rPr>
          <w:rFonts w:ascii="Times New Roman" w:cs="Times New Roman" w:eastAsia="Times New Roman" w:hAnsi="Times New Roman"/>
          <w:sz w:val="18"/>
          <w:szCs w:val="18"/>
          <w:color w:val="auto"/>
        </w:rPr>
        <w:t>The Company shall not be obligated to effect, or to take any action to effect, any such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registration pursuant to this Section 2.1:</w:t>
      </w:r>
    </w:p>
    <w:p>
      <w:pPr>
        <w:spacing w:after="0" w:line="158" w:lineRule="exact"/>
        <w:rPr>
          <w:rFonts w:ascii="Times New Roman" w:cs="Times New Roman" w:eastAsia="Times New Roman" w:hAnsi="Times New Roman"/>
          <w:sz w:val="18"/>
          <w:szCs w:val="18"/>
          <w:color w:val="auto"/>
        </w:rPr>
      </w:pPr>
    </w:p>
    <w:p>
      <w:pPr>
        <w:ind w:left="4" w:firstLine="1428"/>
        <w:spacing w:after="0" w:line="266" w:lineRule="auto"/>
        <w:tabs>
          <w:tab w:leader="none" w:pos="1651" w:val="left"/>
        </w:tabs>
        <w:numPr>
          <w:ilvl w:val="2"/>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earlier of (A) the five (5) year anniversary of the date of this Agreement or (B) one hundred and eighty (180) days following the effective date of the registration statement for the Initial Public Offering (or the subsequent date on which all market stand-off agreements applicable to the offering have terminated);</w:t>
      </w:r>
    </w:p>
    <w:p>
      <w:pPr>
        <w:spacing w:after="0" w:line="175" w:lineRule="exact"/>
        <w:rPr>
          <w:rFonts w:ascii="Times New Roman" w:cs="Times New Roman" w:eastAsia="Times New Roman" w:hAnsi="Times New Roman"/>
          <w:sz w:val="18"/>
          <w:szCs w:val="18"/>
          <w:color w:val="auto"/>
        </w:rPr>
      </w:pPr>
    </w:p>
    <w:p>
      <w:pPr>
        <w:ind w:left="4" w:right="420" w:firstLine="1428"/>
        <w:spacing w:after="0" w:line="266" w:lineRule="auto"/>
        <w:tabs>
          <w:tab w:leader="none" w:pos="1701" w:val="left"/>
        </w:tabs>
        <w:numPr>
          <w:ilvl w:val="2"/>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Initiating Holders, together with the holders of any other securities of the Company entitled to inclusion in such registration statement, propose to sell Registrable Securities and such other securities (if any) the aggregate proceeds of which (after deduction for underwriter’s discounts and expenses related to the issuance) are less than $5,000,000;</w:t>
      </w:r>
    </w:p>
    <w:p>
      <w:pPr>
        <w:spacing w:after="0" w:line="175" w:lineRule="exact"/>
        <w:rPr>
          <w:rFonts w:ascii="Times New Roman" w:cs="Times New Roman" w:eastAsia="Times New Roman" w:hAnsi="Times New Roman"/>
          <w:sz w:val="18"/>
          <w:szCs w:val="18"/>
          <w:color w:val="auto"/>
        </w:rPr>
      </w:pPr>
    </w:p>
    <w:p>
      <w:pPr>
        <w:ind w:left="1744" w:hanging="312"/>
        <w:spacing w:after="0"/>
        <w:tabs>
          <w:tab w:leader="none" w:pos="1744" w:val="left"/>
        </w:tabs>
        <w:numPr>
          <w:ilvl w:val="2"/>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Company has initiated two (2) such registrations pursuant to this Section 2.1 (counting for these purposes only</w:t>
      </w:r>
    </w:p>
    <w:p>
      <w:pPr>
        <w:spacing w:after="0" w:line="2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registrations which have been declared or ordered effective and pursuant to which securities have been sold, and (y) Withdrawn Registrations); and</w:t>
      </w:r>
    </w:p>
    <w:p>
      <w:pPr>
        <w:spacing w:after="0" w:line="206" w:lineRule="exact"/>
        <w:rPr>
          <w:rFonts w:ascii="Times New Roman" w:cs="Times New Roman" w:eastAsia="Times New Roman" w:hAnsi="Times New Roman"/>
          <w:sz w:val="18"/>
          <w:szCs w:val="18"/>
          <w:color w:val="auto"/>
        </w:rPr>
      </w:pPr>
    </w:p>
    <w:p>
      <w:pPr>
        <w:ind w:left="4" w:right="60" w:firstLine="1428"/>
        <w:spacing w:after="0" w:line="261" w:lineRule="auto"/>
        <w:tabs>
          <w:tab w:leader="none" w:pos="1741" w:val="left"/>
        </w:tabs>
        <w:numPr>
          <w:ilvl w:val="2"/>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period starting with the date sixty (60) days prior to the Company’s good faith estimate of the date of filing of, and ending on a date one hundred eighty (180) days after the effective date of, a Company-initiated registration (or ending on the subsequent date on which all market stand-off agreements applicable to the offering have terminated);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is actively employing in good faith commercially reasonable efforts to cause such registration statement to become effective.</w:t>
      </w:r>
    </w:p>
    <w:p>
      <w:pPr>
        <w:spacing w:after="0" w:line="175" w:lineRule="exact"/>
        <w:rPr>
          <w:rFonts w:ascii="Times New Roman" w:cs="Times New Roman" w:eastAsia="Times New Roman" w:hAnsi="Times New Roman"/>
          <w:sz w:val="18"/>
          <w:szCs w:val="18"/>
          <w:color w:val="auto"/>
        </w:rPr>
      </w:pPr>
    </w:p>
    <w:p>
      <w:pPr>
        <w:ind w:left="4" w:right="40" w:firstLine="987"/>
        <w:spacing w:after="0" w:line="255" w:lineRule="auto"/>
        <w:tabs>
          <w:tab w:leader="none" w:pos="124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Deferral. </w:t>
      </w:r>
      <w:r>
        <w:rPr>
          <w:rFonts w:ascii="Times New Roman" w:cs="Times New Roman" w:eastAsia="Times New Roman" w:hAnsi="Times New Roman"/>
          <w:sz w:val="18"/>
          <w:szCs w:val="18"/>
          <w:color w:val="auto"/>
        </w:rPr>
        <w:t>If (i) in the good faith judgment of the board of directors of the Company, the filing of a registration statement covering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Registrable Securities would be materially detrimental to the Company and the board of directors of the Company concludes, as a result, that it is in the best interests of the Company to defer the filing of such registration statement at such time, and (ii) the Company shall furnish to such Holders a certificate signed by the President of the Company stating that in the good faith judgment of the board of directors of the Company, it would be materially detrimental to the Company for such registration statement to be filed in the near future and that it is, therefore, in the best interests of the Company to defer the filing of such registration statement, then (in addition to the limitations set forth in Section 2.1(b)(iv) above) the Company shall have the right to defer such filing for a period of not more than ninety (90) days after receipt of the request of the Initiating Holders,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Company shall not defer its obligation in this manner more than two (2) times in any twelve-month period.</w:t>
      </w:r>
    </w:p>
    <w:p>
      <w:pPr>
        <w:spacing w:after="0" w:line="184" w:lineRule="exact"/>
        <w:rPr>
          <w:rFonts w:ascii="Times New Roman" w:cs="Times New Roman" w:eastAsia="Times New Roman" w:hAnsi="Times New Roman"/>
          <w:sz w:val="18"/>
          <w:szCs w:val="18"/>
          <w:color w:val="auto"/>
        </w:rPr>
      </w:pPr>
    </w:p>
    <w:p>
      <w:pPr>
        <w:ind w:left="4" w:right="520" w:firstLine="987"/>
        <w:spacing w:after="0" w:line="286" w:lineRule="auto"/>
        <w:tabs>
          <w:tab w:leader="none" w:pos="125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Other Shares. </w:t>
      </w:r>
      <w:r>
        <w:rPr>
          <w:rFonts w:ascii="Times New Roman" w:cs="Times New Roman" w:eastAsia="Times New Roman" w:hAnsi="Times New Roman"/>
          <w:sz w:val="18"/>
          <w:szCs w:val="18"/>
          <w:color w:val="auto"/>
        </w:rPr>
        <w:t>The registration statement filed pursuant to the request of the Initiating Holders may, subject to the provisions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Section 2.1(e), include Other Shares, and may include securities of the Company being sold for the account of the Company.</w:t>
      </w:r>
    </w:p>
    <w:p>
      <w:pPr>
        <w:spacing w:after="0" w:line="154" w:lineRule="exact"/>
        <w:rPr>
          <w:rFonts w:ascii="Times New Roman" w:cs="Times New Roman" w:eastAsia="Times New Roman" w:hAnsi="Times New Roman"/>
          <w:sz w:val="18"/>
          <w:szCs w:val="18"/>
          <w:color w:val="auto"/>
        </w:rPr>
      </w:pPr>
    </w:p>
    <w:p>
      <w:pPr>
        <w:ind w:left="4" w:right="20" w:firstLine="987"/>
        <w:spacing w:after="0" w:line="259" w:lineRule="auto"/>
        <w:tabs>
          <w:tab w:leader="none" w:pos="1240"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Underwriting. </w:t>
      </w:r>
      <w:r>
        <w:rPr>
          <w:rFonts w:ascii="Times New Roman" w:cs="Times New Roman" w:eastAsia="Times New Roman" w:hAnsi="Times New Roman"/>
          <w:sz w:val="18"/>
          <w:szCs w:val="18"/>
          <w:color w:val="auto"/>
        </w:rPr>
        <w:t>The right of any Holder to include all or any portion of its Registrable Securities in a registration pursuant to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Section 2.1 shall be conditioned upon such Holder’s participation in an underwriting and the inclusion of such Holder’s Registrable Securities to the extent provided herein. If the Company shall request inclusion in any registration pursuant to Section 2.1 of securities being sold for its own account, or if other persons shall request inclusion in any registration pursuant to Section 2.1, the Initiating Holders shall, on behalf of all Holders, offer to include such securities in the underwriting and such offer shall be conditioned upon the participation</w:t>
      </w:r>
    </w:p>
    <w:p>
      <w:pPr>
        <w:spacing w:after="0" w:line="116"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4"/>
          </w:cols>
          <w:pgMar w:left="436" w:top="266" w:right="519" w:bottom="1440" w:gutter="0" w:footer="0" w:header="0"/>
        </w:sectPr>
      </w:pPr>
    </w:p>
    <w:bookmarkStart w:id="344" w:name="page345"/>
    <w:bookmarkEnd w:id="344"/>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the Company or such other persons in such underwriting and the inclusion of the Company’s and such person’s other securities of the Company and their acceptance of the further applicable provisions of this Section 2 (including Section 2.10). The Company shall (together with all Holders and other persons proposing to distribute their securities through such underwriting) enter into an underwriting agreement in customary form with the representative of the underwriter or underwriters selected for such underwriting by a majority in interest of the Initiating Holders, which underwriters are reasonably acceptable to the Company.</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 other provision of this Section 2.1, if the underwriters advise the Initiating Holders in writing that marketing factors require a limitation on the number of shares to be underwritten, the number of Registrable Securities and Other Shares that may be so included shall be allocated as follows (i) first, among all Holders requesting to include Registrable Securities in such registration statement based on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percentage of Registrable Securities held by such Holders, assuming conversion; (ii) second, to the Other Selling Stockholders; (iii) third, to the Company, which the Company may allocate, at its discretion, for its own account, or for the account of other holders or employees of the Company.</w:t>
      </w:r>
    </w:p>
    <w:p>
      <w:pPr>
        <w:spacing w:after="0" w:line="183"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If a person who has requested inclusion in such registration as provided above does not agree to the terms of any such underwriting, such person shall be excluded therefrom by written notice from the Company, the underwriter or the Initiating Holders. The securities so excluded shall also be withdrawn from registration. Any Registrable Securities or other securities excluded or withdrawn from such underwriting shall also be withdrawn from such registration. If shares are so withdrawn from the registration and if the number of shares to be included in such registration was previously reduced as a result of marketing factors pursuant to this Section 2.1(e), then the Company shall then offer to all Holders and Other Selling Stockholders who have retained rights to include securities in the registration the right to include additional Registrable Securities or Other Shares in the registration in an aggregate amount equal to the number of shares so withdrawn, with such shares to be allocated among such Holders and Other Selling Stockholders requesting additional inclusion, as set forth above.</w:t>
      </w:r>
    </w:p>
    <w:p>
      <w:pPr>
        <w:spacing w:after="0" w:line="19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For purposes of Section 2.1, a registration shall not be counted as “effected” if, as a result of an exercise of the underwriter’s cutback provisions in Section 2.1(e), fewer than all of the total number of Registrable Securities that Holders have requested to be included in such registration statement are actually included.</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2.2 Company Registration.</w:t>
      </w:r>
    </w:p>
    <w:p>
      <w:pPr>
        <w:spacing w:after="0" w:line="225" w:lineRule="exact"/>
        <w:rPr>
          <w:sz w:val="20"/>
          <w:szCs w:val="20"/>
          <w:color w:val="auto"/>
        </w:rPr>
      </w:pPr>
    </w:p>
    <w:p>
      <w:pPr>
        <w:ind w:right="60" w:firstLine="987"/>
        <w:spacing w:after="0" w:line="262" w:lineRule="auto"/>
        <w:tabs>
          <w:tab w:leader="none" w:pos="1236"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Company Registration. </w:t>
      </w:r>
      <w:r>
        <w:rPr>
          <w:rFonts w:ascii="Times New Roman" w:cs="Times New Roman" w:eastAsia="Times New Roman" w:hAnsi="Times New Roman"/>
          <w:sz w:val="18"/>
          <w:szCs w:val="18"/>
          <w:color w:val="auto"/>
        </w:rPr>
        <w:t>If the Company shall determine to register any of its securities either for its own account or the account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security holder or holders, other than a registration pursuant to Section 2.1 or 2.3, a registration relating solely to employee benefit plans, a registration relating to the offer and sale of debt securities, a registration relating to a corporate reorganization or other Rule 145 transaction, or a registration on any registration form that does not permit secondary sales, the Company will:</w:t>
      </w:r>
    </w:p>
    <w:p>
      <w:pPr>
        <w:spacing w:after="0" w:line="180" w:lineRule="exact"/>
        <w:rPr>
          <w:sz w:val="20"/>
          <w:szCs w:val="20"/>
          <w:color w:val="auto"/>
        </w:rPr>
      </w:pPr>
    </w:p>
    <w:p>
      <w:pPr>
        <w:ind w:left="5460" w:right="3900" w:hanging="4032"/>
        <w:spacing w:after="0" w:line="454" w:lineRule="auto"/>
        <w:tabs>
          <w:tab w:leader="none" w:pos="164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give written notice of the proposed registration to all Holders; and 7</w:t>
      </w:r>
    </w:p>
    <w:p>
      <w:pPr>
        <w:sectPr>
          <w:pgSz w:w="11900" w:h="16838" w:orient="portrait"/>
          <w:cols w:equalWidth="0" w:num="1">
            <w:col w:w="11000"/>
          </w:cols>
          <w:pgMar w:left="440" w:top="270" w:right="459" w:bottom="1440" w:gutter="0" w:footer="0" w:header="0"/>
        </w:sectPr>
      </w:pPr>
    </w:p>
    <w:bookmarkStart w:id="345" w:name="page346"/>
    <w:bookmarkEnd w:id="345"/>
    <w:p>
      <w:pPr>
        <w:jc w:val="both"/>
        <w:ind w:right="20" w:firstLine="1428"/>
        <w:spacing w:after="0" w:line="261" w:lineRule="auto"/>
        <w:tabs>
          <w:tab w:leader="none" w:pos="1697"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use its commercially reasonable efforts to include in such registration (and any related qualification under blue sky laws or other compliance), except as set forth in Section 2.2(b) below, and in any underwriting involved therein, all of such Registrable Securities as are specified in a written request or requests made by any Holder or Holders received by the Company within ten (10) days after such written notice from the Company is mailed or delivered. Such written request may specify all or a part of a Holder’s Registrable Securities.</w:t>
      </w:r>
    </w:p>
    <w:p>
      <w:pPr>
        <w:spacing w:after="0" w:line="175" w:lineRule="exact"/>
        <w:rPr>
          <w:rFonts w:ascii="Times New Roman" w:cs="Times New Roman" w:eastAsia="Times New Roman" w:hAnsi="Times New Roman"/>
          <w:sz w:val="18"/>
          <w:szCs w:val="18"/>
          <w:color w:val="auto"/>
        </w:rPr>
      </w:pPr>
    </w:p>
    <w:p>
      <w:pPr>
        <w:ind w:right="160" w:firstLine="987"/>
        <w:spacing w:after="0" w:line="256" w:lineRule="auto"/>
        <w:tabs>
          <w:tab w:leader="none" w:pos="1246"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Underwriting. </w:t>
      </w:r>
      <w:r>
        <w:rPr>
          <w:rFonts w:ascii="Times New Roman" w:cs="Times New Roman" w:eastAsia="Times New Roman" w:hAnsi="Times New Roman"/>
          <w:sz w:val="18"/>
          <w:szCs w:val="18"/>
          <w:color w:val="auto"/>
        </w:rPr>
        <w:t>If the registration of which the Company gives notice is for a registered public offering involving an underwriting,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shall so advise the Holders as a part of the written notice given pursuant to Section 2.2(a)(i). In such event, the right of any Holder to registration pursuant to this Section 2.2 shall be conditioned upon such Holder’s participation in such underwriting and the inclusion of such Holder’s Registrable Securities in the underwriting to the extent provided herein. All Holders proposing to distribute their securities through such underwriting shall (together with the Company, the Other Selling Stockholders and other holders of securities of the Company with registration rights to participate therein distributing their securities through such underwriting) enter into an underwriting agreement in customary form with the representative of the underwriter or underwriters selected by the Company.</w:t>
      </w:r>
    </w:p>
    <w:p>
      <w:pPr>
        <w:spacing w:after="0" w:line="18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 other provision of this Section 2.2, if the underwriters advise the Company in writing that marketing factors require a limitation on the number of shares to be underwritten, the underwriters may (subject to the limitations set forth below) exclude all Registrable Securities from, or limit the number of Registrable Securities to be included in, the registration and underwriting, as provided for below. The Company shall so advise all holders of securities requesting registration, and the number of shares of securities that are entitled to be included in the registration and underwriting shall be allocated, as follows: (i) first, to the Company for securities being sold for its own account, (ii) second, to the Holders requesting to include Registrable Securities in such registration statement based on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percentage of Registrable Securities held by such Holders, assuming conversion; (iii) third, to the Other Selling Stockholders requesting to include Other Shares in such registration statement based on the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rata </w:t>
      </w:r>
      <w:r>
        <w:rPr>
          <w:rFonts w:ascii="Times New Roman" w:cs="Times New Roman" w:eastAsia="Times New Roman" w:hAnsi="Times New Roman"/>
          <w:sz w:val="18"/>
          <w:szCs w:val="18"/>
          <w:color w:val="auto"/>
        </w:rPr>
        <w:t>percentage of Other Shares held by such Other Selling Stockholders, assuming conversion. Notwithstanding the foregoing, no such reduction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reduce the value of the Registrable Securities of the Holders included in such registration below twenty percent (20%) of the total value of securities included in such registration, unless such offering is the Company’s Initial Public Offering and such registration does not include shares of any Other Selling Stockholders (excluding shares registered for the account of the Company), in which event any or all of the Registrable Securities of such Holders may be excluded.</w:t>
      </w:r>
    </w:p>
    <w:p>
      <w:pPr>
        <w:spacing w:after="0" w:line="19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If a person who has requested inclusion in such registration as provided above does not agree to the terms of any such underwriting, such person shall also be excluded therefrom by written notice from the Company or the underwriter. The Registrable Securities or other securities so excluded shall also be withdrawn from such registration. Any Registrable Securities or other securities excluded or withdrawn from such underwriting shall be withdrawn from such registration. If shares are so withdrawn from the registration and if the number of shares of Registrable Securities to be included in such registration was previously reduced as a result of marketing factors pursuant to Section 2.2(b), the Company shall then offer to all persons who have retained the right to include securities in the registration the right to include additional securities in the registration in an aggregate amount equal to the number of shares so withdrawn, with such shares to be allocated among the persons requesting additional inclusion, in the manner set forth above.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346" w:name="page347"/>
    <w:bookmarkEnd w:id="346"/>
    <w:p>
      <w:pPr>
        <w:ind w:right="120" w:firstLine="987"/>
        <w:spacing w:after="0" w:line="286" w:lineRule="auto"/>
        <w:tabs>
          <w:tab w:leader="none" w:pos="1236"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Right to Terminate Registration. </w:t>
      </w:r>
      <w:r>
        <w:rPr>
          <w:rFonts w:ascii="Times New Roman" w:cs="Times New Roman" w:eastAsia="Times New Roman" w:hAnsi="Times New Roman"/>
          <w:sz w:val="18"/>
          <w:szCs w:val="18"/>
          <w:color w:val="auto"/>
        </w:rPr>
        <w:t>The Company shall have the right to terminate or withdraw any registration initiated by it under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Section 2.2 prior to the effectiveness of such registration whether or not any Holder has elected to include securities in such registration.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2.3 Registration on Form S-3.</w:t>
      </w:r>
    </w:p>
    <w:p>
      <w:pPr>
        <w:spacing w:after="0" w:line="225" w:lineRule="exact"/>
        <w:rPr>
          <w:sz w:val="20"/>
          <w:szCs w:val="20"/>
          <w:color w:val="auto"/>
        </w:rPr>
      </w:pPr>
    </w:p>
    <w:p>
      <w:pPr>
        <w:ind w:firstLine="987"/>
        <w:spacing w:after="0" w:line="256" w:lineRule="auto"/>
        <w:tabs>
          <w:tab w:leader="none" w:pos="123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Request for Form S-3 Registration. </w:t>
      </w:r>
      <w:r>
        <w:rPr>
          <w:rFonts w:ascii="Times New Roman" w:cs="Times New Roman" w:eastAsia="Times New Roman" w:hAnsi="Times New Roman"/>
          <w:sz w:val="18"/>
          <w:szCs w:val="18"/>
          <w:color w:val="auto"/>
        </w:rPr>
        <w:t>After its initial public offering, the Company shall use its commercially reasonable efforts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qualify for registration on Form S-3 or any comparable or successor form or forms. After the Company has qualified for the use of Form S-3, in addition to the rights contained in the foregoing provisions of this Section 2 and subject to the conditions set forth in this Section 2.3, if the Company shall receive a written request signed by the Initiating Holders that the Company effect any registration on Form S-3 or any similar short form registration statement with respect to all or part of the Registrable Securities (such request shall state the number of shares of Registrable Securities to be disposed of and the intended methods of disposition of such shares by such Holder or Holders), the Company will take all such action with respect to such Registrable Securities as required by Section 2.1(a)(i) and (ii).</w:t>
      </w:r>
    </w:p>
    <w:p>
      <w:pPr>
        <w:spacing w:after="0" w:line="182" w:lineRule="exact"/>
        <w:rPr>
          <w:rFonts w:ascii="Times New Roman" w:cs="Times New Roman" w:eastAsia="Times New Roman" w:hAnsi="Times New Roman"/>
          <w:sz w:val="18"/>
          <w:szCs w:val="18"/>
          <w:color w:val="auto"/>
        </w:rPr>
      </w:pPr>
    </w:p>
    <w:p>
      <w:pPr>
        <w:ind w:right="20" w:firstLine="987"/>
        <w:spacing w:after="0" w:line="286" w:lineRule="auto"/>
        <w:tabs>
          <w:tab w:leader="none" w:pos="124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Limitations on Form S-3 Registration. </w:t>
      </w:r>
      <w:r>
        <w:rPr>
          <w:rFonts w:ascii="Times New Roman" w:cs="Times New Roman" w:eastAsia="Times New Roman" w:hAnsi="Times New Roman"/>
          <w:sz w:val="18"/>
          <w:szCs w:val="18"/>
          <w:color w:val="auto"/>
        </w:rPr>
        <w:t>The Company shall not be obligated to effect, or take any action to effect, any such registration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this Section 2.3:</w:t>
      </w:r>
    </w:p>
    <w:p>
      <w:pPr>
        <w:spacing w:after="0" w:line="158"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circumstances described in either Sections 2.1(b)(i) or 2.1(b)(iv);</w:t>
      </w:r>
    </w:p>
    <w:p>
      <w:pPr>
        <w:spacing w:after="0" w:line="225" w:lineRule="exact"/>
        <w:rPr>
          <w:rFonts w:ascii="Times New Roman" w:cs="Times New Roman" w:eastAsia="Times New Roman" w:hAnsi="Times New Roman"/>
          <w:sz w:val="18"/>
          <w:szCs w:val="18"/>
          <w:color w:val="auto"/>
        </w:rPr>
      </w:pPr>
    </w:p>
    <w:p>
      <w:pPr>
        <w:ind w:right="720" w:firstLine="1428"/>
        <w:spacing w:after="0" w:line="266" w:lineRule="auto"/>
        <w:tabs>
          <w:tab w:leader="none" w:pos="1697"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Initiating Holders, together with the holders of any other securities of the Company entitled to inclusion in such registration, propose to sell Registrable Securities and such other securities (if any) on Form S-3 at an aggregate price to the public of less than $5,000,000; or</w:t>
      </w:r>
    </w:p>
    <w:p>
      <w:pPr>
        <w:spacing w:after="0" w:line="175"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in a given twelve-month period, the Company has effected two (2) such registrations in such period.</w:t>
      </w:r>
    </w:p>
    <w:p>
      <w:pPr>
        <w:spacing w:after="0" w:line="22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Deferral. </w:t>
      </w:r>
      <w:r>
        <w:rPr>
          <w:rFonts w:ascii="Times New Roman" w:cs="Times New Roman" w:eastAsia="Times New Roman" w:hAnsi="Times New Roman"/>
          <w:sz w:val="18"/>
          <w:szCs w:val="18"/>
          <w:color w:val="auto"/>
        </w:rPr>
        <w:t>The provisions of Section 2.1(c) shall apply to any registration pursuant to this Section 2.3.</w:t>
      </w:r>
    </w:p>
    <w:p>
      <w:pPr>
        <w:spacing w:after="0" w:line="225" w:lineRule="exact"/>
        <w:rPr>
          <w:rFonts w:ascii="Times New Roman" w:cs="Times New Roman" w:eastAsia="Times New Roman" w:hAnsi="Times New Roman"/>
          <w:sz w:val="18"/>
          <w:szCs w:val="18"/>
          <w:color w:val="auto"/>
        </w:rPr>
      </w:pPr>
    </w:p>
    <w:p>
      <w:pPr>
        <w:ind w:right="40" w:firstLine="987"/>
        <w:spacing w:after="0" w:line="262" w:lineRule="auto"/>
        <w:tabs>
          <w:tab w:leader="none" w:pos="1246"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Underwriting. </w:t>
      </w:r>
      <w:r>
        <w:rPr>
          <w:rFonts w:ascii="Times New Roman" w:cs="Times New Roman" w:eastAsia="Times New Roman" w:hAnsi="Times New Roman"/>
          <w:sz w:val="18"/>
          <w:szCs w:val="18"/>
          <w:color w:val="auto"/>
        </w:rPr>
        <w:t>If the Holders of Registrable Securities requesting registration under this Section 2.3 intend to distribute the Registrable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Securities covered by their request by means of an underwriting, the provisions of Section 2.1(e) shall apply to such registration. Notwithstanding anything contained herein to the contrary, registrations effected pursuant to this Section 2.3 shall not be counted as requests for registration or registrations effected pursuant to Section 2.1.</w:t>
      </w:r>
    </w:p>
    <w:p>
      <w:pPr>
        <w:spacing w:after="0" w:line="176" w:lineRule="exact"/>
        <w:rPr>
          <w:sz w:val="20"/>
          <w:szCs w:val="20"/>
          <w:color w:val="auto"/>
        </w:rPr>
      </w:pPr>
    </w:p>
    <w:p>
      <w:pPr>
        <w:ind w:right="2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2.4 Expenses of Registration. </w:t>
      </w:r>
      <w:r>
        <w:rPr>
          <w:rFonts w:ascii="Times New Roman" w:cs="Times New Roman" w:eastAsia="Times New Roman" w:hAnsi="Times New Roman"/>
          <w:sz w:val="18"/>
          <w:szCs w:val="18"/>
          <w:color w:val="auto"/>
        </w:rPr>
        <w:t>All Registration Expenses incurred in connection with registrations pursuant to Sections 2.1, 2.2 and 2.3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borne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shall not be required to pay for any expenses of any registration proceeding begun pursuant to Sections 2.1 and 2.3 if the registration request is subsequently withdrawn at the request of the Holders of a majority of the Registrable Securities to be registered or because a sufficient number</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347" w:name="page348"/>
    <w:bookmarkEnd w:id="347"/>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of Holders shall have withdrawn so that the minimum offering conditions set forth in Sections 2.1 and 2.3 are no longer satisfied (in which case all participating Holders shall bear such expenses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each other based on the number of Registrable Securities requested to be so registered), unless the Holders of a majority of the Registrable Securities agree to forfeit their right to a demand registration pursuant to Section 2.1;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in the event that a withdrawal by the Holders is based upon material adverse information relating to the Company that is different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information known or available (upon request from the Company or otherwise) to the Holders requesting registration at the time of their request for registration under Section 2.1, such registration shall not be treated as a counted registration for purposes of Section 2.1, even though the Holders do not bear the Registration Expenses for such registration. All Selling Expenses relating to securities registered on behalf of the Holders shall be borne by the holders of securities included in such registration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among each other on the basis of the number of Registrable Securities so registered.</w:t>
      </w:r>
    </w:p>
    <w:p>
      <w:pPr>
        <w:spacing w:after="0" w:line="188"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2.5 Registration Procedures. </w:t>
      </w:r>
      <w:r>
        <w:rPr>
          <w:rFonts w:ascii="Times New Roman" w:cs="Times New Roman" w:eastAsia="Times New Roman" w:hAnsi="Times New Roman"/>
          <w:sz w:val="18"/>
          <w:szCs w:val="18"/>
          <w:color w:val="auto"/>
        </w:rPr>
        <w:t>In the case of each registration effected by the Company pursuant to Section 2, the Company will keep each 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advised in writing as to the initiation of each registration and as to the completion thereof. At its expense, the Company will use its commercially reasonable efforts to:</w:t>
      </w:r>
    </w:p>
    <w:p>
      <w:pPr>
        <w:spacing w:after="0" w:line="175" w:lineRule="exact"/>
        <w:rPr>
          <w:sz w:val="20"/>
          <w:szCs w:val="20"/>
          <w:color w:val="auto"/>
        </w:rPr>
      </w:pPr>
    </w:p>
    <w:p>
      <w:pPr>
        <w:ind w:firstLine="987"/>
        <w:spacing w:after="0" w:line="266" w:lineRule="auto"/>
        <w:tabs>
          <w:tab w:leader="none" w:pos="123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such registration effective for a period ending on the earlier of the date which is one hundred twenty (120) days from the effective date of the registration statement or such time as the Holder or Holders have completed the distribution described in the registration statement relating thereto;</w:t>
      </w:r>
    </w:p>
    <w:p>
      <w:pPr>
        <w:spacing w:after="0" w:line="171" w:lineRule="exact"/>
        <w:rPr>
          <w:rFonts w:ascii="Times New Roman" w:cs="Times New Roman" w:eastAsia="Times New Roman" w:hAnsi="Times New Roman"/>
          <w:sz w:val="18"/>
          <w:szCs w:val="18"/>
          <w:color w:val="auto"/>
        </w:rPr>
      </w:pPr>
    </w:p>
    <w:p>
      <w:pPr>
        <w:ind w:right="40" w:firstLine="987"/>
        <w:spacing w:after="0" w:line="259" w:lineRule="auto"/>
        <w:tabs>
          <w:tab w:leader="none" w:pos="124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Company is a well-known seasoned issuer (as defined in Rule 405 under the Securities Act) (a “</w:t>
      </w:r>
      <w:r>
        <w:rPr>
          <w:rFonts w:ascii="Times New Roman" w:cs="Times New Roman" w:eastAsia="Times New Roman" w:hAnsi="Times New Roman"/>
          <w:sz w:val="18"/>
          <w:szCs w:val="18"/>
          <w:b w:val="1"/>
          <w:bCs w:val="1"/>
          <w:i w:val="1"/>
          <w:iCs w:val="1"/>
          <w:color w:val="auto"/>
        </w:rPr>
        <w:t>WKSI</w:t>
      </w:r>
      <w:r>
        <w:rPr>
          <w:rFonts w:ascii="Times New Roman" w:cs="Times New Roman" w:eastAsia="Times New Roman" w:hAnsi="Times New Roman"/>
          <w:sz w:val="18"/>
          <w:szCs w:val="18"/>
          <w:color w:val="auto"/>
        </w:rPr>
        <w:t>”) at the time any request for registration is submitted to the Company in accordance with Section 2.3, (i) if so requested, file an automatic shelf registration statement (as defined in Rule 405 under the Securities Act) (an “</w:t>
      </w:r>
      <w:r>
        <w:rPr>
          <w:rFonts w:ascii="Times New Roman" w:cs="Times New Roman" w:eastAsia="Times New Roman" w:hAnsi="Times New Roman"/>
          <w:sz w:val="18"/>
          <w:szCs w:val="18"/>
          <w:b w:val="1"/>
          <w:bCs w:val="1"/>
          <w:i w:val="1"/>
          <w:iCs w:val="1"/>
          <w:color w:val="auto"/>
        </w:rPr>
        <w:t>automatic shelf registration statement</w:t>
      </w:r>
      <w:r>
        <w:rPr>
          <w:rFonts w:ascii="Times New Roman" w:cs="Times New Roman" w:eastAsia="Times New Roman" w:hAnsi="Times New Roman"/>
          <w:sz w:val="18"/>
          <w:szCs w:val="18"/>
          <w:color w:val="auto"/>
        </w:rPr>
        <w:t>”) to effect such registration, and (ii) remain a WKSI (and not become an ineligible issuer (as defined in Rule 405 under the Securities Act)) during the period during which such automatic shelf registration statement is required to remain effective in accordance with this Agreement;</w:t>
      </w:r>
    </w:p>
    <w:p>
      <w:pPr>
        <w:spacing w:after="0" w:line="183" w:lineRule="exact"/>
        <w:rPr>
          <w:rFonts w:ascii="Times New Roman" w:cs="Times New Roman" w:eastAsia="Times New Roman" w:hAnsi="Times New Roman"/>
          <w:sz w:val="18"/>
          <w:szCs w:val="18"/>
          <w:color w:val="auto"/>
        </w:rPr>
      </w:pPr>
    </w:p>
    <w:p>
      <w:pPr>
        <w:ind w:right="40" w:firstLine="987"/>
        <w:spacing w:after="0" w:line="266" w:lineRule="auto"/>
        <w:tabs>
          <w:tab w:leader="none" w:pos="123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file with the Commission such amendments and supplements to such registration statement and the prospectus used in connection with such registration statement as may be necessary to comply with the provisions of the Securities Act with respect to the disposition of all securities covered by such registration statement for the period set forth in subsection (a) above;</w:t>
      </w:r>
    </w:p>
    <w:p>
      <w:pPr>
        <w:spacing w:after="0" w:line="175" w:lineRule="exact"/>
        <w:rPr>
          <w:rFonts w:ascii="Times New Roman" w:cs="Times New Roman" w:eastAsia="Times New Roman" w:hAnsi="Times New Roman"/>
          <w:sz w:val="18"/>
          <w:szCs w:val="18"/>
          <w:color w:val="auto"/>
        </w:rPr>
      </w:pPr>
    </w:p>
    <w:p>
      <w:pPr>
        <w:ind w:right="320" w:firstLine="987"/>
        <w:spacing w:after="0" w:line="282" w:lineRule="auto"/>
        <w:tabs>
          <w:tab w:leader="none" w:pos="124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such number of prospectuses, including any preliminary prospectuses, and other documents incident thereto, including any amendment of or supplement to the prospectus, as a Holder from time to time may reasonably request;</w:t>
      </w:r>
    </w:p>
    <w:p>
      <w:pPr>
        <w:spacing w:after="0" w:line="161" w:lineRule="exact"/>
        <w:rPr>
          <w:rFonts w:ascii="Times New Roman" w:cs="Times New Roman" w:eastAsia="Times New Roman" w:hAnsi="Times New Roman"/>
          <w:sz w:val="18"/>
          <w:szCs w:val="18"/>
          <w:color w:val="auto"/>
        </w:rPr>
      </w:pPr>
    </w:p>
    <w:p>
      <w:pPr>
        <w:ind w:right="20" w:firstLine="987"/>
        <w:spacing w:after="0" w:line="266" w:lineRule="auto"/>
        <w:tabs>
          <w:tab w:leader="none" w:pos="1236"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Use its reasonable best efforts to register and qualify the securities covered by such registration statement under such other securities or blue sky laws of such jurisdiction as shall be reasonably requested by the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 Company shall not be required in connection therewith or as a condition thereto to qualify to do business or to file a general consent to service of process in any such states or jurisdictions;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348" w:name="page349"/>
    <w:bookmarkEnd w:id="348"/>
    <w:p>
      <w:pPr>
        <w:ind w:left="-20" w:right="160" w:firstLine="987"/>
        <w:spacing w:after="0" w:line="273" w:lineRule="auto"/>
        <w:tabs>
          <w:tab w:leader="none" w:pos="1196" w:val="left"/>
        </w:tabs>
        <w:numPr>
          <w:ilvl w:val="0"/>
          <w:numId w:val="2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Notify each seller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or incomplete in light of the circumstances then existing, and following such notification promptly prepare and furnish to such seller a reasonable number of copies of a supplement to or an amendment of such prospectus as may be necessary so that, as thereafter delivered to the purchasers of such shares, such prospectus shall not include an untrue statement of a material fact or omit to state a material fact required to be stated therein or necessary to make the statements therein not misleading or incomplete in light of the circumstances then existing;</w:t>
      </w:r>
    </w:p>
    <w:p>
      <w:pPr>
        <w:spacing w:after="0" w:line="171" w:lineRule="exact"/>
        <w:rPr>
          <w:rFonts w:ascii="Times New Roman" w:cs="Times New Roman" w:eastAsia="Times New Roman" w:hAnsi="Times New Roman"/>
          <w:sz w:val="17"/>
          <w:szCs w:val="17"/>
          <w:color w:val="auto"/>
        </w:rPr>
      </w:pPr>
    </w:p>
    <w:p>
      <w:pPr>
        <w:ind w:left="-20" w:right="40" w:firstLine="987"/>
        <w:spacing w:after="0" w:line="258" w:lineRule="auto"/>
        <w:tabs>
          <w:tab w:leader="none" w:pos="122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when the Company is required to re-evaluate its WKSI status for purposes of an automatic shelf registration statement used to effect a request for registration in accordance with Section 2.3 (i) the Company determines that it is not a WKSI, (ii) the registration statement is required to be kept effective in accordance with this Agreement, and (iii) the registration rights of the applicable Holders have not terminated, promptly amend the registration statement onto a form the Company is then eligible to use or file a new registration statement on such form, and keep such registration statement effective in accordance with the requirements otherwise applicable under this Agreement;</w:t>
      </w:r>
    </w:p>
    <w:p>
      <w:pPr>
        <w:spacing w:after="0" w:line="183" w:lineRule="exact"/>
        <w:rPr>
          <w:rFonts w:ascii="Times New Roman" w:cs="Times New Roman" w:eastAsia="Times New Roman" w:hAnsi="Times New Roman"/>
          <w:sz w:val="18"/>
          <w:szCs w:val="18"/>
          <w:color w:val="auto"/>
        </w:rPr>
      </w:pPr>
    </w:p>
    <w:p>
      <w:pPr>
        <w:ind w:left="-20" w:right="20" w:firstLine="987"/>
        <w:spacing w:after="0" w:line="258" w:lineRule="auto"/>
        <w:tabs>
          <w:tab w:leader="none" w:pos="122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a registration made pursuant to a shelf registration statement is required to be kept effective in accordance with this Agreement after the third anniversary of the initial effective date of the shelf registration statement and (ii) the registration rights of the applicable Holders have not terminated, file a new registration statement with respect to any unsold Registrable Securities subject to the original request for registration prior to the end of the three year period after the initial effective date of the shelf registration statement, and keep such registration statement effective in accordance with the requirements otherwise applicable under this Agreement;</w:t>
      </w:r>
    </w:p>
    <w:p>
      <w:pPr>
        <w:spacing w:after="0" w:line="183" w:lineRule="exact"/>
        <w:rPr>
          <w:rFonts w:ascii="Times New Roman" w:cs="Times New Roman" w:eastAsia="Times New Roman" w:hAnsi="Times New Roman"/>
          <w:sz w:val="18"/>
          <w:szCs w:val="18"/>
          <w:color w:val="auto"/>
        </w:rPr>
      </w:pPr>
    </w:p>
    <w:p>
      <w:pPr>
        <w:ind w:left="-20" w:firstLine="987"/>
        <w:spacing w:after="0" w:line="256" w:lineRule="auto"/>
        <w:tabs>
          <w:tab w:leader="none" w:pos="118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commercially reasonable efforts to furnish, on the date that such Registrable Securities are delivered to the underwriters for sale, if such securities are being sold through underwriters, (i) an opinion, dated as of such date, of the counsel representing the Company for the purposes of such registration, in form and substance as is customarily given to underwriters in an underwritten public offering, addressed to the underwriters, if any, and reasonably satisfactory to a majority in interest of the Holders requesting registration of Registrable Securities and (ii) a “comfort” letter dated as of such date, from the independent certified public accountants of the Company, in form and substance as is customarily given by independent certified public accountants to underwriters in an underwritten public offering, addressed to the underwriters;</w:t>
      </w:r>
    </w:p>
    <w:p>
      <w:pPr>
        <w:spacing w:after="0" w:line="187" w:lineRule="exact"/>
        <w:rPr>
          <w:rFonts w:ascii="Times New Roman" w:cs="Times New Roman" w:eastAsia="Times New Roman" w:hAnsi="Times New Roman"/>
          <w:sz w:val="18"/>
          <w:szCs w:val="18"/>
          <w:color w:val="auto"/>
        </w:rPr>
      </w:pPr>
    </w:p>
    <w:p>
      <w:pPr>
        <w:ind w:left="-20" w:right="480" w:firstLine="987"/>
        <w:spacing w:after="0" w:line="282" w:lineRule="auto"/>
        <w:tabs>
          <w:tab w:leader="none" w:pos="118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transfer agent and registrar for all Registrable Securities registered pursuant to such registration statement and a CUSIP number for all such Registrable Securities, in each case not later than the effective date of such registration;</w:t>
      </w:r>
    </w:p>
    <w:p>
      <w:pPr>
        <w:spacing w:after="0" w:line="161" w:lineRule="exact"/>
        <w:rPr>
          <w:rFonts w:ascii="Times New Roman" w:cs="Times New Roman" w:eastAsia="Times New Roman" w:hAnsi="Times New Roman"/>
          <w:sz w:val="18"/>
          <w:szCs w:val="18"/>
          <w:color w:val="auto"/>
        </w:rPr>
      </w:pPr>
    </w:p>
    <w:p>
      <w:pPr>
        <w:ind w:left="-20" w:right="280" w:firstLine="987"/>
        <w:spacing w:after="0" w:line="261" w:lineRule="auto"/>
        <w:tabs>
          <w:tab w:leader="none" w:pos="1226"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use its commercially reasonable efforts to comply with all applicable rules and regulations of the Commission, and make available to its security holders, as soon as reasonably practicable, an earnings statement covering the period of at least twelve months, but not more than eighteen months, beginning with the first month after the effective date of the Registration Statement, which earnings statement shall satisfy the provisions of Section 11(a) of the Securities Act;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60" w:top="270" w:right="459" w:bottom="1440" w:gutter="0" w:footer="0" w:header="0"/>
        </w:sectPr>
      </w:pPr>
    </w:p>
    <w:bookmarkStart w:id="349" w:name="page350"/>
    <w:bookmarkEnd w:id="349"/>
    <w:p>
      <w:pPr>
        <w:ind w:right="100" w:firstLine="987"/>
        <w:spacing w:after="0" w:line="282" w:lineRule="auto"/>
        <w:tabs>
          <w:tab w:leader="none" w:pos="120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Cause all such Registrable Securities registered pursuant hereunder to be listed on each securities exchange on which similar securities issued by the Company are then listed; and</w:t>
      </w:r>
    </w:p>
    <w:p>
      <w:pPr>
        <w:spacing w:after="0" w:line="161" w:lineRule="exact"/>
        <w:rPr>
          <w:rFonts w:ascii="Times New Roman" w:cs="Times New Roman" w:eastAsia="Times New Roman" w:hAnsi="Times New Roman"/>
          <w:sz w:val="18"/>
          <w:szCs w:val="18"/>
          <w:color w:val="auto"/>
        </w:rPr>
      </w:pPr>
    </w:p>
    <w:p>
      <w:pPr>
        <w:jc w:val="both"/>
        <w:ind w:right="300" w:firstLine="987"/>
        <w:spacing w:after="0" w:line="261" w:lineRule="auto"/>
        <w:tabs>
          <w:tab w:leader="none" w:pos="1296"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underwritten offering pursuant to a registration statement filed pursuant to Sections 2.1 or 2.3, enter into an underwriting agreement in form reasonably necessary to effect the offer and sale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underwriting agreement contains reasonable and customary provisions,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each Holder participating in such underwriting shall also enter into and perform its obligations under such an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2.6 Indemnification.</w:t>
      </w:r>
    </w:p>
    <w:p>
      <w:pPr>
        <w:spacing w:after="0" w:line="229" w:lineRule="exact"/>
        <w:rPr>
          <w:sz w:val="20"/>
          <w:szCs w:val="20"/>
          <w:color w:val="auto"/>
        </w:rPr>
      </w:pPr>
    </w:p>
    <w:p>
      <w:pPr>
        <w:ind w:firstLine="987"/>
        <w:spacing w:after="0" w:line="252" w:lineRule="auto"/>
        <w:tabs>
          <w:tab w:leader="none" w:pos="1233"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law, the Company will indemnify and hold harmless each Holder, each of its officers, directors and partners, legal counsel and accountants and each person controlling such Holder within the meaning of Section 15 of the Securities Act, with respect to which registration, qualification or compliance has been effected pursuant to this Section 2, and each underwriter, if any, and each person who controls within the meaning of Section 15 of the Securities Act any underwriter, against all expenses, claims, losses, damages and liabilities (or actions, proceedings or settlements in respect thereof) arising out of or based on: (i) any untrue statement (or alleged untrue statement) of a material fact contained or incorporated by reference in any registration statement, any prospectus included in the registration statement, any issuer free writing prospectus (as defined in Rule 433 of the Securities Act), any issuer information (as defined in Rule 433 of the Securities Act) filed or required to be filed pursuant to Rule 433(d) under the Securities Act or any other document incident to any such registration, qualification or compliance prepared by or on behalf of the Company or used or referred to by the Company, (ii) any omission (or alleged omission) to state therein a material fact required to be stated therein or necessary to make the statements therein not misleading, or (iii) any violation (or alleged violation) by the Company of the Securities Act, any state securities laws or any rule or regulation thereunder applicable to the Company and relating to action or inaction required of the Company in connection with any offering covered by such registration, qualification or compliance, and the Company will reimburse each such Holder, each of its officers, directors, partners, legal counsel and accountants and each person controlling such Holder, each such underwriter and each person who controls any such underwriter, for any legal and any other expenses reasonably incurred in connection with investigating and defending or settling any such claim, loss, damage, liability or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will not be liable in any such case to the extent that any such claim, loss, damage, liability, or action arises out of or is based on any untrue statement or omission based upon written information furnished to the Company by such Holder, any of such Holder’s officers, directors, partners, legal counsel or accountants, any person controlling such Holder, such underwriter or any person who controls any such underwriter, and stated to be specifically for use therein;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indemnity agreement contained in this Section 2.6(a) shall not apply to amounts paid in settlement of any such loss, claim, damage, liability or action if such settlement is effected without the consent of the Company (which consent shall not be unreasonably withheld).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350" w:name="page351"/>
    <w:bookmarkEnd w:id="350"/>
    <w:p>
      <w:pPr>
        <w:ind w:firstLine="987"/>
        <w:spacing w:after="0" w:line="252" w:lineRule="auto"/>
        <w:tabs>
          <w:tab w:leader="none" w:pos="124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To the extent permitted by law, each Holder will, if Registrable Securities held by such Holder are included in the securities as to which such registration, qualification or compliance is being effected, indemnify and hold harmless the Company, each of its directors, officers, partners, legal counsel and accountants and each underwriter, if any, of the Company’s securities covered by such a registration statement, each person who controls the Company or such underwriter within the meaning of Section 15 of the Securities Act, each other such Holder, and each of their officers, directors and partners, and each person controlling each other such Holder, against all claims, losses, damages and liabilities (or actions in respect thereof) arising out of or based on: (i) any untrue statement (or alleged untrue statement) of a material fact contained or incorporated by reference in any prospectus, offering circular or other document (including any related registration statement, notification, or the like) incident to any such registration, qualification or compliance, or (ii) any omission (or alleged omission) to state therein a material fact required to be stated therein or necessary to make the statements therein not misleading, and will reimburse the Company and such Holders, directors, officers, partners, legal counsel and accountants, persons, underwriters, or control persons for any legal or any other expenses reasonably incurred in connection with investigating or defending any such claim, loss, damage, liability or action, in each case to the extent, but only to the extent, that such untrue statement (or alleged untrue statement) or omission (or alleged omission) is made in such registration statement, prospectus, offering circular or other document in reliance upon and in conformity with written information furnished to the Company by such Holder and stated to be specifically for use therein;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obligations of such Holder hereunder shall not apply to amounts paid in settlement of any such claims, losses, damages or liabilities (or actions in respect thereof) if such settlement is effected without the consent of such Holder (which consent shall not be unreasonably withheld);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any indemnity under this Section 2.6 exceed the net proceeds from the offering received by such Holder, except in the case of fraud or willful misconduct by such Holder.</w:t>
      </w:r>
    </w:p>
    <w:p>
      <w:pPr>
        <w:spacing w:after="0" w:line="189"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entitled to indemnification under this Section 2.6 (the “</w:t>
      </w:r>
      <w:r>
        <w:rPr>
          <w:rFonts w:ascii="Times New Roman" w:cs="Times New Roman" w:eastAsia="Times New Roman" w:hAnsi="Times New Roman"/>
          <w:sz w:val="18"/>
          <w:szCs w:val="18"/>
          <w:b w:val="1"/>
          <w:bCs w:val="1"/>
          <w:i w:val="1"/>
          <w:iCs w:val="1"/>
          <w:color w:val="auto"/>
        </w:rPr>
        <w:t>Indemnified Party</w:t>
      </w:r>
      <w:r>
        <w:rPr>
          <w:rFonts w:ascii="Times New Roman" w:cs="Times New Roman" w:eastAsia="Times New Roman" w:hAnsi="Times New Roman"/>
          <w:sz w:val="18"/>
          <w:szCs w:val="18"/>
          <w:color w:val="auto"/>
        </w:rPr>
        <w:t>”) shall give notice to the party required to provide indemnification (the “</w:t>
      </w:r>
      <w:r>
        <w:rPr>
          <w:rFonts w:ascii="Times New Roman" w:cs="Times New Roman" w:eastAsia="Times New Roman" w:hAnsi="Times New Roman"/>
          <w:sz w:val="18"/>
          <w:szCs w:val="18"/>
          <w:b w:val="1"/>
          <w:bCs w:val="1"/>
          <w:i w:val="1"/>
          <w:iCs w:val="1"/>
          <w:color w:val="auto"/>
        </w:rPr>
        <w:t>Indemnifying Party</w:t>
      </w:r>
      <w:r>
        <w:rPr>
          <w:rFonts w:ascii="Times New Roman" w:cs="Times New Roman" w:eastAsia="Times New Roman" w:hAnsi="Times New Roman"/>
          <w:sz w:val="18"/>
          <w:szCs w:val="18"/>
          <w:color w:val="auto"/>
        </w:rPr>
        <w:t xml:space="preserve">”) promptly after such Indemnified Party has actual knowledge of any claim as to which indemnity may be sought, and shall permit the Indemnifying Party to assume the defense of such claim or any litigation resulting therefrom;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counsel for the Indemnifying Party, who shall conduct the defense of such claim or any litigation resulting therefrom, shall be approved by the Indemnified Party (whose approval shall not be unreasonably withheld), and the Indemnified Party may participate in such defense at such party’s expense;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further </w:t>
      </w:r>
      <w:r>
        <w:rPr>
          <w:rFonts w:ascii="Times New Roman" w:cs="Times New Roman" w:eastAsia="Times New Roman" w:hAnsi="Times New Roman"/>
          <w:sz w:val="18"/>
          <w:szCs w:val="18"/>
          <w:color w:val="auto"/>
        </w:rPr>
        <w:t>that the failure of any Indemnified Party to give notice as provided herein shall not relieve the Indemnifying Party of its obligations under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Section 2.6, to the extent such failure is not prejudicial. No Indemnifying Party, in the defense of any such claim or litigation, shall, except with the consent of each Indemnified Party, consent to entry of any judgment or enter into any settlement that does not include as an unconditional term thereof the giving by the claimant or plaintiff to such Indemnified Party of a release from all liability in respect to such claim or litigation. Each Indemnified Party shall furnish such information regarding itself or the claim in question as an Indemnifying Party may reasonably request in writing and as shall be reasonably required in connection with defense of such claim and litigation resulting therefrom.</w:t>
      </w:r>
    </w:p>
    <w:p>
      <w:pPr>
        <w:spacing w:after="0" w:line="186" w:lineRule="exact"/>
        <w:rPr>
          <w:rFonts w:ascii="Times New Roman" w:cs="Times New Roman" w:eastAsia="Times New Roman" w:hAnsi="Times New Roman"/>
          <w:sz w:val="18"/>
          <w:szCs w:val="18"/>
          <w:color w:val="auto"/>
        </w:rPr>
      </w:pPr>
    </w:p>
    <w:p>
      <w:pPr>
        <w:ind w:right="160" w:firstLine="987"/>
        <w:spacing w:after="0" w:line="312" w:lineRule="auto"/>
        <w:tabs>
          <w:tab w:leader="none" w:pos="1246" w:val="left"/>
        </w:tabs>
        <w:numPr>
          <w:ilvl w:val="0"/>
          <w:numId w:val="2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indemnification provided for in this Section 2.6 is held by a court of competent jurisdiction to be unavailable to an Indemnified Party with respect to any loss, liability, claim, damage, or expense referred to herein, then the Indemnifying Party, in lieu of indemnifying</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351" w:name="page352"/>
    <w:bookmarkEnd w:id="35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Indemnified Party hereunder, shall contribute to the amount paid or payable by such Indemnified Party as a result of such loss, liability, claim, damage, or expense in such 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No person or entity will be required under this Section 2.6(d) to contribute any amount in excess of the net proceeds from the offering received by such person or entity, except in the case of fraud or willful misconduct by such person or entity. No person or entity guilty of fraudulent misrepresentation (within the meaning of Section 11(f) of the Securities Act) will be entitled to contribution from any person or entity who was not guilty of such fraudulent misrepresentation.</w:t>
      </w:r>
    </w:p>
    <w:p>
      <w:pPr>
        <w:spacing w:after="0" w:line="194" w:lineRule="exact"/>
        <w:rPr>
          <w:sz w:val="20"/>
          <w:szCs w:val="20"/>
          <w:color w:val="auto"/>
        </w:rPr>
      </w:pPr>
    </w:p>
    <w:p>
      <w:pPr>
        <w:ind w:right="380" w:firstLine="987"/>
        <w:spacing w:after="0" w:line="266" w:lineRule="auto"/>
        <w:tabs>
          <w:tab w:leader="none" w:pos="1236"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72"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2.7 Information by Holder. </w:t>
      </w:r>
      <w:r>
        <w:rPr>
          <w:rFonts w:ascii="Times New Roman" w:cs="Times New Roman" w:eastAsia="Times New Roman" w:hAnsi="Times New Roman"/>
          <w:sz w:val="18"/>
          <w:szCs w:val="18"/>
          <w:color w:val="auto"/>
        </w:rPr>
        <w:t>Each Holder of Registrable Securities shall furnish to the Company such information regarding such Holder and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proposed by such Holder as the Company may reasonably request in writing and as shall be reasonably required in connection with any registration, qualification, or compliance referred to in this Section 2.</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2.8 Restrictions on Transfer.</w:t>
      </w:r>
    </w:p>
    <w:p>
      <w:pPr>
        <w:spacing w:after="0" w:line="229" w:lineRule="exact"/>
        <w:rPr>
          <w:sz w:val="20"/>
          <w:szCs w:val="20"/>
          <w:color w:val="auto"/>
        </w:rPr>
      </w:pPr>
    </w:p>
    <w:p>
      <w:pPr>
        <w:ind w:right="280" w:firstLine="987"/>
        <w:spacing w:after="0" w:line="258" w:lineRule="auto"/>
        <w:tabs>
          <w:tab w:leader="none" w:pos="1236"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each certificate representing Registrable Securities by acceptance thereof agrees to comply in all respects with the provisions of this Section 2.8. Each Holder agrees not to make any sale, assignment, transfer, pledge or other disposition of all or any portion of the Restricted Securities, or any beneficial interest therein, unless and until the transferee thereof has agreed in writing for the benefit of the Company to take and hold such Restricted Securities subject to, and to be bound by, the terms and conditions set forth in this Agreement, including, without limitation, this Section 2.8 and Section 2.10, and:</w:t>
      </w:r>
    </w:p>
    <w:p>
      <w:pPr>
        <w:spacing w:after="0" w:line="183" w:lineRule="exact"/>
        <w:rPr>
          <w:rFonts w:ascii="Times New Roman" w:cs="Times New Roman" w:eastAsia="Times New Roman" w:hAnsi="Times New Roman"/>
          <w:sz w:val="18"/>
          <w:szCs w:val="18"/>
          <w:color w:val="auto"/>
        </w:rPr>
      </w:pPr>
    </w:p>
    <w:p>
      <w:pPr>
        <w:ind w:right="100" w:firstLine="1428"/>
        <w:spacing w:after="0" w:line="282" w:lineRule="auto"/>
        <w:tabs>
          <w:tab w:leader="none" w:pos="1647"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then in effect a registration statement under the Securities Act covering such proposed disposition and the disposition is made in accordance with the registration statement; or</w:t>
      </w:r>
    </w:p>
    <w:p>
      <w:pPr>
        <w:spacing w:after="0" w:line="161" w:lineRule="exact"/>
        <w:rPr>
          <w:rFonts w:ascii="Times New Roman" w:cs="Times New Roman" w:eastAsia="Times New Roman" w:hAnsi="Times New Roman"/>
          <w:sz w:val="18"/>
          <w:szCs w:val="18"/>
          <w:color w:val="auto"/>
        </w:rPr>
      </w:pPr>
    </w:p>
    <w:p>
      <w:pPr>
        <w:ind w:right="60" w:firstLine="1428"/>
        <w:spacing w:after="0" w:line="281" w:lineRule="auto"/>
        <w:tabs>
          <w:tab w:leader="none" w:pos="1697" w:val="left"/>
        </w:tabs>
        <w:numPr>
          <w:ilvl w:val="1"/>
          <w:numId w:val="2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Holder shall have given prior written notice to the Company of the Holder’s intention to make such disposition and shall have furnished the Company with a detailed description of the manner and circumstances of the proposed disposition, and, if reasonably requested by the Company, the Holder shall have furnished the Company, at the Holder’s expense, with (i) an opinion of counsel, reasonably satisfactory to the Company, to the effect that such disposition will not require registration of such Restricted Securities under the Securities Act or (ii) a “no action” letter</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352" w:name="page353"/>
    <w:bookmarkEnd w:id="352"/>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from the Commission to the effect that the transfer of such securities without registration will not result in a recommendation by the staff of the Commission that action be taken with respect thereto, whereupon the holder of such Restricted Securities shall be entitled to transfer such Restricted Securities in accordance with the terms of the notice delivered by the Holder to the Company. It is agreed that the Company will not require opinions of counsel or “no action” letters for transactions made pursuant to Rule 144. From and after the date when the Company first becomes subject to the periodic reporting requirements of Section 12(g) or 15(d) of the Exchange Act, Holder shall not be required to provide the Company advance notice of any proposed sale, pledge or transfer of any Restricted Securities if such proposed sale, pledge or transfer of any Restricted Securities is in compliance with Rule 144.</w:t>
      </w:r>
    </w:p>
    <w:p>
      <w:pPr>
        <w:spacing w:after="0" w:line="189" w:lineRule="exact"/>
        <w:rPr>
          <w:sz w:val="20"/>
          <w:szCs w:val="20"/>
          <w:color w:val="auto"/>
        </w:rPr>
      </w:pPr>
    </w:p>
    <w:p>
      <w:pPr>
        <w:ind w:right="40" w:firstLine="987"/>
        <w:spacing w:after="0" w:line="253" w:lineRule="auto"/>
        <w:tabs>
          <w:tab w:leader="none" w:pos="1246"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provisions of Section 2.8(a), no such registration statement or opinion of counsel or “no action” letter shall be necessary for (i) a transfer not involving a change in beneficial ownership, or (ii) transactions involving the distribution without consideration of Restricted Securities by any Holder to (x) a parent, subsidiary or other Affiliate of the Holder, if the Holder is a corporation or a limited liability company, (y) any of the Holder’s partners, members or other equity owners, or retired partners, retired members or other equity owners, or to the estate of any of the Holder’s partners, members or other equity owners or retired partners, retired members or other equity owners, or (z) a venture capital or other investment fund that is controlled by or under common control with one or more general partners or managing members of, or shares the same management company or investment adviser with, the Holder;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in each case, that the Holder shall give written notice to the Company of the Holder’s intention to effect such disposition and shall have furnished the Company with a detailed description of the manner and circumstances of the proposed disposition. For the avoidance of doubt, a customary arrangement in connection with the deposit of Registrable Securities in a non-margin custodial account shall not be deemed a sale, transfer or pledge for purposes of this Agreement so long as such Registrable Securities are in certificated form (it being understood that the Company may require the exchange of any such certificated securities for book-entry shares upon the Initial Public Offering).</w:t>
      </w:r>
    </w:p>
    <w:p>
      <w:pPr>
        <w:spacing w:after="0" w:line="189" w:lineRule="exact"/>
        <w:rPr>
          <w:rFonts w:ascii="Times New Roman" w:cs="Times New Roman" w:eastAsia="Times New Roman" w:hAnsi="Times New Roman"/>
          <w:sz w:val="18"/>
          <w:szCs w:val="18"/>
          <w:color w:val="auto"/>
        </w:rPr>
      </w:pPr>
    </w:p>
    <w:p>
      <w:pPr>
        <w:ind w:right="40" w:firstLine="987"/>
        <w:spacing w:after="0" w:line="312" w:lineRule="auto"/>
        <w:tabs>
          <w:tab w:leader="none" w:pos="1236" w:val="left"/>
        </w:tabs>
        <w:numPr>
          <w:ilvl w:val="0"/>
          <w:numId w:val="2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certificate representing Registrable Securities shall (unless otherwise permitted by the provisions of this Agreement) be stamped or otherwise imprinted with a legend substantially similar to the following (in addition to any legend required under applicable state securities laws):</w:t>
      </w:r>
    </w:p>
    <w:p>
      <w:pPr>
        <w:spacing w:after="0" w:line="32" w:lineRule="exact"/>
        <w:rPr>
          <w:sz w:val="20"/>
          <w:szCs w:val="20"/>
          <w:color w:val="auto"/>
        </w:rPr>
      </w:pPr>
    </w:p>
    <w:p>
      <w:pPr>
        <w:ind w:left="1420" w:right="20"/>
        <w:spacing w:after="0" w:line="255" w:lineRule="auto"/>
        <w:rPr>
          <w:sz w:val="20"/>
          <w:szCs w:val="20"/>
          <w:color w:val="auto"/>
        </w:rPr>
      </w:pPr>
      <w:r>
        <w:rPr>
          <w:rFonts w:ascii="Times New Roman" w:cs="Times New Roman" w:eastAsia="Times New Roman" w:hAnsi="Times New Roman"/>
          <w:sz w:val="18"/>
          <w:szCs w:val="18"/>
          <w:color w:val="auto"/>
        </w:rPr>
        <w:t>THE SECURITIES REPRESENTED HEREBY HAVE NOT BEEN REGISTERED UNDER THE SECURITIES ACT OF 1933, AS AMENDED (THE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OR UNDER THE SECURITIES LAWS OF CERTAIN STATES. THESE SECURITIES MAY NOT BE OFFERED, SOLD OR OTHERWISE TRANSFERRED, PLEDGED OR HYPOTHECATED EXCEPT AS PERMITTED UNDER THE ACT AND APPLICABLE STATE SECURITIES LAWS PURSUANT TO REGISTRATION OR AN EXEMPTION THEREFROM. THE ISSUER OF THESE SECURITIES MAY REQUIRE AN OPINION OF COUNSEL REASONABLY SATISFACTORY TO THE ISSUER THAT SUCH OFFER, SALE OR TRANSFER, PLEDGE OR HYPOTHECATION OTHERWISE COMPLIES WITH THE ACT AND ANY APPLICABLE STATE SECURITIES LAWS.</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20"/>
          </w:cols>
          <w:pgMar w:left="440" w:top="270" w:right="539" w:bottom="1440" w:gutter="0" w:footer="0" w:header="0"/>
        </w:sectPr>
      </w:pPr>
    </w:p>
    <w:bookmarkStart w:id="353" w:name="page354"/>
    <w:bookmarkEnd w:id="353"/>
    <w:p>
      <w:pPr>
        <w:ind w:left="14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SHARES REPRESENTED BY THIS CERTIFICATE ARE SUBJECT TO (1) RESTRICTIONS ON TRANSFERABILITY AND RESALE, INCLUDING A LOCK-UP PERIOD IN THE EVENT OF A PUBLIC OFFERING, AS SET FORTH IN AN INVESTORS’ RIGHTS AGREEMENT, AND (2) VOTING RESTRICTIONS AS SET FORTH IN A VOTING AGREEMENT AMONG THE COMPANY AND THE ORIGINAL HOLDERS OF THESE SHARES, COPIES OF WHICH MAY BE OBTAINED AT THE PRINCIPAL OFFICE OF THE COMPANY.</w:t>
      </w:r>
    </w:p>
    <w:p>
      <w:pPr>
        <w:spacing w:after="0" w:line="183"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Holders consent to the Company making a notation on its records and giving instructions to any transfer agent of the Restricted Securities in order to implement the restrictions on transfer established in this Section 2.8.</w:t>
      </w:r>
    </w:p>
    <w:p>
      <w:pPr>
        <w:spacing w:after="0" w:line="162" w:lineRule="exact"/>
        <w:rPr>
          <w:sz w:val="20"/>
          <w:szCs w:val="20"/>
          <w:color w:val="auto"/>
        </w:rPr>
      </w:pPr>
    </w:p>
    <w:p>
      <w:pPr>
        <w:ind w:right="20" w:firstLine="987"/>
        <w:spacing w:after="0" w:line="258" w:lineRule="auto"/>
        <w:tabs>
          <w:tab w:leader="none" w:pos="124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legend referring to federal and state securities laws identified in Section 2.8(b) stamped on a certificate evidencing the Restricted Securities and the stock transfer instructions and record notations with respect to the Restricted Securities shall be removed and the Company shall issue a certificate without such legend to the holder of Restricted Securities if (i) those securities are registered under the Securities Act, or (ii) the holder provides the Company with an opinion of counsel reasonably acceptable to the Company to the effect that a sale or transfer of those securities may be made without registration or qualification.</w:t>
      </w:r>
    </w:p>
    <w:p>
      <w:pPr>
        <w:spacing w:after="0" w:line="183" w:lineRule="exact"/>
        <w:rPr>
          <w:rFonts w:ascii="Times New Roman" w:cs="Times New Roman" w:eastAsia="Times New Roman" w:hAnsi="Times New Roman"/>
          <w:sz w:val="18"/>
          <w:szCs w:val="18"/>
          <w:color w:val="auto"/>
        </w:rPr>
      </w:pPr>
    </w:p>
    <w:p>
      <w:pPr>
        <w:ind w:right="40" w:firstLine="987"/>
        <w:spacing w:after="0" w:line="255" w:lineRule="auto"/>
        <w:tabs>
          <w:tab w:leader="none" w:pos="1236"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Investor entitled to designate or participate in the designation of a director or that is the beneficial owner of 20% or more of the Company’s voting equity securities, agrees not to make any sale, assignment, transfer, pledge or other disposition of any securities of the Company, or any beneficial interest therein, to any person other than the Company unless and until the proposed transferee confirms to the reasonable satisfaction of the Company that neither the proposed transferee nor any of its directors, executive officers, other officers that may serve as a director or officer of any company in which it invests, general partners or managing members nor any person that would be deemed a beneficial owner of those securities (in accordance with Rule 506(d) of the Securities Act) is subject to any Bad Actor Disqualification, except as set forth in Rule 506(d)(2)(ii) or (iii) or (d)(3) under the Securities Act and disclosed, reasonably in advance of the transfer, in writing in reasonable detail to the Company.</w:t>
      </w:r>
    </w:p>
    <w:p>
      <w:pPr>
        <w:spacing w:after="0" w:line="18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2.9 Rule 144 Reporting. </w:t>
      </w:r>
      <w:r>
        <w:rPr>
          <w:rFonts w:ascii="Times New Roman" w:cs="Times New Roman" w:eastAsia="Times New Roman" w:hAnsi="Times New Roman"/>
          <w:sz w:val="18"/>
          <w:szCs w:val="18"/>
          <w:color w:val="auto"/>
        </w:rPr>
        <w:t>With a view to making available the benefits of certain rules and regulations of the Commission that may permit the sale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Restricted Securities to the public without registration, the Company agrees to use its commercially reasonable efforts to:</w:t>
      </w:r>
    </w:p>
    <w:p>
      <w:pPr>
        <w:spacing w:after="0" w:line="159" w:lineRule="exact"/>
        <w:rPr>
          <w:sz w:val="20"/>
          <w:szCs w:val="20"/>
          <w:color w:val="auto"/>
        </w:rPr>
      </w:pPr>
    </w:p>
    <w:p>
      <w:pPr>
        <w:ind w:right="380" w:firstLine="987"/>
        <w:spacing w:after="0" w:line="282" w:lineRule="auto"/>
        <w:tabs>
          <w:tab w:leader="none" w:pos="123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and keep adequate current public information with respect to the Company available in accordance with Rule 144 under the Securities Act, at all times from and after the effective date of the registration statement filed by the Company for the Initial Public Offering;</w:t>
      </w:r>
    </w:p>
    <w:p>
      <w:pPr>
        <w:spacing w:after="0" w:line="161" w:lineRule="exact"/>
        <w:rPr>
          <w:rFonts w:ascii="Times New Roman" w:cs="Times New Roman" w:eastAsia="Times New Roman" w:hAnsi="Times New Roman"/>
          <w:sz w:val="18"/>
          <w:szCs w:val="18"/>
          <w:color w:val="auto"/>
        </w:rPr>
      </w:pPr>
    </w:p>
    <w:p>
      <w:pPr>
        <w:ind w:right="220" w:firstLine="987"/>
        <w:spacing w:after="0" w:line="282" w:lineRule="auto"/>
        <w:tabs>
          <w:tab w:leader="none" w:pos="1246"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 with the Commission in a timely manner all reports and other documents required of the Company under the Securities Act and the Exchange Act at any time after it has become subject to such reporting requirements; and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354" w:name="page355"/>
    <w:bookmarkEnd w:id="354"/>
    <w:p>
      <w:pPr>
        <w:ind w:right="40" w:firstLine="987"/>
        <w:spacing w:after="0" w:line="277" w:lineRule="auto"/>
        <w:tabs>
          <w:tab w:leader="none" w:pos="1236" w:val="left"/>
        </w:tabs>
        <w:numPr>
          <w:ilvl w:val="0"/>
          <w:numId w:val="2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So long as a Holder owns any Restricted Securities, furnish to the Holder forthwith upon written request a written statement by the Company as to its compliance with the reporting requirements of Rule 144 (at any time from and after the effective date of the registration statement filed by the Company for the Initial Public Offering), and of the Securities Act and the Exchange Act (at any time after it has become subject to such reporting requirements), a copy of the most recent annual or quarterly report of the Company, and such other reports and documents so filed as a Holder may reasonably request in availing itself of any rule or regulation of the Commission allowing a Holder to sell any such securities without registration.</w:t>
      </w:r>
    </w:p>
    <w:p>
      <w:pPr>
        <w:spacing w:after="0" w:line="164"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7"/>
          <w:szCs w:val="17"/>
          <w:b w:val="1"/>
          <w:bCs w:val="1"/>
          <w:color w:val="auto"/>
        </w:rPr>
        <w:t xml:space="preserve">2.10 Market Stand-Off Agreement. </w:t>
      </w:r>
      <w:r>
        <w:rPr>
          <w:rFonts w:ascii="Times New Roman" w:cs="Times New Roman" w:eastAsia="Times New Roman" w:hAnsi="Times New Roman"/>
          <w:sz w:val="17"/>
          <w:szCs w:val="17"/>
          <w:color w:val="auto"/>
        </w:rPr>
        <w:t>If requested by the managing underwriter of Common Stock (or other securities) of the Company, each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Holder shall not sell or otherwise transfer, make any short sale of, grant any option for the purchase of, or enter into any hedging or similar transaction with the same economic effect as a sale, of any Common Stock (or other securities) of the Company held by such Holder immediately before the effective date of the registration statement for such offering during the period from the filing of the final prospectus for the Company’s Initial Public Offering filed under the Securities Act that includes securities to be sold on behalf of the Company to the public in an underwritten public offering under the Securities Act through the end of the one hundred and eighty (180) day period following the effective date of the registration statement (or such longer period as may be requested by the Company or an underwriter to accommodate regulatory restrictions),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all officers and directors of the Company and all holders of at least one percent (1%) of the Company’s voting securities are bound by and have entered into similar agreements. For the avoidance of doubt, the obligations described in this Section 2.10 shall not apply to a registration relating solely to employee benefit plans on Form S-l or Form S-8 or similar forms that may be promulgated in the future, or a registration relating solely to a transaction on Form S-4 or similar forms that may be promulgated in the future. The Company may impose stop-transfer instructions and may stamp each such certificate with the second legend set forth in Section 2.8(b) with respect to the shares of Common Stock (or other securities) subject to the foregoing restriction until the end of such one hundred and eighty (180) day (or other) period. Each Holder agrees to execute a market standoff agreement with said underwriters in customary form consistent with the provisions of this Section 2.10. Any discretionary waiver or termination of the restrictions of any or all of such agreements by the Company or the underwriters shall apply to all Holders subject to such agreements pro rata based on the number of shares subject to such agreements.</w:t>
      </w:r>
    </w:p>
    <w:p>
      <w:pPr>
        <w:spacing w:after="0" w:line="182"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2.11 Delay of Registration. </w:t>
      </w:r>
      <w:r>
        <w:rPr>
          <w:rFonts w:ascii="Times New Roman" w:cs="Times New Roman" w:eastAsia="Times New Roman" w:hAnsi="Times New Roman"/>
          <w:sz w:val="18"/>
          <w:szCs w:val="18"/>
          <w:color w:val="auto"/>
        </w:rPr>
        <w:t>No Holder shall have any right to take any action to restrain, enjoin, or otherwise delay any registration as the result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controversy that might arise with respect to the interpretation or implementation of this Section 2.</w:t>
      </w:r>
    </w:p>
    <w:p>
      <w:pPr>
        <w:spacing w:after="0" w:line="15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2.12 Transfer or Assignment of Registration Rights. </w:t>
      </w:r>
      <w:r>
        <w:rPr>
          <w:rFonts w:ascii="Times New Roman" w:cs="Times New Roman" w:eastAsia="Times New Roman" w:hAnsi="Times New Roman"/>
          <w:sz w:val="18"/>
          <w:szCs w:val="18"/>
          <w:color w:val="auto"/>
        </w:rPr>
        <w:t>The rights to cause the Company to register securities granted to a Holder by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under this Section 2 may be transferred or assigned by a Holder only to a transferee or assignee of not less than 300,000 Registrable Securities (as presently constituted and subject to subsequent adjustments for stock splits, stock dividends, reverse stock splits, and the like);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transfer or assignment of Registrable Securities is effected in accordance with the terms of Section 2.8 and applicable securities laws, (ii) the Company is given written notice prior to said transfer or assignment, stating the name and address of the transferee or assignee and identifying the securities with respect to which such registration rights are intended to be transferred or assigned and (iii) the transferee or assignee of such rights assumes in writing the obligations of such Holder under this Agreement, including without limitation the obligations set forth in Section 2.10.</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355" w:name="page356"/>
    <w:bookmarkEnd w:id="355"/>
    <w:p>
      <w:pPr>
        <w:ind w:left="4" w:right="4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2.13 Limitations on Subsequent Registration Rights. </w:t>
      </w:r>
      <w:r>
        <w:rPr>
          <w:rFonts w:ascii="Times New Roman" w:cs="Times New Roman" w:eastAsia="Times New Roman" w:hAnsi="Times New Roman"/>
          <w:sz w:val="18"/>
          <w:szCs w:val="18"/>
          <w:color w:val="auto"/>
        </w:rPr>
        <w:t>From and after the date of this Agreement, the Company shall not, without the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written consent of Holders holding in the aggregate at least two-thirds (2/3) of the Registrable Securities (excluding any of such shares held by any Holders whose rights to request registration or inclusion in any registration pursuant to this Section 2 have terminated in accordance with Section 2.14), enter into any agreement with any holder or prospective holder of any securities of the Company giving such holder or prospective holder any registration rights the terms of which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senior to the registration rights granted to the Holders hereunder.</w:t>
      </w:r>
    </w:p>
    <w:p>
      <w:pPr>
        <w:spacing w:after="0" w:line="179"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2.14 Termination of Registration Rights. </w:t>
      </w:r>
      <w:r>
        <w:rPr>
          <w:rFonts w:ascii="Times New Roman" w:cs="Times New Roman" w:eastAsia="Times New Roman" w:hAnsi="Times New Roman"/>
          <w:sz w:val="18"/>
          <w:szCs w:val="18"/>
          <w:color w:val="auto"/>
        </w:rPr>
        <w:t>The right of any Holder to request registration or inclusion in any registration pursuant to Sections 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2.2 or 2.3 shall terminate on the earliest of (i) such date, on or after the closing of the Company’s Initial Public Offering, on which all Registrable Securities held or entitled to be held upon conversion by such Holder may immediately be sold under Rule 144 during any ninety (90) day period,</w:t>
      </w:r>
    </w:p>
    <w:p>
      <w:pPr>
        <w:ind w:left="4" w:right="80" w:hanging="4"/>
        <w:spacing w:after="0" w:line="290" w:lineRule="auto"/>
        <w:tabs>
          <w:tab w:leader="none" w:pos="269"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five (5) years after the closing of the Company’s Initial Public Offering and (iii) upon the closing of an Acquisition in which the consideration to be received by the Company’s stockholders consists solely of cash, solely of Marketable Securities or a combination of cash and Marketable Securities.</w:t>
      </w:r>
    </w:p>
    <w:p>
      <w:pPr>
        <w:spacing w:after="0" w:line="36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SECTION 3</w:t>
      </w:r>
    </w:p>
    <w:p>
      <w:pPr>
        <w:spacing w:after="0" w:line="225" w:lineRule="exact"/>
        <w:rPr>
          <w:sz w:val="20"/>
          <w:szCs w:val="20"/>
          <w:color w:val="auto"/>
        </w:rPr>
      </w:pPr>
    </w:p>
    <w:p>
      <w:pPr>
        <w:ind w:left="3404"/>
        <w:spacing w:after="0"/>
        <w:rPr>
          <w:sz w:val="20"/>
          <w:szCs w:val="20"/>
          <w:color w:val="auto"/>
        </w:rPr>
      </w:pPr>
      <w:r>
        <w:rPr>
          <w:rFonts w:ascii="Times New Roman" w:cs="Times New Roman" w:eastAsia="Times New Roman" w:hAnsi="Times New Roman"/>
          <w:sz w:val="18"/>
          <w:szCs w:val="18"/>
          <w:b w:val="1"/>
          <w:bCs w:val="1"/>
          <w:color w:val="auto"/>
        </w:rPr>
        <w:t>INFORMATION COVENANTS OF THE COMPANY</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Company hereby covenants and agrees, as follows:</w:t>
      </w:r>
    </w:p>
    <w:p>
      <w:pPr>
        <w:spacing w:after="0" w:line="2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3.1 Basic Financial Information and Inspection Rights.</w:t>
      </w:r>
    </w:p>
    <w:p>
      <w:pPr>
        <w:spacing w:after="0" w:line="225" w:lineRule="exact"/>
        <w:rPr>
          <w:sz w:val="20"/>
          <w:szCs w:val="20"/>
          <w:color w:val="auto"/>
        </w:rPr>
      </w:pPr>
    </w:p>
    <w:p>
      <w:pPr>
        <w:ind w:left="1244" w:hanging="253"/>
        <w:spacing w:after="0"/>
        <w:tabs>
          <w:tab w:leader="none" w:pos="1244"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Basic Financial Information. </w:t>
      </w:r>
      <w:r>
        <w:rPr>
          <w:rFonts w:ascii="Times New Roman" w:cs="Times New Roman" w:eastAsia="Times New Roman" w:hAnsi="Times New Roman"/>
          <w:sz w:val="18"/>
          <w:szCs w:val="18"/>
          <w:color w:val="auto"/>
        </w:rPr>
        <w:t>The Company will furnish the following reports to each Significant Holder:</w:t>
      </w:r>
    </w:p>
    <w:p>
      <w:pPr>
        <w:spacing w:after="0" w:line="229" w:lineRule="exact"/>
        <w:rPr>
          <w:rFonts w:ascii="Times New Roman" w:cs="Times New Roman" w:eastAsia="Times New Roman" w:hAnsi="Times New Roman"/>
          <w:sz w:val="18"/>
          <w:szCs w:val="18"/>
          <w:color w:val="auto"/>
        </w:rPr>
      </w:pPr>
    </w:p>
    <w:p>
      <w:pPr>
        <w:ind w:left="1644" w:hanging="212"/>
        <w:spacing w:after="0"/>
        <w:tabs>
          <w:tab w:leader="none" w:pos="1644" w:val="left"/>
        </w:tabs>
        <w:numPr>
          <w:ilvl w:val="2"/>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the end of each fiscal year of the Company, and in any event within one hundred and eighty</w:t>
      </w:r>
    </w:p>
    <w:p>
      <w:pPr>
        <w:spacing w:after="0" w:line="27" w:lineRule="exact"/>
        <w:rPr>
          <w:rFonts w:ascii="Times New Roman" w:cs="Times New Roman" w:eastAsia="Times New Roman" w:hAnsi="Times New Roman"/>
          <w:sz w:val="18"/>
          <w:szCs w:val="18"/>
          <w:color w:val="auto"/>
        </w:rPr>
      </w:pPr>
    </w:p>
    <w:p>
      <w:pPr>
        <w:ind w:left="4" w:right="40" w:hanging="4"/>
        <w:spacing w:after="0" w:line="253" w:lineRule="auto"/>
        <w:tabs>
          <w:tab w:leader="none" w:pos="439"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end of each fiscal year of the Company, which audit may be waived by a vote of at least two-thirds (2/3) of the then outstanding Preferred Stock, voting together as a single class on an as-converted to Common Stock basis (a “</w:t>
      </w:r>
      <w:r>
        <w:rPr>
          <w:rFonts w:ascii="Times New Roman" w:cs="Times New Roman" w:eastAsia="Times New Roman" w:hAnsi="Times New Roman"/>
          <w:sz w:val="18"/>
          <w:szCs w:val="18"/>
          <w:b w:val="1"/>
          <w:bCs w:val="1"/>
          <w:i w:val="1"/>
          <w:iCs w:val="1"/>
          <w:color w:val="auto"/>
        </w:rPr>
        <w:t>Preferred Majority</w:t>
      </w:r>
      <w:r>
        <w:rPr>
          <w:rFonts w:ascii="Times New Roman" w:cs="Times New Roman" w:eastAsia="Times New Roman" w:hAnsi="Times New Roman"/>
          <w:sz w:val="18"/>
          <w:szCs w:val="18"/>
          <w:color w:val="auto"/>
        </w:rPr>
        <w:t>”), a consolidated balance sheet of the Company and its subsidiaries, if any, as at the end of such fiscal year, and consolidated statements of income and cash flows of the Company and its subsidiaries, if any, for such year, such financial statements audited and certified by independent public accountants of nationally recognized standing selected by the Company;</w:t>
      </w:r>
    </w:p>
    <w:p>
      <w:pPr>
        <w:spacing w:after="0" w:line="186" w:lineRule="exact"/>
        <w:rPr>
          <w:rFonts w:ascii="Times New Roman" w:cs="Times New Roman" w:eastAsia="Times New Roman" w:hAnsi="Times New Roman"/>
          <w:sz w:val="18"/>
          <w:szCs w:val="18"/>
          <w:color w:val="auto"/>
        </w:rPr>
      </w:pPr>
    </w:p>
    <w:p>
      <w:pPr>
        <w:ind w:left="4" w:right="80" w:firstLine="1428"/>
        <w:spacing w:after="0" w:line="258" w:lineRule="auto"/>
        <w:tabs>
          <w:tab w:leader="none" w:pos="1701" w:val="left"/>
        </w:tabs>
        <w:numPr>
          <w:ilvl w:val="2"/>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the end of the first, second and third quarterly accounting periods in each fiscal year of the Company, and in any event within forty five (45) days after the end of the first, second, and third quarterly accounting periods in each fiscal year of the Company, an unaudited consolidated balance sheet of the Company and its subsidiaries, if any, as of the end of each such quarterly period, and unaudited consolidated statements of income and cash flows of the Company and its subsidiaries, if any, for such period, prepared in accordance with U.S. generally accepted accounting principles consistently applied, subject to changes resulting from normal year-end audit adjustments;</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4"/>
          </w:cols>
          <w:pgMar w:left="436" w:top="266" w:right="499" w:bottom="1440" w:gutter="0" w:footer="0" w:header="0"/>
        </w:sectPr>
      </w:pPr>
    </w:p>
    <w:bookmarkStart w:id="356" w:name="page357"/>
    <w:bookmarkEnd w:id="356"/>
    <w:p>
      <w:pPr>
        <w:jc w:val="both"/>
        <w:ind w:right="200" w:firstLine="1428"/>
        <w:spacing w:after="0" w:line="261" w:lineRule="auto"/>
        <w:tabs>
          <w:tab w:leader="none" w:pos="1747"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soon as practicable after the end of each month, and in any event within thirty (30) days after the end of each month, an unaudited consolidated balance sheet of the Company and its subsidiaries, if any, as of the end of such monthly period, and unaudited consolidated statements of income and cash flows of the Company and its subsidiaries, if any, for such period, prepared in accordance with U.S. generally accepted accounting principles consistently applied, subject to changes resulting from normal year-end audit adjustments;</w:t>
      </w:r>
    </w:p>
    <w:p>
      <w:pPr>
        <w:spacing w:after="0" w:line="179" w:lineRule="exact"/>
        <w:rPr>
          <w:rFonts w:ascii="Times New Roman" w:cs="Times New Roman" w:eastAsia="Times New Roman" w:hAnsi="Times New Roman"/>
          <w:sz w:val="18"/>
          <w:szCs w:val="18"/>
          <w:color w:val="auto"/>
        </w:rPr>
      </w:pPr>
    </w:p>
    <w:p>
      <w:pPr>
        <w:ind w:right="660" w:firstLine="1428"/>
        <w:spacing w:after="0" w:line="282" w:lineRule="auto"/>
        <w:tabs>
          <w:tab w:leader="none" w:pos="1737"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thirty (30) days prior to the beginning of each fiscal year a comprehensive operating budget for such fiscal year including forecasted revenues, expenses and cash position on a month-to-month basis; and</w:t>
      </w:r>
    </w:p>
    <w:p>
      <w:pPr>
        <w:spacing w:after="0" w:line="16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thirty (30) days after the end of each quarter, a report listing all holders of equity and debt securities of the Company.</w:t>
      </w:r>
    </w:p>
    <w:p>
      <w:pPr>
        <w:spacing w:after="0" w:line="221" w:lineRule="exact"/>
        <w:rPr>
          <w:rFonts w:ascii="Times New Roman" w:cs="Times New Roman" w:eastAsia="Times New Roman" w:hAnsi="Times New Roman"/>
          <w:sz w:val="18"/>
          <w:szCs w:val="18"/>
          <w:color w:val="auto"/>
        </w:rPr>
      </w:pPr>
    </w:p>
    <w:p>
      <w:pPr>
        <w:ind w:firstLine="987"/>
        <w:spacing w:after="0" w:line="271" w:lineRule="auto"/>
        <w:tabs>
          <w:tab w:leader="none" w:pos="1246" w:val="left"/>
        </w:tabs>
        <w:numPr>
          <w:ilvl w:val="0"/>
          <w:numId w:val="2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Inspection Rights. </w:t>
      </w:r>
      <w:r>
        <w:rPr>
          <w:rFonts w:ascii="Times New Roman" w:cs="Times New Roman" w:eastAsia="Times New Roman" w:hAnsi="Times New Roman"/>
          <w:sz w:val="17"/>
          <w:szCs w:val="17"/>
          <w:color w:val="auto"/>
        </w:rPr>
        <w:t>The Company will afford to each Significant Holder and to such Significant Holder’s accountant and counsel,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reasonable access during normal business hours to all of the Company’s respective properties, books and records. Each such Significant Holder shall have such other access to management and information as is necessary for it to comply with applicable laws and regulations and reporting obligations. The Company shall not be required to disclose details of contracts with or work performed for specific customers and other business partners where to do so would violate confidentiality obligations to those parties. Significant Holders may exercise their rights under this Section 3.1(b) only for purposes reasonably related to their interests under this Agreement and related agreements. The rights granted pursuant to this Section 3.1(b) may not be assigned or otherwise conveyed by the Significant Holders or by any subsequent transferee of any such rights without the prior written consent of the Company except as authorized in this Section 3.1(b); provided that any Significant Holder that is a venture capital or other investment fund may transfer such rights to any party to whom it may transfer Registrable Securities pursuant to Section 2.8(b)(ii) above, along with such transfer of Registrable Securities.</w:t>
      </w:r>
    </w:p>
    <w:p>
      <w:pPr>
        <w:spacing w:after="0" w:line="17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3.2 Confidentiality. </w:t>
      </w:r>
      <w:r>
        <w:rPr>
          <w:rFonts w:ascii="Times New Roman" w:cs="Times New Roman" w:eastAsia="Times New Roman" w:hAnsi="Times New Roman"/>
          <w:sz w:val="18"/>
          <w:szCs w:val="18"/>
          <w:color w:val="auto"/>
        </w:rPr>
        <w:t>Anything in this Agreement to the contrary notwithstanding, no Holder by reason of this Agreement shall have access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trade secrets or classified information of the Company if the disclosure thereof would be materially detrimental to the Company. The Company shall not be required to comply with any information rights of Section 3 in respect of any Holder whom the Company reasonably determines to be a competitor or an officer, employee, director or holder of more than ten percent (10%) of a competitor;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in no event shall a Holder that is a venture capital or other investment fund be deemed to be a competitor of the Company;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in no event shall Amber Waves LLC, Greenland A LLC, Greenland FP LLC, Greenland NFP B Ltd., Greenland NFP LLC, or Red House Capital LLC be deemed to be a competitor of the Company. Each Holder acknowledges that the information received by them pursuant to this Agreement may be confidential and for its use only, and it will not use such confidential information in violation of the Exchange Act or reproduce, disclose or disseminate such information to any other person, except in connection with the exercise of rights under this Agreement or as part of such Holder’s normal reporting or review procedure, or in connection with such Holder’s or its Affiliates’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357" w:name="page358"/>
    <w:bookmarkEnd w:id="35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normal reporting activities, unless the Company has made such information available to the public generally, such information has been independently developed or conceived by the Holder without use of the Company’s confidential information, such information has been made known or disclosed to the Holder by a third party without a breach of any obligation of confidentiality such third party may have to the Company, or such Holder is required to disclose such information by a governmental authority;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 Holder may disclose confidential information (i) to its attorneys, accountants, consultants, and other professionals to the extent necessary to obtain their services in connection with monitoring its investment in the Company, (ii) to any prospective purchaser of any Registrable Securities from such Holder, if such prospective purchaser agrees to be bound by confidentiality obligations in a customary non-disclosure agreement or a non-disclosure agreement containing confidentiality obligations that are no less restrictive than those included in this Section 3.2, (iii) to any existing or prospective Affiliate, partner, partners of partners, member, stockholder, wholly owned subsidiary of such Holder or limited partner of an investment entity formed (or to be formed) after the date hereof that is an advisory or subadvisory client of such Holder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Investor informs such person that such information is confidential and directs such Person to maintain the confidentiality of such information, or (iv) as may otherwise be required by law or any regulatory or other supervisory body or authority of competent jurisdiction (each, a “</w:t>
      </w:r>
      <w:r>
        <w:rPr>
          <w:rFonts w:ascii="Times New Roman" w:cs="Times New Roman" w:eastAsia="Times New Roman" w:hAnsi="Times New Roman"/>
          <w:sz w:val="18"/>
          <w:szCs w:val="18"/>
          <w:b w:val="1"/>
          <w:bCs w:val="1"/>
          <w:i w:val="1"/>
          <w:iCs w:val="1"/>
          <w:color w:val="auto"/>
        </w:rPr>
        <w:t>Regulator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permitted by law or such Regulator, Holder shall promptly notify the Company in advance of such disclosure and take reasonable steps to minimize the extent of any such required disclosure.</w:t>
      </w:r>
    </w:p>
    <w:p>
      <w:pPr>
        <w:spacing w:after="0" w:line="183"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3.3 Preferred Director Approval. </w:t>
      </w:r>
      <w:r>
        <w:rPr>
          <w:rFonts w:ascii="Times New Roman" w:cs="Times New Roman" w:eastAsia="Times New Roman" w:hAnsi="Times New Roman"/>
          <w:sz w:val="18"/>
          <w:szCs w:val="18"/>
          <w:color w:val="auto"/>
        </w:rPr>
        <w:t>As long as any holder of Preferred Stock shall be entitled to elect one or more members of the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of the Company (each, a “</w:t>
      </w:r>
      <w:r>
        <w:rPr>
          <w:rFonts w:ascii="Times New Roman" w:cs="Times New Roman" w:eastAsia="Times New Roman" w:hAnsi="Times New Roman"/>
          <w:sz w:val="18"/>
          <w:szCs w:val="18"/>
          <w:b w:val="1"/>
          <w:bCs w:val="1"/>
          <w:i w:val="1"/>
          <w:iCs w:val="1"/>
          <w:color w:val="auto"/>
        </w:rPr>
        <w:t>Preferred Director</w:t>
      </w:r>
      <w:r>
        <w:rPr>
          <w:rFonts w:ascii="Times New Roman" w:cs="Times New Roman" w:eastAsia="Times New Roman" w:hAnsi="Times New Roman"/>
          <w:sz w:val="18"/>
          <w:szCs w:val="18"/>
          <w:color w:val="auto"/>
        </w:rPr>
        <w:t>”) under the Company’s Amended and Restated Certificate and at least one Preferred Director is serving on the board of directors of the Company, the Company shall not, and shall not permit any of its subsidiaries to, without first obtaining the approval of the board of directors of the Company (including the approval of a majority of the Preferred Directors):</w:t>
      </w:r>
    </w:p>
    <w:p>
      <w:pPr>
        <w:spacing w:after="0" w:line="180" w:lineRule="exact"/>
        <w:rPr>
          <w:sz w:val="20"/>
          <w:szCs w:val="20"/>
          <w:color w:val="auto"/>
        </w:rPr>
      </w:pPr>
    </w:p>
    <w:p>
      <w:pPr>
        <w:ind w:right="280" w:firstLine="987"/>
        <w:spacing w:after="0" w:line="282" w:lineRule="auto"/>
        <w:tabs>
          <w:tab w:leader="none" w:pos="123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 or advance to, other than in the ordinary course of business, or own any stock or other securities of, any corporation, partnership, or other entity unless it is wholly owned by the Company;</w:t>
      </w:r>
    </w:p>
    <w:p>
      <w:pPr>
        <w:spacing w:after="0" w:line="161"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 or advance to any person, including, any employee or director, except advances and similar expenditures in the ordinary course of business or under the terms of an employee stock or option plan approved by the board of directors of the Company or that are immaterial as to amount;</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any indebtedness, except for trade accounts of the Company or any subsidiary arising in the ordinary course of business;</w:t>
      </w:r>
    </w:p>
    <w:p>
      <w:pPr>
        <w:spacing w:after="0" w:line="225" w:lineRule="exact"/>
        <w:rPr>
          <w:rFonts w:ascii="Times New Roman" w:cs="Times New Roman" w:eastAsia="Times New Roman" w:hAnsi="Times New Roman"/>
          <w:sz w:val="18"/>
          <w:szCs w:val="18"/>
          <w:color w:val="auto"/>
        </w:rPr>
      </w:pPr>
    </w:p>
    <w:p>
      <w:pPr>
        <w:ind w:right="80" w:firstLine="987"/>
        <w:spacing w:after="0" w:line="282" w:lineRule="auto"/>
        <w:tabs>
          <w:tab w:leader="none" w:pos="124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be a party to any transaction with any director or executive officer of the Company or any “associate” (as defined in Rule 12b-2 promulgated under the Exchange Act) of any such person;</w:t>
      </w:r>
    </w:p>
    <w:p>
      <w:pPr>
        <w:spacing w:after="0" w:line="161" w:lineRule="exact"/>
        <w:rPr>
          <w:rFonts w:ascii="Times New Roman" w:cs="Times New Roman" w:eastAsia="Times New Roman" w:hAnsi="Times New Roman"/>
          <w:sz w:val="18"/>
          <w:szCs w:val="18"/>
          <w:color w:val="auto"/>
        </w:rPr>
      </w:pPr>
    </w:p>
    <w:p>
      <w:pPr>
        <w:ind w:right="420" w:firstLine="987"/>
        <w:spacing w:after="0" w:line="282" w:lineRule="auto"/>
        <w:tabs>
          <w:tab w:leader="none" w:pos="1236"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terminate, or change the compensation of the Company’s executive officers, including approving any equity awards for such executive officers;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358" w:name="page359"/>
    <w:bookmarkEnd w:id="358"/>
    <w:p>
      <w:pPr>
        <w:ind w:left="1220" w:hanging="233"/>
        <w:spacing w:after="0"/>
        <w:tabs>
          <w:tab w:leader="none" w:pos="122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change the principal business of the Company, including entry into new lines of business, or exit from the Company’s current principal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line of business;</w:t>
      </w:r>
    </w:p>
    <w:p>
      <w:pPr>
        <w:spacing w:after="0" w:line="206"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corporate strategic relationship involving the payment, contribution or assignment by the Company or to the Company of assets greater than $100,000.00; or</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license, pledge or encumber any material assets of the Company other than licenses granted in the ordinary course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203"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3.4 Proprietary Information and Inventions Agreements. </w:t>
      </w:r>
      <w:r>
        <w:rPr>
          <w:rFonts w:ascii="Times New Roman" w:cs="Times New Roman" w:eastAsia="Times New Roman" w:hAnsi="Times New Roman"/>
          <w:sz w:val="18"/>
          <w:szCs w:val="18"/>
          <w:color w:val="auto"/>
        </w:rPr>
        <w:t>The Company shall require all employees and consultants to execute and deliver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Proprietary Information and Inventions Agreement or a Consulting Agreement with non-disclosure and inventions assignment provisions, as applicable, in each case in substantially in a form approved by the board of directors of the Company.</w:t>
      </w:r>
    </w:p>
    <w:p>
      <w:pPr>
        <w:spacing w:after="0" w:line="171"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3.5 Board Matters. </w:t>
      </w:r>
      <w:r>
        <w:rPr>
          <w:rFonts w:ascii="Times New Roman" w:cs="Times New Roman" w:eastAsia="Times New Roman" w:hAnsi="Times New Roman"/>
          <w:sz w:val="18"/>
          <w:szCs w:val="18"/>
          <w:color w:val="auto"/>
        </w:rPr>
        <w:t>The board of directors of the Company shall meet at least quarterly, unless otherwise determined by a vote of the majority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of directors of the Company, and the Company shall take all appropriate action to cause at least two (2) Preferred Directors to be appointed to serve on any and all key committees of the board of directors of the Company except where such service would constitute a conflict of interest or breach of fiduciary duty.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3.6 Employee Stock Vesting.</w:t>
      </w:r>
    </w:p>
    <w:p>
      <w:pPr>
        <w:spacing w:after="0" w:line="229"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Unless otherwise agreed to by the board of directors of the Company (including the approval of a majority of then serving Preferred Directors), all stock options, restricted stock and similar equity grants issued after the date of this Agreement to employees shall have the following vesting schedule: twenty-five percent (25%) of the shares will vest at the end of the first year following the vesting commencement date, which shall be the employee’s employment start date, with the remaining shares to vest at a rate of 1/48th per month thereafter such that the entire stock award vests in its entirety over a period of four years.</w:t>
      </w:r>
    </w:p>
    <w:p>
      <w:pPr>
        <w:spacing w:after="0" w:line="179"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3.7 Insurance. </w:t>
      </w:r>
      <w:r>
        <w:rPr>
          <w:rFonts w:ascii="Times New Roman" w:cs="Times New Roman" w:eastAsia="Times New Roman" w:hAnsi="Times New Roman"/>
          <w:sz w:val="18"/>
          <w:szCs w:val="18"/>
          <w:color w:val="auto"/>
        </w:rPr>
        <w:t>The Company will use its commercially reasonable efforts to (i) maintain in full force and effect director and officer liability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insurance with coverage amounts, for a period, and from a carrier acceptable to the board of directors of the Company, including a majority of the then serving Preferred Directors, and (ii) to obtain and maintain in full force and effect key man life insurance in an amount acceptable to the board of directors of the Company, including a majority of the then serving Preferred Directors, on the life of David Mack with the Company named as beneficiary thereunder.</w:t>
      </w:r>
    </w:p>
    <w:p>
      <w:pPr>
        <w:spacing w:after="0" w:line="179" w:lineRule="exact"/>
        <w:rPr>
          <w:sz w:val="20"/>
          <w:szCs w:val="20"/>
          <w:color w:val="auto"/>
        </w:rPr>
      </w:pPr>
    </w:p>
    <w:p>
      <w:pPr>
        <w:ind w:right="8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3.8 “Bad Actor” Notice. </w:t>
      </w:r>
      <w:r>
        <w:rPr>
          <w:rFonts w:ascii="Times New Roman" w:cs="Times New Roman" w:eastAsia="Times New Roman" w:hAnsi="Times New Roman"/>
          <w:sz w:val="18"/>
          <w:szCs w:val="18"/>
          <w:color w:val="auto"/>
        </w:rPr>
        <w:t>Each party to this Agreement will promptly notify each other party to this Agreement in writing if it or, to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knowledge, any person specified in Rule 506(d)(1) under the Securities Act becomes subject to any Bad Actor Disqualification.</w:t>
      </w:r>
    </w:p>
    <w:p>
      <w:pPr>
        <w:spacing w:after="0" w:line="155" w:lineRule="exact"/>
        <w:rPr>
          <w:sz w:val="20"/>
          <w:szCs w:val="20"/>
          <w:color w:val="auto"/>
        </w:rPr>
      </w:pPr>
    </w:p>
    <w:p>
      <w:pPr>
        <w:ind w:right="2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3.9 Right to Conduct Activities. </w:t>
      </w:r>
      <w:r>
        <w:rPr>
          <w:rFonts w:ascii="Times New Roman" w:cs="Times New Roman" w:eastAsia="Times New Roman" w:hAnsi="Times New Roman"/>
          <w:sz w:val="18"/>
          <w:szCs w:val="18"/>
          <w:color w:val="auto"/>
        </w:rPr>
        <w:t>The Company hereby agrees and acknowledges that each of NEXTECH V ONCOLOGY S.C.S., SICAV-SIF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Nextech</w:t>
      </w:r>
      <w:r>
        <w:rPr>
          <w:rFonts w:ascii="Times New Roman" w:cs="Times New Roman" w:eastAsia="Times New Roman" w:hAnsi="Times New Roman"/>
          <w:sz w:val="18"/>
          <w:szCs w:val="18"/>
          <w:color w:val="auto"/>
        </w:rPr>
        <w:t>”) (together with its Affiliates), OrbiMed Private Investments V, L.P (“</w:t>
      </w:r>
      <w:r>
        <w:rPr>
          <w:rFonts w:ascii="Times New Roman" w:cs="Times New Roman" w:eastAsia="Times New Roman" w:hAnsi="Times New Roman"/>
          <w:sz w:val="18"/>
          <w:szCs w:val="18"/>
          <w:b w:val="1"/>
          <w:bCs w:val="1"/>
          <w:i w:val="1"/>
          <w:iCs w:val="1"/>
          <w:color w:val="auto"/>
        </w:rPr>
        <w:t>OrbiMed</w:t>
      </w:r>
      <w:r>
        <w:rPr>
          <w:rFonts w:ascii="Times New Roman" w:cs="Times New Roman" w:eastAsia="Times New Roman" w:hAnsi="Times New Roman"/>
          <w:sz w:val="18"/>
          <w:szCs w:val="18"/>
          <w:color w:val="auto"/>
        </w:rPr>
        <w:t>”) (together with its Affiliates), Avoro Life Sciences Fund LLC (“</w:t>
      </w:r>
      <w:r>
        <w:rPr>
          <w:rFonts w:ascii="Times New Roman" w:cs="Times New Roman" w:eastAsia="Times New Roman" w:hAnsi="Times New Roman"/>
          <w:sz w:val="18"/>
          <w:szCs w:val="18"/>
          <w:b w:val="1"/>
          <w:bCs w:val="1"/>
          <w:i w:val="1"/>
          <w:iCs w:val="1"/>
          <w:color w:val="auto"/>
        </w:rPr>
        <w:t>Avoro</w:t>
      </w:r>
      <w:r>
        <w:rPr>
          <w:rFonts w:ascii="Times New Roman" w:cs="Times New Roman" w:eastAsia="Times New Roman" w:hAnsi="Times New Roman"/>
          <w:sz w:val="18"/>
          <w:szCs w:val="18"/>
          <w:color w:val="auto"/>
        </w:rPr>
        <w:t>”) (together with its Affiliates), RA Capital Healthcare Fund, L.P. (“</w:t>
      </w:r>
      <w:r>
        <w:rPr>
          <w:rFonts w:ascii="Times New Roman" w:cs="Times New Roman" w:eastAsia="Times New Roman" w:hAnsi="Times New Roman"/>
          <w:sz w:val="18"/>
          <w:szCs w:val="18"/>
          <w:b w:val="1"/>
          <w:bCs w:val="1"/>
          <w:i w:val="1"/>
          <w:iCs w:val="1"/>
          <w:color w:val="auto"/>
        </w:rPr>
        <w:t>RA Capital</w:t>
      </w:r>
      <w:r>
        <w:rPr>
          <w:rFonts w:ascii="Times New Roman" w:cs="Times New Roman" w:eastAsia="Times New Roman" w:hAnsi="Times New Roman"/>
          <w:sz w:val="18"/>
          <w:szCs w:val="18"/>
          <w:color w:val="auto"/>
        </w:rPr>
        <w:t>”) (together with its Affiliates), Boxer Capital, LLC (“</w:t>
      </w:r>
      <w:r>
        <w:rPr>
          <w:rFonts w:ascii="Times New Roman" w:cs="Times New Roman" w:eastAsia="Times New Roman" w:hAnsi="Times New Roman"/>
          <w:sz w:val="18"/>
          <w:szCs w:val="18"/>
          <w:b w:val="1"/>
          <w:bCs w:val="1"/>
          <w:i w:val="1"/>
          <w:iCs w:val="1"/>
          <w:color w:val="auto"/>
        </w:rPr>
        <w:t>Boxer</w:t>
      </w:r>
      <w:r>
        <w:rPr>
          <w:rFonts w:ascii="Times New Roman" w:cs="Times New Roman" w:eastAsia="Times New Roman" w:hAnsi="Times New Roman"/>
          <w:sz w:val="18"/>
          <w:szCs w:val="18"/>
          <w:color w:val="auto"/>
        </w:rPr>
        <w:t>”) (together with its Affiliates), Viking Global</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359" w:name="page360"/>
    <w:bookmarkEnd w:id="359"/>
    <w:p>
      <w:pPr>
        <w:ind w:right="10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Opportunities Illiquid Investments Sub-Master LP (“</w:t>
      </w:r>
      <w:r>
        <w:rPr>
          <w:rFonts w:ascii="Times New Roman" w:cs="Times New Roman" w:eastAsia="Times New Roman" w:hAnsi="Times New Roman"/>
          <w:sz w:val="18"/>
          <w:szCs w:val="18"/>
          <w:b w:val="1"/>
          <w:bCs w:val="1"/>
          <w:i w:val="1"/>
          <w:iCs w:val="1"/>
          <w:color w:val="auto"/>
        </w:rPr>
        <w:t>Viking Global</w:t>
      </w:r>
      <w:r>
        <w:rPr>
          <w:rFonts w:ascii="Times New Roman" w:cs="Times New Roman" w:eastAsia="Times New Roman" w:hAnsi="Times New Roman"/>
          <w:sz w:val="18"/>
          <w:szCs w:val="18"/>
          <w:color w:val="auto"/>
        </w:rPr>
        <w:t xml:space="preserve">”) (together with its Affiliates), and the Wellington Investors (together with their Affiliates) is a professional investment organization, and as such reviews the business plans and related proprietary information of many enterprises, some of which may compete directly or indirectly with the Company’s business (as currently conducted or as currently propose to be conducted). The Company acknowledges that the execution of this Agreement, the terms hereof and the access to confidential information hereunder shall in no way be construed to prohibit or restrict Nextech (and its Affiliates), OrbiMed (and its Affiliates), Avoro (and its Affiliates), RA Capital (and its Affiliates), Boxer (and its Affiliates), Viking Global (and its Affiliates) and the Wellington Investors (and their Affiliates) from maintaining, making or considering investments in such enterprises, whether or not such enterprises compete directly or indirectly with the Company, or from otherwise operating in the ordinary course of business. The Company hereby agrees that, to the extent permitted under applicable law, Nextech (and its Affiliates), OrbiMed (and its Affiliates), Avoro (and its Affiliates), RA Capital (and its Affiliates), Boxer (and its Affiliates), Viking Global (and its Affiliates) and the Wellington Investors (and their Affiliates) shall not be liable to the Company for any claim arising out of, or based upon, (i) the investment by Nextech (or its Affiliates), OrbiMed (or its Affiliates), Avoro (or its Affiliates), RA Capital (or its Affiliates), Boxer (or its Affiliates), Viking Global (or its Affiliates) or the Wellington Investors (or their Affiliates) in any entity competitive with the Company, or (ii) actions taken by any partner, officer, employee or other representative of Nextech (or its Affiliates), OrbiMed (or its Affiliates), Avoro (or its Affiliates), RA Capital (or its Affiliates), Boxer (or its Affiliates), Viking Global (or its Affiliates) or the Wellington Investors (or their Affiliates) to assist any such competitive company, whether or not such action was taken as a member of the board of directors of such competitive company or otherwise, and whether or not such action has a detrimental effect on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foregoing shall not relieve (x) any of the Investors from liability associated with the unauthorized disclosure of the Company’s confidential information obtained pursuant to this Agreement, or (y) any director or officer of the Company from any liability associated with his or her fiduciary duties to the Company.</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3.10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3.11 U.S. Real Property Holding Corporation. </w:t>
      </w:r>
      <w:r>
        <w:rPr>
          <w:rFonts w:ascii="Times New Roman" w:cs="Times New Roman" w:eastAsia="Times New Roman" w:hAnsi="Times New Roman"/>
          <w:sz w:val="18"/>
          <w:szCs w:val="18"/>
          <w:color w:val="auto"/>
        </w:rPr>
        <w:t>The Company shall notify the Investors promptly following any “determination date” (as defined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Treasury Regulations section 1.897-2(c)(1)) or otherwise within five (5) business days of becoming aware that the Company is, or is reasonably likely to be, a “United States real property holding corporation” within the meaning of Section 897(c)(2) of the Internal Revenue Code of 1986, as amended. In addition, at any time upon an Investor’s request, the Company shall issue a statement to such Investor, in form and substance as described in Treasury Regulations sections 1.897-2(h)(1) and 1.1445-2(c) (or any successor regulations) and signed under penalties of perjury, regarding whether any interest in the Company constitutes a “U.S. real property interest” within the meaning of Section 897(c) of the of the Internal Revenue Code of 1986, as amended, together with an executed notice to the IRS described in Treasury Regulations section 1.897-2(h)(2) (or any successor regulation). Such statement shall be delivered within ten (10) days of an Investor’s written request therefor.</w:t>
      </w:r>
    </w:p>
    <w:p>
      <w:pPr>
        <w:spacing w:after="0" w:line="18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3.12 Termination of Covenants. </w:t>
      </w:r>
      <w:r>
        <w:rPr>
          <w:rFonts w:ascii="Times New Roman" w:cs="Times New Roman" w:eastAsia="Times New Roman" w:hAnsi="Times New Roman"/>
          <w:sz w:val="18"/>
          <w:szCs w:val="18"/>
          <w:color w:val="auto"/>
        </w:rPr>
        <w:t>The covenants set forth in this Section 3 shall terminate and be of no further force and effect upon the earlier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occur of: (x) the Company’s Initial Public Offering, and (y) the closing of an Acquisition.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66" w:right="459" w:bottom="1440" w:gutter="0" w:footer="0" w:header="0"/>
        </w:sectPr>
      </w:pPr>
    </w:p>
    <w:bookmarkStart w:id="360" w:name="page361"/>
    <w:bookmarkEnd w:id="36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4</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RIGHT OF FIRST REFUSAL</w:t>
      </w:r>
    </w:p>
    <w:p>
      <w:pPr>
        <w:spacing w:after="0" w:line="225"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4.1 Right of First Refusal to Significant Holders. </w:t>
      </w:r>
      <w:r>
        <w:rPr>
          <w:rFonts w:ascii="Times New Roman" w:cs="Times New Roman" w:eastAsia="Times New Roman" w:hAnsi="Times New Roman"/>
          <w:sz w:val="18"/>
          <w:szCs w:val="18"/>
          <w:color w:val="auto"/>
        </w:rPr>
        <w:t>The Company hereby grants to each Significant Holder and to each Licensor the right of first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refusal to purchase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New Securities (as defined in Section 4.1(a) below) which the Company may, from time to time, propose to sell and issue after the date of this Agreement.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for each Significant Holder and each Licensor, for purposes of this right of first refusal, is equal to the ratio of (a) the number of shares of Common Stock owned by such Significant Holder or Licensor immediately prior to the issuance of New Securities (assuming full conversion of the Shares and full conversion or exercise of all outstanding convertible securities, rights, options and warrants held by such Significant Holder or Licensor) to (b) the total number of shares of Common Stock outstanding immediately prior to the issuance of New Securities (assuming full conversion of the Shares and full conversion or exercise of all outstanding convertible securities, rights, options and warrants and including any shares of Common Stock reserved for issuance under the Company’s 2013 Equity Incentive Plan). Each Significant Holder and each Licensor shall have a right of over-allotment such that if any Significant Holder or Licensor fails to exercise its right hereunder to purchase its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New Securities, the other Significant Holders and other Licensors may purchase that portion of the non-purchasing Significant Holder or non-purchasing Licensor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This right of first refusal shall be subject to the following provisions:</w:t>
      </w:r>
    </w:p>
    <w:p>
      <w:pPr>
        <w:spacing w:after="0" w:line="182" w:lineRule="exact"/>
        <w:rPr>
          <w:sz w:val="20"/>
          <w:szCs w:val="20"/>
          <w:color w:val="auto"/>
        </w:rPr>
      </w:pPr>
    </w:p>
    <w:p>
      <w:pPr>
        <w:ind w:left="4" w:right="60" w:firstLine="987"/>
        <w:spacing w:after="0" w:line="256" w:lineRule="auto"/>
        <w:tabs>
          <w:tab w:leader="none" w:pos="124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New Securities</w:t>
      </w:r>
      <w:r>
        <w:rPr>
          <w:rFonts w:ascii="Times New Roman" w:cs="Times New Roman" w:eastAsia="Times New Roman" w:hAnsi="Times New Roman"/>
          <w:sz w:val="18"/>
          <w:szCs w:val="18"/>
          <w:color w:val="auto"/>
        </w:rPr>
        <w:t xml:space="preserve">” shall mean any capital stock (including Common Stock and/or Preferred Stock) of the Company whether now authorized or not, and rights, convertible securities, options or warrants to purchase such capital stock, and securities of any type whatsoever that are, or may become, exercisable or convertible into capital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term “</w:t>
      </w:r>
      <w:r>
        <w:rPr>
          <w:rFonts w:ascii="Times New Roman" w:cs="Times New Roman" w:eastAsia="Times New Roman" w:hAnsi="Times New Roman"/>
          <w:sz w:val="18"/>
          <w:szCs w:val="18"/>
          <w:b w:val="1"/>
          <w:bCs w:val="1"/>
          <w:i w:val="1"/>
          <w:iCs w:val="1"/>
          <w:color w:val="auto"/>
        </w:rPr>
        <w:t>New Securities</w:t>
      </w:r>
      <w:r>
        <w:rPr>
          <w:rFonts w:ascii="Times New Roman" w:cs="Times New Roman" w:eastAsia="Times New Roman" w:hAnsi="Times New Roman"/>
          <w:sz w:val="18"/>
          <w:szCs w:val="18"/>
          <w:color w:val="auto"/>
        </w:rPr>
        <w:t>” does not include any securities that are excluded from the definition of “Additional Shares of Common” pursuant to Article V, Section 4(d)(i) of the Company’s Amended and Restated Certificate, and provided further, that New Securities shall not include any securities of the Company that are excluded by the affirmative vote or consent of the holders in the aggregate of at least two-thirds (2/3) of the Common Stock held by, or issuable upon conversion of Preferred Stock, held by the Significant Holders and the Licensors voting as a single class and on an as converted to Common Stock basis.</w:t>
      </w:r>
    </w:p>
    <w:p>
      <w:pPr>
        <w:spacing w:after="0" w:line="186" w:lineRule="exact"/>
        <w:rPr>
          <w:rFonts w:ascii="Times New Roman" w:cs="Times New Roman" w:eastAsia="Times New Roman" w:hAnsi="Times New Roman"/>
          <w:sz w:val="18"/>
          <w:szCs w:val="18"/>
          <w:color w:val="auto"/>
        </w:rPr>
      </w:pPr>
    </w:p>
    <w:p>
      <w:pPr>
        <w:ind w:left="4" w:firstLine="987"/>
        <w:spacing w:after="0" w:line="274" w:lineRule="auto"/>
        <w:tabs>
          <w:tab w:leader="none" w:pos="1250" w:val="left"/>
        </w:tabs>
        <w:numPr>
          <w:ilvl w:val="1"/>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the Company proposes to undertake an issuance of New Securities, it shall give each Significant Holder and each Licensor, written notice of its intention, describing the type of New Securities, and their price and the general terms upon which the Company proposes to issue the same. Each Significant Holder and each Licensor shall have fourteen (14) days after any such notice is mailed or delivered to agree to purchase its </w:t>
      </w:r>
      <w:r>
        <w:rPr>
          <w:rFonts w:ascii="Times New Roman" w:cs="Times New Roman" w:eastAsia="Times New Roman" w:hAnsi="Times New Roman"/>
          <w:sz w:val="17"/>
          <w:szCs w:val="17"/>
          <w:i w:val="1"/>
          <w:iCs w:val="1"/>
          <w:color w:val="auto"/>
        </w:rPr>
        <w:t xml:space="preserve">pro rata </w:t>
      </w:r>
      <w:r>
        <w:rPr>
          <w:rFonts w:ascii="Times New Roman" w:cs="Times New Roman" w:eastAsia="Times New Roman" w:hAnsi="Times New Roman"/>
          <w:sz w:val="17"/>
          <w:szCs w:val="17"/>
          <w:color w:val="auto"/>
        </w:rPr>
        <w:t>share of such New Securities and to indicate whether such Significant Holder or Licensor desires to exercise its over-allotment option and, if so,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number of shares for which it desires to exercise its over-allotment option, for the price and upon the terms specified in the notice by giving written notice to the Company, in substantially the form attached as Schedule 1, and stating therein the quantity of New Securities to be purchased.</w:t>
      </w:r>
    </w:p>
    <w:p>
      <w:pPr>
        <w:spacing w:after="0" w:line="172" w:lineRule="exact"/>
        <w:rPr>
          <w:rFonts w:ascii="Times New Roman" w:cs="Times New Roman" w:eastAsia="Times New Roman" w:hAnsi="Times New Roman"/>
          <w:sz w:val="17"/>
          <w:szCs w:val="17"/>
          <w:color w:val="auto"/>
        </w:rPr>
      </w:pPr>
    </w:p>
    <w:p>
      <w:pPr>
        <w:ind w:left="1244" w:hanging="253"/>
        <w:spacing w:after="0"/>
        <w:tabs>
          <w:tab w:leader="none" w:pos="1244"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foregoing right of first refusal is not exercised in full by all Significant Holders and Licensors within the fourteen</w:t>
      </w:r>
    </w:p>
    <w:p>
      <w:pPr>
        <w:spacing w:after="0" w:line="27"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period described in Section 4.1(b)</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4"/>
          </w:cols>
          <w:pgMar w:left="436" w:top="266" w:right="459" w:bottom="1440" w:gutter="0" w:footer="0" w:header="0"/>
        </w:sectPr>
      </w:pPr>
    </w:p>
    <w:bookmarkStart w:id="361" w:name="page362"/>
    <w:bookmarkEnd w:id="361"/>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above, the Company shall promptly notify in writing all of such Holders who have elected to exercise their right of first refusal with respect to their respective full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shares and shall offer each such Holder the right to adjust the amount of New Securities it intends to purchase pursuant to its overallotment option (“</w:t>
      </w:r>
      <w:r>
        <w:rPr>
          <w:rFonts w:ascii="Times New Roman" w:cs="Times New Roman" w:eastAsia="Times New Roman" w:hAnsi="Times New Roman"/>
          <w:sz w:val="18"/>
          <w:szCs w:val="18"/>
          <w:b w:val="1"/>
          <w:bCs w:val="1"/>
          <w:i w:val="1"/>
          <w:iCs w:val="1"/>
          <w:color w:val="auto"/>
        </w:rPr>
        <w:t>Overallotment Shares</w:t>
      </w:r>
      <w:r>
        <w:rPr>
          <w:rFonts w:ascii="Times New Roman" w:cs="Times New Roman" w:eastAsia="Times New Roman" w:hAnsi="Times New Roman"/>
          <w:sz w:val="18"/>
          <w:szCs w:val="18"/>
          <w:color w:val="auto"/>
        </w:rPr>
        <w:t>”). Each such Holder shall have seven (7) days after receipt of such notice to notify the Company in writing that it confirms or is changing the amount of Overallotment Shares it desires to purchase, and if any such Holder fails to send such notice, then then such Holder shall be deemed to have confirmed the notice it sent pursuant to Section 4.1(b) hereof. If the exercise of all rights of over-allotment by such Holders results in a collective request by such Holders to purchase more shares than was made available for purchase to all Significant Holders and Licensors, collectively, Overallotment Shares shall be allocated to all such fully participating and electing Holders in a manner most consistent with the pro rata shares of such all such fully participating and electing Holders as determined in good faith by the board of directors of the Company.</w:t>
      </w:r>
    </w:p>
    <w:p>
      <w:pPr>
        <w:spacing w:after="0" w:line="192" w:lineRule="exact"/>
        <w:rPr>
          <w:sz w:val="20"/>
          <w:szCs w:val="20"/>
          <w:color w:val="auto"/>
        </w:rPr>
      </w:pPr>
    </w:p>
    <w:p>
      <w:pPr>
        <w:ind w:firstLine="987"/>
        <w:spacing w:after="0" w:line="254" w:lineRule="auto"/>
        <w:tabs>
          <w:tab w:leader="none" w:pos="124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Significant Holders and Licensors fail to exercise fully the right of first refusal and over allotment rights, if any, prior to the expiration of the fourteen (14) day and seven (7) day periods set forth in Sections 4.1(b) and (c) above (the “</w:t>
      </w:r>
      <w:r>
        <w:rPr>
          <w:rFonts w:ascii="Times New Roman" w:cs="Times New Roman" w:eastAsia="Times New Roman" w:hAnsi="Times New Roman"/>
          <w:sz w:val="18"/>
          <w:szCs w:val="18"/>
          <w:b w:val="1"/>
          <w:bCs w:val="1"/>
          <w:i w:val="1"/>
          <w:iCs w:val="1"/>
          <w:color w:val="auto"/>
        </w:rPr>
        <w:t>Election Period</w:t>
      </w:r>
      <w:r>
        <w:rPr>
          <w:rFonts w:ascii="Times New Roman" w:cs="Times New Roman" w:eastAsia="Times New Roman" w:hAnsi="Times New Roman"/>
          <w:sz w:val="18"/>
          <w:szCs w:val="18"/>
          <w:color w:val="auto"/>
        </w:rPr>
        <w:t>”), the Company shall have sixty (60) days thereafter to sell or enter into an agreement (pursuant to which the sale of New Securities covered thereby shall be closed, if at all, within thirty (30) days from the date of said agreement) to sell that portion of the New Securities with respect to which the right of first refusal option of the Significant Holders and Licensors set forth in this Section 4.1 was not exercised, at a price and upon terms no more favorable to the purchasers thereof than specified in the Company’s notice to the Significant Holders and Licensors delivered pursuant to Section 4.1(b). In the event the Company has not sold within such sixty (60) day period following the Election Period, or such thirty (30) day period following the date of said agreement, the Company shall not thereafter issue or sell any New Securities, without first again offering such securities to the Significant Holders and Licensors in the manner provided in this Section 4.1.</w:t>
      </w:r>
    </w:p>
    <w:p>
      <w:pPr>
        <w:spacing w:after="0" w:line="188" w:lineRule="exact"/>
        <w:rPr>
          <w:rFonts w:ascii="Times New Roman" w:cs="Times New Roman" w:eastAsia="Times New Roman" w:hAnsi="Times New Roman"/>
          <w:sz w:val="18"/>
          <w:szCs w:val="18"/>
          <w:color w:val="auto"/>
        </w:rPr>
      </w:pPr>
    </w:p>
    <w:p>
      <w:pPr>
        <w:ind w:right="80" w:firstLine="987"/>
        <w:spacing w:after="0" w:line="266" w:lineRule="auto"/>
        <w:tabs>
          <w:tab w:leader="none" w:pos="123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first refusal granted under this Agreement shall expire upon the earliest to occur of: (i) immediately prior to the closing of a Qualified IPO, as defined in the Amended and Restated Certificate; and (ii) the closing of an Acquisition. Notwithstanding anything else set forth above, a Holder shall be permitted to transfer rights granted pursuant to this Section 4 in any amount to its Affiliates.</w:t>
      </w:r>
    </w:p>
    <w:p>
      <w:pPr>
        <w:spacing w:after="0" w:line="175" w:lineRule="exact"/>
        <w:rPr>
          <w:rFonts w:ascii="Times New Roman" w:cs="Times New Roman" w:eastAsia="Times New Roman" w:hAnsi="Times New Roman"/>
          <w:sz w:val="18"/>
          <w:szCs w:val="18"/>
          <w:color w:val="auto"/>
        </w:rPr>
      </w:pPr>
    </w:p>
    <w:p>
      <w:pPr>
        <w:ind w:right="60" w:firstLine="987"/>
        <w:spacing w:after="0" w:line="256" w:lineRule="auto"/>
        <w:tabs>
          <w:tab w:leader="none" w:pos="1216"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Holder entitled to designate or participate in the designation of a director or that is the beneficial owner of 20% or more of the Company’s voting equity securities will not have a right of first refusal to purchase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New Securities in accordance with this Section 4 and will not be a Significant Holder for purposes of the right of first refusal granted under this Section 4 if, and for so long as, such Holder, any of its directors, executive officers, other officers that may serve as a director or officer of any company in which it invests, general partners or managing members or any person that would be deemed a beneficial owner of the securities of the Company held by the Holder (in accordance with Rule 506(d) of the Securities Act) is subject to any Bad Actor Disqualification, except as set forth in Rule 506(d)(2)(ii) or (iii) or (d)(3) under the Securities Act.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70" w:right="479" w:bottom="1440" w:gutter="0" w:footer="0" w:header="0"/>
        </w:sectPr>
      </w:pPr>
    </w:p>
    <w:bookmarkStart w:id="362" w:name="page363"/>
    <w:bookmarkEnd w:id="36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5"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b w:val="1"/>
          <w:bCs w:val="1"/>
          <w:color w:val="auto"/>
        </w:rPr>
        <w:t xml:space="preserve">5.1 Amendment. </w:t>
      </w:r>
      <w:r>
        <w:rPr>
          <w:rFonts w:ascii="Times New Roman" w:cs="Times New Roman" w:eastAsia="Times New Roman" w:hAnsi="Times New Roman"/>
          <w:sz w:val="18"/>
          <w:szCs w:val="18"/>
          <w:color w:val="auto"/>
        </w:rPr>
        <w:t>Except as expressly provided herein, neither this Agreement nor any term hereof may be amended, waived, discharged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terminated other than by a written instrument referencing this Agreement and signed by the Company and the Holders in the aggregate holding at least two-thirds (2/3) of the Common Stock issued or issuable upon conversion of Preferred Stock (excluding (i) any of such shares that have been sold to the public or pursuant to Rule 144, and (ii) with respect to Section 2 (other than Sections 2.8, 2.9 and 2.10), any of such shares held by any Holders whose rights to request registration or inclusion in any registration pursuant to Section 2 have terminated in accordance with Section 2.14);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Holders purchasing shares of Series D Preferred Stock in a Closing after the Initial Closing (each as defined in the Purchase Agreement) may become parties to this Agreement, by executing a counterpart of this Agreement without any amendment of this Agreement pursuant to this paragraph or any consent or approval of any other Holder;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if any amendment with respect to Section 4.1 operates in a manner that treats any Licensor adversely from and disproportionately to other Significant Holders, the consent of a majority in interest of the shares held by such Licensors shall also be required for such amendment;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if, after giving effect to a waiver of Section 4 with respect to a particular transaction, a Significant Holder purchases securities in such transaction or issuance (such Significant Holder, a “</w:t>
      </w:r>
      <w:r>
        <w:rPr>
          <w:rFonts w:ascii="Times New Roman" w:cs="Times New Roman" w:eastAsia="Times New Roman" w:hAnsi="Times New Roman"/>
          <w:sz w:val="18"/>
          <w:szCs w:val="18"/>
          <w:b w:val="1"/>
          <w:bCs w:val="1"/>
          <w:i w:val="1"/>
          <w:iCs w:val="1"/>
          <w:color w:val="auto"/>
        </w:rPr>
        <w:t>Participating Investor</w:t>
      </w:r>
      <w:r>
        <w:rPr>
          <w:rFonts w:ascii="Times New Roman" w:cs="Times New Roman" w:eastAsia="Times New Roman" w:hAnsi="Times New Roman"/>
          <w:sz w:val="18"/>
          <w:szCs w:val="18"/>
          <w:color w:val="auto"/>
        </w:rPr>
        <w:t>”), such waiver of the provisions of Section 4 shall be deemed to apply to each other Significant Holder who holds Series D Preferred Stock whose rights were waived or amended only if such Significant Holder who holds Series D Preferred Stock has been provided the opportunity to purchase a proportional number of the New Securities being offered by the Company in such transaction based on the pro rata purchase right of such Significant Holder set forth in Section 4, assuming a transaction size determined based upon the amount purchased by the Participating Investor that invested the largest percentage in such transaction relative to the amount such Participating Investor would have been entitled to purchase pursuant to the calculation of the pro rata right in Section 4 had such provision not been waived, it being agreed that such opportunity may be provided subsequent to the initial closing in which such Participating Investor(s) purchase securities. Notwithstanding the foregoing, (A) any amendment, waiver, discharge or termination of the definition of “Wellington Investors”, the last proviso of the preceding sentence, Section 5.2(d) and this sentence and (B) any amendment, waiver, discharge or termination of the definition of “Significant Holder” or Sections 2.8, 2.10, 3.1, 3.2, 3.9 or 4.1(f) that would adversely affect, or increase the obligations on, any Wellington Investor, shall require the written consent of the Wellington Investors. Any such amendment, waiver, discharge or termination effected in accordance with this paragraph shall be binding upon each Holder and each future holder of all such securities of Holder. For the avoidance of doubt, the addition to this Agreement of any new holder of shares of preferred stock of the Company (“</w:t>
      </w:r>
      <w:r>
        <w:rPr>
          <w:rFonts w:ascii="Times New Roman" w:cs="Times New Roman" w:eastAsia="Times New Roman" w:hAnsi="Times New Roman"/>
          <w:sz w:val="18"/>
          <w:szCs w:val="18"/>
          <w:b w:val="1"/>
          <w:bCs w:val="1"/>
          <w:i w:val="1"/>
          <w:iCs w:val="1"/>
          <w:color w:val="auto"/>
        </w:rPr>
        <w:t>Capital Stock</w:t>
      </w:r>
      <w:r>
        <w:rPr>
          <w:rFonts w:ascii="Times New Roman" w:cs="Times New Roman" w:eastAsia="Times New Roman" w:hAnsi="Times New Roman"/>
          <w:sz w:val="18"/>
          <w:szCs w:val="18"/>
          <w:color w:val="auto"/>
        </w:rPr>
        <w:t xml:space="preserve">”) pursuant to the Company’s issuance of such other Capital Stock regardless of whether such Capital Stock has rights, preferences or privileges that are junior,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senior to the Capital Stock then held by then current Investors as long as such other or additional shares of Capital Stock have been authorized and issued in accordance with the Company’s then current Amended and Restated Certificate and applicable law, and as long as the addition of such new holder of Capital Stock of the Company (or inclusion of such new shares of Capital Stock) has been approved</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6" w:right="459" w:bottom="1440" w:gutter="0" w:footer="0" w:header="0"/>
        </w:sectPr>
      </w:pPr>
    </w:p>
    <w:bookmarkStart w:id="363" w:name="page364"/>
    <w:bookmarkEnd w:id="363"/>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as may be required pursuant to Section 2.13 above, and any change to the consent or approval threshold of the holders of Preferred Shares voting together as a single class on an as converted to Common Stock basis or of Registrable Securities from two-thirds (2/3) to a different consent or approval threshold in connection with the issuance of such Capital Stock, shall not, in and of itself, be deemed to constitute an amendment or waiver that adversely affects any Licensor in a manner that is disproportionate to any other Significant Holder. Each Holder and Licensor acknowledges that by the operation of this paragraph, the holders in the aggregate of at least two-thirds (2/3) of the Common Stock issued or issuable upon conversion of Preferred Stock (excluding (i) any of such shares that have been sold to the public or pursuant to Rule 144, and (ii) with respect to Section 2 (other than Sections 2.8, 2.9 and 2.10), any of such shares held by any Holders whose rights to request registration or inclusion in any registration pursuant to Section 2 have terminated in accordance with Section 2.14) will have the right and power to diminish or eliminate all rights of such Holder and Licensors under this Agreement.</w:t>
      </w:r>
    </w:p>
    <w:p>
      <w:pPr>
        <w:spacing w:after="0" w:line="184"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5.2 Notices. </w:t>
      </w:r>
      <w:r>
        <w:rPr>
          <w:rFonts w:ascii="Times New Roman" w:cs="Times New Roman" w:eastAsia="Times New Roman" w:hAnsi="Times New Roman"/>
          <w:sz w:val="18"/>
          <w:szCs w:val="18"/>
          <w:color w:val="auto"/>
        </w:rPr>
        <w:t>All notices and other communications required or permitted hereunder shall be in writing and shall be mailed by registered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certified mail, postage prepaid, sent by facsimile or electronic mail (if to an Investor, Licensor or Holder) or otherwise delivered by hand, messenger or courier service addressed:</w:t>
      </w:r>
    </w:p>
    <w:p>
      <w:pPr>
        <w:spacing w:after="0" w:line="175" w:lineRule="exact"/>
        <w:rPr>
          <w:sz w:val="20"/>
          <w:szCs w:val="20"/>
          <w:color w:val="auto"/>
        </w:rPr>
      </w:pPr>
    </w:p>
    <w:p>
      <w:pPr>
        <w:ind w:right="120" w:firstLine="987"/>
        <w:spacing w:after="0" w:line="282" w:lineRule="auto"/>
        <w:tabs>
          <w:tab w:leader="none" w:pos="123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 Investor or Licensor, to such party’s address, facsimile number or electronic mail address as shown in the Company’s records, as may be updated in accordance with the provisions hereof;</w:t>
      </w:r>
    </w:p>
    <w:p>
      <w:pPr>
        <w:spacing w:after="0" w:line="161" w:lineRule="exact"/>
        <w:rPr>
          <w:rFonts w:ascii="Times New Roman" w:cs="Times New Roman" w:eastAsia="Times New Roman" w:hAnsi="Times New Roman"/>
          <w:sz w:val="18"/>
          <w:szCs w:val="18"/>
          <w:color w:val="auto"/>
        </w:rPr>
      </w:pPr>
    </w:p>
    <w:p>
      <w:pPr>
        <w:jc w:val="both"/>
        <w:ind w:right="220" w:firstLine="987"/>
        <w:spacing w:after="0" w:line="266" w:lineRule="auto"/>
        <w:tabs>
          <w:tab w:leader="none" w:pos="124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Holder, to such address, facsimile number or electronic mail address as shown in the Company’s records, or, until any such Holder so furnishes an address, facsimile number or electronic mail address to the Company, then to the address, facsimile number or electronic mail address of the last holder of such shares for which the Company has contact information in its records; or</w:t>
      </w:r>
    </w:p>
    <w:p>
      <w:pPr>
        <w:spacing w:after="0" w:line="175" w:lineRule="exact"/>
        <w:rPr>
          <w:rFonts w:ascii="Times New Roman" w:cs="Times New Roman" w:eastAsia="Times New Roman" w:hAnsi="Times New Roman"/>
          <w:sz w:val="18"/>
          <w:szCs w:val="18"/>
          <w:color w:val="auto"/>
        </w:rPr>
      </w:pPr>
    </w:p>
    <w:p>
      <w:pPr>
        <w:ind w:firstLine="987"/>
        <w:spacing w:after="0" w:line="289" w:lineRule="auto"/>
        <w:tabs>
          <w:tab w:leader="none" w:pos="1236" w:val="left"/>
        </w:tabs>
        <w:numPr>
          <w:ilvl w:val="0"/>
          <w:numId w:val="2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to the Company, to the attention of the Chief Executive Officer or Chief Financial Officer of the Company at Cedar Brook Corporate Center, 8 Clarke Drive, Cranbury, NJ 08512 or at such other current address as the Company shall have furnished to the Investors or Holders, with a copy (which shall not constitute notice) to Kenneth A. Clark, Wilson Sonsini Goodrich &amp; Rosati, P.C., 650 Page Mill Road, Palo Alto, CA 94304;</w:t>
      </w:r>
    </w:p>
    <w:p>
      <w:pPr>
        <w:spacing w:after="0" w:line="153" w:lineRule="exact"/>
        <w:rPr>
          <w:rFonts w:ascii="Times New Roman" w:cs="Times New Roman" w:eastAsia="Times New Roman" w:hAnsi="Times New Roman"/>
          <w:sz w:val="17"/>
          <w:szCs w:val="17"/>
          <w:color w:val="auto"/>
        </w:rPr>
      </w:pPr>
    </w:p>
    <w:p>
      <w:pPr>
        <w:ind w:right="40" w:firstLine="987"/>
        <w:spacing w:after="0" w:line="268" w:lineRule="auto"/>
        <w:tabs>
          <w:tab w:leader="none" w:pos="1246"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any notice to a Wellington Investor may </w:t>
      </w:r>
      <w:r>
        <w:rPr>
          <w:rFonts w:ascii="Times New Roman" w:cs="Times New Roman" w:eastAsia="Times New Roman" w:hAnsi="Times New Roman"/>
          <w:sz w:val="18"/>
          <w:szCs w:val="18"/>
          <w:b w:val="1"/>
          <w:bCs w:val="1"/>
          <w:i w:val="1"/>
          <w:iCs w:val="1"/>
          <w:u w:val="single" w:color="auto"/>
          <w:color w:val="auto"/>
        </w:rPr>
        <w:t>only</w:t>
      </w:r>
      <w:r>
        <w:rPr>
          <w:rFonts w:ascii="Times New Roman" w:cs="Times New Roman" w:eastAsia="Times New Roman" w:hAnsi="Times New Roman"/>
          <w:sz w:val="18"/>
          <w:szCs w:val="18"/>
          <w:color w:val="auto"/>
        </w:rPr>
        <w:t xml:space="preserve"> be sent to the address set forth on Exhibit A, or to such other email address, facsimile number, or address as subsequently modified by written notice given by such Wellington Investor in accordance with this Section 5.2.</w:t>
      </w:r>
    </w:p>
    <w:p>
      <w:pPr>
        <w:spacing w:after="0" w:line="17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Each such notice or other communication shall for all purposes of this Agreement be treated as effective or having been given (i) if delivered by hand, messenger or courier service, when delivered (or if sent via a nationally-recognized overnight courier service, freight prepaid, specifying next-business-day delivery, one business day after deposit with the courier), or (ii) if sent via mail, at the earlier of its receipt or five days after the same has been deposited in a regularly-maintained receptacle for the deposit of the United States mail, addressed and mailed as aforesaid, or (iii) if sent via facsimile,</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440" w:top="270" w:right="499" w:bottom="1440" w:gutter="0" w:footer="0" w:header="0"/>
        </w:sectPr>
      </w:pPr>
    </w:p>
    <w:bookmarkStart w:id="364" w:name="page365"/>
    <w:bookmarkEnd w:id="364"/>
    <w:p>
      <w:pPr>
        <w:ind w:right="2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confirmation of facsimile transfer or, if sent via electronic mail, upon confirmation of delivery when directed to the relevant electronic mail address, if sent during normal business hours of the recipient, or if not sent during normal business hours of the recipient, then on the recipient’s next business day. In the event of any conflict between the Company’s books and records and this Agreement or any notice delivered hereunder, the Company’s books and records will control absent fraud or error.</w:t>
      </w:r>
    </w:p>
    <w:p>
      <w:pPr>
        <w:spacing w:after="0" w:line="180"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Subject to the limitations set forth in Delaware General Corporation Law §232(e), each Investor, Licensor and Holder consents to the delivery of any notice to stockholders given by the Company under the Delaware General Corporation Law or the Company’s certificate of incorporation or bylaws by (i) facsimile telecommunication to the facsimile number set forth on Exhibit A or Exhibit B (or to any other facsimile number for the Investor, Licensor or Holder in the Company’s records), (ii) electronic mail to the electronic mail address set forth on Exhibit A or Exhibit B (or to any other electronic mail address for the Investor, Licensor or Holder in the Company’s records), (iii) posting on an electronic network together with separate notice to the Investor, Licensor or Holder of such specific posting or (iv) any other form of electronic transmission (as defined in the Delaware General Corporation Law) directed to the Investor, Licensor or Holder. This consent may be revoked by an Investor, Licensor or Holder by written notice to the Company and may be deemed revoked in the circumstances specified in Delaware General Corporation Law §232.</w:t>
      </w:r>
    </w:p>
    <w:p>
      <w:pPr>
        <w:spacing w:after="0" w:line="188"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5.3 Governing Law, Jurisdiction and Venue. </w:t>
      </w:r>
      <w:r>
        <w:rPr>
          <w:rFonts w:ascii="Times New Roman" w:cs="Times New Roman" w:eastAsia="Times New Roman" w:hAnsi="Times New Roman"/>
          <w:sz w:val="18"/>
          <w:szCs w:val="18"/>
          <w:color w:val="auto"/>
        </w:rPr>
        <w:t>This Agreement will be construed and enforced in accordance with the substantive laws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 of Delaware without reference to principles of conflicts of law. EACH PARTY HERETO HEREBY IRREVOCABLY SUBMITS TO THE EXCLUSIVE JURISDICTION OF ANY STATE OR FEDERAL COURT SITTING IN DELAWARE, IN ANY PROCEEDING ARISING OUT OF OR RELATING TO THIS AGREEMENT AND TO THE RESPECTIVE COURT TO WHICH AN APPEAL OF THE DECISIONS OF ANY SUCH COURT MAY BE TAKEN, AND EACH PARTY AGREES NOT TO COMMENCE, OR COOPERATE IN OR ENCOURAGE THE COMMENCEMENT OF, ANY SUCH PROCEEDING, EXCEPT IN PROCEEDING WILL BE CONCLUSIVE AND MAY BE ENFORCED IN ANY JURISDICTION BY SUIT IN SUCH A COURT. EACH PARTY HEREBY IRREVOCABLY WAIVES, TO THE FULLEST EXTENT IT MAY DO SO, THE DEFENSE OF AN INCONVENIENT FORUM TO THE MAINTENANCE THEREIN OF SUCH A PROCEEDING.</w:t>
      </w:r>
    </w:p>
    <w:p>
      <w:pPr>
        <w:spacing w:after="0" w:line="18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5.4 Successors and Assigns. </w:t>
      </w:r>
      <w:r>
        <w:rPr>
          <w:rFonts w:ascii="Times New Roman" w:cs="Times New Roman" w:eastAsia="Times New Roman" w:hAnsi="Times New Roman"/>
          <w:sz w:val="18"/>
          <w:szCs w:val="18"/>
          <w:color w:val="auto"/>
        </w:rPr>
        <w:t>This Agreement, and any and all rights, duties and obligations hereunder, shall not be assigned, transferred,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delegated or sublicensed by any Investor (except by any Investor to any of its Affiliates subject to the agreement by such Affiliate(s) to be bound by this Agreement as Investor(s)) or Licensor without the prior written consent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transfer by an Investor of any rights, duties and obligations hereunder to an assignee or transferee who acquires at least 300,000 shares of Registrable Securities (as adjusted for any stock combination, stock split, stock dividend, recapitalization or other similar transaction) and that complies with the provisions of Sections 2.8 and 2.12 of this Agreement shall not require prior consent of the Company;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upon not less than ten (10) business days’ prior notice to the Company and subject to the agreement by Osage University Partners (“</w:t>
      </w:r>
      <w:r>
        <w:rPr>
          <w:rFonts w:ascii="Times New Roman" w:cs="Times New Roman" w:eastAsia="Times New Roman" w:hAnsi="Times New Roman"/>
          <w:sz w:val="18"/>
          <w:szCs w:val="18"/>
          <w:b w:val="1"/>
          <w:bCs w:val="1"/>
          <w:i w:val="1"/>
          <w:iCs w:val="1"/>
          <w:color w:val="auto"/>
        </w:rPr>
        <w:t>Osage</w:t>
      </w:r>
      <w:r>
        <w:rPr>
          <w:rFonts w:ascii="Times New Roman" w:cs="Times New Roman" w:eastAsia="Times New Roman" w:hAnsi="Times New Roman"/>
          <w:sz w:val="18"/>
          <w:szCs w:val="18"/>
          <w:color w:val="auto"/>
        </w:rPr>
        <w:t>”) to be bound by this Agreement as a Licensor and the provision of evidence as may be reasonably requested by the Company evidencing Osage’s status as an “accredited investor” as defined in Rule 501 promulgated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0"/>
          </w:cols>
          <w:pgMar w:left="440" w:top="270" w:right="459" w:bottom="1440" w:gutter="0" w:footer="0" w:header="0"/>
        </w:sectPr>
      </w:pPr>
    </w:p>
    <w:bookmarkStart w:id="365" w:name="page366"/>
    <w:bookmarkEnd w:id="36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under the Securities Act, Rutgers, The State University of New Jersey may assign and transfer to Osage the Company’s right of first refusal as a Licensor under Section 4, without any further right of assignment or transfer on the part of Osage. Any attempt by an Investor or Licensor to assign, transfer, delegate or sublicense any rights, duties or obligations that arise under this Agreement other than in accordance with the immediately preceding sentence shall be void. Subject to the foregoing and except as otherwise provided herein, the provisions of this Agreement shall inure to the benefit of, and be binding upon, the successors, assigns, heirs, executors and administrators of the parties hereto.</w:t>
      </w:r>
    </w:p>
    <w:p>
      <w:pPr>
        <w:spacing w:after="0" w:line="179"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5.5 Entire Agreement. </w:t>
      </w:r>
      <w:r>
        <w:rPr>
          <w:rFonts w:ascii="Times New Roman" w:cs="Times New Roman" w:eastAsia="Times New Roman" w:hAnsi="Times New Roman"/>
          <w:sz w:val="18"/>
          <w:szCs w:val="18"/>
          <w:color w:val="auto"/>
        </w:rPr>
        <w:t>This Agreement and the exhibits hereto constitute the full and entire understanding and agreement between the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regard to the subjects hereof. No party hereto shall be liable or bound to any other party in any manner with regard to the subjects hereof or thereof by any warranties, representations or covenants except as specifically set forth herein.</w:t>
      </w:r>
    </w:p>
    <w:p>
      <w:pPr>
        <w:spacing w:after="0" w:line="171"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5.6 Delays or Omissions. </w:t>
      </w:r>
      <w:r>
        <w:rPr>
          <w:rFonts w:ascii="Times New Roman" w:cs="Times New Roman" w:eastAsia="Times New Roman" w:hAnsi="Times New Roman"/>
          <w:sz w:val="18"/>
          <w:szCs w:val="18"/>
          <w:color w:val="auto"/>
        </w:rPr>
        <w:t>Except as expressly provided herein, no delay or omission to exercise any right, power or remedy accruing to any party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this Agreement upon any breach or default of any other party under this Agreement shall impair any such right, power or remedy of such non-defaulting party, nor shall it be construed to be a waiver of any such breach or default, or an acquiescence therein, or of or in any similar breach or default thereafter occurring, nor shall any waiver of any single breach or default be deemed a waiver of any other breach or default theretofore or thereafter occurring. Any waiver, permit, consent or approval of any kind or character on the part of any party of any breach or default under this Agreement, or any waiver on the part of any party of any provisions or conditions of this Agreement, must be in writing and shall be effective only to the extent specifically set forth in such writing. All remedies, either under this Agreement or by law or otherwise afforded to any party to this Agreement, shall be cumulative and not alternative.</w:t>
      </w:r>
    </w:p>
    <w:p>
      <w:pPr>
        <w:spacing w:after="0" w:line="185"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5.7 Severability. </w:t>
      </w:r>
      <w:r>
        <w:rPr>
          <w:rFonts w:ascii="Times New Roman" w:cs="Times New Roman" w:eastAsia="Times New Roman" w:hAnsi="Times New Roman"/>
          <w:sz w:val="18"/>
          <w:szCs w:val="18"/>
          <w:color w:val="auto"/>
        </w:rPr>
        <w:t>If any provision of this Agreement becomes or is declared by a court of competent jurisdiction to be illegal, unenforceable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void, portions of such provision, or such provision in its entirety, to the extent necessary, shall be severed from this Agreement, and such court will replace such illegal, void or unenforceable provision of this Agreement with a valid and enforceable provision that will achieve, to the extent possible, the same economic, business and other purposes of the illegal, void or unenforceable provision. The balance of this Agreement shall be enforceable in accordance with its terms.</w:t>
      </w:r>
    </w:p>
    <w:p>
      <w:pPr>
        <w:spacing w:after="0" w:line="179" w:lineRule="exact"/>
        <w:rPr>
          <w:sz w:val="20"/>
          <w:szCs w:val="20"/>
          <w:color w:val="auto"/>
        </w:rPr>
      </w:pPr>
    </w:p>
    <w:p>
      <w:pPr>
        <w:jc w:val="both"/>
        <w:ind w:right="12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5.8 Titles and Subtitles. </w:t>
      </w:r>
      <w:r>
        <w:rPr>
          <w:rFonts w:ascii="Times New Roman" w:cs="Times New Roman" w:eastAsia="Times New Roman" w:hAnsi="Times New Roman"/>
          <w:sz w:val="18"/>
          <w:szCs w:val="18"/>
          <w:color w:val="auto"/>
        </w:rPr>
        <w:t>The titles and subtitles used in this Agreement are used for convenience only and are not to be considered in construing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interpreting this Agreement. All references in this Agreement to sections, paragraphs and exhibits shall, unless otherwise provided, refer to sections and paragraphs hereof and exhibits attached hereto.</w:t>
      </w:r>
    </w:p>
    <w:p>
      <w:pPr>
        <w:spacing w:after="0" w:line="171"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5.9 Counterparts. </w:t>
      </w:r>
      <w:r>
        <w:rPr>
          <w:rFonts w:ascii="Times New Roman" w:cs="Times New Roman" w:eastAsia="Times New Roman" w:hAnsi="Times New Roman"/>
          <w:sz w:val="18"/>
          <w:szCs w:val="18"/>
          <w:color w:val="auto"/>
        </w:rPr>
        <w:t>This Agreement may be executed in any number of counterparts, each of which shall be enforceable against the parties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execute such counterparts, and all of which together shall constitute one instrument.</w:t>
      </w:r>
    </w:p>
    <w:p>
      <w:pPr>
        <w:spacing w:after="0" w:line="155" w:lineRule="exact"/>
        <w:rPr>
          <w:sz w:val="20"/>
          <w:szCs w:val="20"/>
          <w:color w:val="auto"/>
        </w:rPr>
      </w:pPr>
    </w:p>
    <w:p>
      <w:pPr>
        <w:ind w:right="2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5.10 Telecopy Execution and Delivery. </w:t>
      </w:r>
      <w:r>
        <w:rPr>
          <w:rFonts w:ascii="Times New Roman" w:cs="Times New Roman" w:eastAsia="Times New Roman" w:hAnsi="Times New Roman"/>
          <w:sz w:val="18"/>
          <w:szCs w:val="18"/>
          <w:color w:val="auto"/>
        </w:rPr>
        <w:t>A facsimile, telecopy or other reproduction of this Agreement may be executed by one or more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hereto and delivered by such party by facsimile or any similar electronic transmission device pursuant to which the signature of or on behalf of such party can be seen. Such execution and delivery shall be considered valid, binding and effective for all purposes. At the request of any party hereto, all parties hereto agree to execute and deliver an original of this Agreement as well as any facsimile, telecopy or other reproduction hereof.</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70" w:right="479" w:bottom="1440" w:gutter="0" w:footer="0" w:header="0"/>
        </w:sectPr>
      </w:pPr>
    </w:p>
    <w:bookmarkStart w:id="366" w:name="page367"/>
    <w:bookmarkEnd w:id="366"/>
    <w:p>
      <w:pPr>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5.11 Further Assurances. </w:t>
      </w:r>
      <w:r>
        <w:rPr>
          <w:rFonts w:ascii="Times New Roman" w:cs="Times New Roman" w:eastAsia="Times New Roman" w:hAnsi="Times New Roman"/>
          <w:sz w:val="18"/>
          <w:szCs w:val="18"/>
          <w:color w:val="auto"/>
        </w:rPr>
        <w:t>Each party hereto agrees to execute and deliver, by the proper exercise of its corporate, limited liability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partnership or other powers, all such other and additional instruments and documents and do all such other acts and things as may be necessary to more fully effectuate this Agreement.</w:t>
      </w:r>
    </w:p>
    <w:p>
      <w:pPr>
        <w:spacing w:after="0" w:line="171"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5.12 Conflict. </w:t>
      </w:r>
      <w:r>
        <w:rPr>
          <w:rFonts w:ascii="Times New Roman" w:cs="Times New Roman" w:eastAsia="Times New Roman" w:hAnsi="Times New Roman"/>
          <w:sz w:val="18"/>
          <w:szCs w:val="18"/>
          <w:color w:val="auto"/>
        </w:rPr>
        <w:t>In the event of any conflict between the terms of this Agreement and the Company’s certificate of incorporation or its bylaws,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terms of the Company’s certificate of incorporation or its bylaws, as the case may be, will control.</w:t>
      </w:r>
    </w:p>
    <w:p>
      <w:pPr>
        <w:spacing w:after="0" w:line="15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5.13 Attorneys’ Fees. </w:t>
      </w:r>
      <w:r>
        <w:rPr>
          <w:rFonts w:ascii="Times New Roman" w:cs="Times New Roman" w:eastAsia="Times New Roman" w:hAnsi="Times New Roman"/>
          <w:sz w:val="18"/>
          <w:szCs w:val="18"/>
          <w:color w:val="auto"/>
        </w:rPr>
        <w:t>In the event that any suit or action is instituted to enforce any provision in this Agreement, the prevailing party in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dispute shall be entitled to recover from the losing party all fees, costs and expenses of enforcing any right of such prevailing party under or with respect to this Agreement, including without limitation, such reasonable fees and expenses of attorneys and accountants, which shall include, without limitation, all fees, costs and expenses of appeals.</w:t>
      </w:r>
    </w:p>
    <w:p>
      <w:pPr>
        <w:spacing w:after="0" w:line="176" w:lineRule="exact"/>
        <w:rPr>
          <w:sz w:val="20"/>
          <w:szCs w:val="20"/>
          <w:color w:val="auto"/>
        </w:rPr>
      </w:pPr>
    </w:p>
    <w:p>
      <w:pPr>
        <w:jc w:val="both"/>
        <w:ind w:right="2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5.14 Aggregation of Stock. </w:t>
      </w:r>
      <w:r>
        <w:rPr>
          <w:rFonts w:ascii="Times New Roman" w:cs="Times New Roman" w:eastAsia="Times New Roman" w:hAnsi="Times New Roman"/>
          <w:sz w:val="18"/>
          <w:szCs w:val="18"/>
          <w:color w:val="auto"/>
        </w:rPr>
        <w:t>All shares of Company equity held or acquired by a Holder and/or its Affiliates shall be aggregated together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 of determining the availability of any rights and any obligations under this Agreement, and such affiliated persons may apportion such rights and obligations as among themselves in any manner they deem appropriate.</w:t>
      </w:r>
    </w:p>
    <w:p>
      <w:pPr>
        <w:spacing w:after="0" w:line="171"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5.15 Jury Trial. EACH PARTY HERETO AND ANY OTHER PERSON CLAIMING ANY RIGHTS HEREUNDER, HEREBY IRREVOCABLY WAIVES ALL RIGHT TO TRIAL BY JURY IN ANY ACTION, PROCEEDING OR COUNTERCLAIM (WHETHER BASED ON CONTRACT, TORT OR OTHERWISE) ARISING OUT OF OR RELATING TO THIS AGREEMENT OR THE ACTIONS OF ANY PARTY HERETO IN THE NEGOTIATION, ADMINISTRATION, PERFORMANCE AND ENFORCEMENT HEREOF</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5.16 Amendment and Restatement of Prior Agreement. </w:t>
      </w:r>
      <w:r>
        <w:rPr>
          <w:rFonts w:ascii="Times New Roman" w:cs="Times New Roman" w:eastAsia="Times New Roman" w:hAnsi="Times New Roman"/>
          <w:sz w:val="18"/>
          <w:szCs w:val="18"/>
          <w:color w:val="auto"/>
        </w:rPr>
        <w:t>The Prior Agreement is hereby amended in its entirety and restated herein. 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of, rights granted and covenants made in the Prior Agreement are hereby waived, released and superseded in their entirety and shall have no further force or effect.</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66" w:right="479" w:bottom="1440" w:gutter="0" w:footer="0" w:header="0"/>
        </w:sectPr>
      </w:pPr>
    </w:p>
    <w:bookmarkStart w:id="367" w:name="page368"/>
    <w:bookmarkEnd w:id="36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are signing this Amended and Restated Investors’ Rights Agreement as of the date stated in the introductory clause.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 Delaware corporation</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David H. Mack,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2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David H. Mack, Ph.D.</w:t>
      </w:r>
    </w:p>
    <w:p>
      <w:pPr>
        <w:spacing w:after="0" w:line="117"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ectPr>
          <w:pgSz w:w="11900" w:h="16838" w:orient="portrait"/>
          <w:cols w:equalWidth="0" w:num="1">
            <w:col w:w="9579"/>
          </w:cols>
          <w:pgMar w:left="880" w:top="270" w:right="1440" w:bottom="1440" w:gutter="0" w:footer="0" w:header="0"/>
        </w:sectPr>
      </w:pPr>
    </w:p>
    <w:bookmarkStart w:id="368" w:name="page369"/>
    <w:bookmarkEnd w:id="36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are signing this Amended and Restated Investors’ Rights Agreement as of the date stated in the introductory clause.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PURCHASER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WELLINGTON BIOMEDICAL</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INNOVATION MASTER INVESTORS</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(CAYMAN) I L.P.</w:t>
      </w:r>
    </w:p>
    <w:p>
      <w:pPr>
        <w:spacing w:after="0" w:line="207" w:lineRule="exact"/>
        <w:rPr>
          <w:sz w:val="20"/>
          <w:szCs w:val="20"/>
          <w:color w:val="auto"/>
        </w:rPr>
      </w:pPr>
    </w:p>
    <w:p>
      <w:pPr>
        <w:jc w:val="center"/>
        <w:ind w:left="5320"/>
        <w:spacing w:after="0"/>
        <w:tabs>
          <w:tab w:leader="none" w:pos="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Wellington Management Company</w:t>
      </w:r>
    </w:p>
    <w:p>
      <w:pPr>
        <w:spacing w:after="0" w:line="27" w:lineRule="exact"/>
        <w:rPr>
          <w:sz w:val="20"/>
          <w:szCs w:val="20"/>
          <w:color w:val="auto"/>
        </w:rPr>
      </w:pPr>
    </w:p>
    <w:p>
      <w:pPr>
        <w:jc w:val="center"/>
        <w:ind w:left="5300"/>
        <w:spacing w:after="0"/>
        <w:rPr>
          <w:sz w:val="20"/>
          <w:szCs w:val="20"/>
          <w:color w:val="auto"/>
        </w:rPr>
      </w:pPr>
      <w:r>
        <w:rPr>
          <w:rFonts w:ascii="Times New Roman" w:cs="Times New Roman" w:eastAsia="Times New Roman" w:hAnsi="Times New Roman"/>
          <w:sz w:val="18"/>
          <w:szCs w:val="18"/>
          <w:color w:val="auto"/>
        </w:rPr>
        <w:t>LLP, as investment adviser</w:t>
      </w:r>
    </w:p>
    <w:p>
      <w:pPr>
        <w:spacing w:after="0" w:line="220"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N. McIsaac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17145</wp:posOffset>
            </wp:positionV>
            <wp:extent cx="242570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Peter N. McIsaac</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Managing Director &amp; Counsel</w:t>
      </w:r>
    </w:p>
    <w:p>
      <w:pPr>
        <w:sectPr>
          <w:pgSz w:w="11900" w:h="16838" w:orient="portrait"/>
          <w:cols w:equalWidth="0" w:num="1">
            <w:col w:w="9579"/>
          </w:cols>
          <w:pgMar w:left="880" w:top="270" w:right="1440" w:bottom="1440" w:gutter="0" w:footer="0" w:header="0"/>
        </w:sectPr>
      </w:pPr>
    </w:p>
    <w:bookmarkStart w:id="369" w:name="page370"/>
    <w:bookmarkEnd w:id="36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are signing this Amended and Restated Investors’ Rights Agreement as of the date stated in the introductory clause.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BOXER CAPITAL, LLC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Aaron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319"/>
        <w:spacing w:after="0"/>
        <w:rPr>
          <w:sz w:val="20"/>
          <w:szCs w:val="20"/>
          <w:color w:val="auto"/>
        </w:rPr>
      </w:pPr>
      <w:r>
        <w:rPr>
          <w:rFonts w:ascii="Times New Roman" w:cs="Times New Roman" w:eastAsia="Times New Roman" w:hAnsi="Times New Roman"/>
          <w:sz w:val="18"/>
          <w:szCs w:val="18"/>
          <w:color w:val="auto"/>
        </w:rPr>
        <w:t>Aaron Davis, Chief Executive Officer</w:t>
      </w:r>
    </w:p>
    <w:p>
      <w:pPr>
        <w:sectPr>
          <w:pgSz w:w="11900" w:h="16838" w:orient="portrait"/>
          <w:cols w:equalWidth="0" w:num="1">
            <w:col w:w="9579"/>
          </w:cols>
          <w:pgMar w:left="880" w:top="270" w:right="1440" w:bottom="1440" w:gutter="0" w:footer="0" w:header="0"/>
        </w:sectPr>
      </w:pPr>
    </w:p>
    <w:bookmarkStart w:id="370" w:name="page371"/>
    <w:bookmarkEnd w:id="37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are signing this Amended and Restated Investors’ Rights Agreement as of the date stated in the introductory clause.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PURCHASER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AVORO LIFE SCIENCES FUND LLC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Scott Epstein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8"/>
          <w:szCs w:val="18"/>
          <w:color w:val="auto"/>
        </w:rPr>
        <w:t>Scott Epstein, Partner, Chief Financial</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Officer and Chief Compliance Officer</w:t>
      </w:r>
    </w:p>
    <w:p>
      <w:pPr>
        <w:sectPr>
          <w:pgSz w:w="11900" w:h="16838" w:orient="portrait"/>
          <w:cols w:equalWidth="0" w:num="1">
            <w:col w:w="9579"/>
          </w:cols>
          <w:pgMar w:left="880" w:top="270" w:right="1440" w:bottom="1440" w:gutter="0" w:footer="0" w:header="0"/>
        </w:sectPr>
      </w:pPr>
    </w:p>
    <w:bookmarkStart w:id="371" w:name="page372"/>
    <w:bookmarkEnd w:id="37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are signing this Amended and Restated Investors’ Rights Agreement as of the date stated in the introductory clause.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PURCHASER</w:t>
      </w:r>
    </w:p>
    <w:p>
      <w:pPr>
        <w:spacing w:after="0" w:line="11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BLACKWELL PARTNERS LLC – SERIES A</w:t>
      </w:r>
    </w:p>
    <w:p>
      <w:pPr>
        <w:sectPr>
          <w:pgSz w:w="11900" w:h="16838" w:orient="portrait"/>
          <w:cols w:equalWidth="0" w:num="1">
            <w:col w:w="9580"/>
          </w:cols>
          <w:pgMar w:left="880" w:top="270" w:right="1439" w:bottom="1440" w:gutter="0" w:footer="0" w:header="0"/>
        </w:sectPr>
      </w:pP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Printed Name:</w:t>
      </w:r>
    </w:p>
    <w:p>
      <w:pPr>
        <w:spacing w:after="0" w:line="200" w:lineRule="exact"/>
        <w:rPr>
          <w:sz w:val="20"/>
          <w:szCs w:val="20"/>
          <w:color w:val="auto"/>
        </w:rPr>
      </w:pPr>
    </w:p>
    <w:p>
      <w:pPr>
        <w:spacing w:after="0" w:line="23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Printed Name:</w:t>
      </w:r>
    </w:p>
    <w:p>
      <w:pPr>
        <w:spacing w:after="0" w:line="200" w:lineRule="exact"/>
        <w:rPr>
          <w:sz w:val="20"/>
          <w:szCs w:val="20"/>
          <w:color w:val="auto"/>
        </w:rPr>
      </w:pPr>
    </w:p>
    <w:p>
      <w:pPr>
        <w:spacing w:after="0" w:line="23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Abayomi A. Adigun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200596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16" w:lineRule="exact"/>
        <w:rPr>
          <w:sz w:val="20"/>
          <w:szCs w:val="20"/>
          <w:color w:val="auto"/>
        </w:rPr>
      </w:pPr>
    </w:p>
    <w:p>
      <w:pPr>
        <w:ind w:right="680"/>
        <w:spacing w:after="0" w:line="281" w:lineRule="auto"/>
        <w:rPr>
          <w:sz w:val="20"/>
          <w:szCs w:val="20"/>
          <w:color w:val="auto"/>
        </w:rPr>
      </w:pPr>
      <w:r>
        <w:rPr>
          <w:rFonts w:ascii="Times New Roman" w:cs="Times New Roman" w:eastAsia="Times New Roman" w:hAnsi="Times New Roman"/>
          <w:sz w:val="17"/>
          <w:szCs w:val="17"/>
          <w:color w:val="auto"/>
        </w:rPr>
        <w:t>Abayomi A. Adigun Investment Manager DUMAC, Inc. Authorized Agent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Jannine M. Lall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17145</wp:posOffset>
            </wp:positionV>
            <wp:extent cx="200596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Jannine M. Lall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Head of Finance &amp; Controller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DUMAC,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Authorized Agent</w:t>
      </w:r>
    </w:p>
    <w:p>
      <w:pPr>
        <w:sectPr>
          <w:pgSz w:w="11900" w:h="16838" w:orient="portrait"/>
          <w:cols w:equalWidth="0" w:num="2">
            <w:col w:w="7220" w:space="200"/>
            <w:col w:w="2160"/>
          </w:cols>
          <w:pgMar w:left="880" w:top="270" w:right="1439" w:bottom="1440" w:gutter="0" w:footer="0" w:header="0"/>
          <w:type w:val="continuous"/>
        </w:sectPr>
      </w:pPr>
    </w:p>
    <w:bookmarkStart w:id="372" w:name="page373"/>
    <w:bookmarkEnd w:id="37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are signing this Amended and Restated Investors’ Rights Agreement as of the date stated in the introductory clause.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PURCHASER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RA CAPITAL NEXUS FUND, L.P.</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RA Capital Nexus Fund GP, LLC, its</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4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Rajeev Shah</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Rajeev Shah</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ectPr>
          <w:pgSz w:w="11900" w:h="16838" w:orient="portrait"/>
          <w:cols w:equalWidth="0" w:num="1">
            <w:col w:w="10580"/>
          </w:cols>
          <w:pgMar w:left="880" w:top="270" w:right="439" w:bottom="1440" w:gutter="0" w:footer="0" w:header="0"/>
        </w:sectPr>
      </w:pPr>
    </w:p>
    <w:bookmarkStart w:id="373" w:name="page374"/>
    <w:bookmarkEnd w:id="37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are signing this Amended and Restated Investors’ Rights Agreement as of the date stated in the introductory clause.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PURCHASER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RA CAPITAL HEALTHCARE FUND, L.P.</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RA Capital Healthcare Fund GP, LLC,</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its General Partner</w:t>
            </w:r>
          </w:p>
        </w:tc>
      </w:tr>
      <w:tr>
        <w:trPr>
          <w:trHeight w:val="44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Rajeev Shah</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Rajeev Shah</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bl>
    <w:p>
      <w:pPr>
        <w:sectPr>
          <w:pgSz w:w="11900" w:h="16838" w:orient="portrait"/>
          <w:cols w:equalWidth="0" w:num="1">
            <w:col w:w="10580"/>
          </w:cols>
          <w:pgMar w:left="880" w:top="270" w:right="439" w:bottom="1440" w:gutter="0" w:footer="0" w:header="0"/>
        </w:sectPr>
      </w:pPr>
    </w:p>
    <w:bookmarkStart w:id="374" w:name="page375"/>
    <w:bookmarkEnd w:id="37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are signing this Amended and Restated Investors’ Rights Agreement as of the date stated in the introductory clause.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PURCHASER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THE BIOTECH GROWTH TRUST PLC</w:t>
      </w:r>
    </w:p>
    <w:p>
      <w:pPr>
        <w:spacing w:after="0" w:line="225" w:lineRule="exact"/>
        <w:rPr>
          <w:sz w:val="20"/>
          <w:szCs w:val="20"/>
          <w:color w:val="auto"/>
        </w:rPr>
      </w:pPr>
    </w:p>
    <w:tbl>
      <w:tblPr>
        <w:tblLayout w:type="fixed"/>
        <w:tblInd w:w="618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OrbiMed Capital LLC, solely in its</w:t>
            </w:r>
          </w:p>
        </w:tc>
      </w:tr>
      <w:tr>
        <w:trPr>
          <w:trHeight w:val="234"/>
        </w:trPr>
        <w:tc>
          <w:tcPr>
            <w:tcW w:w="580" w:type="dxa"/>
            <w:vAlign w:val="bottom"/>
          </w:tcPr>
          <w:p>
            <w:pPr>
              <w:spacing w:after="0"/>
              <w:rPr>
                <w:sz w:val="20"/>
                <w:szCs w:val="20"/>
                <w:color w:val="auto"/>
              </w:rPr>
            </w:pP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Capacity as Portfolio Manager</w:t>
            </w:r>
          </w:p>
        </w:tc>
      </w:tr>
      <w:tr>
        <w:trPr>
          <w:trHeight w:val="445"/>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Geoffrey Hsu</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Geoffrey Hsu</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Member</w:t>
            </w:r>
          </w:p>
        </w:tc>
      </w:tr>
    </w:tbl>
    <w:p>
      <w:pPr>
        <w:sectPr>
          <w:pgSz w:w="11900" w:h="16838" w:orient="portrait"/>
          <w:cols w:equalWidth="0" w:num="1">
            <w:col w:w="10580"/>
          </w:cols>
          <w:pgMar w:left="880" w:top="270" w:right="439" w:bottom="1440" w:gutter="0" w:footer="0" w:header="0"/>
        </w:sectPr>
      </w:pPr>
    </w:p>
    <w:bookmarkStart w:id="375" w:name="page376"/>
    <w:bookmarkEnd w:id="37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are signing this Amended and Restated Investors’ Rights Agreement as of the date stated in the introductory clause.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PURCHASER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ORBIMED GENESIS MASTER FUND,</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L.P.</w:t>
      </w:r>
    </w:p>
    <w:p>
      <w:pPr>
        <w:spacing w:after="0" w:line="207" w:lineRule="exact"/>
        <w:rPr>
          <w:sz w:val="20"/>
          <w:szCs w:val="20"/>
          <w:color w:val="auto"/>
        </w:rPr>
      </w:pPr>
    </w:p>
    <w:p>
      <w:pPr>
        <w:jc w:val="right"/>
        <w:ind w:right="199"/>
        <w:spacing w:after="0"/>
        <w:tabs>
          <w:tab w:leader="none" w:pos="27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OrbiMed Genesis GP LLC, its General</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Partner</w:t>
      </w:r>
    </w:p>
    <w:p>
      <w:pPr>
        <w:spacing w:after="0" w:line="220" w:lineRule="exact"/>
        <w:rPr>
          <w:sz w:val="20"/>
          <w:szCs w:val="20"/>
          <w:color w:val="auto"/>
        </w:rPr>
      </w:pPr>
    </w:p>
    <w:p>
      <w:pPr>
        <w:ind w:left="6180"/>
        <w:spacing w:after="0"/>
        <w:tabs>
          <w:tab w:leader="none" w:pos="6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OrbiMed Advisors LLC, its Managing</w:t>
      </w:r>
    </w:p>
    <w:p>
      <w:pPr>
        <w:spacing w:after="0" w:line="2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Member</w:t>
      </w:r>
    </w:p>
    <w:p>
      <w:pPr>
        <w:spacing w:after="0" w:line="220" w:lineRule="exact"/>
        <w:rPr>
          <w:sz w:val="20"/>
          <w:szCs w:val="20"/>
          <w:color w:val="auto"/>
        </w:rPr>
      </w:pPr>
    </w:p>
    <w:p>
      <w:pPr>
        <w:ind w:left="6180"/>
        <w:spacing w:after="0"/>
        <w:tabs>
          <w:tab w:leader="none" w:pos="6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Carl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17145</wp:posOffset>
            </wp:positionV>
            <wp:extent cx="253746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color w:val="auto"/>
        </w:rPr>
        <w:t>Carl Gordon, Member</w:t>
      </w:r>
    </w:p>
    <w:p>
      <w:pPr>
        <w:sectPr>
          <w:pgSz w:w="11900" w:h="16838" w:orient="portrait"/>
          <w:cols w:equalWidth="0" w:num="1">
            <w:col w:w="9579"/>
          </w:cols>
          <w:pgMar w:left="880" w:top="270" w:right="1440" w:bottom="1440" w:gutter="0" w:footer="0" w:header="0"/>
        </w:sectPr>
      </w:pPr>
    </w:p>
    <w:bookmarkStart w:id="376" w:name="page377"/>
    <w:bookmarkEnd w:id="37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are signing this Amended and Restated Investors’ Rights Agreement as of the date stated in the introductory clause.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PURCHASER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ORBIMED PRIVATE INVESTMENTS V,</w:t>
      </w:r>
    </w:p>
    <w:p>
      <w:pPr>
        <w:spacing w:after="0" w:line="3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LP</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OrbiMed Capital GP V LLC, its</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jc w:val="right"/>
        <w:ind w:right="279"/>
        <w:spacing w:after="0"/>
        <w:rPr>
          <w:sz w:val="20"/>
          <w:szCs w:val="20"/>
          <w:color w:val="auto"/>
        </w:rPr>
      </w:pPr>
      <w:r>
        <w:rPr>
          <w:rFonts w:ascii="Times New Roman" w:cs="Times New Roman" w:eastAsia="Times New Roman" w:hAnsi="Times New Roman"/>
          <w:sz w:val="18"/>
          <w:szCs w:val="18"/>
          <w:color w:val="auto"/>
        </w:rPr>
        <w:t>By: OrbiMed Advisors LLC, its Managing</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Member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Carl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Carl Gordon, Member</w:t>
      </w:r>
    </w:p>
    <w:p>
      <w:pPr>
        <w:sectPr>
          <w:pgSz w:w="11900" w:h="16838" w:orient="portrait"/>
          <w:cols w:equalWidth="0" w:num="1">
            <w:col w:w="9579"/>
          </w:cols>
          <w:pgMar w:left="880" w:top="270" w:right="1440" w:bottom="1440" w:gutter="0" w:footer="0" w:header="0"/>
        </w:sectPr>
      </w:pPr>
    </w:p>
    <w:bookmarkStart w:id="377" w:name="page378"/>
    <w:bookmarkEnd w:id="37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are signing this Amended and Restated Investors’ Rights Agreement as of the date stated in the introductory clause.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VIKING GLOBAL OPPORTUNITIES</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ILLIQUID INVESTMENTS SUB-</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MASTER LP</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Viking Global Opportunities Portfolio</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GP LLC, its General Partner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Matthew Bloom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219"/>
        <w:spacing w:after="0"/>
        <w:rPr>
          <w:sz w:val="20"/>
          <w:szCs w:val="20"/>
          <w:color w:val="auto"/>
        </w:rPr>
      </w:pPr>
      <w:r>
        <w:rPr>
          <w:rFonts w:ascii="Times New Roman" w:cs="Times New Roman" w:eastAsia="Times New Roman" w:hAnsi="Times New Roman"/>
          <w:sz w:val="18"/>
          <w:szCs w:val="18"/>
          <w:color w:val="auto"/>
        </w:rPr>
        <w:t>Matthew Bloom, Authorized Signatory</w:t>
      </w:r>
    </w:p>
    <w:p>
      <w:pPr>
        <w:sectPr>
          <w:pgSz w:w="11900" w:h="16838" w:orient="portrait"/>
          <w:cols w:equalWidth="0" w:num="1">
            <w:col w:w="9579"/>
          </w:cols>
          <w:pgMar w:left="880" w:top="270" w:right="1440" w:bottom="1440" w:gutter="0" w:footer="0" w:header="0"/>
        </w:sectPr>
      </w:pPr>
    </w:p>
    <w:bookmarkStart w:id="378" w:name="page379"/>
    <w:bookmarkEnd w:id="37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are signing this Amended and Restated Investors’ Rights Agreement as of the date stated in the introductory clause.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NEXTECH V ONCOLOGY S.C.S.,</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SICAV-SIF</w:t>
      </w:r>
    </w:p>
    <w:p>
      <w:pPr>
        <w:spacing w:after="0" w:line="207"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NEXTECH V GP S.A.R.L., its Manager</w:t>
            </w: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Thomas Lips</w:t>
            </w:r>
          </w:p>
        </w:tc>
      </w:tr>
      <w:tr>
        <w:trPr>
          <w:trHeight w:val="205"/>
        </w:trPr>
        <w:tc>
          <w:tcPr>
            <w:tcW w:w="1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Printed Name:</w:t>
            </w:r>
          </w:p>
        </w:tc>
        <w:tc>
          <w:tcPr>
            <w:tcW w:w="31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Thomas Lips</w:t>
            </w: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16/07/2020</w:t>
            </w:r>
          </w:p>
        </w:tc>
      </w:tr>
      <w:tr>
        <w:trPr>
          <w:trHeight w:val="205"/>
        </w:trPr>
        <w:tc>
          <w:tcPr>
            <w:tcW w:w="1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Printed Name:</w:t>
            </w:r>
          </w:p>
        </w:tc>
        <w:tc>
          <w:tcPr>
            <w:tcW w:w="3160" w:type="dxa"/>
            <w:vAlign w:val="bottom"/>
          </w:tcPr>
          <w:p>
            <w:pPr>
              <w:spacing w:after="0"/>
              <w:rPr>
                <w:sz w:val="17"/>
                <w:szCs w:val="17"/>
                <w:color w:val="auto"/>
              </w:rPr>
            </w:pP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60" w:type="dxa"/>
            <w:vAlign w:val="bottom"/>
          </w:tcPr>
          <w:p>
            <w:pPr>
              <w:spacing w:after="0"/>
              <w:rPr>
                <w:sz w:val="20"/>
                <w:szCs w:val="20"/>
                <w:color w:val="auto"/>
              </w:rPr>
            </w:pPr>
          </w:p>
        </w:tc>
      </w:tr>
    </w:tbl>
    <w:p>
      <w:pPr>
        <w:sectPr>
          <w:pgSz w:w="11900" w:h="16838" w:orient="portrait"/>
          <w:cols w:equalWidth="0" w:num="1">
            <w:col w:w="10580"/>
          </w:cols>
          <w:pgMar w:left="880" w:top="270" w:right="439" w:bottom="1440" w:gutter="0" w:footer="0" w:header="0"/>
        </w:sectPr>
      </w:pPr>
    </w:p>
    <w:bookmarkStart w:id="379" w:name="page380"/>
    <w:bookmarkEnd w:id="37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are signing this Amended and Restated Investors’ Rights Agreement as of the date stated in the introductory clause.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NEXTECH V ONCOLOGY S.C.S.,</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SICAV-SIF</w:t>
      </w:r>
    </w:p>
    <w:p>
      <w:pPr>
        <w:spacing w:after="0" w:line="207"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NEXTECH V GP S.A.R.L., its Manager</w:t>
            </w: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Dalia Bleyer</w:t>
            </w:r>
          </w:p>
        </w:tc>
      </w:tr>
      <w:tr>
        <w:trPr>
          <w:trHeight w:val="205"/>
        </w:trPr>
        <w:tc>
          <w:tcPr>
            <w:tcW w:w="1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Printed Name:</w:t>
            </w:r>
          </w:p>
        </w:tc>
        <w:tc>
          <w:tcPr>
            <w:tcW w:w="31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Dalia Bleyer</w:t>
            </w: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160" w:type="dxa"/>
            <w:vAlign w:val="bottom"/>
            <w:tcBorders>
              <w:bottom w:val="single" w:sz="8" w:color="auto"/>
            </w:tcBorders>
          </w:tcPr>
          <w:p>
            <w:pPr>
              <w:spacing w:after="0"/>
              <w:rPr>
                <w:sz w:val="24"/>
                <w:szCs w:val="24"/>
                <w:color w:val="auto"/>
              </w:rPr>
            </w:pPr>
          </w:p>
        </w:tc>
      </w:tr>
      <w:tr>
        <w:trPr>
          <w:trHeight w:val="205"/>
        </w:trPr>
        <w:tc>
          <w:tcPr>
            <w:tcW w:w="12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Printed Name:</w:t>
            </w:r>
          </w:p>
        </w:tc>
        <w:tc>
          <w:tcPr>
            <w:tcW w:w="3160" w:type="dxa"/>
            <w:vAlign w:val="bottom"/>
          </w:tcPr>
          <w:p>
            <w:pPr>
              <w:spacing w:after="0"/>
              <w:rPr>
                <w:sz w:val="17"/>
                <w:szCs w:val="17"/>
                <w:color w:val="auto"/>
              </w:rPr>
            </w:pP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160" w:type="dxa"/>
            <w:vAlign w:val="bottom"/>
          </w:tcPr>
          <w:p>
            <w:pPr>
              <w:spacing w:after="0"/>
              <w:rPr>
                <w:sz w:val="20"/>
                <w:szCs w:val="20"/>
                <w:color w:val="auto"/>
              </w:rPr>
            </w:pPr>
          </w:p>
        </w:tc>
      </w:tr>
    </w:tbl>
    <w:p>
      <w:pPr>
        <w:sectPr>
          <w:pgSz w:w="11900" w:h="16838" w:orient="portrait"/>
          <w:cols w:equalWidth="0" w:num="1">
            <w:col w:w="10580"/>
          </w:cols>
          <w:pgMar w:left="880" w:top="270" w:right="439" w:bottom="1440" w:gutter="0" w:footer="0" w:header="0"/>
        </w:sectPr>
      </w:pPr>
    </w:p>
    <w:bookmarkStart w:id="380" w:name="page381"/>
    <w:bookmarkEnd w:id="38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are signing this Amended and Restated Investors’ Rights Agreement as of the date stated in the introductory clause.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MVA INVESTORS, LLC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Aaron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jc w:val="right"/>
        <w:ind w:right="319"/>
        <w:spacing w:after="0"/>
        <w:rPr>
          <w:sz w:val="20"/>
          <w:szCs w:val="20"/>
          <w:color w:val="auto"/>
        </w:rPr>
      </w:pPr>
      <w:r>
        <w:rPr>
          <w:rFonts w:ascii="Times New Roman" w:cs="Times New Roman" w:eastAsia="Times New Roman" w:hAnsi="Times New Roman"/>
          <w:sz w:val="18"/>
          <w:szCs w:val="18"/>
          <w:color w:val="auto"/>
        </w:rPr>
        <w:t>Aaron Davis, Chief Executive Officer</w:t>
      </w:r>
    </w:p>
    <w:p>
      <w:pPr>
        <w:sectPr>
          <w:pgSz w:w="11900" w:h="16838" w:orient="portrait"/>
          <w:cols w:equalWidth="0" w:num="1">
            <w:col w:w="9579"/>
          </w:cols>
          <w:pgMar w:left="880" w:top="270" w:right="1440" w:bottom="1440" w:gutter="0" w:footer="0" w:header="0"/>
        </w:sectPr>
      </w:pPr>
    </w:p>
    <w:bookmarkStart w:id="381" w:name="page382"/>
    <w:bookmarkEnd w:id="38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are signing this Amended and Restated Investors’ Rights Agreement as of the date stated in the introductory clause.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WS INVESTMENT COMPANY, LLC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(2013A)</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James A Terranova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James A Terranova, Director</w:t>
      </w:r>
    </w:p>
    <w:p>
      <w:pPr>
        <w:sectPr>
          <w:pgSz w:w="11900" w:h="16838" w:orient="portrait"/>
          <w:cols w:equalWidth="0" w:num="1">
            <w:col w:w="9579"/>
          </w:cols>
          <w:pgMar w:left="880" w:top="270" w:right="1440" w:bottom="1440" w:gutter="0" w:footer="0" w:header="0"/>
        </w:sectPr>
      </w:pPr>
    </w:p>
    <w:bookmarkStart w:id="382" w:name="page383"/>
    <w:bookmarkEnd w:id="38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are signing this Amended and Restated Investors’ Rights Agreement as of the date stated in the introductory clause.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WS INVESTMENT COMPANY, LLC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(2017A)</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James A Terranova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James A Terranova, Director</w:t>
      </w:r>
    </w:p>
    <w:p>
      <w:pPr>
        <w:sectPr>
          <w:pgSz w:w="11900" w:h="16838" w:orient="portrait"/>
          <w:cols w:equalWidth="0" w:num="1">
            <w:col w:w="9579"/>
          </w:cols>
          <w:pgMar w:left="880" w:top="270" w:right="1440" w:bottom="1440" w:gutter="0" w:footer="0" w:header="0"/>
        </w:sectPr>
      </w:pPr>
    </w:p>
    <w:bookmarkStart w:id="383" w:name="page384"/>
    <w:bookmarkEnd w:id="38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are signing this Amended and Restated Investors’ Rights Agreement as of the date stated in the introductory clause.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WS INVESTMENT COMPANY, LLC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(2014A)</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James A Terranova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James A Terranova, Director</w:t>
      </w:r>
    </w:p>
    <w:p>
      <w:pPr>
        <w:sectPr>
          <w:pgSz w:w="11900" w:h="16838" w:orient="portrait"/>
          <w:cols w:equalWidth="0" w:num="1">
            <w:col w:w="9579"/>
          </w:cols>
          <w:pgMar w:left="880" w:top="270" w:right="1440" w:bottom="1440" w:gutter="0" w:footer="0" w:header="0"/>
        </w:sectPr>
      </w:pPr>
    </w:p>
    <w:bookmarkStart w:id="384" w:name="page385"/>
    <w:bookmarkEnd w:id="38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are signing this Amended and Restated Investors’ Rights Agreement as of the date stated in the introductory clause.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OSAGE UNIVERSITY PARTNERS I, L.P.</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Osage University GP, L.P., its General</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Osage Partners, LLC, its general partner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William Harrington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William Harrington, Member</w:t>
      </w:r>
    </w:p>
    <w:p>
      <w:pPr>
        <w:sectPr>
          <w:pgSz w:w="11900" w:h="16838" w:orient="portrait"/>
          <w:cols w:equalWidth="0" w:num="1">
            <w:col w:w="9579"/>
          </w:cols>
          <w:pgMar w:left="880" w:top="270" w:right="1440" w:bottom="1440" w:gutter="0" w:footer="0" w:header="0"/>
        </w:sectPr>
      </w:pPr>
    </w:p>
    <w:bookmarkStart w:id="385" w:name="page386"/>
    <w:bookmarkEnd w:id="38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are signing this Amended and Restated Investors’ Rights Agreement as of the date stated in the introductory clause.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WS INVESTMENT COMPANY, LLC</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(2019A)</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James A Terranova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James A Terranova, Director</w:t>
      </w:r>
    </w:p>
    <w:p>
      <w:pPr>
        <w:sectPr>
          <w:pgSz w:w="11900" w:h="16838" w:orient="portrait"/>
          <w:cols w:equalWidth="0" w:num="1">
            <w:col w:w="9579"/>
          </w:cols>
          <w:pgMar w:left="880" w:top="270" w:right="1440" w:bottom="1440" w:gutter="0" w:footer="0" w:header="0"/>
        </w:sectPr>
      </w:pPr>
    </w:p>
    <w:bookmarkStart w:id="386" w:name="page387"/>
    <w:bookmarkEnd w:id="38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are signing this Amended and Restated Investors’ Rights Agreement as of the date stated in the introductory clause.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INTERWEST PARTNERS X, L.P.</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Khaled A. Nasr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3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Khaled A. Nasr, Venture Member</w:t>
      </w:r>
    </w:p>
    <w:p>
      <w:pPr>
        <w:sectPr>
          <w:pgSz w:w="11900" w:h="16838" w:orient="portrait"/>
          <w:cols w:equalWidth="0" w:num="1">
            <w:col w:w="9579"/>
          </w:cols>
          <w:pgMar w:left="880" w:top="270" w:right="1440" w:bottom="1440" w:gutter="0" w:footer="0" w:header="0"/>
        </w:sectPr>
      </w:pPr>
    </w:p>
    <w:bookmarkStart w:id="387" w:name="page388"/>
    <w:bookmarkEnd w:id="38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are signing this Amended and Restated Investors’ Rights Agreement as of the date stated in the introductory clause.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22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TOPSPIN BIOTECH FUND II, L.P.</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LG Management LLC, its General</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Partner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Steven J. Winick, J.D.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8"/>
          <w:szCs w:val="18"/>
          <w:color w:val="auto"/>
        </w:rPr>
        <w:t>Steve Winick, J.D., Managing Director</w:t>
      </w:r>
    </w:p>
    <w:p>
      <w:pPr>
        <w:sectPr>
          <w:pgSz w:w="11900" w:h="16838" w:orient="portrait"/>
          <w:cols w:equalWidth="0" w:num="1">
            <w:col w:w="9579"/>
          </w:cols>
          <w:pgMar w:left="880" w:top="270" w:right="1440" w:bottom="1440" w:gutter="0" w:footer="0" w:header="0"/>
        </w:sectPr>
      </w:pPr>
    </w:p>
    <w:bookmarkStart w:id="388" w:name="page389"/>
    <w:bookmarkEnd w:id="388"/>
    <w:p>
      <w:pPr>
        <w:ind w:left="10080"/>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INDEMNIFICATION AGREEMENT</w:t>
      </w:r>
    </w:p>
    <w:p>
      <w:pPr>
        <w:sectPr>
          <w:pgSz w:w="11900" w:h="16838" w:orient="portrait"/>
          <w:cols w:equalWidth="0" w:num="1">
            <w:col w:w="11020"/>
          </w:cols>
          <w:pgMar w:left="440" w:top="117" w:right="439" w:bottom="1440" w:gutter="0" w:footer="0" w:header="0"/>
        </w:sectPr>
      </w:pPr>
    </w:p>
    <w:p>
      <w:pPr>
        <w:spacing w:after="0" w:line="237"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This Indemnification Agreement (this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is dated as of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Indemnitee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and is between PMV Pharmaceuticals, Inc., a Delaware corporation</w:t>
      </w:r>
    </w:p>
    <w:p>
      <w:pPr>
        <w:spacing w:after="0" w:line="493" w:lineRule="exact"/>
        <w:rPr>
          <w:sz w:val="20"/>
          <w:szCs w:val="20"/>
          <w:color w:val="auto"/>
        </w:rPr>
      </w:pPr>
    </w:p>
    <w:p>
      <w:pPr>
        <w:sectPr>
          <w:pgSz w:w="11900" w:h="16838" w:orient="portrait"/>
          <w:cols w:equalWidth="0" w:num="2">
            <w:col w:w="5220" w:space="580"/>
            <w:col w:w="5220"/>
          </w:cols>
          <w:pgMar w:left="440" w:top="117" w:right="439" w:bottom="1440" w:gutter="0" w:footer="0" w:header="0"/>
          <w:type w:val="continuous"/>
        </w:sectPr>
      </w:pPr>
    </w:p>
    <w:p>
      <w:pPr>
        <w:spacing w:after="0" w:line="17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Indemnitee’s service to the Company substantially benefits the Company.</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B. Individuals are reluctant to serve as directors or officers of corporations or in certain other capacities unless they are provided with adequate protection through insurance or indemnification against the risks of claims and actions against them arising out of such service.</w:t>
      </w:r>
    </w:p>
    <w:p>
      <w:pPr>
        <w:spacing w:after="0" w:line="162"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C. Indemnitee does not regard the protection currently provided by applicable law, the Company’s governing documents and any insurance as adequate under the present circumstances, and Indemnitee may not be willing to serve as a director or officer without additional protection.</w:t>
      </w:r>
    </w:p>
    <w:p>
      <w:pPr>
        <w:spacing w:after="0" w:line="162"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D. In order to induce Indemnitee to continue to provide services to the Company, it is reasonable, prudent and necessary for the Company to contractually obligate itself to indemnify, and to advance expenses on behalf of, Indemnitee as permitted by applicable law.</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 This Agreement shall supersede any prior indemnification agreement between the Company and the Indemnitee, which is hereby terminated.</w:t>
      </w:r>
    </w:p>
    <w:p>
      <w:pPr>
        <w:spacing w:after="0" w:line="225"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F. This Agreement is a supplement to and in furtherance of the indemnification provided in the Company’s certificate of incorporation and bylaws, and any resolutions adopted pursuant thereto, and this Agreement shall not be deemed a substitute therefor, nor shall this Agreement be deemed to limit, diminish or abrogate any rights of Indemnitee thereunder.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parties therefore agree as follows:</w:t>
      </w:r>
    </w:p>
    <w:p>
      <w:pPr>
        <w:spacing w:after="0" w:line="221" w:lineRule="exact"/>
        <w:rPr>
          <w:sz w:val="20"/>
          <w:szCs w:val="20"/>
          <w:color w:val="auto"/>
        </w:rPr>
      </w:pPr>
    </w:p>
    <w:p>
      <w:pPr>
        <w:ind w:left="620" w:hanging="184"/>
        <w:spacing w:after="0"/>
        <w:tabs>
          <w:tab w:leader="none" w:pos="620"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be deemed to occur upon the earliest to occur after the date of this Agreement of any of the following</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events:</w:t>
      </w:r>
    </w:p>
    <w:p>
      <w:pPr>
        <w:spacing w:after="0" w:line="204" w:lineRule="exact"/>
        <w:rPr>
          <w:rFonts w:ascii="Times New Roman" w:cs="Times New Roman" w:eastAsia="Times New Roman" w:hAnsi="Times New Roman"/>
          <w:sz w:val="18"/>
          <w:szCs w:val="18"/>
          <w:color w:val="auto"/>
        </w:rPr>
      </w:pPr>
    </w:p>
    <w:p>
      <w:pPr>
        <w:ind w:right="60" w:firstLine="1428"/>
        <w:spacing w:after="0" w:line="267" w:lineRule="auto"/>
        <w:tabs>
          <w:tab w:leader="none" w:pos="1647" w:val="left"/>
        </w:tabs>
        <w:numPr>
          <w:ilvl w:val="2"/>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Acquisition of Stock by Third Party. </w:t>
      </w:r>
      <w:r>
        <w:rPr>
          <w:rFonts w:ascii="Times New Roman" w:cs="Times New Roman" w:eastAsia="Times New Roman" w:hAnsi="Times New Roman"/>
          <w:sz w:val="18"/>
          <w:szCs w:val="18"/>
          <w:color w:val="auto"/>
        </w:rPr>
        <w:t>Any Person (as defined below) becomes the Beneficial Owner (as defined below),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 of securities of the Company representing fifteen percent (15%) or more of the combined voting power of the Company’s then outstanding securities;</w:t>
      </w:r>
    </w:p>
    <w:p>
      <w:pPr>
        <w:spacing w:after="0" w:line="173" w:lineRule="exact"/>
        <w:rPr>
          <w:rFonts w:ascii="Times New Roman" w:cs="Times New Roman" w:eastAsia="Times New Roman" w:hAnsi="Times New Roman"/>
          <w:sz w:val="18"/>
          <w:szCs w:val="18"/>
          <w:color w:val="auto"/>
        </w:rPr>
      </w:pPr>
    </w:p>
    <w:p>
      <w:pPr>
        <w:ind w:right="240" w:firstLine="1428"/>
        <w:spacing w:after="0" w:line="258" w:lineRule="auto"/>
        <w:tabs>
          <w:tab w:leader="none" w:pos="1697" w:val="left"/>
        </w:tabs>
        <w:numPr>
          <w:ilvl w:val="2"/>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Change in Board Composition. </w:t>
      </w:r>
      <w:r>
        <w:rPr>
          <w:rFonts w:ascii="Times New Roman" w:cs="Times New Roman" w:eastAsia="Times New Roman" w:hAnsi="Times New Roman"/>
          <w:sz w:val="18"/>
          <w:szCs w:val="18"/>
          <w:color w:val="auto"/>
        </w:rPr>
        <w:t>During any period of two consecutive years (not including any period prior to the execution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Agreement), individuals who at the beginning of such period constitute the Company’s board of directors, and any new directors (other than a director designated by a person who has entered into an agreement with the Company to effect a transaction described in Sections 1(a)(i), 1(a)(iii) or 1(a)(iv)) whose election by the board of directors or nomination for election by the Company’s stockholders was approved by a vote of at least two-thirds of the directors</w:t>
      </w:r>
    </w:p>
    <w:p>
      <w:pPr>
        <w:sectPr>
          <w:pgSz w:w="11900" w:h="16838" w:orient="portrait"/>
          <w:cols w:equalWidth="0" w:num="1">
            <w:col w:w="11020"/>
          </w:cols>
          <w:pgMar w:left="440" w:top="117" w:right="439" w:bottom="1440" w:gutter="0" w:footer="0" w:header="0"/>
          <w:type w:val="continuous"/>
        </w:sectPr>
      </w:pPr>
    </w:p>
    <w:bookmarkStart w:id="389" w:name="page390"/>
    <w:bookmarkEnd w:id="389"/>
    <w:p>
      <w:pPr>
        <w:ind w:right="3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then still in office who either were directors at the beginning of the period or whose election or nomination for election was previously so approved, cease for any reason to constitute at least a majority of the members of the Company’s board of directors;</w:t>
      </w:r>
    </w:p>
    <w:p>
      <w:pPr>
        <w:spacing w:after="0" w:line="160" w:lineRule="exact"/>
        <w:rPr>
          <w:sz w:val="20"/>
          <w:szCs w:val="20"/>
          <w:color w:val="auto"/>
        </w:rPr>
      </w:pPr>
    </w:p>
    <w:p>
      <w:pPr>
        <w:ind w:firstLine="1428"/>
        <w:spacing w:after="0" w:line="258" w:lineRule="auto"/>
        <w:tabs>
          <w:tab w:leader="none" w:pos="1747"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Transactions. </w:t>
      </w:r>
      <w:r>
        <w:rPr>
          <w:rFonts w:ascii="Times New Roman" w:cs="Times New Roman" w:eastAsia="Times New Roman" w:hAnsi="Times New Roman"/>
          <w:sz w:val="18"/>
          <w:szCs w:val="18"/>
          <w:color w:val="auto"/>
        </w:rPr>
        <w:t>The effective date of a merger or consolidation of the Company with any other entity, other than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merger or consolidation which would result in the voting securities of the Company outstanding immediately prior to such merger or consolidation continuing to represent (either by remaining outstanding or by being converted into voting securities of the surviving entity) more than 50% of the combined voting power of the voting securities of the surviving entity outstanding immediately after such merger or consolidation and with the power to elect at least a majority of the board of directors or other governing body of such surviving entity;</w:t>
      </w:r>
    </w:p>
    <w:p>
      <w:pPr>
        <w:spacing w:after="0" w:line="183" w:lineRule="exact"/>
        <w:rPr>
          <w:rFonts w:ascii="Times New Roman" w:cs="Times New Roman" w:eastAsia="Times New Roman" w:hAnsi="Times New Roman"/>
          <w:sz w:val="18"/>
          <w:szCs w:val="18"/>
          <w:color w:val="auto"/>
        </w:rPr>
      </w:pPr>
    </w:p>
    <w:p>
      <w:pPr>
        <w:ind w:right="200" w:firstLine="1428"/>
        <w:spacing w:after="0" w:line="284" w:lineRule="auto"/>
        <w:tabs>
          <w:tab w:leader="none" w:pos="1737"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The approval by the stockholders of the Company of a complete liquidation of the Company or an agreement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sale or disposition by the Company of all or substantially all of the Company’s assets; and</w:t>
      </w:r>
    </w:p>
    <w:p>
      <w:pPr>
        <w:spacing w:after="0" w:line="158" w:lineRule="exact"/>
        <w:rPr>
          <w:rFonts w:ascii="Times New Roman" w:cs="Times New Roman" w:eastAsia="Times New Roman" w:hAnsi="Times New Roman"/>
          <w:sz w:val="18"/>
          <w:szCs w:val="18"/>
          <w:color w:val="auto"/>
        </w:rPr>
      </w:pPr>
    </w:p>
    <w:p>
      <w:pPr>
        <w:ind w:right="380" w:firstLine="1428"/>
        <w:spacing w:after="0" w:line="267" w:lineRule="auto"/>
        <w:tabs>
          <w:tab w:leader="none" w:pos="1687"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Events. </w:t>
      </w:r>
      <w:r>
        <w:rPr>
          <w:rFonts w:ascii="Times New Roman" w:cs="Times New Roman" w:eastAsia="Times New Roman" w:hAnsi="Times New Roman"/>
          <w:sz w:val="18"/>
          <w:szCs w:val="18"/>
          <w:color w:val="auto"/>
        </w:rPr>
        <w:t>Any other event of a nature that would be required to be reported in response to Item 6(e) of Schedule 14A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 14A (or in response to any similar item on any similar schedule or form) promulgated under the Securities Exchange Act of 1934, as amended, whether or not the Company is then subject to such reporting requirement.</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this Section 1(a), the following terms shall have the following meanings:</w:t>
      </w:r>
    </w:p>
    <w:p>
      <w:pPr>
        <w:spacing w:after="0" w:line="221" w:lineRule="exact"/>
        <w:rPr>
          <w:sz w:val="20"/>
          <w:szCs w:val="20"/>
          <w:color w:val="auto"/>
        </w:rPr>
      </w:pPr>
    </w:p>
    <w:p>
      <w:pPr>
        <w:jc w:val="both"/>
        <w:ind w:right="400" w:firstLine="1979"/>
        <w:spacing w:after="0" w:line="262" w:lineRule="auto"/>
        <w:tabs>
          <w:tab w:leader="none" w:pos="2238"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xml:space="preserve">” shall have the meaning as set forth in Sections 13(d) and 14(d) of the Securities Exchange Act of 1934, as amended;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shall exclude (i) the Company, (ii) any trustee or other fiduciary holding securities under an employee benefit plan of the Company, and (iii) any corporation owned, directly or indirectly, by the stockholders of the Company in substantially the same proportions as their ownership of stock of the Company.</w:t>
      </w:r>
    </w:p>
    <w:p>
      <w:pPr>
        <w:spacing w:after="0" w:line="176" w:lineRule="exact"/>
        <w:rPr>
          <w:rFonts w:ascii="Times New Roman" w:cs="Times New Roman" w:eastAsia="Times New Roman" w:hAnsi="Times New Roman"/>
          <w:sz w:val="18"/>
          <w:szCs w:val="18"/>
          <w:color w:val="auto"/>
        </w:rPr>
      </w:pPr>
    </w:p>
    <w:p>
      <w:pPr>
        <w:ind w:firstLine="1979"/>
        <w:spacing w:after="0" w:line="262" w:lineRule="auto"/>
        <w:tabs>
          <w:tab w:leader="none" w:pos="2238"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xml:space="preserve">” shall have the meaning given to such term in Rule 13d-3 under the Securities Exchange Act of 1934, as amended;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b w:val="1"/>
          <w:bCs w:val="1"/>
          <w:i w:val="1"/>
          <w:iCs w:val="1"/>
          <w:color w:val="auto"/>
        </w:rPr>
        <w:t>Beneficial Owner</w:t>
      </w:r>
      <w:r>
        <w:rPr>
          <w:rFonts w:ascii="Times New Roman" w:cs="Times New Roman" w:eastAsia="Times New Roman" w:hAnsi="Times New Roman"/>
          <w:sz w:val="18"/>
          <w:szCs w:val="18"/>
          <w:color w:val="auto"/>
        </w:rPr>
        <w:t>” shall exclude any Person otherwise becoming a Beneficial Owner by reason of (i) the stockholders of the Company approving a merger of the Company with another entity or (ii) the Company’s board of directors approving a sale of securities by the Company to such Person.</w:t>
      </w:r>
    </w:p>
    <w:p>
      <w:pPr>
        <w:spacing w:after="0" w:line="176" w:lineRule="exact"/>
        <w:rPr>
          <w:rFonts w:ascii="Times New Roman" w:cs="Times New Roman" w:eastAsia="Times New Roman" w:hAnsi="Times New Roman"/>
          <w:sz w:val="18"/>
          <w:szCs w:val="18"/>
          <w:color w:val="auto"/>
        </w:rPr>
      </w:pPr>
    </w:p>
    <w:p>
      <w:pPr>
        <w:ind w:right="520" w:firstLine="987"/>
        <w:spacing w:after="0" w:line="286" w:lineRule="auto"/>
        <w:tabs>
          <w:tab w:leader="none" w:pos="124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Status</w:t>
      </w:r>
      <w:r>
        <w:rPr>
          <w:rFonts w:ascii="Times New Roman" w:cs="Times New Roman" w:eastAsia="Times New Roman" w:hAnsi="Times New Roman"/>
          <w:sz w:val="18"/>
          <w:szCs w:val="18"/>
          <w:color w:val="auto"/>
        </w:rPr>
        <w:t>” describes the status of a person who is or was a director, trustee, general partner, managing member, officer, employee, agent or fiduciary of the Company or any other Enterprise.</w:t>
      </w:r>
    </w:p>
    <w:p>
      <w:pPr>
        <w:spacing w:after="0" w:line="154"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means the General Corporation Law of the State of Delaware.</w:t>
      </w:r>
    </w:p>
    <w:p>
      <w:pPr>
        <w:spacing w:after="0" w:line="225" w:lineRule="exact"/>
        <w:rPr>
          <w:rFonts w:ascii="Times New Roman" w:cs="Times New Roman" w:eastAsia="Times New Roman" w:hAnsi="Times New Roman"/>
          <w:sz w:val="18"/>
          <w:szCs w:val="18"/>
          <w:color w:val="auto"/>
        </w:rPr>
      </w:pPr>
    </w:p>
    <w:p>
      <w:pPr>
        <w:ind w:right="540" w:firstLine="987"/>
        <w:spacing w:after="0" w:line="286" w:lineRule="auto"/>
        <w:tabs>
          <w:tab w:leader="none" w:pos="124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Disinterested Director</w:t>
      </w:r>
      <w:r>
        <w:rPr>
          <w:rFonts w:ascii="Times New Roman" w:cs="Times New Roman" w:eastAsia="Times New Roman" w:hAnsi="Times New Roman"/>
          <w:sz w:val="18"/>
          <w:szCs w:val="18"/>
          <w:color w:val="auto"/>
        </w:rPr>
        <w:t>” means a director of the Company who is not and was not a party to the Proceeding in respect of which indemnification is sought by Indemnitee.</w:t>
      </w:r>
    </w:p>
    <w:p>
      <w:pPr>
        <w:spacing w:after="0" w:line="154" w:lineRule="exact"/>
        <w:rPr>
          <w:rFonts w:ascii="Times New Roman" w:cs="Times New Roman" w:eastAsia="Times New Roman" w:hAnsi="Times New Roman"/>
          <w:sz w:val="18"/>
          <w:szCs w:val="18"/>
          <w:color w:val="auto"/>
        </w:rPr>
      </w:pPr>
    </w:p>
    <w:p>
      <w:pPr>
        <w:ind w:right="320" w:firstLine="987"/>
        <w:spacing w:after="0" w:line="268" w:lineRule="auto"/>
        <w:tabs>
          <w:tab w:leader="none" w:pos="123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Enterprise</w:t>
      </w:r>
      <w:r>
        <w:rPr>
          <w:rFonts w:ascii="Times New Roman" w:cs="Times New Roman" w:eastAsia="Times New Roman" w:hAnsi="Times New Roman"/>
          <w:sz w:val="18"/>
          <w:szCs w:val="18"/>
          <w:color w:val="auto"/>
        </w:rPr>
        <w:t>” means the Company and any other corporation, partnership, limited liability company, joint venture, trust, employee benefit plan or other enterprise of which Indemnitee is or was serving at the request of the Company as a director, trustee, general partner, managing member, officer, employee, agent or fiduciary.</w:t>
      </w:r>
    </w:p>
    <w:p>
      <w:pPr>
        <w:spacing w:after="0" w:line="170" w:lineRule="exact"/>
        <w:rPr>
          <w:rFonts w:ascii="Times New Roman" w:cs="Times New Roman" w:eastAsia="Times New Roman" w:hAnsi="Times New Roman"/>
          <w:sz w:val="18"/>
          <w:szCs w:val="18"/>
          <w:color w:val="auto"/>
        </w:rPr>
      </w:pPr>
    </w:p>
    <w:p>
      <w:pPr>
        <w:ind w:firstLine="987"/>
        <w:spacing w:after="0" w:line="286" w:lineRule="auto"/>
        <w:tabs>
          <w:tab w:leader="none" w:pos="1216"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Expenses</w:t>
      </w:r>
      <w:r>
        <w:rPr>
          <w:rFonts w:ascii="Times New Roman" w:cs="Times New Roman" w:eastAsia="Times New Roman" w:hAnsi="Times New Roman"/>
          <w:sz w:val="18"/>
          <w:szCs w:val="18"/>
          <w:color w:val="auto"/>
        </w:rPr>
        <w:t>” include all reasonable and actually incurred attorneys’ fees, retainers, court costs, transcript costs, fees and costs of experts, witness fees, travel expenses, duplicating costs,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390" w:name="page391"/>
    <w:bookmarkEnd w:id="390"/>
    <w:p>
      <w:pPr>
        <w:ind w:left="4" w:right="1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printing and binding costs, telephone charges, postage, delivery service fees, and all other disbursements or expenses of the types customarily incurred in connection with prosecuting, defending, preparing to prosecute or defend, investigating, being or preparing to be a witness in, or otherwise participating in, a Proceeding. Expenses also include (i) Expenses incurred in connection with any appeal resulting from any Proceeding, including without limitation the premium, security for, and other costs relating to any cost bond, supersedeas bond or other appeal bond or their equivalent, and</w:t>
      </w:r>
    </w:p>
    <w:p>
      <w:pPr>
        <w:spacing w:after="0" w:line="3" w:lineRule="exact"/>
        <w:rPr>
          <w:sz w:val="20"/>
          <w:szCs w:val="20"/>
          <w:color w:val="auto"/>
        </w:rPr>
      </w:pPr>
    </w:p>
    <w:p>
      <w:pPr>
        <w:jc w:val="both"/>
        <w:ind w:left="4" w:right="40" w:hanging="4"/>
        <w:spacing w:after="0" w:line="255" w:lineRule="auto"/>
        <w:tabs>
          <w:tab w:leader="none" w:pos="269"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12(d), Expenses incurred by Indemnitee in connection with the interpretation, enforcement or defense of Indemnitee’s rights under this Agreement or under any directors’ and officers’ liability insurance policies maintained by the Company. Expenses, however, shall not include amounts paid in settlement by Indemnitee or the amount of judgments or fines against Indemnitee.</w:t>
      </w:r>
    </w:p>
    <w:p>
      <w:pPr>
        <w:spacing w:after="0" w:line="181" w:lineRule="exact"/>
        <w:rPr>
          <w:rFonts w:ascii="Times New Roman" w:cs="Times New Roman" w:eastAsia="Times New Roman" w:hAnsi="Times New Roman"/>
          <w:sz w:val="18"/>
          <w:szCs w:val="18"/>
          <w:color w:val="auto"/>
        </w:rPr>
      </w:pPr>
    </w:p>
    <w:p>
      <w:pPr>
        <w:ind w:left="4" w:right="120" w:firstLine="987"/>
        <w:spacing w:after="0" w:line="275" w:lineRule="auto"/>
        <w:tabs>
          <w:tab w:leader="none" w:pos="1250" w:val="left"/>
        </w:tabs>
        <w:numPr>
          <w:ilvl w:val="2"/>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Independent Counsel</w:t>
      </w:r>
      <w:r>
        <w:rPr>
          <w:rFonts w:ascii="Times New Roman" w:cs="Times New Roman" w:eastAsia="Times New Roman" w:hAnsi="Times New Roman"/>
          <w:sz w:val="17"/>
          <w:szCs w:val="17"/>
          <w:color w:val="auto"/>
        </w:rPr>
        <w:t>” means a law firm, or a partner or member of a law firm, that is experienced in matters of corporation law and neither presently is, nor in the past five years has been, retained to represent (i) the Company or Indemnitee in any matter material to either such party (other than as Independent Counsel with respect to matters concerning Indemnitee under this Agreement, or other indemnitees under similar indemnification agreements), or (ii) any other party to the Proceeding giving rise to a claim for indemnification hereunder. Notwithstanding the foregoing, the term “</w:t>
      </w:r>
      <w:r>
        <w:rPr>
          <w:rFonts w:ascii="Times New Roman" w:cs="Times New Roman" w:eastAsia="Times New Roman" w:hAnsi="Times New Roman"/>
          <w:sz w:val="17"/>
          <w:szCs w:val="17"/>
          <w:b w:val="1"/>
          <w:bCs w:val="1"/>
          <w:i w:val="1"/>
          <w:iCs w:val="1"/>
          <w:color w:val="auto"/>
        </w:rPr>
        <w:t>Independent Counsel</w:t>
      </w:r>
      <w:r>
        <w:rPr>
          <w:rFonts w:ascii="Times New Roman" w:cs="Times New Roman" w:eastAsia="Times New Roman" w:hAnsi="Times New Roman"/>
          <w:sz w:val="17"/>
          <w:szCs w:val="17"/>
          <w:color w:val="auto"/>
        </w:rPr>
        <w:t>”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168" w:lineRule="exact"/>
        <w:rPr>
          <w:rFonts w:ascii="Times New Roman" w:cs="Times New Roman" w:eastAsia="Times New Roman" w:hAnsi="Times New Roman"/>
          <w:sz w:val="17"/>
          <w:szCs w:val="17"/>
          <w:color w:val="auto"/>
        </w:rPr>
      </w:pPr>
    </w:p>
    <w:p>
      <w:pPr>
        <w:ind w:left="4" w:right="20" w:firstLine="987"/>
        <w:spacing w:after="0" w:line="272" w:lineRule="auto"/>
        <w:tabs>
          <w:tab w:leader="none" w:pos="1250" w:val="left"/>
        </w:tabs>
        <w:numPr>
          <w:ilvl w:val="2"/>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Proceeding</w:t>
      </w:r>
      <w:r>
        <w:rPr>
          <w:rFonts w:ascii="Times New Roman" w:cs="Times New Roman" w:eastAsia="Times New Roman" w:hAnsi="Times New Roman"/>
          <w:sz w:val="17"/>
          <w:szCs w:val="17"/>
          <w:color w:val="auto"/>
        </w:rPr>
        <w:t>” means any threatened, pending or completed action, suit, arbitration, mediation, alternate dispute resolution mechanism, investigation, inquiry, administrative hearing or proceeding, whether brought in the right of the Company or otherwise and whether of a civil, criminal, administrative or investigative nature, including any appeal therefrom and including without limitation any such Proceeding pending as of the date of this Agreement, in which Indemnitee was, is or will be involved as a party, a potential party, a non-party witness or otherwise by reason of (i) the fact that Indemnitee is or was a director or officer of the Company, (ii) any action taken by Indemnitee or any action or inaction on Indemnitee’s part while acting as a director or officer of the Company, or (iii) the fact that he or she is or was serving at the request of the Company as a director, trustee, general partner, managing member, officer, employee, agent or fiduciary of the Company or any other Enterprise, in each case whether or not serving in such capacity at the time any liability or Expense is incurred for which indemnification or advancement of expenses can be provided under this Agreement.</w:t>
      </w:r>
    </w:p>
    <w:p>
      <w:pPr>
        <w:spacing w:after="0" w:line="171" w:lineRule="exact"/>
        <w:rPr>
          <w:rFonts w:ascii="Times New Roman" w:cs="Times New Roman" w:eastAsia="Times New Roman" w:hAnsi="Times New Roman"/>
          <w:sz w:val="17"/>
          <w:szCs w:val="17"/>
          <w:color w:val="auto"/>
        </w:rPr>
      </w:pPr>
    </w:p>
    <w:p>
      <w:pPr>
        <w:ind w:left="4" w:firstLine="987"/>
        <w:spacing w:after="0" w:line="257" w:lineRule="auto"/>
        <w:tabs>
          <w:tab w:leader="none" w:pos="1210" w:val="left"/>
        </w:tabs>
        <w:numPr>
          <w:ilvl w:val="2"/>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 to “</w:t>
      </w:r>
      <w:r>
        <w:rPr>
          <w:rFonts w:ascii="Times New Roman" w:cs="Times New Roman" w:eastAsia="Times New Roman" w:hAnsi="Times New Roman"/>
          <w:sz w:val="18"/>
          <w:szCs w:val="18"/>
          <w:b w:val="1"/>
          <w:bCs w:val="1"/>
          <w:i w:val="1"/>
          <w:iCs w:val="1"/>
          <w:color w:val="auto"/>
        </w:rPr>
        <w:t>other enterprises</w:t>
      </w:r>
      <w:r>
        <w:rPr>
          <w:rFonts w:ascii="Times New Roman" w:cs="Times New Roman" w:eastAsia="Times New Roman" w:hAnsi="Times New Roman"/>
          <w:sz w:val="18"/>
          <w:szCs w:val="18"/>
          <w:color w:val="auto"/>
        </w:rPr>
        <w:t>” shall include employee benefit plans; references to “</w:t>
      </w:r>
      <w:r>
        <w:rPr>
          <w:rFonts w:ascii="Times New Roman" w:cs="Times New Roman" w:eastAsia="Times New Roman" w:hAnsi="Times New Roman"/>
          <w:sz w:val="18"/>
          <w:szCs w:val="18"/>
          <w:b w:val="1"/>
          <w:bCs w:val="1"/>
          <w:i w:val="1"/>
          <w:iCs w:val="1"/>
          <w:color w:val="auto"/>
        </w:rPr>
        <w:t>fines</w:t>
      </w:r>
      <w:r>
        <w:rPr>
          <w:rFonts w:ascii="Times New Roman" w:cs="Times New Roman" w:eastAsia="Times New Roman" w:hAnsi="Times New Roman"/>
          <w:sz w:val="18"/>
          <w:szCs w:val="18"/>
          <w:color w:val="auto"/>
        </w:rPr>
        <w:t>” shall include any excise taxes assessed on a person with respect to any employee benefit plan; references to “</w:t>
      </w:r>
      <w:r>
        <w:rPr>
          <w:rFonts w:ascii="Times New Roman" w:cs="Times New Roman" w:eastAsia="Times New Roman" w:hAnsi="Times New Roman"/>
          <w:sz w:val="18"/>
          <w:szCs w:val="18"/>
          <w:b w:val="1"/>
          <w:bCs w:val="1"/>
          <w:i w:val="1"/>
          <w:iCs w:val="1"/>
          <w:color w:val="auto"/>
        </w:rPr>
        <w:t>serving at the request of the Company</w:t>
      </w:r>
      <w:r>
        <w:rPr>
          <w:rFonts w:ascii="Times New Roman" w:cs="Times New Roman" w:eastAsia="Times New Roman" w:hAnsi="Times New Roman"/>
          <w:sz w:val="18"/>
          <w:szCs w:val="18"/>
          <w:color w:val="auto"/>
        </w:rPr>
        <w:t>”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he or she reasonably believed to be in the best interests of the participants and beneficiaries of an employee benefit plan shall be deemed to have acted in a manner “</w:t>
      </w:r>
      <w:r>
        <w:rPr>
          <w:rFonts w:ascii="Times New Roman" w:cs="Times New Roman" w:eastAsia="Times New Roman" w:hAnsi="Times New Roman"/>
          <w:sz w:val="18"/>
          <w:szCs w:val="18"/>
          <w:b w:val="1"/>
          <w:bCs w:val="1"/>
          <w:i w:val="1"/>
          <w:iCs w:val="1"/>
          <w:color w:val="auto"/>
        </w:rPr>
        <w:t>not opposed to the best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interests of the Company</w:t>
      </w:r>
      <w:r>
        <w:rPr>
          <w:rFonts w:ascii="Times New Roman" w:cs="Times New Roman" w:eastAsia="Times New Roman" w:hAnsi="Times New Roman"/>
          <w:sz w:val="18"/>
          <w:szCs w:val="18"/>
          <w:color w:val="auto"/>
        </w:rPr>
        <w:t>” as referred to in this Agreement.</w:t>
      </w:r>
    </w:p>
    <w:p>
      <w:pPr>
        <w:spacing w:after="0" w:line="182" w:lineRule="exact"/>
        <w:rPr>
          <w:rFonts w:ascii="Times New Roman" w:cs="Times New Roman" w:eastAsia="Times New Roman" w:hAnsi="Times New Roman"/>
          <w:sz w:val="18"/>
          <w:szCs w:val="18"/>
          <w:color w:val="auto"/>
        </w:rPr>
      </w:pPr>
    </w:p>
    <w:p>
      <w:pPr>
        <w:ind w:left="4" w:right="200" w:firstLine="436"/>
        <w:spacing w:after="0" w:line="256" w:lineRule="auto"/>
        <w:tabs>
          <w:tab w:leader="none" w:pos="624"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Indemnity in Third-Party Proceedings. </w:t>
      </w:r>
      <w:r>
        <w:rPr>
          <w:rFonts w:ascii="Times New Roman" w:cs="Times New Roman" w:eastAsia="Times New Roman" w:hAnsi="Times New Roman"/>
          <w:sz w:val="18"/>
          <w:szCs w:val="18"/>
          <w:color w:val="auto"/>
        </w:rPr>
        <w:t>The Company shall indemnify Indemnitee in accordance with the provisions of this Section 2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is, or is threatened to be made, a party to or a participant in any Proceeding, other than a Proceeding by or in the right of the Company to procure a judgment in its favor. Pursuant to this Section 2, Indemnitee shall be indemnified to the fullest extent permitted by applicable law against all Expenses, judgments, fines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with respect to any criminal action or proceeding, had no reasonable cause to believe that his or her conduct was unlawful.</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391" w:name="page392"/>
    <w:bookmarkEnd w:id="391"/>
    <w:p>
      <w:pPr>
        <w:ind w:firstLine="436"/>
        <w:spacing w:after="0" w:line="254" w:lineRule="auto"/>
        <w:tabs>
          <w:tab w:leader="none" w:pos="62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Indemnity in Proceedings by or in the Right of the Company. </w:t>
      </w:r>
      <w:r>
        <w:rPr>
          <w:rFonts w:ascii="Times New Roman" w:cs="Times New Roman" w:eastAsia="Times New Roman" w:hAnsi="Times New Roman"/>
          <w:sz w:val="18"/>
          <w:szCs w:val="18"/>
          <w:color w:val="auto"/>
        </w:rPr>
        <w:t>The Company shall indemnify Indemnitee in accordance with the provisions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Section 3 if Indemnitee is, or is threatened to be made, a party to or a participant in any Proceeding by or in the right of the Company to procure a judgment in its favor. Pursuant to this Section 3, Indemnitee shall be indemnified to the fullest extent permitted by applicable law against all Expenses actually and reasonably incurred by Indemnitee or on Indemnitee’s behalf in connection with such Proceeding or any claim, issue or matter therein, if Indemnitee acted in good faith and in a manner he or she reasonably believed to be in or not opposed to the best interests of the Company. No indemnification for Expenses shall be made under this Section 3 in respect of any claim, issue or matter as to which Indemnitee shall have been adjudged by a court of competent jurisdiction to be liable to the Company, unless and only to the extent that the Delaware Court of Chancery or any court in which the Proceeding was brought shall determine upon application that, despite the adjudication of liability but in view of all the circumstances of the case, Indemnitee is fairly and reasonably entitled to indemnification for such expenses as the Delaware Court of Chancery or such other court shall deem proper.</w:t>
      </w:r>
    </w:p>
    <w:p>
      <w:pPr>
        <w:spacing w:after="0" w:line="185" w:lineRule="exact"/>
        <w:rPr>
          <w:rFonts w:ascii="Times New Roman" w:cs="Times New Roman" w:eastAsia="Times New Roman" w:hAnsi="Times New Roman"/>
          <w:sz w:val="18"/>
          <w:szCs w:val="18"/>
          <w:color w:val="auto"/>
        </w:rPr>
      </w:pPr>
    </w:p>
    <w:p>
      <w:pPr>
        <w:ind w:right="60" w:firstLine="436"/>
        <w:spacing w:after="0" w:line="259" w:lineRule="auto"/>
        <w:tabs>
          <w:tab w:leader="none" w:pos="62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Indemnification for Expenses of a Party Who is Wholly or Partly Successful. </w:t>
      </w:r>
      <w:r>
        <w:rPr>
          <w:rFonts w:ascii="Times New Roman" w:cs="Times New Roman" w:eastAsia="Times New Roman" w:hAnsi="Times New Roman"/>
          <w:sz w:val="18"/>
          <w:szCs w:val="18"/>
          <w:color w:val="auto"/>
        </w:rPr>
        <w:t>To the extent that Indemnitee is a party to or a participant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is successful (on the merits or otherwise) in defense of any Proceeding or any claim, issue or matter therein, the Company shall indemnify Indemnitee against all Expenses actually and reasonably incurred by Indemnitee or on Indemnitee’s behalf in connection therewith. For purposes of this section, the termination of any claim, issue or matter in such a Proceeding by dismissal, with or without prejudice, shall be deemed to be a successful result as to such claim, issue or matter.</w:t>
      </w:r>
    </w:p>
    <w:p>
      <w:pPr>
        <w:spacing w:after="0" w:line="179" w:lineRule="exact"/>
        <w:rPr>
          <w:rFonts w:ascii="Times New Roman" w:cs="Times New Roman" w:eastAsia="Times New Roman" w:hAnsi="Times New Roman"/>
          <w:sz w:val="18"/>
          <w:szCs w:val="18"/>
          <w:color w:val="auto"/>
        </w:rPr>
      </w:pPr>
    </w:p>
    <w:p>
      <w:pPr>
        <w:ind w:right="180" w:firstLine="436"/>
        <w:spacing w:after="0" w:line="268" w:lineRule="auto"/>
        <w:tabs>
          <w:tab w:leader="none" w:pos="62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Indemnification for Expenses of a Witness. </w:t>
      </w:r>
      <w:r>
        <w:rPr>
          <w:rFonts w:ascii="Times New Roman" w:cs="Times New Roman" w:eastAsia="Times New Roman" w:hAnsi="Times New Roman"/>
          <w:sz w:val="18"/>
          <w:szCs w:val="18"/>
          <w:color w:val="auto"/>
        </w:rPr>
        <w:t>To the extent that Indemnitee is, by reason of his or her Corporate Status, a witness in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Proceeding to which Indemnitee is not a party, Indemnitee shall be indemnified to the extent permitted by applicable law against all Expenses actually and reasonably incurred by Indemnitee or on Indemnitee’s behalf in connection therewith.</w:t>
      </w:r>
    </w:p>
    <w:p>
      <w:pPr>
        <w:spacing w:after="0" w:line="170"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Indemnification.</w:t>
      </w:r>
    </w:p>
    <w:p>
      <w:pPr>
        <w:spacing w:after="0" w:line="229" w:lineRule="exact"/>
        <w:rPr>
          <w:rFonts w:ascii="Times New Roman" w:cs="Times New Roman" w:eastAsia="Times New Roman" w:hAnsi="Times New Roman"/>
          <w:sz w:val="18"/>
          <w:szCs w:val="18"/>
          <w:color w:val="auto"/>
        </w:rPr>
      </w:pPr>
    </w:p>
    <w:p>
      <w:pPr>
        <w:ind w:right="20" w:firstLine="987"/>
        <w:spacing w:after="0" w:line="261" w:lineRule="auto"/>
        <w:tabs>
          <w:tab w:leader="none" w:pos="1236"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limitation in Sections 2, 3 or 4, the Company shall indemnify Indemnitee to the fullest extent permitted by applicable law if Indemnitee is, or is threatened to be made, a party to or a participant in any Proceeding (including a Proceeding by or in the right of the Company to procure a judgment in its favor) against all Expenses, judgments, fines and amounts paid in settlement actually and reasonably incurred by Indemnitee or on his or her behalf in connection with the Proceeding or any claim, issue or matter therein.</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Section 6(a), the meaning of the phrase “</w:t>
      </w:r>
      <w:r>
        <w:rPr>
          <w:rFonts w:ascii="Times New Roman" w:cs="Times New Roman" w:eastAsia="Times New Roman" w:hAnsi="Times New Roman"/>
          <w:sz w:val="18"/>
          <w:szCs w:val="18"/>
          <w:b w:val="1"/>
          <w:bCs w:val="1"/>
          <w:i w:val="1"/>
          <w:iCs w:val="1"/>
          <w:color w:val="auto"/>
        </w:rPr>
        <w:t>to the fullest extent permitted by applicable law</w:t>
      </w:r>
      <w:r>
        <w:rPr>
          <w:rFonts w:ascii="Times New Roman" w:cs="Times New Roman" w:eastAsia="Times New Roman" w:hAnsi="Times New Roman"/>
          <w:sz w:val="18"/>
          <w:szCs w:val="18"/>
          <w:color w:val="auto"/>
        </w:rPr>
        <w:t>” shall include, but not be</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to:</w:t>
      </w:r>
    </w:p>
    <w:p>
      <w:pPr>
        <w:spacing w:after="0" w:line="206" w:lineRule="exact"/>
        <w:rPr>
          <w:rFonts w:ascii="Times New Roman" w:cs="Times New Roman" w:eastAsia="Times New Roman" w:hAnsi="Times New Roman"/>
          <w:sz w:val="18"/>
          <w:szCs w:val="18"/>
          <w:color w:val="auto"/>
        </w:rPr>
      </w:pPr>
    </w:p>
    <w:p>
      <w:pPr>
        <w:ind w:right="760" w:firstLine="1428"/>
        <w:spacing w:after="0" w:line="282" w:lineRule="auto"/>
        <w:tabs>
          <w:tab w:leader="none" w:pos="1647" w:val="left"/>
        </w:tabs>
        <w:numPr>
          <w:ilvl w:val="2"/>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fullest extent permitted by the provision of the DGCL that authorizes or contemplates additional indemnification by agreement, or the corresponding provision of any amendment to or replacement of the DGCL; and</w:t>
      </w:r>
    </w:p>
    <w:p>
      <w:pPr>
        <w:spacing w:after="0" w:line="161" w:lineRule="exact"/>
        <w:rPr>
          <w:rFonts w:ascii="Times New Roman" w:cs="Times New Roman" w:eastAsia="Times New Roman" w:hAnsi="Times New Roman"/>
          <w:sz w:val="18"/>
          <w:szCs w:val="18"/>
          <w:color w:val="auto"/>
        </w:rPr>
      </w:pPr>
    </w:p>
    <w:p>
      <w:pPr>
        <w:ind w:right="420" w:firstLine="1428"/>
        <w:spacing w:after="0" w:line="282" w:lineRule="auto"/>
        <w:tabs>
          <w:tab w:leader="none" w:pos="1697" w:val="left"/>
        </w:tabs>
        <w:numPr>
          <w:ilvl w:val="2"/>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fullest extent authorized or permitted by any amendments to or replacements of the DGCL adopted after the date of this Agreement that increase the extent to which a corporation may indemnify its officers and directors.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392" w:name="page393"/>
    <w:bookmarkEnd w:id="392"/>
    <w:p>
      <w:pPr>
        <w:ind w:right="740" w:firstLine="436"/>
        <w:spacing w:after="0" w:line="286" w:lineRule="auto"/>
        <w:tabs>
          <w:tab w:leader="none" w:pos="62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Exclusions. </w:t>
      </w:r>
      <w:r>
        <w:rPr>
          <w:rFonts w:ascii="Times New Roman" w:cs="Times New Roman" w:eastAsia="Times New Roman" w:hAnsi="Times New Roman"/>
          <w:sz w:val="18"/>
          <w:szCs w:val="18"/>
          <w:color w:val="auto"/>
        </w:rPr>
        <w:t>Notwithstanding any provision in this Agreement, the Company shall not be obligated under this Agreement to make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indemnity in connection with any Proceeding (or any part of any Proceeding):</w:t>
      </w:r>
    </w:p>
    <w:p>
      <w:pPr>
        <w:spacing w:after="0" w:line="158" w:lineRule="exact"/>
        <w:rPr>
          <w:rFonts w:ascii="Times New Roman" w:cs="Times New Roman" w:eastAsia="Times New Roman" w:hAnsi="Times New Roman"/>
          <w:sz w:val="18"/>
          <w:szCs w:val="18"/>
          <w:color w:val="auto"/>
        </w:rPr>
      </w:pPr>
    </w:p>
    <w:p>
      <w:pPr>
        <w:ind w:right="60" w:firstLine="987"/>
        <w:spacing w:after="0" w:line="282" w:lineRule="auto"/>
        <w:tabs>
          <w:tab w:leader="none" w:pos="1236"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payment has actually been made to or on behalf of Indemnitee under any statute, insurance policy, indemnity provision, vote or otherwise, except with respect to any excess beyond the amount paid;</w:t>
      </w:r>
    </w:p>
    <w:p>
      <w:pPr>
        <w:spacing w:after="0" w:line="161" w:lineRule="exact"/>
        <w:rPr>
          <w:rFonts w:ascii="Times New Roman" w:cs="Times New Roman" w:eastAsia="Times New Roman" w:hAnsi="Times New Roman"/>
          <w:sz w:val="18"/>
          <w:szCs w:val="18"/>
          <w:color w:val="auto"/>
        </w:rPr>
      </w:pPr>
    </w:p>
    <w:p>
      <w:pPr>
        <w:ind w:right="120" w:firstLine="987"/>
        <w:spacing w:after="0" w:line="266" w:lineRule="auto"/>
        <w:tabs>
          <w:tab w:leader="none" w:pos="1246"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 accounting or disgorgement of profits pursuant to Section 16(b) of the Securities Exchange Act of 1934, as amended, or similar provisions of federal, state or local statutory law or common law, if Indemnitee is held liable therefor (including pursuant to any settlement arrangements);</w:t>
      </w:r>
    </w:p>
    <w:p>
      <w:pPr>
        <w:spacing w:after="0" w:line="175" w:lineRule="exact"/>
        <w:rPr>
          <w:rFonts w:ascii="Times New Roman" w:cs="Times New Roman" w:eastAsia="Times New Roman" w:hAnsi="Times New Roman"/>
          <w:sz w:val="18"/>
          <w:szCs w:val="18"/>
          <w:color w:val="auto"/>
        </w:rPr>
      </w:pPr>
    </w:p>
    <w:p>
      <w:pPr>
        <w:ind w:right="80" w:firstLine="987"/>
        <w:spacing w:after="0" w:line="277" w:lineRule="auto"/>
        <w:tabs>
          <w:tab w:leader="none" w:pos="1236" w:val="left"/>
        </w:tabs>
        <w:numPr>
          <w:ilvl w:val="1"/>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reimbursement of the Company by Indemnitee of any bonus or other incentive-based or equity-based compensation or of any profits realized by Indemnitee from the sale of securities of the Company, as required in each case under the Securities Exchange Act of 1934, as amended (including any such reimbursements that arise from an accounting restatement of the Company pursuant to Section 304 of the Sarbanes-Oxley Act of 2002 (the “</w:t>
      </w:r>
      <w:r>
        <w:rPr>
          <w:rFonts w:ascii="Times New Roman" w:cs="Times New Roman" w:eastAsia="Times New Roman" w:hAnsi="Times New Roman"/>
          <w:sz w:val="17"/>
          <w:szCs w:val="17"/>
          <w:b w:val="1"/>
          <w:bCs w:val="1"/>
          <w:i w:val="1"/>
          <w:iCs w:val="1"/>
          <w:color w:val="auto"/>
        </w:rPr>
        <w:t>Sarbanes-Oxley Act</w:t>
      </w:r>
      <w:r>
        <w:rPr>
          <w:rFonts w:ascii="Times New Roman" w:cs="Times New Roman" w:eastAsia="Times New Roman" w:hAnsi="Times New Roman"/>
          <w:sz w:val="17"/>
          <w:szCs w:val="17"/>
          <w:color w:val="auto"/>
        </w:rPr>
        <w:t>”), or the payment to the Company of profits arising from the purchase and sale by Indemnitee of securities in violation of Section 306 of the Sarbanes-Oxley Act), if Indemnitee is held liable therefor (including pursuant to any settlement arrangements);</w:t>
      </w:r>
    </w:p>
    <w:p>
      <w:pPr>
        <w:spacing w:after="0" w:line="167" w:lineRule="exact"/>
        <w:rPr>
          <w:rFonts w:ascii="Times New Roman" w:cs="Times New Roman" w:eastAsia="Times New Roman" w:hAnsi="Times New Roman"/>
          <w:sz w:val="17"/>
          <w:szCs w:val="17"/>
          <w:color w:val="auto"/>
        </w:rPr>
      </w:pPr>
    </w:p>
    <w:p>
      <w:pPr>
        <w:ind w:firstLine="987"/>
        <w:spacing w:after="0" w:line="261" w:lineRule="auto"/>
        <w:tabs>
          <w:tab w:leader="none" w:pos="1246"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initiated by Indemnitee, including any Proceeding (or any part of any Proceeding) initiated by Indemnitee against the Company or its directors, officers, employees, agents or other indemnitees, unless (i) the Company’s board of directors authorized the Proceeding (or the relevant part of the Proceeding) prior to its initiation, (ii) the Company provides the indemnification, in its sole discretion, pursuant to the powers vested in the Company under applicable law, (iii) otherwise authorized in Section 12(d) or (iv) otherwise required by applicable law; or</w:t>
      </w:r>
    </w:p>
    <w:p>
      <w:pPr>
        <w:spacing w:after="0" w:line="1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prohibited by applicable law.</w:t>
      </w:r>
    </w:p>
    <w:p>
      <w:pPr>
        <w:spacing w:after="0" w:line="221" w:lineRule="exact"/>
        <w:rPr>
          <w:rFonts w:ascii="Times New Roman" w:cs="Times New Roman" w:eastAsia="Times New Roman" w:hAnsi="Times New Roman"/>
          <w:sz w:val="18"/>
          <w:szCs w:val="18"/>
          <w:color w:val="auto"/>
        </w:rPr>
      </w:pPr>
    </w:p>
    <w:p>
      <w:pPr>
        <w:ind w:right="40" w:firstLine="436"/>
        <w:spacing w:after="0" w:line="254" w:lineRule="auto"/>
        <w:tabs>
          <w:tab w:leader="none" w:pos="62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Advances of Expenses. </w:t>
      </w:r>
      <w:r>
        <w:rPr>
          <w:rFonts w:ascii="Times New Roman" w:cs="Times New Roman" w:eastAsia="Times New Roman" w:hAnsi="Times New Roman"/>
          <w:sz w:val="18"/>
          <w:szCs w:val="18"/>
          <w:color w:val="auto"/>
        </w:rPr>
        <w:t>The Company shall advance the Expenses incurred by Indemnitee in connection with any Proceeding prior to its final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disposition, and such advancement shall be made as soon as reasonably practicable, but in any event no later than 60 days, after the receipt by the Company of a written statement or statements requesting such advances from time to time (which shall include invoices received by Indemnitee in connection with such Expenses but, in the case of invoices in connection with legal services, any references to legal work performed or to expenditure made that would cause Indemnitee to waive any privilege accorded by applicable law shall not be included with the invoice). Advances shall be unsecured and interest free and made without regard to Indemnitee’s ability to repay such advances. Indemnitee hereby undertakes to repay any advance to the extent that it is ultimately determined that Indemnitee is not entitled to be indemnified by the Company. This Section 8 shall not apply to the extent advancement is prohibited by law and shall not apply to any Proceeding (or any part of any Proceeding) for which indemnity is not permitted under this Agreement, but shall apply to any Proceeding (or any part of any Proceeding) referenced in Section 7(b) or 7(c) prior to a determination that Indemnitee is not entitled to be indemnified by the Company.</w:t>
      </w:r>
    </w:p>
    <w:p>
      <w:pPr>
        <w:spacing w:after="0" w:line="18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Procedures for Notification and Defense of Claim.</w:t>
      </w:r>
    </w:p>
    <w:p>
      <w:pPr>
        <w:spacing w:after="0" w:line="229" w:lineRule="exact"/>
        <w:rPr>
          <w:rFonts w:ascii="Times New Roman" w:cs="Times New Roman" w:eastAsia="Times New Roman" w:hAnsi="Times New Roman"/>
          <w:sz w:val="18"/>
          <w:szCs w:val="18"/>
          <w:color w:val="auto"/>
        </w:rPr>
      </w:pPr>
    </w:p>
    <w:p>
      <w:pPr>
        <w:ind w:right="400" w:firstLine="987"/>
        <w:spacing w:after="0" w:line="266" w:lineRule="auto"/>
        <w:tabs>
          <w:tab w:leader="none" w:pos="1236"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shall notify the Company in writing of any matter with respect to which Indemnitee intends to seek indemnification or advancement of Expenses as soon as reasonably practicable following the receipt by Indemnitee of notice thereof. The written notification to the Company shall include, in reasonable detail, a description of the nature of the Proceeding and the facts underlying the Proceeding.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393" w:name="page394"/>
    <w:bookmarkEnd w:id="393"/>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failure by Indemnitee to notify the Company will not relieve the Company from any liability which it may have to Indemnitee hereunder or otherwise than under this Agreement, and any delay in so notifying the Company shall not constitute a waiver by Indemnitee of any rights, except to the extent that such failure or delay materially prejudices the Company.</w:t>
      </w:r>
    </w:p>
    <w:p>
      <w:pPr>
        <w:spacing w:after="0" w:line="176" w:lineRule="exact"/>
        <w:rPr>
          <w:sz w:val="20"/>
          <w:szCs w:val="20"/>
          <w:color w:val="auto"/>
        </w:rPr>
      </w:pPr>
    </w:p>
    <w:p>
      <w:pPr>
        <w:ind w:right="80" w:firstLine="987"/>
        <w:spacing w:after="0" w:line="281" w:lineRule="auto"/>
        <w:tabs>
          <w:tab w:leader="none" w:pos="1246" w:val="left"/>
        </w:tabs>
        <w:numPr>
          <w:ilvl w:val="1"/>
          <w:numId w:val="2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the time of the receipt of a notice of a Proceeding pursuant to the terms hereof, the Company has directors’ and officers’ liability insurance in effect that may be applicable to the Proceeding, the Company shall give prompt notice of the commencement of the Proceeding to the insurers in accordance with the procedures set forth in the applicable policies. The Company shall thereafter take all commercially-reasonable action to cause such insurers to pay, on behalf of Indemnitee, all amounts payable as a result of such Proceeding in accordance with the terms of such policies.</w:t>
      </w:r>
    </w:p>
    <w:p>
      <w:pPr>
        <w:spacing w:after="0" w:line="164" w:lineRule="exact"/>
        <w:rPr>
          <w:rFonts w:ascii="Times New Roman" w:cs="Times New Roman" w:eastAsia="Times New Roman" w:hAnsi="Times New Roman"/>
          <w:sz w:val="17"/>
          <w:szCs w:val="17"/>
          <w:color w:val="auto"/>
        </w:rPr>
      </w:pPr>
    </w:p>
    <w:p>
      <w:pPr>
        <w:ind w:firstLine="987"/>
        <w:spacing w:after="0" w:line="253" w:lineRule="auto"/>
        <w:tabs>
          <w:tab w:leader="none" w:pos="1236"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may be obligated to make any indemnity in connection with a Proceeding, the Company shall be entitled to assume the defense of such Proceeding with counsel approved by Indemnitee, which approval shall not be unreasonably withheld, conditioned or delayed, upon the delivery to Indemnitee of written notice of its election to do so. After delivery of such notice, approval of such counsel by Indemnitee and the retention of such counsel by the Company, the Company will not be liable to Indemnitee for any fees or expenses of counsel subsequently incurred by Indemnitee with respect to the same Proceeding. Notwithstanding the Company’s assumption of the defense of any such Proceeding, the Company shall be obligated to pay the fees and expenses of Indemnitee’s separate counsel to the extent (i) the employment of separate counsel by Indemnitee is authorized by the Company, (ii) counsel for the Company or Indemnitee shall have reasonably concluded that there is a conflict of interest between the Company and Indemnitee in the conduct of any such defense such that Indemnitee needs to be separately represented, (iii) the Company is not financially or legally able to perform its indemnification obligations or (iv) the Company shall not have retained, or shall not continue to retain, counsel to defend such Proceeding. The Company shall have the right to conduct such defense as it sees fit in its sole discretion. Regardless of any provision in this Agreement, Indemnitee shall have the right to employ counsel in any Proceeding at Indemnitee’s personal expense. The Company shall not be entitled, without the consent of Indemnitee, to assume the defense of any claim brought by or in the right of the Company.</w:t>
      </w:r>
    </w:p>
    <w:p>
      <w:pPr>
        <w:spacing w:after="0" w:line="18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Indemnitee shall give the Company such information and cooperation in connection with the Proceeding as may be reasonably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w:t>
      </w:r>
    </w:p>
    <w:p>
      <w:pPr>
        <w:spacing w:after="0" w:line="206" w:lineRule="exact"/>
        <w:rPr>
          <w:rFonts w:ascii="Times New Roman" w:cs="Times New Roman" w:eastAsia="Times New Roman" w:hAnsi="Times New Roman"/>
          <w:sz w:val="18"/>
          <w:szCs w:val="18"/>
          <w:color w:val="auto"/>
        </w:rPr>
      </w:pPr>
    </w:p>
    <w:p>
      <w:pPr>
        <w:ind w:right="500" w:firstLine="987"/>
        <w:spacing w:after="0" w:line="282" w:lineRule="auto"/>
        <w:tabs>
          <w:tab w:leader="none" w:pos="1236"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be liable to indemnify Indemnitee for any settlement of any Proceeding (or any part thereof) without the Company’s prior written consent, which shall not be unreasonably withheld, conditioned or delayed.</w:t>
      </w:r>
    </w:p>
    <w:p>
      <w:pPr>
        <w:spacing w:after="0" w:line="161" w:lineRule="exact"/>
        <w:rPr>
          <w:rFonts w:ascii="Times New Roman" w:cs="Times New Roman" w:eastAsia="Times New Roman" w:hAnsi="Times New Roman"/>
          <w:sz w:val="18"/>
          <w:szCs w:val="18"/>
          <w:color w:val="auto"/>
        </w:rPr>
      </w:pPr>
    </w:p>
    <w:p>
      <w:pPr>
        <w:ind w:right="380" w:firstLine="987"/>
        <w:spacing w:after="0" w:line="282" w:lineRule="auto"/>
        <w:tabs>
          <w:tab w:leader="none" w:pos="1216"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not settle any Proceeding (or any part thereof) in a manner that imposes any penalty or liability on Indemnitee without Indemnitee’s prior written consent, which shall not be unreasonably withheld, conditioned or delayed.</w:t>
      </w:r>
    </w:p>
    <w:p>
      <w:pPr>
        <w:spacing w:after="0" w:line="15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Procedures upon Application for Indemnification.</w:t>
      </w:r>
    </w:p>
    <w:p>
      <w:pPr>
        <w:spacing w:after="0" w:line="229" w:lineRule="exact"/>
        <w:rPr>
          <w:rFonts w:ascii="Times New Roman" w:cs="Times New Roman" w:eastAsia="Times New Roman" w:hAnsi="Times New Roman"/>
          <w:sz w:val="18"/>
          <w:szCs w:val="18"/>
          <w:color w:val="auto"/>
        </w:rPr>
      </w:pPr>
    </w:p>
    <w:p>
      <w:pPr>
        <w:ind w:right="520" w:firstLine="987"/>
        <w:spacing w:after="0" w:line="261" w:lineRule="auto"/>
        <w:tabs>
          <w:tab w:leader="none" w:pos="1236" w:val="left"/>
        </w:tabs>
        <w:numPr>
          <w:ilvl w:val="1"/>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obtain indemnification, Indemnitee shall submit to the Company a written request, including therein or therewith such documentation and information as is reasonably available to Indemnitee and as is reasonably necessary to determine whether and to what extent Indemnitee is entitled to indemnification following the final disposition of the Proceeding. Any delay in providing the request will not relieve the Company from its obligations under this Agreement, except to the extent such failure is prejudicial.</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394" w:name="page395"/>
    <w:bookmarkEnd w:id="394"/>
    <w:p>
      <w:pPr>
        <w:ind w:left="-20" w:right="60" w:firstLine="987"/>
        <w:spacing w:after="0" w:line="253" w:lineRule="auto"/>
        <w:tabs>
          <w:tab w:leader="none" w:pos="1226"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Upon written request by Indemnitee for indemnification pursuant to Section 10(a), a determination with respect to Indemnitee’s entitlement thereto shall be made in the specific case (i) if a Change in Control shall have occurred, by Independent Counsel in a written opinion to the Company’s board of directors, a copy of which shall be delivered to Indemnitee or (ii) if a Change in Control shall not have occurred, (A) by a majority vote of the Disinterested Directors, even though less than a quorum of the Company’s board of directors, (B) by a committee of Disinterested Directors designated by a majority vote of the Disinterested Directors, even though less than a quorum of the Company’s board of directors, (C) if there are no such Disinterested Directors or, if such Disinterested Directors so direct, by Independent Counsel in a written opinion to the Company’s board of directors, a copy of which shall be delivered to Indemnitee or (D) if so directed by the Company’s board of directors, by the stockholders of the Company. If it is determined that Indemnitee is entitled to indemnification, payment to Indemnitee shall be made within ten days after such determination. Indemnitee shall cooperate with the person, persons or entity making the determination with respect to Indemnitee’s entitlement to indemnification, including providing to such person, persons or entity upon reasonable advance request any documentation or information that is not privileged or otherwise protected from disclosure and that is reasonably available to Indemnitee and reasonably necessary to such determination. Any costs or expenses (including attorneys’ fees and disbursements) actually and reasonably incurred by Indemnitee in so cooperating with the person, persons or entity making such determination shall be borne by the Company, to the extent permitted by applicable law.</w:t>
      </w:r>
    </w:p>
    <w:p>
      <w:pPr>
        <w:spacing w:after="0" w:line="187" w:lineRule="exact"/>
        <w:rPr>
          <w:rFonts w:ascii="Times New Roman" w:cs="Times New Roman" w:eastAsia="Times New Roman" w:hAnsi="Times New Roman"/>
          <w:sz w:val="18"/>
          <w:szCs w:val="18"/>
          <w:color w:val="auto"/>
        </w:rPr>
      </w:pPr>
    </w:p>
    <w:p>
      <w:pPr>
        <w:ind w:left="-20" w:firstLine="987"/>
        <w:spacing w:after="0" w:line="252" w:lineRule="auto"/>
        <w:tabs>
          <w:tab w:leader="none" w:pos="1216"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the determination of entitlement to indemnification is to be made by Independent Counsel pursuant to Section 10(b), the Independent Counsel shall be selected as provided in this Section 10(c). If a Change in Control shall not have occurred, the Independent Counsel shall be selected by the Company’s board of directors, and the Company shall give written notice to Indemnitee advising him or her of the identity of the Independent Counsel so selected. If a Change in Control shall have occurred, the Independent Counsel shall be selected by Indemnitee (unless Indemnitee shall request that such selection be made by the Company’s board of directors, in which event the preceding sentence shall apply), and Indemnitee shall give written notice to the Company advising it of the identity of the Independent Counsel so selected. In either event, Indemnitee or the Company, as the case may be, may, within ten days after such written notice of selection shall have been given, deliver to the Company or to Indemnitee, as the case may be, a written objection to such selection;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objection may be asserted only on the ground that the Independent Counsel so selected does not meet the requirements of “Independent Counsel” as defined in Section 1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has determined that such objection is without merit. If, within 20 days after the later of (i) submission by Indemnitee of a written request for indemnification pursuant to Section 10(a) hereof and (ii) the final disposition of the Proceeding, the parties have not agreed upon an Independent Counsel, either the Company or Indemnitee may petition a court of competent jurisdiction for resolution of any objection which shall have been made by the Company or Indemnitee to the other’s selection of Independent Counsel and for the appointment as Independent Counsel of a person selected by the court or by such other person as the court shall designate, and the person with respect to whom all objections are so resolved or the person so appointed shall act as Independent Counsel under Section 10(b) hereof. Upon the due commencement of any judicial proceeding or arbitration pursuant to Section 12(a) of this Agreement, the Independent Counsel shall be discharged and relieved of any further responsibility in such capacity (subject to the applicable standards of professional conduct then prevailing).</w:t>
      </w:r>
    </w:p>
    <w:p>
      <w:pPr>
        <w:spacing w:after="0" w:line="190"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the reasonable fees and expenses of any Independent Counsel.</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60" w:top="270" w:right="479" w:bottom="1440" w:gutter="0" w:footer="0" w:header="0"/>
        </w:sectPr>
      </w:pPr>
    </w:p>
    <w:bookmarkStart w:id="395" w:name="page396"/>
    <w:bookmarkEnd w:id="395"/>
    <w:p>
      <w:pPr>
        <w:ind w:left="704" w:hanging="264"/>
        <w:spacing w:after="0"/>
        <w:tabs>
          <w:tab w:leader="none" w:pos="704"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Presumptions and Effect of Certain Proceedings.</w:t>
      </w:r>
    </w:p>
    <w:p>
      <w:pPr>
        <w:spacing w:after="0" w:line="229" w:lineRule="exact"/>
        <w:rPr>
          <w:rFonts w:ascii="Times New Roman" w:cs="Times New Roman" w:eastAsia="Times New Roman" w:hAnsi="Times New Roman"/>
          <w:sz w:val="18"/>
          <w:szCs w:val="18"/>
          <w:color w:val="auto"/>
        </w:rPr>
      </w:pPr>
    </w:p>
    <w:p>
      <w:pPr>
        <w:ind w:left="4" w:right="340" w:firstLine="987"/>
        <w:spacing w:after="0" w:line="266" w:lineRule="auto"/>
        <w:tabs>
          <w:tab w:leader="none" w:pos="1240" w:val="left"/>
        </w:tabs>
        <w:numPr>
          <w:ilvl w:val="2"/>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making a determination with respect to entitlement to indemnification hereunder, the person, persons or entity making such determination shall, to the fullest extent not prohibited by law, presume that Indemnitee is entitled to indemnification under this Agreement, and the Company shall, to the fullest extent not prohibited by law, have the burden of proof to overcome that presumption.</w:t>
      </w:r>
    </w:p>
    <w:p>
      <w:pPr>
        <w:spacing w:after="0" w:line="175" w:lineRule="exact"/>
        <w:rPr>
          <w:rFonts w:ascii="Times New Roman" w:cs="Times New Roman" w:eastAsia="Times New Roman" w:hAnsi="Times New Roman"/>
          <w:sz w:val="18"/>
          <w:szCs w:val="18"/>
          <w:color w:val="auto"/>
        </w:rPr>
      </w:pPr>
    </w:p>
    <w:p>
      <w:pPr>
        <w:ind w:left="4" w:firstLine="987"/>
        <w:spacing w:after="0" w:line="261" w:lineRule="auto"/>
        <w:tabs>
          <w:tab w:leader="none" w:pos="1250" w:val="left"/>
        </w:tabs>
        <w:numPr>
          <w:ilvl w:val="2"/>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termination of any Proceeding or of any claim, issue or matter therein, by judgment, order, settlement or conviction, or upon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or its equivalent, shall not (except as otherwise expressly provided in this Agreement) of itself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79" w:lineRule="exact"/>
        <w:rPr>
          <w:rFonts w:ascii="Times New Roman" w:cs="Times New Roman" w:eastAsia="Times New Roman" w:hAnsi="Times New Roman"/>
          <w:sz w:val="18"/>
          <w:szCs w:val="18"/>
          <w:color w:val="auto"/>
        </w:rPr>
      </w:pPr>
    </w:p>
    <w:p>
      <w:pPr>
        <w:ind w:left="4" w:right="120" w:firstLine="987"/>
        <w:spacing w:after="0" w:line="282" w:lineRule="auto"/>
        <w:tabs>
          <w:tab w:leader="none" w:pos="1240" w:val="left"/>
        </w:tabs>
        <w:numPr>
          <w:ilvl w:val="2"/>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knowledge, actions nor failure to act of any other director, officer, agent or employee of the Enterprise shall be imputed to Indemnitee for purposes of determining the right to indemnification under this Agreement.</w:t>
      </w:r>
    </w:p>
    <w:p>
      <w:pPr>
        <w:spacing w:after="0" w:line="15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Remedies of Indemnitee.</w:t>
      </w:r>
    </w:p>
    <w:p>
      <w:pPr>
        <w:spacing w:after="0" w:line="229" w:lineRule="exact"/>
        <w:rPr>
          <w:rFonts w:ascii="Times New Roman" w:cs="Times New Roman" w:eastAsia="Times New Roman" w:hAnsi="Times New Roman"/>
          <w:sz w:val="18"/>
          <w:szCs w:val="18"/>
          <w:color w:val="auto"/>
        </w:rPr>
      </w:pPr>
    </w:p>
    <w:p>
      <w:pPr>
        <w:ind w:left="4" w:right="180" w:firstLine="987"/>
        <w:spacing w:after="0" w:line="276" w:lineRule="auto"/>
        <w:tabs>
          <w:tab w:leader="none" w:pos="1240" w:val="left"/>
        </w:tabs>
        <w:numPr>
          <w:ilvl w:val="2"/>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Section 12(e), in the event that (i) a determination is made pursuant to Section 10 of this Agreement that Indemnitee is not entitled to indemnification under this Agreement, (ii) advancement of Expenses is not timely made pursuant to Section 8 or 12(d) of this Agreement,</w:t>
      </w:r>
    </w:p>
    <w:p>
      <w:pPr>
        <w:ind w:left="4" w:hanging="4"/>
        <w:spacing w:after="0" w:line="250" w:lineRule="auto"/>
        <w:tabs>
          <w:tab w:leader="none" w:pos="319"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determination of entitlement to indemnification shall have been made pursuant to Section 10 of this Agreement within 90 days after the later of the receipt by the Company of the request for indemnification or the final disposition of the Proceeding, (iv) payment of indemnification pursuant to this Agreement is not made (A) within ten days after a determination has been made that Indemnitee is entitled to indemnification or (B) with respect to indemnification pursuant to Sections 4, 5 and 12(d) of this Agreement, within 30 days after receipt by the Company of a written request therefor, or</w:t>
      </w:r>
    </w:p>
    <w:p>
      <w:pPr>
        <w:spacing w:after="0" w:line="1" w:lineRule="exact"/>
        <w:rPr>
          <w:rFonts w:ascii="Times New Roman" w:cs="Times New Roman" w:eastAsia="Times New Roman" w:hAnsi="Times New Roman"/>
          <w:sz w:val="18"/>
          <w:szCs w:val="18"/>
          <w:color w:val="auto"/>
        </w:rPr>
      </w:pPr>
    </w:p>
    <w:p>
      <w:pPr>
        <w:ind w:left="4" w:right="60" w:hanging="4"/>
        <w:spacing w:after="0" w:line="251" w:lineRule="auto"/>
        <w:tabs>
          <w:tab w:leader="none" w:pos="259"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or any other person or entity takes or threatens to take any action to declare this Agreement void or unenforceable, or institutes any litigation or other action or proceeding designed to deny, or to recover from, Indemnitee the benefits provided or intended to be provided to Indemnitee hereunder, Indemnitee shall be entitled to an adjudication by a court of competent jurisdiction of his or her entitlement to such indemnification or advancement of Expenses. Alternatively, Indemnitee, at his or her option, may seek an award in arbitration with respect to his or her entitlement to such indemnification or advancement of Expenses, to be conducted by a single arbitrator pursuant to the Commercial Arbitration Rules of the American Arbitration Association. Indemnitee shall commence such proceeding seeking an adjudication or an award in arbitration within 180 days following the date on which Indemnitee first has the right to commence such proceeding pursuant to this Section 12(a);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foregoing clause shall not apply in respect of a proceeding brought by Indemnitee to enforce his or her rights under Section 4 of this Agreement. The Company shall not oppose Indemnitee’s right to seek any such adjudication or award in arbitration in accordance with this Agreement.</w:t>
      </w:r>
    </w:p>
    <w:p>
      <w:pPr>
        <w:spacing w:after="0" w:line="193" w:lineRule="exact"/>
        <w:rPr>
          <w:rFonts w:ascii="Times New Roman" w:cs="Times New Roman" w:eastAsia="Times New Roman" w:hAnsi="Times New Roman"/>
          <w:sz w:val="18"/>
          <w:szCs w:val="18"/>
          <w:color w:val="auto"/>
        </w:rPr>
      </w:pPr>
    </w:p>
    <w:p>
      <w:pPr>
        <w:ind w:left="4" w:firstLine="987"/>
        <w:spacing w:after="0" w:line="256" w:lineRule="auto"/>
        <w:tabs>
          <w:tab w:leader="none" w:pos="1250" w:val="left"/>
        </w:tabs>
        <w:numPr>
          <w:ilvl w:val="2"/>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(i) the failure of the Company, its board of directors, any committee or subgroup of the board of directors, Independent Counsel or stockholders to have made a determination that indemnification of Indemnitee is proper in the circumstances because Indemnitee has met the applicable standard of conduct, nor (ii) an actual determination by the Company, its board of directors, any committee or subgroup of the board of directors, Independent Counsel or stockholders that Indemnitee has not met the applicable standard of conduct, shall create a presumption that Indemnitee has or has not met the applicable standard of conduct. In the event that a determination shall have been made pursuant to Section 10 of this Agreement that Indemnitee is not entitled to indemnification, any judicial proceeding or arbitration</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4"/>
          </w:cols>
          <w:pgMar w:left="436" w:top="266" w:right="479" w:bottom="1440" w:gutter="0" w:footer="0" w:header="0"/>
        </w:sectPr>
      </w:pPr>
    </w:p>
    <w:bookmarkStart w:id="396" w:name="page397"/>
    <w:bookmarkEnd w:id="396"/>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commenced pursuant to this Section 12 shall be conducted in all respects as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trial, or arbitration, on the merits, and Indemnitee shall not be prejudiced by reason of that adverse determination. In any judicial proceeding or arbitration commenced pursuant to this Section 12, the Company shall, to the fullest extent not prohibited by law, have the burden of proving Indemnitee is not entitled to indemnification or advancement of Expenses, as the case may be.</w:t>
      </w:r>
    </w:p>
    <w:p>
      <w:pPr>
        <w:spacing w:after="0" w:line="182" w:lineRule="exact"/>
        <w:rPr>
          <w:sz w:val="20"/>
          <w:szCs w:val="20"/>
          <w:color w:val="auto"/>
        </w:rPr>
      </w:pPr>
    </w:p>
    <w:p>
      <w:pPr>
        <w:ind w:left="4" w:firstLine="987"/>
        <w:spacing w:after="0" w:line="268" w:lineRule="auto"/>
        <w:tabs>
          <w:tab w:leader="none" w:pos="1240" w:val="left"/>
        </w:tabs>
        <w:numPr>
          <w:ilvl w:val="2"/>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fullest extent not prohibited by law, the Company shall be precluded from asserting in any judicial proceeding or arbitration commenced pursuant to this Section 12 that the procedures and presumptions of this Agreement are not valid, binding and enforceable and shall stipulate in any such court or before any such arbitrator that the Company is bound by all the provisions of this Agreement. If a determination shall have been made pursuant to Section 10 of this Agreement that Indemnitee is entitled to indemnification, the Company shall be bound by such determination in any judicial proceeding or arbitration commenced pursuant to this Section 12, absent (i) a misstatement by Indemnitee of a material fact, or an omission of a material fact necessary to make Indemnitee’s statements not materially misleading, in connection with the request for indemnification, or</w:t>
      </w:r>
    </w:p>
    <w:p>
      <w:pPr>
        <w:spacing w:after="0" w:line="4"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of such indemnification under applicable law.</w:t>
      </w:r>
    </w:p>
    <w:p>
      <w:pPr>
        <w:spacing w:after="0" w:line="206" w:lineRule="exact"/>
        <w:rPr>
          <w:rFonts w:ascii="Times New Roman" w:cs="Times New Roman" w:eastAsia="Times New Roman" w:hAnsi="Times New Roman"/>
          <w:sz w:val="18"/>
          <w:szCs w:val="18"/>
          <w:color w:val="auto"/>
        </w:rPr>
      </w:pPr>
    </w:p>
    <w:p>
      <w:pPr>
        <w:ind w:left="4" w:right="40" w:firstLine="987"/>
        <w:spacing w:after="0" w:line="258" w:lineRule="auto"/>
        <w:tabs>
          <w:tab w:leader="none" w:pos="1250" w:val="left"/>
        </w:tabs>
        <w:numPr>
          <w:ilvl w:val="2"/>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prohibited by law, the Company shall indemnify Indemnitee against all Expenses that are incurred by Indemnitee in connection with any action for indemnification or advancement of Expenses from the Company under this Agreement or under any directors’ and officers’ liability insurance policies maintained by the Company to the extent Indemnitee is successful in such action, and, if requested by Indemnitee, shall (as soon as reasonably practicable, but in any event no later than 60 days, after receipt by the Company of a written request therefor) advance such Expenses to Indemnitee, subject to the provisions of Section 8.</w:t>
      </w:r>
    </w:p>
    <w:p>
      <w:pPr>
        <w:spacing w:after="0" w:line="183" w:lineRule="exact"/>
        <w:rPr>
          <w:rFonts w:ascii="Times New Roman" w:cs="Times New Roman" w:eastAsia="Times New Roman" w:hAnsi="Times New Roman"/>
          <w:sz w:val="18"/>
          <w:szCs w:val="18"/>
          <w:color w:val="auto"/>
        </w:rPr>
      </w:pPr>
    </w:p>
    <w:p>
      <w:pPr>
        <w:ind w:left="4" w:right="100" w:firstLine="987"/>
        <w:spacing w:after="0" w:line="282" w:lineRule="auto"/>
        <w:tabs>
          <w:tab w:leader="none" w:pos="1240" w:val="left"/>
        </w:tabs>
        <w:numPr>
          <w:ilvl w:val="2"/>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no determination as to entitlement to indemnification shall be required to be made prior to the final disposition of the Proceeding.</w:t>
      </w:r>
    </w:p>
    <w:p>
      <w:pPr>
        <w:spacing w:after="0" w:line="157" w:lineRule="exact"/>
        <w:rPr>
          <w:rFonts w:ascii="Times New Roman" w:cs="Times New Roman" w:eastAsia="Times New Roman" w:hAnsi="Times New Roman"/>
          <w:sz w:val="18"/>
          <w:szCs w:val="18"/>
          <w:color w:val="auto"/>
        </w:rPr>
      </w:pPr>
    </w:p>
    <w:p>
      <w:pPr>
        <w:ind w:left="4" w:right="160" w:firstLine="436"/>
        <w:spacing w:after="0" w:line="257" w:lineRule="auto"/>
        <w:tabs>
          <w:tab w:leader="none" w:pos="714" w:val="left"/>
        </w:tabs>
        <w:numPr>
          <w:ilvl w:val="1"/>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Contribution. </w:t>
      </w:r>
      <w:r>
        <w:rPr>
          <w:rFonts w:ascii="Times New Roman" w:cs="Times New Roman" w:eastAsia="Times New Roman" w:hAnsi="Times New Roman"/>
          <w:sz w:val="18"/>
          <w:szCs w:val="18"/>
          <w:color w:val="auto"/>
        </w:rPr>
        <w:t>To the fullest extent permissible under applicable law, if the indemnification provided for in this Agreement is unavailable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Indemnitee, the Company, in lieu of indemnifying Indemnitee, shall contribute to the amounts incurred by Indemnitee, whether for Expenses, judgments, fines or amounts paid or to be paid in settlement, in connection with any claim relating to an indemnifiable event under this Agreement, in such proportion as is deemed fair and reasonable in light of all of the circumstances of such Proceeding in order to reflect (i) the relative benefits received by the Company and Indemnitee as a result of the events and transactions giving rise to such Proceeding; and (ii) the relative fault of Indemnitee and the Company (and its other directors, officers, employees and agents) in connection with such events and transactions.</w:t>
      </w:r>
    </w:p>
    <w:p>
      <w:pPr>
        <w:spacing w:after="0" w:line="182" w:lineRule="exact"/>
        <w:rPr>
          <w:rFonts w:ascii="Times New Roman" w:cs="Times New Roman" w:eastAsia="Times New Roman" w:hAnsi="Times New Roman"/>
          <w:sz w:val="18"/>
          <w:szCs w:val="18"/>
          <w:color w:val="auto"/>
        </w:rPr>
      </w:pPr>
    </w:p>
    <w:p>
      <w:pPr>
        <w:ind w:left="4" w:right="60" w:firstLine="436"/>
        <w:spacing w:after="0" w:line="271" w:lineRule="auto"/>
        <w:tabs>
          <w:tab w:leader="none" w:pos="714" w:val="left"/>
        </w:tabs>
        <w:numPr>
          <w:ilvl w:val="1"/>
          <w:numId w:val="2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Non-exclusivity. </w:t>
      </w:r>
      <w:r>
        <w:rPr>
          <w:rFonts w:ascii="Times New Roman" w:cs="Times New Roman" w:eastAsia="Times New Roman" w:hAnsi="Times New Roman"/>
          <w:sz w:val="17"/>
          <w:szCs w:val="17"/>
          <w:color w:val="auto"/>
        </w:rPr>
        <w:t>The rights of indemnification and to receive advancement of Expenses as provided by this Agreement shall not be deemed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exclusive of any other rights to which Indemnitee may at any time be entitled under applicable law, the Company’s certificate of incorporation or bylaws, any agreement, a vote of stockholders or a resolution of directors, or otherwise. To the extent that a change in Delaware law, whether by statute or judicial decision, permits greater indemnification or advancement of Expenses than would be afforded currently under the Company’s certificate of incorporation and bylaws and this Agreement, it is the intent of the parties hereto that Indemnitee shall enjoy by this Agreement the greater benefits so afforded by such change, subject to the restrictions expressly set forth herein or therein. Except as expressly set forth herein, no right or remedy herein conferred is intended to be exclusive of any other right or remedy, and every other right and remedy shall be cumulative and in addition to every other right and remedy given hereunder or now or hereafter existing at law or in equity or otherwise. Except as expressly set forth herein, the assertion or employment of any right or remedy hereunder, or otherwise, shall not prevent the concurrent assertion or employment of any other right or remedy.</w:t>
      </w:r>
    </w:p>
    <w:p>
      <w:pPr>
        <w:spacing w:after="0" w:line="11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4"/>
          </w:cols>
          <w:pgMar w:left="436" w:top="268" w:right="499" w:bottom="1440" w:gutter="0" w:footer="0" w:header="0"/>
        </w:sectPr>
      </w:pPr>
    </w:p>
    <w:bookmarkStart w:id="397" w:name="page398"/>
    <w:bookmarkEnd w:id="397"/>
    <w:p>
      <w:pPr>
        <w:ind w:left="-60" w:firstLine="436"/>
        <w:spacing w:after="0" w:line="253" w:lineRule="auto"/>
        <w:tabs>
          <w:tab w:leader="none" w:pos="65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Primary Responsibility. </w:t>
      </w:r>
      <w:r>
        <w:rPr>
          <w:rFonts w:ascii="Times New Roman" w:cs="Times New Roman" w:eastAsia="Times New Roman" w:hAnsi="Times New Roman"/>
          <w:sz w:val="18"/>
          <w:szCs w:val="18"/>
          <w:color w:val="auto"/>
        </w:rPr>
        <w:t>The Company acknowledges that to the extent Indemnitee is serving as a director on the Company’s board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directors at the request or direction of a venture capital fund or other entity and/or certain of its affiliates (collectively, the “</w:t>
      </w:r>
      <w:r>
        <w:rPr>
          <w:rFonts w:ascii="Times New Roman" w:cs="Times New Roman" w:eastAsia="Times New Roman" w:hAnsi="Times New Roman"/>
          <w:sz w:val="18"/>
          <w:szCs w:val="18"/>
          <w:b w:val="1"/>
          <w:bCs w:val="1"/>
          <w:i w:val="1"/>
          <w:iCs w:val="1"/>
          <w:color w:val="auto"/>
        </w:rPr>
        <w:t>Secondary Indemnitors</w:t>
      </w:r>
      <w:r>
        <w:rPr>
          <w:rFonts w:ascii="Times New Roman" w:cs="Times New Roman" w:eastAsia="Times New Roman" w:hAnsi="Times New Roman"/>
          <w:sz w:val="18"/>
          <w:szCs w:val="18"/>
          <w:color w:val="auto"/>
        </w:rPr>
        <w:t>”), Indemnitee may have certain rights to indemnification and advancement of expenses provided by such Secondary Indemnitors. The Company agrees that, as between the Company and the Secondary Indemnitors, the Company is primarily responsible for amounts required to be indemnified or advanced under the Company’s certificate of incorporation or bylaws or this Agreement and any obligation of the Secondary Indemnitors to provide indemnification or advancement for the same amounts is secondary to those Company obligations. To the extent not in contravention of any insurance policy or policies providing liability or other insurance for the Company or any director, trustee, general partner, managing member, officer, employee, agent or fiduciary of the Company or any other Enterprise, the Company waives any right of contribution or subrogation against the Secondary Indemnitors with respect to the liabilities for which the Company is primarily responsible under this Section 15. In the event of any payment by the Secondary Indemnitors of amounts otherwise required to be indemnified or advanced by the Company under the Company’s certificate of incorporation or bylaws or this Agreement, the Secondary Indemnitors shall be subrogated to the extent of such payment to all of the rights of recovery of Indemnitee for indemnification or advancement of expenses under the Company’s certificate of incorporation or bylaws or this Agreement or, to the extent such subrogation is unavailable and contribution is found to be the applicable remedy, shall have a right of contribution with respect to the amounts paid. The Secondary Indemnitors are express third-party beneficiaries of the terms of this Section 15.</w:t>
      </w:r>
    </w:p>
    <w:p>
      <w:pPr>
        <w:spacing w:after="0" w:line="185" w:lineRule="exact"/>
        <w:rPr>
          <w:rFonts w:ascii="Times New Roman" w:cs="Times New Roman" w:eastAsia="Times New Roman" w:hAnsi="Times New Roman"/>
          <w:sz w:val="18"/>
          <w:szCs w:val="18"/>
          <w:color w:val="auto"/>
        </w:rPr>
      </w:pPr>
    </w:p>
    <w:p>
      <w:pPr>
        <w:ind w:left="-60" w:right="20" w:firstLine="436"/>
        <w:spacing w:after="0" w:line="268" w:lineRule="auto"/>
        <w:tabs>
          <w:tab w:leader="none" w:pos="65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 Duplication of Payments. </w:t>
      </w:r>
      <w:r>
        <w:rPr>
          <w:rFonts w:ascii="Times New Roman" w:cs="Times New Roman" w:eastAsia="Times New Roman" w:hAnsi="Times New Roman"/>
          <w:sz w:val="18"/>
          <w:szCs w:val="18"/>
          <w:color w:val="auto"/>
        </w:rPr>
        <w:t>The Company shall not be liable under this Agreement to make any payment of amounts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indemnifiable hereunder (or for which advancement is provided hereunder) if and to the extent that Indemnitee has otherwise actually received payment for such amounts under any insurance policy, contract, agreement or otherwise.</w:t>
      </w:r>
    </w:p>
    <w:p>
      <w:pPr>
        <w:spacing w:after="0" w:line="170" w:lineRule="exact"/>
        <w:rPr>
          <w:rFonts w:ascii="Times New Roman" w:cs="Times New Roman" w:eastAsia="Times New Roman" w:hAnsi="Times New Roman"/>
          <w:sz w:val="18"/>
          <w:szCs w:val="18"/>
          <w:color w:val="auto"/>
        </w:rPr>
      </w:pPr>
    </w:p>
    <w:p>
      <w:pPr>
        <w:ind w:left="-60" w:right="20" w:firstLine="436"/>
        <w:spacing w:after="0" w:line="268" w:lineRule="auto"/>
        <w:tabs>
          <w:tab w:leader="none" w:pos="65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Insurance. </w:t>
      </w:r>
      <w:r>
        <w:rPr>
          <w:rFonts w:ascii="Times New Roman" w:cs="Times New Roman" w:eastAsia="Times New Roman" w:hAnsi="Times New Roman"/>
          <w:sz w:val="18"/>
          <w:szCs w:val="18"/>
          <w:color w:val="auto"/>
        </w:rPr>
        <w:t>To the extent that the Company maintains an insurance policy or policies providing liability insurance for directors, trustees,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general partners, managing members, officers, employees, agents or fiduciaries of the Company or any other Enterprise, Indemnitee shall be covered by such policy or policies to the same extent as the most favorably-insured persons under such policy or policies in a comparable position.</w:t>
      </w:r>
    </w:p>
    <w:p>
      <w:pPr>
        <w:spacing w:after="0" w:line="170" w:lineRule="exact"/>
        <w:rPr>
          <w:rFonts w:ascii="Times New Roman" w:cs="Times New Roman" w:eastAsia="Times New Roman" w:hAnsi="Times New Roman"/>
          <w:sz w:val="18"/>
          <w:szCs w:val="18"/>
          <w:color w:val="auto"/>
        </w:rPr>
      </w:pPr>
    </w:p>
    <w:p>
      <w:pPr>
        <w:ind w:left="-60" w:right="80" w:firstLine="436"/>
        <w:spacing w:after="0" w:line="268" w:lineRule="auto"/>
        <w:tabs>
          <w:tab w:leader="none" w:pos="65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Subrogation. </w:t>
      </w:r>
      <w:r>
        <w:rPr>
          <w:rFonts w:ascii="Times New Roman" w:cs="Times New Roman" w:eastAsia="Times New Roman" w:hAnsi="Times New Roman"/>
          <w:sz w:val="18"/>
          <w:szCs w:val="18"/>
          <w:color w:val="auto"/>
        </w:rPr>
        <w:t>In the event of any payment under this Agreement, the Company shall be subrogated to the extent of such payment to all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of recovery of Indemnitee, who shall execute all papers required and take all action necessary to secure such rights, including execution of such documents as are necessary to enable the Company to bring suit to enforce such rights.</w:t>
      </w:r>
    </w:p>
    <w:p>
      <w:pPr>
        <w:spacing w:after="0" w:line="170" w:lineRule="exact"/>
        <w:rPr>
          <w:rFonts w:ascii="Times New Roman" w:cs="Times New Roman" w:eastAsia="Times New Roman" w:hAnsi="Times New Roman"/>
          <w:sz w:val="18"/>
          <w:szCs w:val="18"/>
          <w:color w:val="auto"/>
        </w:rPr>
      </w:pPr>
    </w:p>
    <w:p>
      <w:pPr>
        <w:ind w:left="-60" w:right="60" w:firstLine="436"/>
        <w:spacing w:after="0" w:line="255" w:lineRule="auto"/>
        <w:tabs>
          <w:tab w:leader="none" w:pos="65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Services to the Company. </w:t>
      </w:r>
      <w:r>
        <w:rPr>
          <w:rFonts w:ascii="Times New Roman" w:cs="Times New Roman" w:eastAsia="Times New Roman" w:hAnsi="Times New Roman"/>
          <w:sz w:val="18"/>
          <w:szCs w:val="18"/>
          <w:color w:val="auto"/>
        </w:rPr>
        <w:t>Indemnitee agrees to serve as a director or officer of the Company or, at the request of the Company, as a director,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trustee, general partner, managing member, officer, employee, agent or fiduciary of another Enterprise, for so long as Indemnitee is duly elected or appointed or until Indemnitee tenders his or her resignation or is removed from such position. Indemnitee may at any time and for any reason resign from such position (subject to any other contractual obligation or any obligation imposed by operation of law), in which event the Company shall have no obligation under this Agreement to continue Indemnitee in such position. This Agreement shall not be deemed an employment contract between the Company (or any of its subsidiaries or any Enterprise) and Indemnitee. Indemnitee specifically acknowledges that any employment with the Company (or any of its subsidiaries or any Enterprise) is at will, and Indemnitee may be discharged at any time for any reason, with or without cause, with or without notice, except as may be otherwise expressly provided in any executed, written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500" w:top="266" w:right="499" w:bottom="1440" w:gutter="0" w:footer="0" w:header="0"/>
        </w:sectPr>
      </w:pPr>
    </w:p>
    <w:bookmarkStart w:id="398" w:name="page399"/>
    <w:bookmarkEnd w:id="398"/>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employment contract between Indemnitee and the Company (or any of its subsidiaries or any Enterprise), any existing formal severance policies adopted by the Company’s board of directors or, with respect to service as a director or officer of the Company, the Company’s certificate of incorporation or bylaws or the DGCL. No such document shall be subject to any oral modification thereof.</w:t>
      </w:r>
    </w:p>
    <w:p>
      <w:pPr>
        <w:spacing w:after="0" w:line="172" w:lineRule="exact"/>
        <w:rPr>
          <w:sz w:val="20"/>
          <w:szCs w:val="20"/>
          <w:color w:val="auto"/>
        </w:rPr>
      </w:pPr>
    </w:p>
    <w:p>
      <w:pPr>
        <w:ind w:right="100" w:firstLine="436"/>
        <w:spacing w:after="0" w:line="259" w:lineRule="auto"/>
        <w:tabs>
          <w:tab w:leader="none" w:pos="71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Duration. </w:t>
      </w:r>
      <w:r>
        <w:rPr>
          <w:rFonts w:ascii="Times New Roman" w:cs="Times New Roman" w:eastAsia="Times New Roman" w:hAnsi="Times New Roman"/>
          <w:sz w:val="18"/>
          <w:szCs w:val="18"/>
          <w:color w:val="auto"/>
        </w:rPr>
        <w:t>This Agreement shall continue until and terminate upon the later of (a) ten years after the date that Indemnitee shall have ceased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serve as a director or officer of the Company or as a director, trustee, general partner, managing member, officer, employee, agent or fiduciary of any other Enterprise, as applicable; or (b) one year after the final termination of any Proceeding, including any appeal, then pending in respect of which Indemnitee is granted rights of indemnification or advancement of Expenses hereunder and of any proceeding commenced by Indemnitee pursuant to Section 12 of this Agreement relating thereto.</w:t>
      </w:r>
    </w:p>
    <w:p>
      <w:pPr>
        <w:spacing w:after="0" w:line="179" w:lineRule="exact"/>
        <w:rPr>
          <w:rFonts w:ascii="Times New Roman" w:cs="Times New Roman" w:eastAsia="Times New Roman" w:hAnsi="Times New Roman"/>
          <w:sz w:val="18"/>
          <w:szCs w:val="18"/>
          <w:color w:val="auto"/>
        </w:rPr>
      </w:pPr>
    </w:p>
    <w:p>
      <w:pPr>
        <w:ind w:right="100" w:firstLine="436"/>
        <w:spacing w:after="0" w:line="257" w:lineRule="auto"/>
        <w:tabs>
          <w:tab w:leader="none" w:pos="71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Successors. </w:t>
      </w:r>
      <w:r>
        <w:rPr>
          <w:rFonts w:ascii="Times New Roman" w:cs="Times New Roman" w:eastAsia="Times New Roman" w:hAnsi="Times New Roman"/>
          <w:sz w:val="18"/>
          <w:szCs w:val="18"/>
          <w:color w:val="auto"/>
        </w:rPr>
        <w:t>This Agreement shall be binding upon the Company and its successors and assigns, including any direct or indirect successor,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merger, consolidation or otherwise, to all or substantially all of the business or assets of the Company, and shall inure to the benefit of Indemnitee and Indemnitee’s heirs, executors and administrators. The Company shall require and cause any successor (whether direct or indirect by purchase, merger, consolidation or otherwise) to all or substantially all of the business or assets of the Company, by written agreement, expressly to assume and agree to perform this Agreement in the same manner and to the same extent that the Company would be required to perform if no such succession had taken place.</w:t>
      </w:r>
    </w:p>
    <w:p>
      <w:pPr>
        <w:spacing w:after="0" w:line="182" w:lineRule="exact"/>
        <w:rPr>
          <w:rFonts w:ascii="Times New Roman" w:cs="Times New Roman" w:eastAsia="Times New Roman" w:hAnsi="Times New Roman"/>
          <w:sz w:val="18"/>
          <w:szCs w:val="18"/>
          <w:color w:val="auto"/>
        </w:rPr>
      </w:pPr>
    </w:p>
    <w:p>
      <w:pPr>
        <w:ind w:right="120" w:firstLine="436"/>
        <w:spacing w:after="0" w:line="254" w:lineRule="auto"/>
        <w:tabs>
          <w:tab w:leader="none" w:pos="71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Severability. </w:t>
      </w:r>
      <w:r>
        <w:rPr>
          <w:rFonts w:ascii="Times New Roman" w:cs="Times New Roman" w:eastAsia="Times New Roman" w:hAnsi="Times New Roman"/>
          <w:sz w:val="18"/>
          <w:szCs w:val="18"/>
          <w:color w:val="auto"/>
        </w:rPr>
        <w:t>Nothing in this Agreement is intended to require or shall be construed as requiring the Company to do or fail to do any act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violation of applicable law. The Company’s inability, pursuant to court order or other applicable law, to perform its obligations under this Agreement shall not constitute a breach of this Agreement. If any provision or provisions of this Agreement shall be held to be invalid, illegal or unenforceable for any reason whatsoever: (i) the validity, legality and enforceability of the remaining provisions of this Agreement (including without limitation, each portion of any section of this Agreement containing any such provision held to be invalid, illegal or unenforceable, that is not itself invalid, illegal or unenforceable) shall not in any way be affected or impaired thereby and shall remain enforceable to the fullest extent permitted by law; (ii) such provision or provisions shall be deemed reformed to the extent necessary to conform to applicable law and to give the maximum effect to the intent of the parties hereto; and (iii) to the fullest extent possible, the provisions of this Agreement (including, without limitation, each portion of any section of this Agreement containing any such provision held to be invalid, illegal or unenforceable, that is not itself invalid, illegal or unenforceable) shall be construed so as to give effect to the intent manifested thereby.</w:t>
      </w:r>
    </w:p>
    <w:p>
      <w:pPr>
        <w:spacing w:after="0" w:line="185" w:lineRule="exact"/>
        <w:rPr>
          <w:rFonts w:ascii="Times New Roman" w:cs="Times New Roman" w:eastAsia="Times New Roman" w:hAnsi="Times New Roman"/>
          <w:sz w:val="18"/>
          <w:szCs w:val="18"/>
          <w:color w:val="auto"/>
        </w:rPr>
      </w:pPr>
    </w:p>
    <w:p>
      <w:pPr>
        <w:ind w:right="60" w:firstLine="436"/>
        <w:spacing w:after="0" w:line="268" w:lineRule="auto"/>
        <w:tabs>
          <w:tab w:leader="none" w:pos="71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Enforcement. </w:t>
      </w:r>
      <w:r>
        <w:rPr>
          <w:rFonts w:ascii="Times New Roman" w:cs="Times New Roman" w:eastAsia="Times New Roman" w:hAnsi="Times New Roman"/>
          <w:sz w:val="18"/>
          <w:szCs w:val="18"/>
          <w:color w:val="auto"/>
        </w:rPr>
        <w:t>The Company expressly confirms and agrees that it has entered into this Agreement and assumed the obligations imposed on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in order to induce Indemnitee to serve as a director or officer of the Company, and the Company acknowledges that Indemnitee is relying upon this Agreement in serving as a director or officer of the Company.</w:t>
      </w:r>
    </w:p>
    <w:p>
      <w:pPr>
        <w:spacing w:after="0" w:line="170" w:lineRule="exact"/>
        <w:rPr>
          <w:rFonts w:ascii="Times New Roman" w:cs="Times New Roman" w:eastAsia="Times New Roman" w:hAnsi="Times New Roman"/>
          <w:sz w:val="18"/>
          <w:szCs w:val="18"/>
          <w:color w:val="auto"/>
        </w:rPr>
      </w:pPr>
    </w:p>
    <w:p>
      <w:pPr>
        <w:ind w:right="160" w:firstLine="436"/>
        <w:spacing w:after="0" w:line="262" w:lineRule="auto"/>
        <w:tabs>
          <w:tab w:leader="none" w:pos="71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Entire Agreement. </w:t>
      </w:r>
      <w:r>
        <w:rPr>
          <w:rFonts w:ascii="Times New Roman" w:cs="Times New Roman" w:eastAsia="Times New Roman" w:hAnsi="Times New Roman"/>
          <w:sz w:val="18"/>
          <w:szCs w:val="18"/>
          <w:color w:val="auto"/>
        </w:rPr>
        <w:t>This Agreement constitutes the entire agreement between the parties hereto with respect to the subject matter hereof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supersedes all prior agreements and understandings, oral, written and implied, between the parties hereto with respect to the subject matter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this Agreement is a supplement to and in furtherance of the Company’s certificate of incorporation and bylaws and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w:t>
      </w:r>
    </w:p>
    <w:p>
      <w:pPr>
        <w:spacing w:after="0" w:line="176" w:lineRule="exact"/>
        <w:rPr>
          <w:rFonts w:ascii="Times New Roman" w:cs="Times New Roman" w:eastAsia="Times New Roman" w:hAnsi="Times New Roman"/>
          <w:sz w:val="18"/>
          <w:szCs w:val="18"/>
          <w:color w:val="auto"/>
        </w:rPr>
      </w:pPr>
    </w:p>
    <w:p>
      <w:pPr>
        <w:jc w:val="both"/>
        <w:ind w:right="160" w:firstLine="436"/>
        <w:spacing w:after="0" w:line="268" w:lineRule="auto"/>
        <w:tabs>
          <w:tab w:leader="none" w:pos="71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Modification and Waiver. </w:t>
      </w:r>
      <w:r>
        <w:rPr>
          <w:rFonts w:ascii="Times New Roman" w:cs="Times New Roman" w:eastAsia="Times New Roman" w:hAnsi="Times New Roman"/>
          <w:sz w:val="18"/>
          <w:szCs w:val="18"/>
          <w:color w:val="auto"/>
        </w:rPr>
        <w:t>No supplement, modification or amendment to this Agreement shall be binding unless executed in writing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hereto. No amendment, alteration or repeal of this Agreement shall adversely affect any right of Indemnitee under this Agreement in respect of any action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399" w:name="page400"/>
    <w:bookmarkEnd w:id="399"/>
    <w:p>
      <w:pPr>
        <w:ind w:left="4" w:right="1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taken or omitted by such Indemnitee in his or her Corporate Status prior to such amendment, alteration or repeal. No waiver of any of the provisions of this Agreement shall constitute or be deemed a waiver of any other provision of this Agreement nor shall any waiver constitute a continuing waiver.</w:t>
      </w:r>
    </w:p>
    <w:p>
      <w:pPr>
        <w:spacing w:after="0" w:line="136" w:lineRule="exact"/>
        <w:rPr>
          <w:sz w:val="20"/>
          <w:szCs w:val="20"/>
          <w:color w:val="auto"/>
        </w:rPr>
      </w:pPr>
    </w:p>
    <w:p>
      <w:pPr>
        <w:ind w:left="4" w:right="600" w:firstLine="436"/>
        <w:spacing w:after="0" w:line="286" w:lineRule="auto"/>
        <w:tabs>
          <w:tab w:leader="none" w:pos="714"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All notices and other communications required or permitted hereunder shall be in writing and shall be mailed by registered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certified mail, postage prepaid, sent by facsimile or electronic mail or otherwise delivered by hand, messenger or courier service addressed:</w:t>
      </w:r>
    </w:p>
    <w:p>
      <w:pPr>
        <w:spacing w:after="0" w:line="158" w:lineRule="exact"/>
        <w:rPr>
          <w:rFonts w:ascii="Times New Roman" w:cs="Times New Roman" w:eastAsia="Times New Roman" w:hAnsi="Times New Roman"/>
          <w:sz w:val="18"/>
          <w:szCs w:val="18"/>
          <w:color w:val="auto"/>
        </w:rPr>
      </w:pPr>
    </w:p>
    <w:p>
      <w:pPr>
        <w:ind w:left="4" w:right="800" w:firstLine="987"/>
        <w:spacing w:after="0" w:line="282" w:lineRule="auto"/>
        <w:tabs>
          <w:tab w:leader="none" w:pos="124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Indemnitee, to Indemnitee’s address, facsimile number or electronic mail address as shown on the signature page of this Agreement or in the Company’s records, as may be updated in accordance with the provisions hereof; or</w:t>
      </w:r>
    </w:p>
    <w:p>
      <w:pPr>
        <w:spacing w:after="0" w:line="161" w:lineRule="exact"/>
        <w:rPr>
          <w:rFonts w:ascii="Times New Roman" w:cs="Times New Roman" w:eastAsia="Times New Roman" w:hAnsi="Times New Roman"/>
          <w:sz w:val="18"/>
          <w:szCs w:val="18"/>
          <w:color w:val="auto"/>
        </w:rPr>
      </w:pPr>
    </w:p>
    <w:p>
      <w:pPr>
        <w:ind w:left="4" w:firstLine="987"/>
        <w:spacing w:after="0" w:line="266" w:lineRule="auto"/>
        <w:tabs>
          <w:tab w:leader="none" w:pos="125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Company, to the attention of the Chief Executive Officer or Chief Financial Officer of the Company at 240 E. Grand Ave, 2nd Floor, South San Francisco, CA 94080, or at such other current address as the Company shall have furnished to Indemnitee, with a copy (which shall not constitute notice) to Kenneth Clark, Wilson Sonsini Goodrich &amp; Rosati, P.C., 650 Page Mill Road, Palo Alto, CA 94304.</w:t>
      </w:r>
    </w:p>
    <w:p>
      <w:pPr>
        <w:spacing w:after="0" w:line="176"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Each such notice or other communication shall for all purposes of this Agreement be treated as effective or having been given (i) if delivered by hand, messenger or courier service, when delivered (or if sent </w:t>
      </w:r>
      <w:r>
        <w:rPr>
          <w:rFonts w:ascii="Times New Roman" w:cs="Times New Roman" w:eastAsia="Times New Roman" w:hAnsi="Times New Roman"/>
          <w:sz w:val="18"/>
          <w:szCs w:val="18"/>
          <w:i w:val="1"/>
          <w:iCs w:val="1"/>
          <w:color w:val="auto"/>
        </w:rPr>
        <w:t>via</w:t>
      </w:r>
      <w:r>
        <w:rPr>
          <w:rFonts w:ascii="Times New Roman" w:cs="Times New Roman" w:eastAsia="Times New Roman" w:hAnsi="Times New Roman"/>
          <w:sz w:val="18"/>
          <w:szCs w:val="18"/>
          <w:color w:val="auto"/>
        </w:rPr>
        <w:t xml:space="preserve"> a nationally-recognized overnight courier service, freight prepaid, specifying next-business-day delivery, one business day after deposit with the courier), (ii) if sent </w:t>
      </w:r>
      <w:r>
        <w:rPr>
          <w:rFonts w:ascii="Times New Roman" w:cs="Times New Roman" w:eastAsia="Times New Roman" w:hAnsi="Times New Roman"/>
          <w:sz w:val="18"/>
          <w:szCs w:val="18"/>
          <w:i w:val="1"/>
          <w:iCs w:val="1"/>
          <w:color w:val="auto"/>
        </w:rPr>
        <w:t>via</w:t>
      </w:r>
      <w:r>
        <w:rPr>
          <w:rFonts w:ascii="Times New Roman" w:cs="Times New Roman" w:eastAsia="Times New Roman" w:hAnsi="Times New Roman"/>
          <w:sz w:val="18"/>
          <w:szCs w:val="18"/>
          <w:color w:val="auto"/>
        </w:rPr>
        <w:t xml:space="preserve"> mail, at the earlier of its receipt or five days after the same has been deposited in a regularly-maintained receptacle for the deposit of the United States mail, addressed and mailed as aforesaid, or (iii) if sent </w:t>
      </w:r>
      <w:r>
        <w:rPr>
          <w:rFonts w:ascii="Times New Roman" w:cs="Times New Roman" w:eastAsia="Times New Roman" w:hAnsi="Times New Roman"/>
          <w:sz w:val="18"/>
          <w:szCs w:val="18"/>
          <w:i w:val="1"/>
          <w:iCs w:val="1"/>
          <w:color w:val="auto"/>
        </w:rPr>
        <w:t>via</w:t>
      </w:r>
      <w:r>
        <w:rPr>
          <w:rFonts w:ascii="Times New Roman" w:cs="Times New Roman" w:eastAsia="Times New Roman" w:hAnsi="Times New Roman"/>
          <w:sz w:val="18"/>
          <w:szCs w:val="18"/>
          <w:color w:val="auto"/>
        </w:rPr>
        <w:t xml:space="preserve"> facsimile, upon confirmation of facsimile transfer or, if sent </w:t>
      </w:r>
      <w:r>
        <w:rPr>
          <w:rFonts w:ascii="Times New Roman" w:cs="Times New Roman" w:eastAsia="Times New Roman" w:hAnsi="Times New Roman"/>
          <w:sz w:val="18"/>
          <w:szCs w:val="18"/>
          <w:i w:val="1"/>
          <w:iCs w:val="1"/>
          <w:color w:val="auto"/>
        </w:rPr>
        <w:t>via</w:t>
      </w:r>
      <w:r>
        <w:rPr>
          <w:rFonts w:ascii="Times New Roman" w:cs="Times New Roman" w:eastAsia="Times New Roman" w:hAnsi="Times New Roman"/>
          <w:sz w:val="18"/>
          <w:szCs w:val="18"/>
          <w:color w:val="auto"/>
        </w:rPr>
        <w:t xml:space="preserve"> electronic mail, upon confirmation of delivery when directed to the relevant electronic mail address, if sent during normal business hours of the recipient, or if not sent during normal business hours of the recipient, then on the recipient’s next business day.</w:t>
      </w:r>
    </w:p>
    <w:p>
      <w:pPr>
        <w:spacing w:after="0" w:line="185" w:lineRule="exact"/>
        <w:rPr>
          <w:sz w:val="20"/>
          <w:szCs w:val="20"/>
          <w:color w:val="auto"/>
        </w:rPr>
      </w:pPr>
    </w:p>
    <w:p>
      <w:pPr>
        <w:ind w:left="4" w:right="60" w:firstLine="436"/>
        <w:spacing w:after="0" w:line="253" w:lineRule="auto"/>
        <w:tabs>
          <w:tab w:leader="none" w:pos="714" w:val="left"/>
        </w:tabs>
        <w:numPr>
          <w:ilvl w:val="1"/>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Applicable Law and Consent to Jurisdiction. </w:t>
      </w:r>
      <w:r>
        <w:rPr>
          <w:rFonts w:ascii="Times New Roman" w:cs="Times New Roman" w:eastAsia="Times New Roman" w:hAnsi="Times New Roman"/>
          <w:sz w:val="18"/>
          <w:szCs w:val="18"/>
          <w:color w:val="auto"/>
        </w:rPr>
        <w:t>This Agreement and the legal relations among the parties shall be governed by, and construed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enforced in accordance with, the laws of the State of Delaware, without regard to its conflict of laws rules. Except with respect to any arbitration commenced by Indemnitee pursuant to Section 12(a) of this Agreement, the Company and Indemnitee hereby irrevocably and unconditionally (i) agree that any action or proceeding arising out of or in connection with this Agreement shall be brought only in the Delaware Court of Chancery, and not in any other state or federal court in the United States of America or any court in any other country, (ii) consent to submit to the exclusive jurisdiction of the Delaware Court of Chancery for purposes of any action or proceeding arising out of or in connection with this Agreement, (iii) appoint, to the extent such party is not otherwise subject to service of process in the State of Delaware, The Corporation Trust Company, 1209 Orange Street, in the City of Wilmington, County of New Castle, Delaware 19801, as its agent in the State of Delaware as such party’s agent for acceptance of legal process in connection with any such action or proceeding against such party with the same legal force and validity as if served upon such party personally within the State of Delaware, (iv) waive any objection to the laying of venue of any such action or proceeding in the Delaware Court of Chancery, and</w:t>
      </w:r>
    </w:p>
    <w:p>
      <w:pPr>
        <w:ind w:left="4" w:right="60" w:hanging="4"/>
        <w:spacing w:after="0" w:line="260" w:lineRule="auto"/>
        <w:tabs>
          <w:tab w:leader="none" w:pos="259"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and agree not to plead or to make, any claim that any such action or proceeding brought in the Delaware Court of Chancery has been brought in an improper or inconvenient forum.</w:t>
      </w:r>
    </w:p>
    <w:p>
      <w:pPr>
        <w:spacing w:after="0" w:line="177" w:lineRule="exact"/>
        <w:rPr>
          <w:rFonts w:ascii="Times New Roman" w:cs="Times New Roman" w:eastAsia="Times New Roman" w:hAnsi="Times New Roman"/>
          <w:sz w:val="18"/>
          <w:szCs w:val="18"/>
          <w:color w:val="auto"/>
        </w:rPr>
      </w:pPr>
    </w:p>
    <w:p>
      <w:pPr>
        <w:ind w:left="4" w:right="20" w:firstLine="436"/>
        <w:spacing w:after="0" w:line="282" w:lineRule="auto"/>
        <w:tabs>
          <w:tab w:leader="none" w:pos="714" w:val="left"/>
        </w:tabs>
        <w:numPr>
          <w:ilvl w:val="1"/>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Counterparts. </w:t>
      </w:r>
      <w:r>
        <w:rPr>
          <w:rFonts w:ascii="Times New Roman" w:cs="Times New Roman" w:eastAsia="Times New Roman" w:hAnsi="Times New Roman"/>
          <w:sz w:val="17"/>
          <w:szCs w:val="17"/>
          <w:color w:val="auto"/>
        </w:rPr>
        <w:t>This Agreement may be executed in one or more counterparts, each of which shall for all purposes be deemed to be an original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but all of which together shall constitute one and the same Agreement. This Agreement may also be executed and delivered by facsimile signature and in counterparts, 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400" w:name="page401"/>
    <w:bookmarkEnd w:id="400"/>
    <w:p>
      <w:pPr>
        <w:ind w:left="-240" w:firstLine="436"/>
        <w:spacing w:after="0" w:line="286" w:lineRule="auto"/>
        <w:tabs>
          <w:tab w:leader="none" w:pos="470"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Captions. </w:t>
      </w:r>
      <w:r>
        <w:rPr>
          <w:rFonts w:ascii="Times New Roman" w:cs="Times New Roman" w:eastAsia="Times New Roman" w:hAnsi="Times New Roman"/>
          <w:sz w:val="18"/>
          <w:szCs w:val="18"/>
          <w:color w:val="auto"/>
        </w:rPr>
        <w:t>The headings of the paragraphs of this Agreement are inserted for convenience only and shall not be deemed to constitute part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or to affect the construction thereof.</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20"/>
          </w:cols>
          <w:pgMar w:left="680" w:top="266" w:right="699" w:bottom="1440" w:gutter="0" w:footer="0" w:header="0"/>
        </w:sectPr>
      </w:pPr>
    </w:p>
    <w:bookmarkStart w:id="401" w:name="page402"/>
    <w:bookmarkEnd w:id="40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parties are signing this Indemnification Agreement as of the date stated in the introductory sentence.</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294005</wp:posOffset>
            </wp:positionV>
            <wp:extent cx="279463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292735</wp:posOffset>
            </wp:positionV>
            <wp:extent cx="2794635"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Print name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292735</wp:posOffset>
            </wp:positionV>
            <wp:extent cx="2794635"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81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Title</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INSERT INDEMNITEE NAME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294005</wp:posOffset>
            </wp:positionV>
            <wp:extent cx="279463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292735</wp:posOffset>
            </wp:positionV>
            <wp:extent cx="2794635"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Print name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292735</wp:posOffset>
            </wp:positionV>
            <wp:extent cx="2794635"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8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Street address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292735</wp:posOffset>
            </wp:positionV>
            <wp:extent cx="279463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ind w:right="4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City, State and ZIP</w:t>
      </w:r>
      <w:r>
        <w:rPr>
          <w:rFonts w:ascii="Times New Roman" w:cs="Times New Roman" w:eastAsia="Times New Roman" w:hAnsi="Times New Roman"/>
          <w:sz w:val="18"/>
          <w:szCs w:val="18"/>
          <w:color w:val="auto"/>
        </w:rPr>
        <w:t>)</w:t>
      </w:r>
    </w:p>
    <w:p>
      <w:pPr>
        <w:sectPr>
          <w:pgSz w:w="11900" w:h="16838" w:orient="portrait"/>
          <w:cols w:equalWidth="0" w:num="1">
            <w:col w:w="9579"/>
          </w:cols>
          <w:pgMar w:left="880" w:top="270" w:right="1440" w:bottom="1440" w:gutter="0" w:footer="0" w:header="0"/>
        </w:sectPr>
      </w:pPr>
    </w:p>
    <w:bookmarkStart w:id="402" w:name="page403"/>
    <w:bookmarkEnd w:id="402"/>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2013 EQUITY INCENTIVE PLAN</w:t>
      </w:r>
    </w:p>
    <w:p>
      <w:pPr>
        <w:spacing w:after="0" w:line="229" w:lineRule="exact"/>
        <w:rPr>
          <w:sz w:val="20"/>
          <w:szCs w:val="20"/>
          <w:color w:val="auto"/>
        </w:rPr>
      </w:pPr>
    </w:p>
    <w:p>
      <w:pPr>
        <w:ind w:left="620" w:hanging="184"/>
        <w:spacing w:after="0"/>
        <w:tabs>
          <w:tab w:leader="none" w:pos="620"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Purposes of the Plan</w:t>
      </w:r>
      <w:r>
        <w:rPr>
          <w:rFonts w:ascii="Times New Roman" w:cs="Times New Roman" w:eastAsia="Times New Roman" w:hAnsi="Times New Roman"/>
          <w:sz w:val="18"/>
          <w:szCs w:val="18"/>
          <w:color w:val="auto"/>
        </w:rPr>
        <w:t>. The purposes of this Plan are:</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attract and retain the best available personnel for positions of substantial responsibility,</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additional incentive to Employees, Directors and Consultants, and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promote the success of the Company’s business.</w:t>
      </w:r>
    </w:p>
    <w:p>
      <w:pPr>
        <w:spacing w:after="0" w:line="225"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The Plan permits the grant of Incentive Stock Options, Nonstatutory Stock Options, Stock Appreciation Rights, Restricted Stock and Restricted Stock Units.</w:t>
      </w:r>
    </w:p>
    <w:p>
      <w:pPr>
        <w:spacing w:after="0" w:line="162" w:lineRule="exact"/>
        <w:rPr>
          <w:sz w:val="20"/>
          <w:szCs w:val="20"/>
          <w:color w:val="auto"/>
        </w:rPr>
      </w:pPr>
    </w:p>
    <w:p>
      <w:pPr>
        <w:ind w:left="620" w:hanging="184"/>
        <w:spacing w:after="0"/>
        <w:tabs>
          <w:tab w:leader="none" w:pos="620"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herein, the following definitions will apply:</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means the Board or any of its Committees as will be administering the Plan, in accordance with Section 4 of the Plan.</w:t>
      </w:r>
    </w:p>
    <w:p>
      <w:pPr>
        <w:spacing w:after="0" w:line="225" w:lineRule="exact"/>
        <w:rPr>
          <w:rFonts w:ascii="Times New Roman" w:cs="Times New Roman" w:eastAsia="Times New Roman" w:hAnsi="Times New Roman"/>
          <w:sz w:val="18"/>
          <w:szCs w:val="18"/>
          <w:color w:val="auto"/>
        </w:rPr>
      </w:pPr>
    </w:p>
    <w:p>
      <w:pPr>
        <w:ind w:right="100" w:firstLine="987"/>
        <w:spacing w:after="0" w:line="266" w:lineRule="auto"/>
        <w:tabs>
          <w:tab w:leader="none" w:pos="1246"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w:t>
      </w:r>
    </w:p>
    <w:p>
      <w:pPr>
        <w:spacing w:after="0" w:line="175" w:lineRule="exact"/>
        <w:rPr>
          <w:rFonts w:ascii="Times New Roman" w:cs="Times New Roman" w:eastAsia="Times New Roman" w:hAnsi="Times New Roman"/>
          <w:sz w:val="18"/>
          <w:szCs w:val="18"/>
          <w:color w:val="auto"/>
        </w:rPr>
      </w:pPr>
    </w:p>
    <w:p>
      <w:pPr>
        <w:ind w:right="640" w:firstLine="987"/>
        <w:spacing w:after="0" w:line="282" w:lineRule="auto"/>
        <w:tabs>
          <w:tab w:leader="none" w:pos="1236"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individually or collectively, a grant under the Plan of Options, Stock Appreciation Rights, Restricted Stock, or Restricted Stock Units.</w:t>
      </w:r>
    </w:p>
    <w:p>
      <w:pPr>
        <w:spacing w:after="0" w:line="161" w:lineRule="exact"/>
        <w:rPr>
          <w:rFonts w:ascii="Times New Roman" w:cs="Times New Roman" w:eastAsia="Times New Roman" w:hAnsi="Times New Roman"/>
          <w:sz w:val="18"/>
          <w:szCs w:val="18"/>
          <w:color w:val="auto"/>
        </w:rPr>
      </w:pPr>
    </w:p>
    <w:p>
      <w:pPr>
        <w:ind w:right="60" w:firstLine="987"/>
        <w:spacing w:after="0" w:line="282" w:lineRule="auto"/>
        <w:tabs>
          <w:tab w:leader="none" w:pos="1246"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ectPr>
          <w:pgSz w:w="11900" w:h="16838" w:orient="portrait"/>
          <w:cols w:equalWidth="0" w:num="1">
            <w:col w:w="11020"/>
          </w:cols>
          <w:pgMar w:left="440" w:top="117" w:right="439" w:bottom="1440" w:gutter="0" w:footer="0" w:header="0"/>
        </w:sectPr>
      </w:pPr>
    </w:p>
    <w:bookmarkStart w:id="403" w:name="page404"/>
    <w:bookmarkEnd w:id="403"/>
    <w:p>
      <w:pPr>
        <w:ind w:left="1220" w:hanging="233"/>
        <w:spacing w:after="0"/>
        <w:tabs>
          <w:tab w:leader="none" w:pos="122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occurrence of any of the following events:</w:t>
      </w:r>
    </w:p>
    <w:p>
      <w:pPr>
        <w:spacing w:after="0" w:line="225" w:lineRule="exact"/>
        <w:rPr>
          <w:rFonts w:ascii="Times New Roman" w:cs="Times New Roman" w:eastAsia="Times New Roman" w:hAnsi="Times New Roman"/>
          <w:sz w:val="18"/>
          <w:szCs w:val="18"/>
          <w:color w:val="auto"/>
        </w:rPr>
      </w:pPr>
    </w:p>
    <w:p>
      <w:pPr>
        <w:jc w:val="both"/>
        <w:ind w:right="20" w:firstLine="1428"/>
        <w:spacing w:after="0" w:line="261" w:lineRule="auto"/>
        <w:tabs>
          <w:tab w:leader="none" w:pos="1647"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Ownership of the Company</w:t>
      </w:r>
      <w:r>
        <w:rPr>
          <w:rFonts w:ascii="Times New Roman" w:cs="Times New Roman" w:eastAsia="Times New Roman" w:hAnsi="Times New Roman"/>
          <w:sz w:val="18"/>
          <w:szCs w:val="18"/>
          <w:color w:val="auto"/>
        </w:rPr>
        <w:t>. A change in the ownership of the Company which occurs on the date that any one person, or more than one person acting as a group (“Person”), acquires ownership of the stock of the Company that, together with the stock held by such Person, constitutes more than 50% of the total voting power of the stock of the Company, except that any change in the ownership of the stock of the Company as a result of a private financing of the Company that is approved by the Board will not be considered a Change in Control; or</w:t>
      </w:r>
    </w:p>
    <w:p>
      <w:pPr>
        <w:spacing w:after="0" w:line="179" w:lineRule="exact"/>
        <w:rPr>
          <w:rFonts w:ascii="Times New Roman" w:cs="Times New Roman" w:eastAsia="Times New Roman" w:hAnsi="Times New Roman"/>
          <w:sz w:val="18"/>
          <w:szCs w:val="18"/>
          <w:color w:val="auto"/>
        </w:rPr>
      </w:pPr>
    </w:p>
    <w:p>
      <w:pPr>
        <w:ind w:right="40" w:firstLine="1428"/>
        <w:spacing w:after="0" w:line="258" w:lineRule="auto"/>
        <w:tabs>
          <w:tab w:leader="none" w:pos="1697"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Effective Control of the Company</w:t>
      </w:r>
      <w:r>
        <w:rPr>
          <w:rFonts w:ascii="Times New Roman" w:cs="Times New Roman" w:eastAsia="Times New Roman" w:hAnsi="Times New Roman"/>
          <w:sz w:val="18"/>
          <w:szCs w:val="18"/>
          <w:color w:val="auto"/>
        </w:rPr>
        <w:t>. If the Company has a class of securities registered pursuant to Section 12 of the 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183" w:lineRule="exact"/>
        <w:rPr>
          <w:rFonts w:ascii="Times New Roman" w:cs="Times New Roman" w:eastAsia="Times New Roman" w:hAnsi="Times New Roman"/>
          <w:sz w:val="18"/>
          <w:szCs w:val="18"/>
          <w:color w:val="auto"/>
        </w:rPr>
      </w:pPr>
    </w:p>
    <w:p>
      <w:pPr>
        <w:ind w:firstLine="1428"/>
        <w:spacing w:after="0" w:line="256" w:lineRule="auto"/>
        <w:tabs>
          <w:tab w:leader="none" w:pos="1747" w:val="left"/>
        </w:tabs>
        <w:numPr>
          <w:ilvl w:val="1"/>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Ownership of a Substantial Portion of the Company’s Assets</w:t>
      </w:r>
      <w:r>
        <w:rPr>
          <w:rFonts w:ascii="Times New Roman" w:cs="Times New Roman" w:eastAsia="Times New Roman" w:hAnsi="Times New Roman"/>
          <w:sz w:val="18"/>
          <w:szCs w:val="18"/>
          <w:color w:val="auto"/>
        </w:rPr>
        <w:t>. 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For purposes of this subsection (iii), gross fair market value means the value of the assets of the Company, or the value of the assets being disposed of, determined without regard to any liabilities associated with such assets.</w:t>
      </w:r>
    </w:p>
    <w:p>
      <w:pPr>
        <w:spacing w:after="0" w:line="187" w:lineRule="exact"/>
        <w:rPr>
          <w:sz w:val="20"/>
          <w:szCs w:val="20"/>
          <w:color w:val="auto"/>
        </w:rPr>
      </w:pPr>
    </w:p>
    <w:p>
      <w:pPr>
        <w:ind w:right="240" w:firstLine="1432"/>
        <w:spacing w:after="0" w:line="282" w:lineRule="auto"/>
        <w:rPr>
          <w:sz w:val="20"/>
          <w:szCs w:val="20"/>
          <w:color w:val="auto"/>
        </w:rPr>
      </w:pPr>
      <w:r>
        <w:rPr>
          <w:rFonts w:ascii="Times New Roman" w:cs="Times New Roman" w:eastAsia="Times New Roman" w:hAnsi="Times New Roman"/>
          <w:sz w:val="18"/>
          <w:szCs w:val="18"/>
          <w:color w:val="auto"/>
        </w:rPr>
        <w:t>For purposes of this Section 2(f), persons will be considered to be acting as a group if they are owners of a corporation that enters into a merger, consolidation, purchase or acquisition of stock, or similar business transaction with the Company.</w:t>
      </w:r>
    </w:p>
    <w:p>
      <w:pPr>
        <w:spacing w:after="0" w:line="162" w:lineRule="exact"/>
        <w:rPr>
          <w:sz w:val="20"/>
          <w:szCs w:val="20"/>
          <w:color w:val="auto"/>
        </w:rPr>
      </w:pPr>
    </w:p>
    <w:p>
      <w:pPr>
        <w:ind w:right="120" w:firstLine="1432"/>
        <w:spacing w:after="0" w:line="266"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76" w:lineRule="exact"/>
        <w:rPr>
          <w:sz w:val="20"/>
          <w:szCs w:val="20"/>
          <w:color w:val="auto"/>
        </w:rPr>
      </w:pPr>
    </w:p>
    <w:p>
      <w:pPr>
        <w:ind w:right="200" w:firstLine="1432"/>
        <w:spacing w:after="0" w:line="266" w:lineRule="auto"/>
        <w:rPr>
          <w:sz w:val="20"/>
          <w:szCs w:val="20"/>
          <w:color w:val="auto"/>
        </w:rPr>
      </w:pPr>
      <w:r>
        <w:rPr>
          <w:rFonts w:ascii="Times New Roman" w:cs="Times New Roman" w:eastAsia="Times New Roman" w:hAnsi="Times New Roman"/>
          <w:sz w:val="18"/>
          <w:szCs w:val="18"/>
          <w:color w:val="auto"/>
        </w:rPr>
        <w:t>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404" w:name="page405"/>
    <w:bookmarkEnd w:id="404"/>
    <w:p>
      <w:pPr>
        <w:ind w:right="260" w:firstLine="987"/>
        <w:spacing w:after="0" w:line="282" w:lineRule="auto"/>
        <w:tabs>
          <w:tab w:leader="none" w:pos="1246"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Any reference to a section of the Code herein will be a reference to any successor or amended section of the Code.</w:t>
      </w:r>
    </w:p>
    <w:p>
      <w:pPr>
        <w:spacing w:after="0" w:line="161" w:lineRule="exact"/>
        <w:rPr>
          <w:rFonts w:ascii="Times New Roman" w:cs="Times New Roman" w:eastAsia="Times New Roman" w:hAnsi="Times New Roman"/>
          <w:sz w:val="18"/>
          <w:szCs w:val="18"/>
          <w:color w:val="auto"/>
        </w:rPr>
      </w:pPr>
    </w:p>
    <w:p>
      <w:pPr>
        <w:ind w:right="300" w:firstLine="987"/>
        <w:spacing w:after="0" w:line="282" w:lineRule="auto"/>
        <w:tabs>
          <w:tab w:leader="none" w:pos="1246"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 committee of Directors or of other individuals satisfying Applicable Laws appointed by the Board, or by the compensation committee of the Board, in accordance with Section 4 hereof.</w:t>
      </w:r>
    </w:p>
    <w:p>
      <w:pPr>
        <w:spacing w:after="0" w:line="161"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PMV Pharmaceuticals, Inc., a Delaware corporation, or any successor thereto.</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person, including an advisor, engaged by the Company or a Parent or Subsidiary to render services to such</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entity.</w:t>
      </w:r>
    </w:p>
    <w:p>
      <w:pPr>
        <w:spacing w:after="0" w:line="206"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color w:val="auto"/>
        </w:rPr>
      </w:pPr>
    </w:p>
    <w:p>
      <w:pPr>
        <w:jc w:val="both"/>
        <w:ind w:right="100" w:firstLine="987"/>
        <w:spacing w:after="0" w:line="266" w:lineRule="auto"/>
        <w:tabs>
          <w:tab w:leader="none" w:pos="1296"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75" w:lineRule="exact"/>
        <w:rPr>
          <w:rFonts w:ascii="Times New Roman" w:cs="Times New Roman" w:eastAsia="Times New Roman" w:hAnsi="Times New Roman"/>
          <w:sz w:val="18"/>
          <w:szCs w:val="18"/>
          <w:color w:val="auto"/>
        </w:rPr>
      </w:pPr>
    </w:p>
    <w:p>
      <w:pPr>
        <w:ind w:right="60" w:firstLine="987"/>
        <w:spacing w:after="0" w:line="312" w:lineRule="auto"/>
        <w:tabs>
          <w:tab w:leader="none" w:pos="1246" w:val="left"/>
        </w:tabs>
        <w:numPr>
          <w:ilvl w:val="0"/>
          <w:numId w:val="2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Employee</w:t>
      </w:r>
      <w:r>
        <w:rPr>
          <w:rFonts w:ascii="Times New Roman" w:cs="Times New Roman" w:eastAsia="Times New Roman" w:hAnsi="Times New Roman"/>
          <w:sz w:val="17"/>
          <w:szCs w:val="17"/>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139"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jc w:val="both"/>
        <w:ind w:firstLine="987"/>
        <w:spacing w:after="0" w:line="258" w:lineRule="auto"/>
        <w:tabs>
          <w:tab w:leader="none" w:pos="1246"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Program</w:t>
      </w:r>
      <w:r>
        <w:rPr>
          <w:rFonts w:ascii="Times New Roman" w:cs="Times New Roman" w:eastAsia="Times New Roman" w:hAnsi="Times New Roman"/>
          <w:sz w:val="18"/>
          <w:szCs w:val="18"/>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reduced or increased. The Administrator will determine the terms and conditions of any Exchange Program in its sole discretion.</w:t>
      </w:r>
    </w:p>
    <w:p>
      <w:pPr>
        <w:spacing w:after="0" w:line="1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the value of Common Stock determined as follows:</w:t>
      </w:r>
    </w:p>
    <w:p>
      <w:pPr>
        <w:spacing w:after="0" w:line="225" w:lineRule="exact"/>
        <w:rPr>
          <w:rFonts w:ascii="Times New Roman" w:cs="Times New Roman" w:eastAsia="Times New Roman" w:hAnsi="Times New Roman"/>
          <w:sz w:val="18"/>
          <w:szCs w:val="18"/>
          <w:color w:val="auto"/>
        </w:rPr>
      </w:pPr>
    </w:p>
    <w:p>
      <w:pPr>
        <w:ind w:right="140" w:firstLine="1428"/>
        <w:spacing w:after="0" w:line="261" w:lineRule="auto"/>
        <w:tabs>
          <w:tab w:leader="none" w:pos="1647"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listed on any established stock exchange or a national market system, including without limitation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405" w:name="page406"/>
    <w:bookmarkEnd w:id="405"/>
    <w:p>
      <w:pPr>
        <w:ind w:right="80" w:firstLine="1428"/>
        <w:spacing w:after="0" w:line="261" w:lineRule="auto"/>
        <w:tabs>
          <w:tab w:leader="none" w:pos="1697"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date such bids and asks were reported),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 or</w:t>
      </w:r>
    </w:p>
    <w:p>
      <w:pPr>
        <w:spacing w:after="0" w:line="179"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an established market for the Common Stock, the Fair Market Value will be determined in good faith by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Administrator.</w:t>
      </w:r>
    </w:p>
    <w:p>
      <w:pPr>
        <w:spacing w:after="0" w:line="206" w:lineRule="exact"/>
        <w:rPr>
          <w:rFonts w:ascii="Times New Roman" w:cs="Times New Roman" w:eastAsia="Times New Roman" w:hAnsi="Times New Roman"/>
          <w:sz w:val="18"/>
          <w:szCs w:val="18"/>
          <w:color w:val="auto"/>
        </w:rPr>
      </w:pPr>
    </w:p>
    <w:p>
      <w:pPr>
        <w:ind w:right="160" w:firstLine="987"/>
        <w:spacing w:after="0" w:line="282" w:lineRule="auto"/>
        <w:tabs>
          <w:tab w:leader="none" w:pos="121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that by its terms qualifies and is otherwise intended to qualify as an incentive stock option within the meaning of Code Section 422 and the regulations promulgated thereunder.</w:t>
      </w:r>
    </w:p>
    <w:p>
      <w:pPr>
        <w:spacing w:after="0" w:line="161"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Nonstatutory Stock Option</w:t>
      </w:r>
      <w:r>
        <w:rPr>
          <w:rFonts w:ascii="Times New Roman" w:cs="Times New Roman" w:eastAsia="Times New Roman" w:hAnsi="Times New Roman"/>
          <w:sz w:val="18"/>
          <w:szCs w:val="18"/>
          <w:color w:val="auto"/>
        </w:rPr>
        <w:t>” means an Option that by its terms does not qualify or is not intended to qualify as an Incentive Stock</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w:t>
      </w:r>
    </w:p>
    <w:p>
      <w:pPr>
        <w:spacing w:after="0" w:line="206"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 stock option granted pursuant to the Plan.</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whether now or hereafter existing, as defined in Code Section 424(e).</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the holder of an outstanding Award.</w:t>
      </w:r>
    </w:p>
    <w:p>
      <w:pPr>
        <w:spacing w:after="0" w:line="225" w:lineRule="exact"/>
        <w:rPr>
          <w:rFonts w:ascii="Times New Roman" w:cs="Times New Roman" w:eastAsia="Times New Roman" w:hAnsi="Times New Roman"/>
          <w:sz w:val="18"/>
          <w:szCs w:val="18"/>
          <w:color w:val="auto"/>
        </w:rPr>
      </w:pPr>
    </w:p>
    <w:p>
      <w:pPr>
        <w:ind w:firstLine="987"/>
        <w:spacing w:after="0" w:line="266" w:lineRule="auto"/>
        <w:tabs>
          <w:tab w:leader="none" w:pos="128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 of Restriction</w:t>
      </w:r>
      <w:r>
        <w:rPr>
          <w:rFonts w:ascii="Times New Roman" w:cs="Times New Roman" w:eastAsia="Times New Roman" w:hAnsi="Times New Roman"/>
          <w:sz w:val="18"/>
          <w:szCs w:val="18"/>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2013 Equity Incentive Plan.</w:t>
      </w:r>
    </w:p>
    <w:p>
      <w:pPr>
        <w:spacing w:after="0" w:line="225" w:lineRule="exact"/>
        <w:rPr>
          <w:rFonts w:ascii="Times New Roman" w:cs="Times New Roman" w:eastAsia="Times New Roman" w:hAnsi="Times New Roman"/>
          <w:sz w:val="18"/>
          <w:szCs w:val="18"/>
          <w:color w:val="auto"/>
        </w:rPr>
      </w:pPr>
    </w:p>
    <w:p>
      <w:pPr>
        <w:ind w:right="40" w:firstLine="987"/>
        <w:spacing w:after="0" w:line="282" w:lineRule="auto"/>
        <w:tabs>
          <w:tab w:leader="none" w:pos="124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means Shares issued pursuant to an Award of Restricted Stock under Section 8 of the Plan, or issued pursuant to the early exercise of an Option.</w:t>
      </w:r>
    </w:p>
    <w:p>
      <w:pPr>
        <w:spacing w:after="0" w:line="161" w:lineRule="exact"/>
        <w:rPr>
          <w:rFonts w:ascii="Times New Roman" w:cs="Times New Roman" w:eastAsia="Times New Roman" w:hAnsi="Times New Roman"/>
          <w:sz w:val="18"/>
          <w:szCs w:val="18"/>
          <w:color w:val="auto"/>
        </w:rPr>
      </w:pPr>
    </w:p>
    <w:p>
      <w:pPr>
        <w:ind w:right="480" w:firstLine="987"/>
        <w:spacing w:after="0" w:line="282" w:lineRule="auto"/>
        <w:tabs>
          <w:tab w:leader="none" w:pos="1236"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means a bookkeeping entry representing an amount equal to the Fair Market Value of one Share, granted pursuant to Section 9. Each Restricted Stock Unit represents an unfunded and unsecured obligation of the Company.</w:t>
      </w:r>
    </w:p>
    <w:p>
      <w:pPr>
        <w:spacing w:after="0" w:line="162" w:lineRule="exact"/>
        <w:rPr>
          <w:sz w:val="20"/>
          <w:szCs w:val="20"/>
          <w:color w:val="auto"/>
        </w:rPr>
      </w:pPr>
    </w:p>
    <w:p>
      <w:pPr>
        <w:ind w:left="1320" w:hanging="333"/>
        <w:spacing w:after="0"/>
        <w:tabs>
          <w:tab w:leader="none" w:pos="132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means an Employee, Director or Consultant.</w:t>
      </w:r>
    </w:p>
    <w:p>
      <w:pPr>
        <w:spacing w:after="0" w:line="225"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 share of the Common Stock, as adjusted in accordance with Section 13 of the Plan.</w:t>
      </w:r>
    </w:p>
    <w:p>
      <w:pPr>
        <w:spacing w:after="0" w:line="225" w:lineRule="exact"/>
        <w:rPr>
          <w:rFonts w:ascii="Times New Roman" w:cs="Times New Roman" w:eastAsia="Times New Roman" w:hAnsi="Times New Roman"/>
          <w:sz w:val="18"/>
          <w:szCs w:val="18"/>
          <w:color w:val="auto"/>
        </w:rPr>
      </w:pPr>
    </w:p>
    <w:p>
      <w:pPr>
        <w:ind w:right="140" w:firstLine="987"/>
        <w:spacing w:after="0" w:line="282" w:lineRule="auto"/>
        <w:tabs>
          <w:tab w:leader="none" w:pos="1316"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means an Award, granted alone or in connection with an Option, that pursuant to Section 7 is designated as a Stock Appreciation Right.</w:t>
      </w:r>
    </w:p>
    <w:p>
      <w:pPr>
        <w:spacing w:after="0" w:line="161"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“subsidiary corporation,” whether now or hereafter existing, as defined in Code Section 424(f).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406" w:name="page407"/>
    <w:bookmarkEnd w:id="406"/>
    <w:p>
      <w:pPr>
        <w:ind w:left="620" w:hanging="184"/>
        <w:spacing w:after="0"/>
        <w:tabs>
          <w:tab w:leader="none" w:pos="62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 Subject to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20" w:firstLine="987"/>
        <w:spacing w:after="0" w:line="282" w:lineRule="auto"/>
        <w:tabs>
          <w:tab w:leader="none" w:pos="1236"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 Subject to the provisions of Section 13 of the Plan, the maximum aggregate number of Shares that may be subject to Awards and sold under the Plan is 28,363,923 Shares. The Shares may be authorized but unissued, or reacquired Common Stock.</w:t>
      </w:r>
    </w:p>
    <w:p>
      <w:pPr>
        <w:spacing w:after="0" w:line="161" w:lineRule="exact"/>
        <w:rPr>
          <w:rFonts w:ascii="Times New Roman" w:cs="Times New Roman" w:eastAsia="Times New Roman" w:hAnsi="Times New Roman"/>
          <w:sz w:val="18"/>
          <w:szCs w:val="18"/>
          <w:color w:val="auto"/>
        </w:rPr>
      </w:pPr>
    </w:p>
    <w:p>
      <w:pPr>
        <w:ind w:right="40" w:firstLine="987"/>
        <w:spacing w:after="0" w:line="252" w:lineRule="auto"/>
        <w:tabs>
          <w:tab w:leader="none" w:pos="1246"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Lapsed Awards</w:t>
      </w:r>
      <w:r>
        <w:rPr>
          <w:rFonts w:ascii="Times New Roman" w:cs="Times New Roman" w:eastAsia="Times New Roman" w:hAnsi="Times New Roman"/>
          <w:sz w:val="18"/>
          <w:szCs w:val="18"/>
          <w:color w:val="auto"/>
        </w:rPr>
        <w:t>. If an Award expires or becomes unexercisable without having been exercised in full, is surrendered pursuant to an Exchange Program, or, with respect to Restricted Stock or Restricted Stock Units,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pursuant to a Stock Appreciation Right will cease to be available under the Plan; all remaining Shares under Stock Appreciation Rights will remain available for future grant or sale under the Plan (unless the Plan has terminated). Shares that have actually been issued under the Plan under any Award will not be returned to the Plan and will not become available for future distribution under the Plan; provided, however, that if Shares issued pursuant to Awards of Restricted Stock or Restricted Stock Units are repurchased by the Company or are forfeited to the Company due to the failure to vest,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13, the maximum number of Shares that may be issued upon the exercise of Incentive Stock Options will equal the aggregate Share number stated in Section 3(a), plus, to the extent allowable under Code Section 422 and the Treasury Regulations promulgated thereunder, any Shares that become available for issuance under the Plan pursuant to Section 3(b).</w:t>
      </w:r>
    </w:p>
    <w:p>
      <w:pPr>
        <w:spacing w:after="0" w:line="197" w:lineRule="exact"/>
        <w:rPr>
          <w:rFonts w:ascii="Times New Roman" w:cs="Times New Roman" w:eastAsia="Times New Roman" w:hAnsi="Times New Roman"/>
          <w:sz w:val="18"/>
          <w:szCs w:val="18"/>
          <w:color w:val="auto"/>
        </w:rPr>
      </w:pPr>
    </w:p>
    <w:p>
      <w:pPr>
        <w:ind w:firstLine="987"/>
        <w:spacing w:after="0" w:line="282" w:lineRule="auto"/>
        <w:tabs>
          <w:tab w:leader="none" w:pos="1236"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Reserve</w:t>
      </w:r>
      <w:r>
        <w:rPr>
          <w:rFonts w:ascii="Times New Roman" w:cs="Times New Roman" w:eastAsia="Times New Roman" w:hAnsi="Times New Roman"/>
          <w:sz w:val="18"/>
          <w:szCs w:val="18"/>
          <w:color w:val="auto"/>
        </w:rPr>
        <w:t>. The Company, during the term of this Plan, will at all times reserve and keep available such number of Shares as will be sufficient to satisfy the requirements of the Plan.</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2"/>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Multiple Administrative Bodies</w:t>
      </w:r>
      <w:r>
        <w:rPr>
          <w:rFonts w:ascii="Times New Roman" w:cs="Times New Roman" w:eastAsia="Times New Roman" w:hAnsi="Times New Roman"/>
          <w:sz w:val="18"/>
          <w:szCs w:val="18"/>
          <w:color w:val="auto"/>
        </w:rPr>
        <w:t>. Different Committees with respect to different groups of Service Providers may administer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w:t>
      </w:r>
    </w:p>
    <w:p>
      <w:pPr>
        <w:spacing w:after="0" w:line="206" w:lineRule="exact"/>
        <w:rPr>
          <w:rFonts w:ascii="Times New Roman" w:cs="Times New Roman" w:eastAsia="Times New Roman" w:hAnsi="Times New Roman"/>
          <w:sz w:val="18"/>
          <w:szCs w:val="18"/>
          <w:color w:val="auto"/>
        </w:rPr>
      </w:pPr>
    </w:p>
    <w:p>
      <w:pPr>
        <w:ind w:right="120" w:firstLine="1428"/>
        <w:spacing w:after="0" w:line="282" w:lineRule="auto"/>
        <w:tabs>
          <w:tab w:leader="none" w:pos="1697" w:val="left"/>
        </w:tabs>
        <w:numPr>
          <w:ilvl w:val="2"/>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Administration</w:t>
      </w:r>
      <w:r>
        <w:rPr>
          <w:rFonts w:ascii="Times New Roman" w:cs="Times New Roman" w:eastAsia="Times New Roman" w:hAnsi="Times New Roman"/>
          <w:sz w:val="18"/>
          <w:szCs w:val="18"/>
          <w:color w:val="auto"/>
        </w:rPr>
        <w:t>. Other than as provided above, the Plan will be administered by (A) the Board or (B) a Committee, which Committee will be constituted to satisfy Applicable Laws.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407" w:name="page408"/>
    <w:bookmarkEnd w:id="407"/>
    <w:p>
      <w:pPr>
        <w:ind w:left="-20" w:right="540" w:firstLine="987"/>
        <w:spacing w:after="0" w:line="282" w:lineRule="auto"/>
        <w:tabs>
          <w:tab w:leader="none" w:pos="1226"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Powers of the Administrator</w:t>
      </w:r>
      <w:r>
        <w:rPr>
          <w:rFonts w:ascii="Times New Roman" w:cs="Times New Roman" w:eastAsia="Times New Roman" w:hAnsi="Times New Roman"/>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161" w:lineRule="exact"/>
        <w:rPr>
          <w:rFonts w:ascii="Times New Roman" w:cs="Times New Roman" w:eastAsia="Times New Roman" w:hAnsi="Times New Roman"/>
          <w:sz w:val="18"/>
          <w:szCs w:val="18"/>
          <w:color w:val="auto"/>
        </w:rPr>
      </w:pPr>
    </w:p>
    <w:p>
      <w:pPr>
        <w:ind w:left="1620" w:hanging="212"/>
        <w:spacing w:after="0"/>
        <w:tabs>
          <w:tab w:leader="none" w:pos="162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Fair Market Value;</w:t>
      </w:r>
    </w:p>
    <w:p>
      <w:pPr>
        <w:spacing w:after="0" w:line="225" w:lineRule="exact"/>
        <w:rPr>
          <w:rFonts w:ascii="Times New Roman" w:cs="Times New Roman" w:eastAsia="Times New Roman" w:hAnsi="Times New Roman"/>
          <w:sz w:val="18"/>
          <w:szCs w:val="18"/>
          <w:color w:val="auto"/>
        </w:rPr>
      </w:pPr>
    </w:p>
    <w:p>
      <w:pPr>
        <w:ind w:left="1680" w:hanging="272"/>
        <w:spacing w:after="0"/>
        <w:tabs>
          <w:tab w:leader="none" w:pos="168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Service Providers to whom Awards may be granted hereunder;</w:t>
      </w:r>
    </w:p>
    <w:p>
      <w:pPr>
        <w:spacing w:after="0" w:line="225" w:lineRule="exact"/>
        <w:rPr>
          <w:rFonts w:ascii="Times New Roman" w:cs="Times New Roman" w:eastAsia="Times New Roman" w:hAnsi="Times New Roman"/>
          <w:sz w:val="18"/>
          <w:szCs w:val="18"/>
          <w:color w:val="auto"/>
        </w:rPr>
      </w:pPr>
    </w:p>
    <w:p>
      <w:pPr>
        <w:ind w:left="1720" w:hanging="312"/>
        <w:spacing w:after="0"/>
        <w:tabs>
          <w:tab w:leader="none" w:pos="172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to be covered by each Award granted hereunder;</w:t>
      </w:r>
    </w:p>
    <w:p>
      <w:pPr>
        <w:spacing w:after="0" w:line="225" w:lineRule="exact"/>
        <w:rPr>
          <w:rFonts w:ascii="Times New Roman" w:cs="Times New Roman" w:eastAsia="Times New Roman" w:hAnsi="Times New Roman"/>
          <w:sz w:val="18"/>
          <w:szCs w:val="18"/>
          <w:color w:val="auto"/>
        </w:rPr>
      </w:pPr>
    </w:p>
    <w:p>
      <w:pPr>
        <w:ind w:left="1720" w:hanging="312"/>
        <w:spacing w:after="0"/>
        <w:tabs>
          <w:tab w:leader="none" w:pos="172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forms of Award Agreements for use under the Plan;</w:t>
      </w:r>
    </w:p>
    <w:p>
      <w:pPr>
        <w:spacing w:after="0" w:line="225" w:lineRule="exact"/>
        <w:rPr>
          <w:rFonts w:ascii="Times New Roman" w:cs="Times New Roman" w:eastAsia="Times New Roman" w:hAnsi="Times New Roman"/>
          <w:sz w:val="18"/>
          <w:szCs w:val="18"/>
          <w:color w:val="auto"/>
        </w:rPr>
      </w:pPr>
    </w:p>
    <w:p>
      <w:pPr>
        <w:ind w:left="-20" w:firstLine="1428"/>
        <w:spacing w:after="0" w:line="261" w:lineRule="auto"/>
        <w:tabs>
          <w:tab w:leader="none" w:pos="1667"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79" w:lineRule="exact"/>
        <w:rPr>
          <w:rFonts w:ascii="Times New Roman" w:cs="Times New Roman" w:eastAsia="Times New Roman" w:hAnsi="Times New Roman"/>
          <w:sz w:val="18"/>
          <w:szCs w:val="18"/>
          <w:color w:val="auto"/>
        </w:rPr>
      </w:pPr>
    </w:p>
    <w:p>
      <w:pPr>
        <w:ind w:left="1720" w:hanging="312"/>
        <w:spacing w:after="0"/>
        <w:tabs>
          <w:tab w:leader="none" w:pos="172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institute and determine the terms and conditions of an Exchange Program;</w:t>
      </w:r>
    </w:p>
    <w:p>
      <w:pPr>
        <w:spacing w:after="0" w:line="225" w:lineRule="exact"/>
        <w:rPr>
          <w:rFonts w:ascii="Times New Roman" w:cs="Times New Roman" w:eastAsia="Times New Roman" w:hAnsi="Times New Roman"/>
          <w:sz w:val="18"/>
          <w:szCs w:val="18"/>
          <w:color w:val="auto"/>
        </w:rPr>
      </w:pPr>
    </w:p>
    <w:p>
      <w:pPr>
        <w:ind w:left="1760" w:hanging="352"/>
        <w:spacing w:after="0"/>
        <w:tabs>
          <w:tab w:leader="none" w:pos="176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the Plan and Awards granted pursuant to the Plan;</w:t>
      </w:r>
    </w:p>
    <w:p>
      <w:pPr>
        <w:spacing w:after="0" w:line="225" w:lineRule="exact"/>
        <w:rPr>
          <w:rFonts w:ascii="Times New Roman" w:cs="Times New Roman" w:eastAsia="Times New Roman" w:hAnsi="Times New Roman"/>
          <w:sz w:val="18"/>
          <w:szCs w:val="18"/>
          <w:color w:val="auto"/>
        </w:rPr>
      </w:pPr>
    </w:p>
    <w:p>
      <w:pPr>
        <w:ind w:left="-20" w:right="80" w:firstLine="1428"/>
        <w:spacing w:after="0" w:line="282" w:lineRule="auto"/>
        <w:tabs>
          <w:tab w:leader="none" w:pos="1817"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161" w:lineRule="exact"/>
        <w:rPr>
          <w:rFonts w:ascii="Times New Roman" w:cs="Times New Roman" w:eastAsia="Times New Roman" w:hAnsi="Times New Roman"/>
          <w:sz w:val="18"/>
          <w:szCs w:val="18"/>
          <w:color w:val="auto"/>
        </w:rPr>
      </w:pPr>
    </w:p>
    <w:p>
      <w:pPr>
        <w:ind w:left="-20" w:right="40" w:firstLine="1428"/>
        <w:spacing w:after="0" w:line="282" w:lineRule="auto"/>
        <w:tabs>
          <w:tab w:leader="none" w:pos="1717"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or amend each Award (subject to Section 18(c) of the Plan), including but not limited to the discretionary authority to extend the post-termination exercisability period of Awards and to extend the maximum term of an Option (subject to Section 6(d));</w:t>
      </w:r>
    </w:p>
    <w:p>
      <w:pPr>
        <w:spacing w:after="0" w:line="161" w:lineRule="exact"/>
        <w:rPr>
          <w:rFonts w:ascii="Times New Roman" w:cs="Times New Roman" w:eastAsia="Times New Roman" w:hAnsi="Times New Roman"/>
          <w:sz w:val="18"/>
          <w:szCs w:val="18"/>
          <w:color w:val="auto"/>
        </w:rPr>
      </w:pPr>
    </w:p>
    <w:p>
      <w:pPr>
        <w:ind w:left="1660" w:hanging="252"/>
        <w:spacing w:after="0"/>
        <w:tabs>
          <w:tab w:leader="none" w:pos="166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Participants to satisfy withholding tax obligations in a manner prescribed in Section 14;</w:t>
      </w:r>
    </w:p>
    <w:p>
      <w:pPr>
        <w:spacing w:after="0" w:line="225" w:lineRule="exact"/>
        <w:rPr>
          <w:rFonts w:ascii="Times New Roman" w:cs="Times New Roman" w:eastAsia="Times New Roman" w:hAnsi="Times New Roman"/>
          <w:sz w:val="18"/>
          <w:szCs w:val="18"/>
          <w:color w:val="auto"/>
        </w:rPr>
      </w:pPr>
    </w:p>
    <w:p>
      <w:pPr>
        <w:ind w:left="-20" w:right="40" w:firstLine="1428"/>
        <w:spacing w:after="0" w:line="282" w:lineRule="auto"/>
        <w:tabs>
          <w:tab w:leader="none" w:pos="1717"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effect the grant of an Award previously granted by the Administrator;</w:t>
      </w:r>
    </w:p>
    <w:p>
      <w:pPr>
        <w:spacing w:after="0" w:line="161" w:lineRule="exact"/>
        <w:rPr>
          <w:rFonts w:ascii="Times New Roman" w:cs="Times New Roman" w:eastAsia="Times New Roman" w:hAnsi="Times New Roman"/>
          <w:sz w:val="18"/>
          <w:szCs w:val="18"/>
          <w:color w:val="auto"/>
        </w:rPr>
      </w:pPr>
    </w:p>
    <w:p>
      <w:pPr>
        <w:ind w:left="-20" w:right="140" w:firstLine="1428"/>
        <w:spacing w:after="0" w:line="282" w:lineRule="auto"/>
        <w:tabs>
          <w:tab w:leader="none" w:pos="1767"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a Participant to defer the receipt of the payment of cash or the delivery of Shares that otherwise would be due to such Participant under an Award; and</w:t>
      </w:r>
    </w:p>
    <w:p>
      <w:pPr>
        <w:spacing w:after="0" w:line="161" w:lineRule="exact"/>
        <w:rPr>
          <w:rFonts w:ascii="Times New Roman" w:cs="Times New Roman" w:eastAsia="Times New Roman" w:hAnsi="Times New Roman"/>
          <w:sz w:val="18"/>
          <w:szCs w:val="18"/>
          <w:color w:val="auto"/>
        </w:rPr>
      </w:pPr>
    </w:p>
    <w:p>
      <w:pPr>
        <w:ind w:left="1820" w:hanging="412"/>
        <w:spacing w:after="0"/>
        <w:tabs>
          <w:tab w:leader="none" w:pos="1820"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all other determinations deemed necessary or advisable for administering the Plan.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60" w:top="270" w:right="479" w:bottom="1440" w:gutter="0" w:footer="0" w:header="0"/>
        </w:sectPr>
      </w:pPr>
    </w:p>
    <w:bookmarkStart w:id="408" w:name="page409"/>
    <w:bookmarkEnd w:id="408"/>
    <w:p>
      <w:pPr>
        <w:ind w:right="220" w:firstLine="987"/>
        <w:spacing w:after="0" w:line="282" w:lineRule="auto"/>
        <w:tabs>
          <w:tab w:leader="none" w:pos="1236"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Effect of Administrator’s Decision</w:t>
      </w:r>
      <w:r>
        <w:rPr>
          <w:rFonts w:ascii="Times New Roman" w:cs="Times New Roman" w:eastAsia="Times New Roman" w:hAnsi="Times New Roman"/>
          <w:sz w:val="18"/>
          <w:szCs w:val="18"/>
          <w:color w:val="auto"/>
        </w:rPr>
        <w:t>. The Administrator’s decisions, determinations and interpretations will be final and binding on all Participants and any other holders of Awards.</w:t>
      </w:r>
    </w:p>
    <w:p>
      <w:pPr>
        <w:spacing w:after="0" w:line="161" w:lineRule="exact"/>
        <w:rPr>
          <w:rFonts w:ascii="Times New Roman" w:cs="Times New Roman" w:eastAsia="Times New Roman" w:hAnsi="Times New Roman"/>
          <w:sz w:val="18"/>
          <w:szCs w:val="18"/>
          <w:color w:val="auto"/>
        </w:rPr>
      </w:pPr>
    </w:p>
    <w:p>
      <w:pPr>
        <w:ind w:right="360" w:firstLine="436"/>
        <w:spacing w:after="0" w:line="282" w:lineRule="auto"/>
        <w:tabs>
          <w:tab w:leader="none" w:pos="62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Nonstatutory Stock Options, Stock Appreciation Rights, Restricted Stock, and Restricted Stock Units may be granted to Service Providers. Incentive Stock Options may be granted only to Employees.</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40" w:firstLine="987"/>
        <w:spacing w:after="0" w:line="282" w:lineRule="auto"/>
        <w:tabs>
          <w:tab w:leader="none" w:pos="1236"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Options</w:t>
      </w:r>
      <w:r>
        <w:rPr>
          <w:rFonts w:ascii="Times New Roman" w:cs="Times New Roman" w:eastAsia="Times New Roman" w:hAnsi="Times New Roman"/>
          <w:sz w:val="18"/>
          <w:szCs w:val="18"/>
          <w:color w:val="auto"/>
        </w:rPr>
        <w:t>. Subject to the terms and provisions of the Plan, the Administrator, at any time and from time to time, may grant Options in such amounts as the Administrator, in its sole discretion, will determine.</w:t>
      </w:r>
    </w:p>
    <w:p>
      <w:pPr>
        <w:spacing w:after="0" w:line="161"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Agreement</w:t>
      </w:r>
      <w:r>
        <w:rPr>
          <w:rFonts w:ascii="Times New Roman" w:cs="Times New Roman" w:eastAsia="Times New Roman" w:hAnsi="Times New Roman"/>
          <w:sz w:val="18"/>
          <w:szCs w:val="18"/>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spacing w:after="0" w:line="175" w:lineRule="exact"/>
        <w:rPr>
          <w:rFonts w:ascii="Times New Roman" w:cs="Times New Roman" w:eastAsia="Times New Roman" w:hAnsi="Times New Roman"/>
          <w:sz w:val="18"/>
          <w:szCs w:val="18"/>
          <w:color w:val="auto"/>
        </w:rPr>
      </w:pPr>
    </w:p>
    <w:p>
      <w:pPr>
        <w:ind w:right="80" w:firstLine="987"/>
        <w:spacing w:after="0" w:line="255" w:lineRule="auto"/>
        <w:tabs>
          <w:tab w:leader="none" w:pos="1236"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6(c),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Treasury Regulations promulgated thereunder.</w:t>
      </w:r>
    </w:p>
    <w:p>
      <w:pPr>
        <w:spacing w:after="0" w:line="188" w:lineRule="exact"/>
        <w:rPr>
          <w:rFonts w:ascii="Times New Roman" w:cs="Times New Roman" w:eastAsia="Times New Roman" w:hAnsi="Times New Roman"/>
          <w:sz w:val="18"/>
          <w:szCs w:val="18"/>
          <w:color w:val="auto"/>
        </w:rPr>
      </w:pPr>
    </w:p>
    <w:p>
      <w:pPr>
        <w:ind w:right="20" w:firstLine="987"/>
        <w:spacing w:after="0" w:line="258" w:lineRule="auto"/>
        <w:tabs>
          <w:tab w:leader="none" w:pos="1246"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Option</w:t>
      </w:r>
      <w:r>
        <w:rPr>
          <w:rFonts w:ascii="Times New Roman" w:cs="Times New Roman" w:eastAsia="Times New Roman" w:hAnsi="Times New Roman"/>
          <w:sz w:val="18"/>
          <w:szCs w:val="18"/>
          <w:color w:val="auto"/>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Exercise Price and Consideration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1428"/>
        <w:spacing w:after="0" w:line="255" w:lineRule="auto"/>
        <w:tabs>
          <w:tab w:leader="none" w:pos="1647" w:val="left"/>
        </w:tabs>
        <w:numPr>
          <w:ilvl w:val="2"/>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per 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the per Share exercise price will be no less than one hundred ten percent (110%) of the Fair Market Value per Share on the date of grant. Notwithstanding the foregoing provisions of this Section 6(e)(i), Options may be granted with a per Share exercise price of less than one hundred percent (100%) of the Fair Market Value per Share on the date of grant pursuant to a transaction described in, and in a manner consistent with, Code Section 424(a).</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70" w:right="439" w:bottom="1440" w:gutter="0" w:footer="0" w:header="0"/>
        </w:sectPr>
      </w:pPr>
    </w:p>
    <w:bookmarkStart w:id="409" w:name="page410"/>
    <w:bookmarkEnd w:id="409"/>
    <w:p>
      <w:pPr>
        <w:ind w:right="420" w:firstLine="1428"/>
        <w:spacing w:after="0" w:line="282" w:lineRule="auto"/>
        <w:tabs>
          <w:tab w:leader="none" w:pos="1697"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Waiting Period and Exercise Dates</w:t>
      </w:r>
      <w:r>
        <w:rPr>
          <w:rFonts w:ascii="Times New Roman" w:cs="Times New Roman" w:eastAsia="Times New Roman" w:hAnsi="Times New Roman"/>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161" w:lineRule="exact"/>
        <w:rPr>
          <w:rFonts w:ascii="Times New Roman" w:cs="Times New Roman" w:eastAsia="Times New Roman" w:hAnsi="Times New Roman"/>
          <w:sz w:val="18"/>
          <w:szCs w:val="18"/>
          <w:color w:val="auto"/>
        </w:rPr>
      </w:pPr>
    </w:p>
    <w:p>
      <w:pPr>
        <w:ind w:firstLine="1428"/>
        <w:spacing w:after="0" w:line="253" w:lineRule="auto"/>
        <w:tabs>
          <w:tab w:leader="none" w:pos="1747"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Consideration</w:t>
      </w:r>
      <w:r>
        <w:rPr>
          <w:rFonts w:ascii="Times New Roman" w:cs="Times New Roman" w:eastAsia="Times New Roman" w:hAnsi="Times New Roman"/>
          <w:sz w:val="18"/>
          <w:szCs w:val="18"/>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promissory note, to the extent permitted by Applicable Laws, (4)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(5) consideration received by the Company under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 In making its determination as to the type of consideration to accept, the Administrator will consider if acceptance of such consideration may be reasonably expected to benefit the Company.</w:t>
      </w:r>
    </w:p>
    <w:p>
      <w:pPr>
        <w:spacing w:after="0" w:line="194"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00" w:firstLine="1428"/>
        <w:spacing w:after="0" w:line="266" w:lineRule="auto"/>
        <w:tabs>
          <w:tab w:leader="none" w:pos="1647"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 for Exercise; Rights as a Stockholder</w:t>
      </w:r>
      <w:r>
        <w:rPr>
          <w:rFonts w:ascii="Times New Roman" w:cs="Times New Roman" w:eastAsia="Times New Roman" w:hAnsi="Times New Roman"/>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76" w:lineRule="exact"/>
        <w:rPr>
          <w:sz w:val="20"/>
          <w:szCs w:val="20"/>
          <w:color w:val="auto"/>
        </w:rPr>
      </w:pPr>
    </w:p>
    <w:p>
      <w:pPr>
        <w:ind w:firstLine="1983"/>
        <w:spacing w:after="0" w:line="254" w:lineRule="auto"/>
        <w:rPr>
          <w:sz w:val="20"/>
          <w:szCs w:val="20"/>
          <w:color w:val="auto"/>
        </w:rPr>
      </w:pPr>
      <w:r>
        <w:rPr>
          <w:rFonts w:ascii="Times New Roman" w:cs="Times New Roman" w:eastAsia="Times New Roman" w:hAnsi="Times New Roman"/>
          <w:sz w:val="18"/>
          <w:szCs w:val="18"/>
          <w:color w:val="auto"/>
        </w:rPr>
        <w:t>An Option will be deemed exercised when the Company receives: (i) notice of exercise (in such form as the Administrator may specify from time to time) from the person entitled to exercise the Option, and (ii) full payment for the Shares with respect to which the Option is exercised (together with applicable tax withholding).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spacing w:after="0" w:line="188" w:lineRule="exact"/>
        <w:rPr>
          <w:sz w:val="20"/>
          <w:szCs w:val="20"/>
          <w:color w:val="auto"/>
        </w:rPr>
      </w:pPr>
    </w:p>
    <w:p>
      <w:pPr>
        <w:ind w:right="220" w:firstLine="1983"/>
        <w:spacing w:after="0" w:line="282" w:lineRule="auto"/>
        <w:rPr>
          <w:sz w:val="20"/>
          <w:szCs w:val="20"/>
          <w:color w:val="auto"/>
        </w:rPr>
      </w:pPr>
      <w:r>
        <w:rPr>
          <w:rFonts w:ascii="Times New Roman" w:cs="Times New Roman" w:eastAsia="Times New Roman" w:hAnsi="Times New Roman"/>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410" w:name="page411"/>
    <w:bookmarkEnd w:id="410"/>
    <w:p>
      <w:pPr>
        <w:ind w:left="-40" w:firstLine="1428"/>
        <w:spacing w:after="0" w:line="255" w:lineRule="auto"/>
        <w:tabs>
          <w:tab w:leader="none" w:pos="1657" w:val="left"/>
        </w:tabs>
        <w:numPr>
          <w:ilvl w:val="2"/>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Termination of Relationship as a Service Provider</w:t>
      </w:r>
      <w:r>
        <w:rPr>
          <w:rFonts w:ascii="Times New Roman" w:cs="Times New Roman" w:eastAsia="Times New Roman" w:hAnsi="Times New Roman"/>
          <w:sz w:val="18"/>
          <w:szCs w:val="18"/>
          <w:color w:val="auto"/>
        </w:rPr>
        <w:t>. If a Participant ceases to be a Service Provider, other than upon the Participant’s termination as the result of the Participant’s death or Disability, the Participant may exercise his or her Option within thirty (30) days of termination, or such longer period of time as is specified in the Award Agreement (but in no event later than the expiration of the term of such Option as set forth in the Award Agreement) to the extent that the Option is vested on the date of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88" w:lineRule="exact"/>
        <w:rPr>
          <w:rFonts w:ascii="Times New Roman" w:cs="Times New Roman" w:eastAsia="Times New Roman" w:hAnsi="Times New Roman"/>
          <w:sz w:val="18"/>
          <w:szCs w:val="18"/>
          <w:color w:val="auto"/>
        </w:rPr>
      </w:pPr>
    </w:p>
    <w:p>
      <w:pPr>
        <w:ind w:left="-40" w:right="20" w:firstLine="1428"/>
        <w:spacing w:after="0" w:line="256" w:lineRule="auto"/>
        <w:tabs>
          <w:tab w:leader="none" w:pos="1707" w:val="left"/>
        </w:tabs>
        <w:numPr>
          <w:ilvl w:val="2"/>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 of Participant</w:t>
      </w:r>
      <w:r>
        <w:rPr>
          <w:rFonts w:ascii="Times New Roman" w:cs="Times New Roman" w:eastAsia="Times New Roman" w:hAnsi="Times New Roman"/>
          <w:sz w:val="18"/>
          <w:szCs w:val="18"/>
          <w:color w:val="auto"/>
        </w:rPr>
        <w:t>. If a Participant ceases to be a Service Provider as a result of the Participant’s Disability, the Participant may exercise his or her Option within six (6) months of termination, or such longer period of time as is specified in the Award Agreement (but in no event later than the expiration of the term of such Option as set forth in the Award Agreement) to the extent the Option is vested on the date of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87" w:lineRule="exact"/>
        <w:rPr>
          <w:rFonts w:ascii="Times New Roman" w:cs="Times New Roman" w:eastAsia="Times New Roman" w:hAnsi="Times New Roman"/>
          <w:sz w:val="18"/>
          <w:szCs w:val="18"/>
          <w:color w:val="auto"/>
        </w:rPr>
      </w:pPr>
    </w:p>
    <w:p>
      <w:pPr>
        <w:ind w:left="-40" w:right="20" w:firstLine="1428"/>
        <w:spacing w:after="0" w:line="254" w:lineRule="auto"/>
        <w:tabs>
          <w:tab w:leader="none" w:pos="1697" w:val="left"/>
        </w:tabs>
        <w:numPr>
          <w:ilvl w:val="2"/>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Participant</w:t>
      </w:r>
      <w:r>
        <w:rPr>
          <w:rFonts w:ascii="Times New Roman" w:cs="Times New Roman" w:eastAsia="Times New Roman" w:hAnsi="Times New Roman"/>
          <w:sz w:val="18"/>
          <w:szCs w:val="18"/>
          <w:color w:val="auto"/>
        </w:rPr>
        <w:t>. If a Participant dies while a Service Provider, the Option may be exercised within six (6) months following the Participant’s death, or within such longer period of time as is specified in the Award Agreement (but in no event later than the expiration of the term of such Option as set forth in the Award Agreement) to the extent that the Option is vested on the date of death, by the Participant’s designated beneficiary, provided such beneficiary has been designated prior to the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88" w:lineRule="exact"/>
        <w:rPr>
          <w:rFonts w:ascii="Times New Roman" w:cs="Times New Roman" w:eastAsia="Times New Roman" w:hAnsi="Times New Roman"/>
          <w:sz w:val="18"/>
          <w:szCs w:val="18"/>
          <w:color w:val="auto"/>
        </w:rPr>
      </w:pPr>
    </w:p>
    <w:p>
      <w:pPr>
        <w:ind w:left="580" w:hanging="184"/>
        <w:spacing w:after="0"/>
        <w:tabs>
          <w:tab w:leader="none" w:pos="5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 w:right="340" w:firstLine="987"/>
        <w:spacing w:after="0" w:line="282" w:lineRule="auto"/>
        <w:tabs>
          <w:tab w:leader="none" w:pos="1196"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Stock Appreciation Rights</w:t>
      </w:r>
      <w:r>
        <w:rPr>
          <w:rFonts w:ascii="Times New Roman" w:cs="Times New Roman" w:eastAsia="Times New Roman" w:hAnsi="Times New Roman"/>
          <w:sz w:val="18"/>
          <w:szCs w:val="18"/>
          <w:color w:val="auto"/>
        </w:rPr>
        <w:t>. Subject to the terms and conditions of the Plan, a Stock Appreciation Right may be granted to Service Providers at any time and from time to time as will be determined by the Administrator, in its sole discretion.</w:t>
      </w:r>
    </w:p>
    <w:p>
      <w:pPr>
        <w:spacing w:after="0" w:line="161" w:lineRule="exact"/>
        <w:rPr>
          <w:rFonts w:ascii="Times New Roman" w:cs="Times New Roman" w:eastAsia="Times New Roman" w:hAnsi="Times New Roman"/>
          <w:sz w:val="18"/>
          <w:szCs w:val="18"/>
          <w:color w:val="auto"/>
        </w:rPr>
      </w:pPr>
    </w:p>
    <w:p>
      <w:pPr>
        <w:ind w:left="-40" w:right="100" w:firstLine="987"/>
        <w:spacing w:after="0" w:line="282" w:lineRule="auto"/>
        <w:tabs>
          <w:tab w:leader="none" w:pos="1206"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The Administrator will have complete discretion to determine the number of Shares subject to any Award of Stock Appreciation Rights.</w:t>
      </w:r>
    </w:p>
    <w:p>
      <w:pPr>
        <w:spacing w:after="0" w:line="161" w:lineRule="exact"/>
        <w:rPr>
          <w:rFonts w:ascii="Times New Roman" w:cs="Times New Roman" w:eastAsia="Times New Roman" w:hAnsi="Times New Roman"/>
          <w:sz w:val="18"/>
          <w:szCs w:val="18"/>
          <w:color w:val="auto"/>
        </w:rPr>
      </w:pPr>
    </w:p>
    <w:p>
      <w:pPr>
        <w:ind w:left="-40" w:right="500" w:firstLine="987"/>
        <w:spacing w:after="0" w:line="282" w:lineRule="auto"/>
        <w:tabs>
          <w:tab w:leader="none" w:pos="1196"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 and Other Terms</w:t>
      </w:r>
      <w:r>
        <w:rPr>
          <w:rFonts w:ascii="Times New Roman" w:cs="Times New Roman" w:eastAsia="Times New Roman" w:hAnsi="Times New Roman"/>
          <w:sz w:val="18"/>
          <w:szCs w:val="18"/>
          <w:color w:val="auto"/>
        </w:rPr>
        <w:t>. The per Share exercise price for the Shares that will determine the amount of the payment to be received upon exercise of a Stock Appreciation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480" w:top="270" w:right="479" w:bottom="1440" w:gutter="0" w:footer="0" w:header="0"/>
        </w:sectPr>
      </w:pPr>
    </w:p>
    <w:bookmarkStart w:id="411" w:name="page412"/>
    <w:bookmarkEnd w:id="411"/>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Right as set forth in Section 7(f)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76" w:lineRule="exact"/>
        <w:rPr>
          <w:sz w:val="20"/>
          <w:szCs w:val="20"/>
          <w:color w:val="auto"/>
        </w:rPr>
      </w:pPr>
    </w:p>
    <w:p>
      <w:pPr>
        <w:ind w:firstLine="987"/>
        <w:spacing w:after="0" w:line="266" w:lineRule="auto"/>
        <w:tabs>
          <w:tab w:leader="none" w:pos="1246"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 Agreement</w:t>
      </w:r>
      <w:r>
        <w:rPr>
          <w:rFonts w:ascii="Times New Roman" w:cs="Times New Roman" w:eastAsia="Times New Roman" w:hAnsi="Times New Roman"/>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75" w:lineRule="exact"/>
        <w:rPr>
          <w:rFonts w:ascii="Times New Roman" w:cs="Times New Roman" w:eastAsia="Times New Roman" w:hAnsi="Times New Roman"/>
          <w:sz w:val="18"/>
          <w:szCs w:val="18"/>
          <w:color w:val="auto"/>
        </w:rPr>
      </w:pPr>
    </w:p>
    <w:p>
      <w:pPr>
        <w:jc w:val="both"/>
        <w:ind w:right="180" w:firstLine="987"/>
        <w:spacing w:after="0" w:line="266" w:lineRule="auto"/>
        <w:tabs>
          <w:tab w:leader="none" w:pos="1236"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of Stock Appreciation Rights</w:t>
      </w:r>
      <w:r>
        <w:rPr>
          <w:rFonts w:ascii="Times New Roman" w:cs="Times New Roman" w:eastAsia="Times New Roman" w:hAnsi="Times New Roman"/>
          <w:sz w:val="18"/>
          <w:szCs w:val="18"/>
          <w:color w:val="auto"/>
        </w:rPr>
        <w:t>. A Stock Appreciation Right granted under the Plan will expire upon the date determined by the Administrator, in its sole discretion, and set forth in the Award Agreement. Notwithstanding the foregoing, the rules of Section 6(d) relating to the maximum term and Section 6(f) relating to exercise also will apply to Stock Appreciation Rights.</w:t>
      </w:r>
    </w:p>
    <w:p>
      <w:pPr>
        <w:spacing w:after="0" w:line="175" w:lineRule="exact"/>
        <w:rPr>
          <w:rFonts w:ascii="Times New Roman" w:cs="Times New Roman" w:eastAsia="Times New Roman" w:hAnsi="Times New Roman"/>
          <w:sz w:val="18"/>
          <w:szCs w:val="18"/>
          <w:color w:val="auto"/>
        </w:rPr>
      </w:pPr>
    </w:p>
    <w:p>
      <w:pPr>
        <w:ind w:right="240" w:firstLine="987"/>
        <w:spacing w:after="0" w:line="282" w:lineRule="auto"/>
        <w:tabs>
          <w:tab w:leader="none" w:pos="1216"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Stock Appreciation Right Amount</w:t>
      </w:r>
      <w:r>
        <w:rPr>
          <w:rFonts w:ascii="Times New Roman" w:cs="Times New Roman" w:eastAsia="Times New Roman" w:hAnsi="Times New Roman"/>
          <w:sz w:val="18"/>
          <w:szCs w:val="18"/>
          <w:color w:val="auto"/>
        </w:rPr>
        <w:t>. Upon exercise of a Stock Appreciation Right, a Participant will be entitled to receive payment from the Company in an amount determined by multiplying:</w:t>
      </w:r>
    </w:p>
    <w:p>
      <w:pPr>
        <w:spacing w:after="0" w:line="161"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Fair Market Value of a Share on the date of exercise over the exercise price; times</w:t>
      </w:r>
    </w:p>
    <w:p>
      <w:pPr>
        <w:spacing w:after="0" w:line="225" w:lineRule="exact"/>
        <w:rPr>
          <w:rFonts w:ascii="Times New Roman" w:cs="Times New Roman" w:eastAsia="Times New Roman" w:hAnsi="Times New Roman"/>
          <w:sz w:val="18"/>
          <w:szCs w:val="18"/>
          <w:color w:val="auto"/>
        </w:rPr>
      </w:pPr>
    </w:p>
    <w:p>
      <w:pPr>
        <w:ind w:left="1700" w:hanging="272"/>
        <w:spacing w:after="0"/>
        <w:tabs>
          <w:tab w:leader="none" w:pos="1700"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with respect to which the Stock Appreciation Right is exercised.</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At the discretion of the Administrator, the payment upon Stock Appreciation Right exercise may be in cash, in Shares of equivalent value, or in some combination thereof.</w:t>
      </w:r>
    </w:p>
    <w:p>
      <w:pPr>
        <w:spacing w:after="0" w:line="162" w:lineRule="exact"/>
        <w:rPr>
          <w:sz w:val="20"/>
          <w:szCs w:val="20"/>
          <w:color w:val="auto"/>
        </w:rPr>
      </w:pPr>
    </w:p>
    <w:p>
      <w:pPr>
        <w:ind w:left="620" w:hanging="184"/>
        <w:spacing w:after="0"/>
        <w:tabs>
          <w:tab w:leader="none" w:pos="620"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20" w:firstLine="987"/>
        <w:spacing w:after="0" w:line="282" w:lineRule="auto"/>
        <w:tabs>
          <w:tab w:leader="none" w:pos="1236"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Restricted Stock</w:t>
      </w:r>
      <w:r>
        <w:rPr>
          <w:rFonts w:ascii="Times New Roman" w:cs="Times New Roman" w:eastAsia="Times New Roman" w:hAnsi="Times New Roman"/>
          <w:sz w:val="18"/>
          <w:szCs w:val="18"/>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61" w:lineRule="exact"/>
        <w:rPr>
          <w:rFonts w:ascii="Times New Roman" w:cs="Times New Roman" w:eastAsia="Times New Roman" w:hAnsi="Times New Roman"/>
          <w:sz w:val="18"/>
          <w:szCs w:val="18"/>
          <w:color w:val="auto"/>
        </w:rPr>
      </w:pPr>
    </w:p>
    <w:p>
      <w:pPr>
        <w:ind w:firstLine="987"/>
        <w:spacing w:after="0" w:line="289" w:lineRule="auto"/>
        <w:tabs>
          <w:tab w:leader="none" w:pos="1246" w:val="left"/>
        </w:tabs>
        <w:numPr>
          <w:ilvl w:val="1"/>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Restricted Stock Agreement</w:t>
      </w:r>
      <w:r>
        <w:rPr>
          <w:rFonts w:ascii="Times New Roman" w:cs="Times New Roman" w:eastAsia="Times New Roman" w:hAnsi="Times New Roman"/>
          <w:sz w:val="17"/>
          <w:szCs w:val="17"/>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57" w:lineRule="exact"/>
        <w:rPr>
          <w:rFonts w:ascii="Times New Roman" w:cs="Times New Roman" w:eastAsia="Times New Roman" w:hAnsi="Times New Roman"/>
          <w:sz w:val="17"/>
          <w:szCs w:val="17"/>
          <w:color w:val="auto"/>
        </w:rPr>
      </w:pPr>
    </w:p>
    <w:p>
      <w:pPr>
        <w:ind w:right="260" w:firstLine="987"/>
        <w:spacing w:after="0" w:line="282" w:lineRule="auto"/>
        <w:tabs>
          <w:tab w:leader="none" w:pos="1236"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this Section 8 or as the Administrator determines, Shares of Restricted Stock may not be sold, transferred, pledged, assigned, or otherwise alienated or hypothecated until the end of the applicable Period of Restriction.</w:t>
      </w:r>
    </w:p>
    <w:p>
      <w:pPr>
        <w:spacing w:after="0" w:line="161" w:lineRule="exact"/>
        <w:rPr>
          <w:rFonts w:ascii="Times New Roman" w:cs="Times New Roman" w:eastAsia="Times New Roman" w:hAnsi="Times New Roman"/>
          <w:sz w:val="18"/>
          <w:szCs w:val="18"/>
          <w:color w:val="auto"/>
        </w:rPr>
      </w:pPr>
    </w:p>
    <w:p>
      <w:pPr>
        <w:ind w:right="20" w:firstLine="987"/>
        <w:spacing w:after="0" w:line="282" w:lineRule="auto"/>
        <w:tabs>
          <w:tab w:leader="none" w:pos="1246"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Restrictions</w:t>
      </w:r>
      <w:r>
        <w:rPr>
          <w:rFonts w:ascii="Times New Roman" w:cs="Times New Roman" w:eastAsia="Times New Roman" w:hAnsi="Times New Roman"/>
          <w:sz w:val="18"/>
          <w:szCs w:val="18"/>
          <w:color w:val="auto"/>
        </w:rPr>
        <w:t>. The Administrator, in its sole discretion, may impose such other restrictions on Shares of Restricted Stock as it may deem advisable or appropriate.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412" w:name="page413"/>
    <w:bookmarkEnd w:id="412"/>
    <w:p>
      <w:pPr>
        <w:jc w:val="both"/>
        <w:ind w:left="-40" w:right="120" w:firstLine="987"/>
        <w:spacing w:after="0" w:line="289" w:lineRule="auto"/>
        <w:tabs>
          <w:tab w:leader="none" w:pos="1196" w:val="left"/>
        </w:tabs>
        <w:numPr>
          <w:ilvl w:val="1"/>
          <w:numId w:val="2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Removal of Restrictions</w:t>
      </w:r>
      <w:r>
        <w:rPr>
          <w:rFonts w:ascii="Times New Roman" w:cs="Times New Roman" w:eastAsia="Times New Roman" w:hAnsi="Times New Roman"/>
          <w:sz w:val="17"/>
          <w:szCs w:val="17"/>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57" w:lineRule="exact"/>
        <w:rPr>
          <w:rFonts w:ascii="Times New Roman" w:cs="Times New Roman" w:eastAsia="Times New Roman" w:hAnsi="Times New Roman"/>
          <w:sz w:val="17"/>
          <w:szCs w:val="17"/>
          <w:color w:val="auto"/>
        </w:rPr>
      </w:pPr>
    </w:p>
    <w:p>
      <w:pPr>
        <w:ind w:left="-40" w:right="100" w:firstLine="987"/>
        <w:spacing w:after="0" w:line="282" w:lineRule="auto"/>
        <w:tabs>
          <w:tab w:leader="none" w:pos="1176"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161" w:lineRule="exact"/>
        <w:rPr>
          <w:rFonts w:ascii="Times New Roman" w:cs="Times New Roman" w:eastAsia="Times New Roman" w:hAnsi="Times New Roman"/>
          <w:sz w:val="18"/>
          <w:szCs w:val="18"/>
          <w:color w:val="auto"/>
        </w:rPr>
      </w:pPr>
    </w:p>
    <w:p>
      <w:pPr>
        <w:ind w:left="-40" w:right="380" w:firstLine="987"/>
        <w:spacing w:after="0" w:line="261" w:lineRule="auto"/>
        <w:tabs>
          <w:tab w:leader="none" w:pos="1206"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Other Distributions</w:t>
      </w:r>
      <w:r>
        <w:rPr>
          <w:rFonts w:ascii="Times New Roman" w:cs="Times New Roman" w:eastAsia="Times New Roman" w:hAnsi="Times New Roman"/>
          <w:sz w:val="18"/>
          <w:szCs w:val="18"/>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79" w:lineRule="exact"/>
        <w:rPr>
          <w:rFonts w:ascii="Times New Roman" w:cs="Times New Roman" w:eastAsia="Times New Roman" w:hAnsi="Times New Roman"/>
          <w:sz w:val="18"/>
          <w:szCs w:val="18"/>
          <w:color w:val="auto"/>
        </w:rPr>
      </w:pPr>
    </w:p>
    <w:p>
      <w:pPr>
        <w:ind w:left="-40" w:firstLine="987"/>
        <w:spacing w:after="0" w:line="282" w:lineRule="auto"/>
        <w:tabs>
          <w:tab w:leader="none" w:pos="1206"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Restricted Stock to Company</w:t>
      </w:r>
      <w:r>
        <w:rPr>
          <w:rFonts w:ascii="Times New Roman" w:cs="Times New Roman" w:eastAsia="Times New Roman" w:hAnsi="Times New Roman"/>
          <w:sz w:val="18"/>
          <w:szCs w:val="18"/>
          <w:color w:val="auto"/>
        </w:rPr>
        <w:t>. On the date set forth in the Award Agreement, the Restricted Stock for which restrictions have not lapsed will revert to the Company and again will become available for grant under the Plan.</w:t>
      </w:r>
    </w:p>
    <w:p>
      <w:pPr>
        <w:spacing w:after="0" w:line="161" w:lineRule="exact"/>
        <w:rPr>
          <w:rFonts w:ascii="Times New Roman" w:cs="Times New Roman" w:eastAsia="Times New Roman" w:hAnsi="Times New Roman"/>
          <w:sz w:val="18"/>
          <w:szCs w:val="18"/>
          <w:color w:val="auto"/>
        </w:rPr>
      </w:pPr>
    </w:p>
    <w:p>
      <w:pPr>
        <w:ind w:left="580" w:hanging="184"/>
        <w:spacing w:after="0"/>
        <w:tabs>
          <w:tab w:leader="none" w:pos="580"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0" w:right="300" w:firstLine="987"/>
        <w:spacing w:after="0" w:line="266" w:lineRule="auto"/>
        <w:tabs>
          <w:tab w:leader="none" w:pos="1196"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175" w:lineRule="exact"/>
        <w:rPr>
          <w:rFonts w:ascii="Times New Roman" w:cs="Times New Roman" w:eastAsia="Times New Roman" w:hAnsi="Times New Roman"/>
          <w:sz w:val="18"/>
          <w:szCs w:val="18"/>
          <w:color w:val="auto"/>
        </w:rPr>
      </w:pPr>
    </w:p>
    <w:p>
      <w:pPr>
        <w:ind w:left="-40" w:right="60" w:firstLine="987"/>
        <w:spacing w:after="0" w:line="261" w:lineRule="auto"/>
        <w:tabs>
          <w:tab w:leader="none" w:pos="1206"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Criteria and Other Terms</w:t>
      </w:r>
      <w:r>
        <w:rPr>
          <w:rFonts w:ascii="Times New Roman" w:cs="Times New Roman" w:eastAsia="Times New Roman" w:hAnsi="Times New Roman"/>
          <w:sz w:val="18"/>
          <w:szCs w:val="18"/>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service), or any other basis determined by the Administrator in its discretion.</w:t>
      </w:r>
    </w:p>
    <w:p>
      <w:pPr>
        <w:spacing w:after="0" w:line="179" w:lineRule="exact"/>
        <w:rPr>
          <w:rFonts w:ascii="Times New Roman" w:cs="Times New Roman" w:eastAsia="Times New Roman" w:hAnsi="Times New Roman"/>
          <w:sz w:val="18"/>
          <w:szCs w:val="18"/>
          <w:color w:val="auto"/>
        </w:rPr>
      </w:pPr>
    </w:p>
    <w:p>
      <w:pPr>
        <w:jc w:val="both"/>
        <w:ind w:left="-40" w:right="340" w:firstLine="987"/>
        <w:spacing w:after="0" w:line="266" w:lineRule="auto"/>
        <w:tabs>
          <w:tab w:leader="none" w:pos="1196"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 Restricted Stock Units</w:t>
      </w:r>
      <w:r>
        <w:rPr>
          <w:rFonts w:ascii="Times New Roman" w:cs="Times New Roman" w:eastAsia="Times New Roman" w:hAnsi="Times New Roman"/>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75" w:lineRule="exact"/>
        <w:rPr>
          <w:rFonts w:ascii="Times New Roman" w:cs="Times New Roman" w:eastAsia="Times New Roman" w:hAnsi="Times New Roman"/>
          <w:sz w:val="18"/>
          <w:szCs w:val="18"/>
          <w:color w:val="auto"/>
        </w:rPr>
      </w:pPr>
    </w:p>
    <w:p>
      <w:pPr>
        <w:ind w:left="-40" w:right="320" w:firstLine="987"/>
        <w:spacing w:after="0" w:line="266" w:lineRule="auto"/>
        <w:tabs>
          <w:tab w:leader="none" w:pos="1206"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and Timing of Payment</w:t>
      </w:r>
      <w:r>
        <w:rPr>
          <w:rFonts w:ascii="Times New Roman" w:cs="Times New Roman" w:eastAsia="Times New Roman" w:hAnsi="Times New Roman"/>
          <w:sz w:val="18"/>
          <w:szCs w:val="18"/>
          <w:color w:val="auto"/>
        </w:rPr>
        <w:t>. Payment of earned Restricted Stock Units will be made as soon as practicable after the date(s) determined by the Administrator and set forth in the Award Agreement. The Administrator, in its sole discretion, may settle earned Restricted Stock Units in cash, Shares, or a combination of both.</w:t>
      </w:r>
    </w:p>
    <w:p>
      <w:pPr>
        <w:spacing w:after="0" w:line="175" w:lineRule="exact"/>
        <w:rPr>
          <w:rFonts w:ascii="Times New Roman" w:cs="Times New Roman" w:eastAsia="Times New Roman" w:hAnsi="Times New Roman"/>
          <w:sz w:val="18"/>
          <w:szCs w:val="18"/>
          <w:color w:val="auto"/>
        </w:rPr>
      </w:pPr>
    </w:p>
    <w:p>
      <w:pPr>
        <w:ind w:left="1200" w:hanging="253"/>
        <w:spacing w:after="0"/>
        <w:tabs>
          <w:tab w:leader="none" w:pos="1200"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On the date set forth in the Award Agreement, all unearned Restricted Stock Units will be forfeited to the Company.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480" w:top="270" w:right="499" w:bottom="1440" w:gutter="0" w:footer="0" w:header="0"/>
        </w:sectPr>
      </w:pPr>
    </w:p>
    <w:bookmarkStart w:id="413" w:name="page414"/>
    <w:bookmarkEnd w:id="413"/>
    <w:p>
      <w:pPr>
        <w:ind w:left="-20" w:firstLine="436"/>
        <w:spacing w:after="0" w:line="255" w:lineRule="auto"/>
        <w:tabs>
          <w:tab w:leader="none" w:pos="69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Compliance With Code Section 409A</w:t>
      </w:r>
      <w:r>
        <w:rPr>
          <w:rFonts w:ascii="Times New Roman" w:cs="Times New Roman" w:eastAsia="Times New Roman" w:hAnsi="Times New Roman"/>
          <w:sz w:val="18"/>
          <w:szCs w:val="18"/>
          <w:color w:val="auto"/>
        </w:rPr>
        <w:t>. Awards will be designed and operated in such a manner that they are either exempt from the application of, or comply with, the requirements of Code Section 409A, except as otherwise determined in the sole discretion of the Administrator. The Plan and each Award Agreement under the Plan is intended to meet the requirements of Code Section 409A and will be construed and interpreted in accordance with 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w:t>
      </w:r>
    </w:p>
    <w:p>
      <w:pPr>
        <w:spacing w:after="0" w:line="188" w:lineRule="exact"/>
        <w:rPr>
          <w:rFonts w:ascii="Times New Roman" w:cs="Times New Roman" w:eastAsia="Times New Roman" w:hAnsi="Times New Roman"/>
          <w:sz w:val="18"/>
          <w:szCs w:val="18"/>
          <w:color w:val="auto"/>
        </w:rPr>
      </w:pPr>
    </w:p>
    <w:p>
      <w:pPr>
        <w:ind w:left="-20" w:right="120" w:firstLine="436"/>
        <w:spacing w:after="0" w:line="255" w:lineRule="auto"/>
        <w:tabs>
          <w:tab w:leader="none" w:pos="683"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Leaves of Absence/Transfer Between Locations</w:t>
      </w:r>
      <w:r>
        <w:rPr>
          <w:rFonts w:ascii="Times New Roman" w:cs="Times New Roman" w:eastAsia="Times New Roman" w:hAnsi="Times New Roman"/>
          <w:sz w:val="18"/>
          <w:szCs w:val="18"/>
          <w:color w:val="auto"/>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day of such leave, any Incentive Stock Option held by the Participant will cease to be treated as an Incentive Stock Option and will be treated for tax purposes as a Nonstatutory Stock Option.</w:t>
      </w:r>
    </w:p>
    <w:p>
      <w:pPr>
        <w:spacing w:after="0" w:line="188"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Limited Transferability of Awards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100" w:firstLine="987"/>
        <w:spacing w:after="0" w:line="261" w:lineRule="auto"/>
        <w:tabs>
          <w:tab w:leader="none" w:pos="1216"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determined otherwise by the Administrator, Awards may not be sold, pledged, assigned, hypothecated, or otherwise transferred in any manner other than by will or by the laws of descent and distribution, and may be exercised, during the lifetime of the Participant, only by the Participant. If the Administrator makes an Award transferable, such Award may only be transferred (i) by will, (ii) by the laws of descent and distribution, or (iii) as permitted by Rule 701 of the Securities Act of 1933, as amended (the “Securities Act”).</w:t>
      </w:r>
    </w:p>
    <w:p>
      <w:pPr>
        <w:spacing w:after="0" w:line="179" w:lineRule="exact"/>
        <w:rPr>
          <w:rFonts w:ascii="Times New Roman" w:cs="Times New Roman" w:eastAsia="Times New Roman" w:hAnsi="Times New Roman"/>
          <w:sz w:val="18"/>
          <w:szCs w:val="18"/>
          <w:color w:val="auto"/>
        </w:rPr>
      </w:pPr>
    </w:p>
    <w:p>
      <w:pPr>
        <w:ind w:left="-20" w:right="100" w:firstLine="987"/>
        <w:spacing w:after="0" w:line="254" w:lineRule="auto"/>
        <w:tabs>
          <w:tab w:leader="none" w:pos="1226"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until the Company becomes subject to the reporting requirements of Section 13 or 15(d) of the Exchange Act, or after the Administrator determines that it is, will, or may no longer be relying upon the exemption from registration under the Exchange Act as set forth in Rule 12h-1(f) promulgated under the Exchange Act, an Option, or prior to exercise, the Shares subject to the Option, may not be pledged, hypothecated or otherwise transferred or disposed of, in any manner, including by entering into any short position, any “put equivalent position” or any “call equivalent position” (as defined in Rule 16a-1(h) and Rule 16a-1(b) of the Exchange Act, respectively), other than to (i) persons who are “family members” (as defined in Rule 701(c)(3) of the Securities Act) through gifts or domestic relations orders, or (ii) to an executor or guardian of the Participant upon the death or disability of the Participant. Notwithstanding the foregoing sentence, the Administrator, in its sole discretion, may determine to permit transfers to the Company or in connection with a Change in Control or other acquisition transactions involving the Company to the extent permitted by Rule 12h-1(f).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60" w:top="270" w:right="459" w:bottom="1440" w:gutter="0" w:footer="0" w:header="0"/>
        </w:sectPr>
      </w:pPr>
    </w:p>
    <w:bookmarkStart w:id="414" w:name="page415"/>
    <w:bookmarkEnd w:id="414"/>
    <w:p>
      <w:pPr>
        <w:ind w:left="700" w:hanging="264"/>
        <w:spacing w:after="0"/>
        <w:tabs>
          <w:tab w:leader="none" w:pos="70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Adjustments; Dissolution or Liquidation; Merger or Change in Control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987"/>
        <w:spacing w:after="0" w:line="255" w:lineRule="auto"/>
        <w:tabs>
          <w:tab w:leader="none" w:pos="1236"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provided, however, that the Administrator will make such adjustments to an Award required by Section 25102(o) of the California Corporations Code to the extent the Company is relying upon the exemption afforded thereby with respect to the Award.</w:t>
      </w:r>
    </w:p>
    <w:p>
      <w:pPr>
        <w:spacing w:after="0" w:line="188" w:lineRule="exact"/>
        <w:rPr>
          <w:rFonts w:ascii="Times New Roman" w:cs="Times New Roman" w:eastAsia="Times New Roman" w:hAnsi="Times New Roman"/>
          <w:sz w:val="18"/>
          <w:szCs w:val="18"/>
          <w:color w:val="auto"/>
        </w:rPr>
      </w:pPr>
    </w:p>
    <w:p>
      <w:pPr>
        <w:ind w:right="140" w:firstLine="987"/>
        <w:spacing w:after="0" w:line="266" w:lineRule="auto"/>
        <w:tabs>
          <w:tab w:leader="none" w:pos="1246"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75" w:lineRule="exact"/>
        <w:rPr>
          <w:rFonts w:ascii="Times New Roman" w:cs="Times New Roman" w:eastAsia="Times New Roman" w:hAnsi="Times New Roman"/>
          <w:sz w:val="18"/>
          <w:szCs w:val="18"/>
          <w:color w:val="auto"/>
        </w:rPr>
      </w:pPr>
    </w:p>
    <w:p>
      <w:pPr>
        <w:ind w:right="40" w:firstLine="987"/>
        <w:spacing w:after="0" w:line="252" w:lineRule="auto"/>
        <w:tabs>
          <w:tab w:leader="none" w:pos="1236" w:val="left"/>
        </w:tabs>
        <w:numPr>
          <w:ilvl w:val="1"/>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or Change in Control</w:t>
      </w:r>
      <w:r>
        <w:rPr>
          <w:rFonts w:ascii="Times New Roman" w:cs="Times New Roman" w:eastAsia="Times New Roman" w:hAnsi="Times New Roman"/>
          <w:sz w:val="18"/>
          <w:szCs w:val="18"/>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 (iii)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Administrator in its sole discretion; or (v) any combination of the foregoing. In taking any of the actions permitted under this subsection 13(c), the Administrator will not be obligated to treat all Awards, all Awards held by a Participant, or all Awards of the same type, similarly.</w:t>
      </w:r>
    </w:p>
    <w:p>
      <w:pPr>
        <w:spacing w:after="0" w:line="197"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In the event that the successor corporation does not assume or substitute for the Award (or portion thereof),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415" w:name="page416"/>
    <w:bookmarkEnd w:id="415"/>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performance goals or other vesting criteria will be deemed achieved at one hundred percent (100%) of target levels and all other terms and conditions met. In addition, if an Option or Stock Appreciation Right is not assumed or substituted in the event of a merger or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80"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For the purposes of this subsection 13(c),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for each Share subject to such Award, to be solely common stock of the successor corporation or its Parent equal in fair market value to the per share consideration received by holders of Common Stock in the merger or Change in Control.</w:t>
      </w:r>
    </w:p>
    <w:p>
      <w:pPr>
        <w:spacing w:after="0" w:line="188"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80" w:lineRule="exact"/>
        <w:rPr>
          <w:sz w:val="20"/>
          <w:szCs w:val="20"/>
          <w:color w:val="auto"/>
        </w:rPr>
      </w:pPr>
    </w:p>
    <w:p>
      <w:pPr>
        <w:jc w:val="both"/>
        <w:ind w:right="120" w:firstLine="991"/>
        <w:spacing w:after="0" w:line="281" w:lineRule="auto"/>
        <w:rPr>
          <w:sz w:val="20"/>
          <w:szCs w:val="20"/>
          <w:color w:val="auto"/>
        </w:rPr>
      </w:pPr>
      <w:r>
        <w:rPr>
          <w:rFonts w:ascii="Times New Roman" w:cs="Times New Roman" w:eastAsia="Times New Roman" w:hAnsi="Times New Roman"/>
          <w:sz w:val="17"/>
          <w:szCs w:val="17"/>
          <w:color w:val="auto"/>
        </w:rPr>
        <w:t>Notwithstanding anything in this Section 13(c) to the contrary, if a payment under an Award Agreement is subject to Code Section 409A and if the change in control definition contained in the Award Agreement does not comply with the definition of “change of control” for purposes of a distribution under Code Section 409A, then any payment of an amount that is otherwise accelerated under this Section will be delayed until the earliest time that such payment would be permissible under Code Section 409A without triggering any penalties applicable under Code Section 409A.</w:t>
      </w:r>
    </w:p>
    <w:p>
      <w:pPr>
        <w:spacing w:after="0" w:line="164" w:lineRule="exact"/>
        <w:rPr>
          <w:sz w:val="20"/>
          <w:szCs w:val="20"/>
          <w:color w:val="auto"/>
        </w:rPr>
      </w:pPr>
    </w:p>
    <w:p>
      <w:pPr>
        <w:ind w:left="700" w:hanging="264"/>
        <w:spacing w:after="0"/>
        <w:tabs>
          <w:tab w:leader="none" w:pos="700"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00" w:firstLine="987"/>
        <w:spacing w:after="0" w:line="266" w:lineRule="auto"/>
        <w:tabs>
          <w:tab w:leader="none" w:pos="1236"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Requirements</w:t>
      </w:r>
      <w:r>
        <w:rPr>
          <w:rFonts w:ascii="Times New Roman" w:cs="Times New Roman" w:eastAsia="Times New Roman" w:hAnsi="Times New Roman"/>
          <w:sz w:val="18"/>
          <w:szCs w:val="18"/>
          <w:color w:val="auto"/>
        </w:rPr>
        <w:t>. Prior to the delivery of any Shares or cash pursuant to an Award (or exercise thereof),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175" w:lineRule="exact"/>
        <w:rPr>
          <w:rFonts w:ascii="Times New Roman" w:cs="Times New Roman" w:eastAsia="Times New Roman" w:hAnsi="Times New Roman"/>
          <w:sz w:val="18"/>
          <w:szCs w:val="18"/>
          <w:color w:val="auto"/>
        </w:rPr>
      </w:pPr>
    </w:p>
    <w:p>
      <w:pPr>
        <w:ind w:right="260" w:firstLine="987"/>
        <w:spacing w:after="0" w:line="282" w:lineRule="auto"/>
        <w:tabs>
          <w:tab w:leader="none" w:pos="1246"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Arrangements</w:t>
      </w:r>
      <w:r>
        <w:rPr>
          <w:rFonts w:ascii="Times New Roman" w:cs="Times New Roman" w:eastAsia="Times New Roman" w:hAnsi="Times New Roman"/>
          <w:sz w:val="18"/>
          <w:szCs w:val="18"/>
          <w:color w:val="auto"/>
        </w:rPr>
        <w:t>. The Administrator, in its sole discretion and pursuant to such procedures as it may specify from time to time, may permit a Participant to satisfy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416" w:name="page417"/>
    <w:bookmarkEnd w:id="416"/>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tax withholding obligation, in whole or in part by (without limitation) (i) paying cash, (ii) electing to have the Company withhold otherwise deliverable Shares having a Fair Market Value equal to the minimum statutory amount required to be withheld, (iii) delivering to the Company already-owned Shares having a Fair Market Value equal to the statutory amount required to be withheld, provided the delivery of such Shares will not result in any adverse accounting consequences, as the Administrator determines in its sole discretion, or (iv) selling a sufficient number of Shares otherwise deliverable to the Participant through such means as the Administrator may determine in its sole discretion (whether through a broker or otherwise) equal to the amount required to be withheld.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The Fair Market Value of the Shares to be withheld or delivered will be determined as of the date that the taxes are required to be withheld.</w:t>
      </w:r>
    </w:p>
    <w:p>
      <w:pPr>
        <w:spacing w:after="0" w:line="188" w:lineRule="exact"/>
        <w:rPr>
          <w:sz w:val="20"/>
          <w:szCs w:val="20"/>
          <w:color w:val="auto"/>
        </w:rPr>
      </w:pPr>
    </w:p>
    <w:p>
      <w:pPr>
        <w:ind w:right="120" w:firstLine="436"/>
        <w:spacing w:after="0" w:line="266" w:lineRule="auto"/>
        <w:tabs>
          <w:tab w:leader="none" w:pos="71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Employment or Service</w:t>
      </w:r>
      <w:r>
        <w:rPr>
          <w:rFonts w:ascii="Times New Roman" w:cs="Times New Roman" w:eastAsia="Times New Roman" w:hAnsi="Times New Roman"/>
          <w:sz w:val="18"/>
          <w:szCs w:val="18"/>
          <w:color w:val="auto"/>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175" w:lineRule="exact"/>
        <w:rPr>
          <w:rFonts w:ascii="Times New Roman" w:cs="Times New Roman" w:eastAsia="Times New Roman" w:hAnsi="Times New Roman"/>
          <w:sz w:val="18"/>
          <w:szCs w:val="18"/>
          <w:color w:val="auto"/>
        </w:rPr>
      </w:pPr>
    </w:p>
    <w:p>
      <w:pPr>
        <w:ind w:right="160" w:firstLine="436"/>
        <w:spacing w:after="0" w:line="266" w:lineRule="auto"/>
        <w:tabs>
          <w:tab w:leader="none" w:pos="71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75" w:lineRule="exact"/>
        <w:rPr>
          <w:rFonts w:ascii="Times New Roman" w:cs="Times New Roman" w:eastAsia="Times New Roman" w:hAnsi="Times New Roman"/>
          <w:sz w:val="18"/>
          <w:szCs w:val="18"/>
          <w:color w:val="auto"/>
        </w:rPr>
      </w:pPr>
    </w:p>
    <w:p>
      <w:pPr>
        <w:ind w:firstLine="436"/>
        <w:spacing w:after="0" w:line="266" w:lineRule="auto"/>
        <w:tabs>
          <w:tab w:leader="none" w:pos="71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Plan</w:t>
      </w:r>
      <w:r>
        <w:rPr>
          <w:rFonts w:ascii="Times New Roman" w:cs="Times New Roman" w:eastAsia="Times New Roman" w:hAnsi="Times New Roman"/>
          <w:sz w:val="18"/>
          <w:szCs w:val="18"/>
          <w:color w:val="auto"/>
        </w:rPr>
        <w:t>. Subject to Section 21 of the Plan, the Plan will become effective upon its adoption by the Board. Unless sooner terminated under Section 18, it will continue in effect for a term of ten (10) years from the later of (a) the effective date of the Plan, or (b) the earlier of the most recent Board or stockholder approval of an increase in the number of Shares reserved for issuance under the Plan.</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 of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w:t>
      </w:r>
      <w:r>
        <w:rPr>
          <w:rFonts w:ascii="Times New Roman" w:cs="Times New Roman" w:eastAsia="Times New Roman" w:hAnsi="Times New Roman"/>
          <w:sz w:val="18"/>
          <w:szCs w:val="18"/>
          <w:color w:val="auto"/>
        </w:rPr>
        <w:t>. The Board may at any time amend, alter, suspend or terminate the Plan.</w:t>
      </w:r>
    </w:p>
    <w:p>
      <w:pPr>
        <w:spacing w:after="0" w:line="225" w:lineRule="exact"/>
        <w:rPr>
          <w:rFonts w:ascii="Times New Roman" w:cs="Times New Roman" w:eastAsia="Times New Roman" w:hAnsi="Times New Roman"/>
          <w:sz w:val="18"/>
          <w:szCs w:val="18"/>
          <w:color w:val="auto"/>
        </w:rPr>
      </w:pPr>
    </w:p>
    <w:p>
      <w:pPr>
        <w:ind w:right="60" w:firstLine="987"/>
        <w:spacing w:after="0" w:line="282" w:lineRule="auto"/>
        <w:tabs>
          <w:tab w:leader="none" w:pos="1246"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Company will obtain stockholder approval of any Plan amendment to the extent necessary and desirable to comply with Applicable Laws.</w:t>
      </w:r>
    </w:p>
    <w:p>
      <w:pPr>
        <w:spacing w:after="0" w:line="161" w:lineRule="exact"/>
        <w:rPr>
          <w:rFonts w:ascii="Times New Roman" w:cs="Times New Roman" w:eastAsia="Times New Roman" w:hAnsi="Times New Roman"/>
          <w:sz w:val="18"/>
          <w:szCs w:val="18"/>
          <w:color w:val="auto"/>
        </w:rPr>
      </w:pPr>
    </w:p>
    <w:p>
      <w:pPr>
        <w:ind w:right="280" w:firstLine="987"/>
        <w:spacing w:after="0" w:line="261" w:lineRule="auto"/>
        <w:tabs>
          <w:tab w:leader="none" w:pos="1236"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Amendment or Termination</w:t>
      </w:r>
      <w:r>
        <w:rPr>
          <w:rFonts w:ascii="Times New Roman" w:cs="Times New Roman" w:eastAsia="Times New Roman" w:hAnsi="Times New Roman"/>
          <w:sz w:val="18"/>
          <w:szCs w:val="18"/>
          <w:color w:val="auto"/>
        </w:rPr>
        <w:t>.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417" w:name="page418"/>
    <w:bookmarkEnd w:id="417"/>
    <w:p>
      <w:pPr>
        <w:ind w:left="704" w:hanging="264"/>
        <w:spacing w:after="0"/>
        <w:tabs>
          <w:tab w:leader="none" w:pos="704"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Conditions Upon Issuance of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180" w:firstLine="987"/>
        <w:spacing w:after="0" w:line="266" w:lineRule="auto"/>
        <w:tabs>
          <w:tab w:leader="none" w:pos="1240" w:val="left"/>
        </w:tabs>
        <w:numPr>
          <w:ilvl w:val="2"/>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Compliance</w:t>
      </w:r>
      <w:r>
        <w:rPr>
          <w:rFonts w:ascii="Times New Roman" w:cs="Times New Roman" w:eastAsia="Times New Roman" w:hAnsi="Times New Roman"/>
          <w:sz w:val="18"/>
          <w:szCs w:val="18"/>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75" w:lineRule="exact"/>
        <w:rPr>
          <w:rFonts w:ascii="Times New Roman" w:cs="Times New Roman" w:eastAsia="Times New Roman" w:hAnsi="Times New Roman"/>
          <w:sz w:val="18"/>
          <w:szCs w:val="18"/>
          <w:color w:val="auto"/>
        </w:rPr>
      </w:pPr>
    </w:p>
    <w:p>
      <w:pPr>
        <w:ind w:left="4" w:firstLine="987"/>
        <w:spacing w:after="0" w:line="266" w:lineRule="auto"/>
        <w:tabs>
          <w:tab w:leader="none" w:pos="1250" w:val="left"/>
        </w:tabs>
        <w:numPr>
          <w:ilvl w:val="2"/>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75" w:lineRule="exact"/>
        <w:rPr>
          <w:rFonts w:ascii="Times New Roman" w:cs="Times New Roman" w:eastAsia="Times New Roman" w:hAnsi="Times New Roman"/>
          <w:sz w:val="18"/>
          <w:szCs w:val="18"/>
          <w:color w:val="auto"/>
        </w:rPr>
      </w:pPr>
    </w:p>
    <w:p>
      <w:pPr>
        <w:jc w:val="both"/>
        <w:ind w:left="4" w:right="120" w:firstLine="436"/>
        <w:spacing w:after="0" w:line="266" w:lineRule="auto"/>
        <w:tabs>
          <w:tab w:leader="none" w:pos="714"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to Obtain Authority</w:t>
      </w:r>
      <w:r>
        <w:rPr>
          <w:rFonts w:ascii="Times New Roman" w:cs="Times New Roman" w:eastAsia="Times New Roman" w:hAnsi="Times New Roman"/>
          <w:sz w:val="18"/>
          <w:szCs w:val="18"/>
          <w:color w:val="auto"/>
        </w:rPr>
        <w:t>.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w:t>
      </w:r>
    </w:p>
    <w:p>
      <w:pPr>
        <w:spacing w:after="0" w:line="175" w:lineRule="exact"/>
        <w:rPr>
          <w:rFonts w:ascii="Times New Roman" w:cs="Times New Roman" w:eastAsia="Times New Roman" w:hAnsi="Times New Roman"/>
          <w:sz w:val="18"/>
          <w:szCs w:val="18"/>
          <w:color w:val="auto"/>
        </w:rPr>
      </w:pPr>
    </w:p>
    <w:p>
      <w:pPr>
        <w:ind w:left="4" w:right="160" w:firstLine="436"/>
        <w:spacing w:after="0" w:line="282" w:lineRule="auto"/>
        <w:tabs>
          <w:tab w:leader="none" w:pos="714"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6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 to Participants</w:t>
      </w:r>
      <w:r>
        <w:rPr>
          <w:rFonts w:ascii="Times New Roman" w:cs="Times New Roman" w:eastAsia="Times New Roman" w:hAnsi="Times New Roman"/>
          <w:sz w:val="18"/>
          <w:szCs w:val="18"/>
          <w:color w:val="auto"/>
        </w:rPr>
        <w:t>. Beginning on the earlier of (i) the date that the aggregate number of Participants under this Plan is five hundred</w:t>
      </w:r>
    </w:p>
    <w:p>
      <w:pPr>
        <w:spacing w:after="0" w:line="27" w:lineRule="exact"/>
        <w:rPr>
          <w:rFonts w:ascii="Times New Roman" w:cs="Times New Roman" w:eastAsia="Times New Roman" w:hAnsi="Times New Roman"/>
          <w:sz w:val="18"/>
          <w:szCs w:val="18"/>
          <w:color w:val="auto"/>
        </w:rPr>
      </w:pPr>
    </w:p>
    <w:p>
      <w:pPr>
        <w:ind w:left="4" w:hanging="4"/>
        <w:spacing w:after="0" w:line="250" w:lineRule="auto"/>
        <w:tabs>
          <w:tab w:leader="none" w:pos="439"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more and the Company is relying on the exemption provided by Rule 12h-1(f)(1) under the Exchange Act and (ii) the date that the Company is required to deliver information to Participants pursuant to Rule 701 under the Securities Act, and until such time as the Company becomes subject to the reporting requirements of Section 13 or 15(d) of the Exchange Act, is no longer relying on the exemption provided by Rule 12h-1(f)(1) under the Exchange Act or is no longer required to deliver information to Participants pursuant to Rule 701 under the Securities Act, the Company shall provide to each Participant the information described in paragraphs (e)(3), (4), and (5) of Rule 701 under the Securities Act not less frequently than every six</w:t>
      </w:r>
    </w:p>
    <w:p>
      <w:pPr>
        <w:spacing w:after="0" w:line="1" w:lineRule="exact"/>
        <w:rPr>
          <w:rFonts w:ascii="Times New Roman" w:cs="Times New Roman" w:eastAsia="Times New Roman" w:hAnsi="Times New Roman"/>
          <w:sz w:val="18"/>
          <w:szCs w:val="18"/>
          <w:color w:val="auto"/>
        </w:rPr>
      </w:pPr>
    </w:p>
    <w:p>
      <w:pPr>
        <w:ind w:left="4" w:right="60" w:hanging="4"/>
        <w:spacing w:after="0" w:line="252" w:lineRule="auto"/>
        <w:tabs>
          <w:tab w:leader="none" w:pos="259"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with the financial statements being not more than 180 days old and with such information provided either by physical or electronic delivery to the Participants or by written notice to the Participants of the availability of the information on an Internet site that may be password-protected and of any password needed to access the information. The Company may request that Participants agree to keep the information to be provided pursuant to this section confidential. If a Participant does not agree to keep the information to be provided pursuant to this section confidential, then the Company will not be required to provide the information unless otherwise required pursuant to Rule 12h-1(f)(1) under the Exchange Act or Rule 701 of the Securities Act.</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70" w:right="459" w:bottom="1440" w:gutter="0" w:footer="0" w:header="0"/>
        </w:sectPr>
      </w:pPr>
    </w:p>
    <w:bookmarkStart w:id="418" w:name="page419"/>
    <w:bookmarkEnd w:id="418"/>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PMV PHARMACEUTICALS, INC.</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2013 EQUITY INCENTIVE PLAN</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229"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the terms defined in the 2013 Equity Incentive Plan (the “Plan”) shall have the same defined meanings in this Stock Option Agreement (the “Option Agreement”).</w:t>
      </w:r>
    </w:p>
    <w:p>
      <w:pPr>
        <w:spacing w:after="0" w:line="306" w:lineRule="exact"/>
        <w:rPr>
          <w:sz w:val="20"/>
          <w:szCs w:val="20"/>
          <w:color w:val="auto"/>
        </w:rPr>
      </w:pPr>
    </w:p>
    <w:p>
      <w:pPr>
        <w:ind w:left="424" w:hanging="424"/>
        <w:spacing w:after="0"/>
        <w:tabs>
          <w:tab w:leader="none" w:pos="424" w:val="left"/>
        </w:tabs>
        <w:numPr>
          <w:ilvl w:val="0"/>
          <w:numId w:val="2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 OF STOCK OPTION GRANT</w:t>
      </w:r>
    </w:p>
    <w:p>
      <w:pPr>
        <w:spacing w:after="0" w:line="252"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w:t>
      </w:r>
      <w:r>
        <w:rPr>
          <w:rFonts w:ascii="Times New Roman" w:cs="Times New Roman" w:eastAsia="Times New Roman" w:hAnsi="Times New Roman"/>
          <w:sz w:val="17"/>
          <w:szCs w:val="17"/>
          <w:color w:val="auto"/>
        </w:rPr>
        <w:t>«Name»</w:t>
      </w:r>
    </w:p>
    <w:p>
      <w:pPr>
        <w:spacing w:after="0" w:line="225" w:lineRule="exact"/>
        <w:rPr>
          <w:rFonts w:ascii="Times New Roman" w:cs="Times New Roman" w:eastAsia="Times New Roman" w:hAnsi="Times New Roman"/>
          <w:sz w:val="18"/>
          <w:szCs w:val="18"/>
          <w:b w:val="1"/>
          <w:bCs w:val="1"/>
          <w:color w:val="auto"/>
        </w:rPr>
      </w:pPr>
    </w:p>
    <w:p>
      <w:pPr>
        <w:ind w:left="1464" w:right="8240" w:hanging="1013"/>
        <w:spacing w:after="0" w:line="31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auto"/>
        </w:rPr>
        <w:t xml:space="preserve">Address: </w:t>
      </w:r>
      <w:r>
        <w:rPr>
          <w:rFonts w:ascii="Times New Roman" w:cs="Times New Roman" w:eastAsia="Times New Roman" w:hAnsi="Times New Roman"/>
          <w:sz w:val="17"/>
          <w:szCs w:val="17"/>
          <w:color w:val="auto"/>
        </w:rPr>
        <w:t>«Address»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«City_State_Zip»</w:t>
      </w:r>
    </w:p>
    <w:p>
      <w:pPr>
        <w:spacing w:after="0" w:line="13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The undersigned Participant has been granted an Option to purchase Common Stock of the Company, subject to the terms and conditions of the</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Plan and this Option Agreement, as follows:</w:t>
      </w:r>
    </w:p>
    <w:p>
      <w:pPr>
        <w:sectPr>
          <w:pgSz w:w="11900" w:h="16838" w:orient="portrait"/>
          <w:cols w:equalWidth="0" w:num="1">
            <w:col w:w="10984"/>
          </w:cols>
          <w:pgMar w:left="436" w:top="266" w:right="479" w:bottom="1440" w:gutter="0" w:footer="0" w:header="0"/>
        </w:sectPr>
      </w:pPr>
    </w:p>
    <w:p>
      <w:pPr>
        <w:spacing w:after="0" w:line="23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Date of Grant:</w:t>
      </w:r>
    </w:p>
    <w:p>
      <w:pPr>
        <w:spacing w:after="0" w:line="14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14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Exercise Price per Share:</w:t>
      </w:r>
    </w:p>
    <w:p>
      <w:pPr>
        <w:spacing w:after="0" w:line="14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Total Number of Shares Granted:</w:t>
      </w:r>
    </w:p>
    <w:p>
      <w:pPr>
        <w:spacing w:after="0" w:line="15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Total Exercise Price:</w:t>
      </w:r>
    </w:p>
    <w:p>
      <w:pPr>
        <w:spacing w:after="0" w:line="14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Type of Option:</w:t>
      </w:r>
    </w:p>
    <w:p>
      <w:pPr>
        <w:spacing w:after="0" w:line="200" w:lineRule="exact"/>
        <w:rPr>
          <w:sz w:val="20"/>
          <w:szCs w:val="20"/>
          <w:color w:val="auto"/>
        </w:rPr>
      </w:pPr>
    </w:p>
    <w:p>
      <w:pPr>
        <w:spacing w:after="0" w:line="24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Term/Expiration Date:</w:t>
      </w:r>
    </w:p>
    <w:p>
      <w:pPr>
        <w:spacing w:after="0" w:line="25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«Grant_Date»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424307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«Vest_Date»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424307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$«Price_Per_Share»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424307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4243070"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424307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424307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$«Total_Price»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424307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4243070"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«ISO»</w:t>
      </w:r>
      <w:r>
        <w:rPr>
          <w:rFonts w:ascii="Times New Roman" w:cs="Times New Roman" w:eastAsia="Times New Roman" w:hAnsi="Times New Roman"/>
          <w:sz w:val="18"/>
          <w:szCs w:val="18"/>
          <w:color w:val="auto"/>
        </w:rPr>
        <w:t xml:space="preserve"> Incentive Stock Option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«NSO»</w:t>
      </w:r>
      <w:r>
        <w:rPr>
          <w:rFonts w:ascii="Times New Roman" w:cs="Times New Roman" w:eastAsia="Times New Roman" w:hAnsi="Times New Roman"/>
          <w:sz w:val="18"/>
          <w:szCs w:val="18"/>
          <w:color w:val="auto"/>
        </w:rPr>
        <w:t xml:space="preserve"> Nonstatutory Stock Option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«Expire_Date»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424307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4243070" cy="8890"/>
                    </a:xfrm>
                    <a:prstGeom prst="rect">
                      <a:avLst/>
                    </a:prstGeom>
                    <a:noFill/>
                  </pic:spPr>
                </pic:pic>
              </a:graphicData>
            </a:graphic>
          </wp:anchor>
        </w:drawing>
      </w:r>
    </w:p>
    <w:p>
      <w:pPr>
        <w:spacing w:after="0" w:line="658" w:lineRule="exact"/>
        <w:rPr>
          <w:sz w:val="20"/>
          <w:szCs w:val="20"/>
          <w:color w:val="auto"/>
        </w:rPr>
      </w:pPr>
    </w:p>
    <w:p>
      <w:pPr>
        <w:sectPr>
          <w:pgSz w:w="11900" w:h="16838" w:orient="portrait"/>
          <w:cols w:equalWidth="0" w:num="2">
            <w:col w:w="2844" w:space="240"/>
            <w:col w:w="7900"/>
          </w:cols>
          <w:pgMar w:left="436" w:top="266" w:right="479" w:bottom="1440" w:gutter="0" w:footer="0" w:header="0"/>
          <w:type w:val="continuous"/>
        </w:sectPr>
      </w:pPr>
    </w:p>
    <w:p>
      <w:pPr>
        <w:spacing w:after="0" w:line="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Option shall be exercisable, in whole or in part, according to the following vesting schedule:</w:t>
      </w:r>
    </w:p>
    <w:p>
      <w:pPr>
        <w:spacing w:after="0" w:line="225"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[Twenty-five percent (25%) of the Shares subject to the Option shall vest on the one (1) year anniversary of the Vesting Commencement Date, and one forty-eighth (1/48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of the Shares subject to the Option shall vest each month thereafter on the same day of the month as the Vesting Commencement Date (and if there is no corresponding day, on the last day of the month), subject to Participant continuing to be a Service Provider through each such date.]</w:t>
      </w:r>
    </w:p>
    <w:p>
      <w:pPr>
        <w:sectPr>
          <w:pgSz w:w="11900" w:h="16838" w:orient="portrait"/>
          <w:cols w:equalWidth="0" w:num="1">
            <w:col w:w="10984"/>
          </w:cols>
          <w:pgMar w:left="436" w:top="266" w:right="479" w:bottom="1440" w:gutter="0" w:footer="0" w:header="0"/>
          <w:type w:val="continuous"/>
        </w:sectPr>
      </w:pPr>
    </w:p>
    <w:bookmarkStart w:id="419" w:name="page420"/>
    <w:bookmarkEnd w:id="419"/>
    <w:p>
      <w:pPr>
        <w:ind w:left="44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Termination Period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This Option shall be exercisable for [three (3) months] after Participant ceases to be a Service Provider, unless such termination is due to Participant’s death or Disability, in which case this Option shall be exercisable for [twelve (12) months] after Participant ceases to be a Service Provider. Notwithstanding the foregoing sentence, in no event may this Option be exercised after the Term/Expiration Date as provided above and this Option may be subject to earlier termination as provided in Section 13 of the Plan.</w:t>
      </w:r>
    </w:p>
    <w:p>
      <w:pPr>
        <w:spacing w:after="0" w:line="324" w:lineRule="exact"/>
        <w:rPr>
          <w:sz w:val="20"/>
          <w:szCs w:val="20"/>
          <w:color w:val="auto"/>
        </w:rPr>
      </w:pPr>
    </w:p>
    <w:p>
      <w:pPr>
        <w:ind w:left="424" w:hanging="424"/>
        <w:spacing w:after="0"/>
        <w:tabs>
          <w:tab w:leader="none" w:pos="424" w:val="left"/>
        </w:tabs>
        <w:numPr>
          <w:ilvl w:val="0"/>
          <w:numId w:val="2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AGREEMENT</w:t>
      </w:r>
    </w:p>
    <w:p>
      <w:pPr>
        <w:spacing w:after="0" w:line="121" w:lineRule="exact"/>
        <w:rPr>
          <w:rFonts w:ascii="Times New Roman" w:cs="Times New Roman" w:eastAsia="Times New Roman" w:hAnsi="Times New Roman"/>
          <w:sz w:val="18"/>
          <w:szCs w:val="18"/>
          <w:b w:val="1"/>
          <w:bCs w:val="1"/>
          <w:color w:val="auto"/>
        </w:rPr>
      </w:pPr>
    </w:p>
    <w:p>
      <w:pPr>
        <w:jc w:val="both"/>
        <w:ind w:left="4" w:firstLine="436"/>
        <w:spacing w:after="0" w:line="258" w:lineRule="auto"/>
        <w:tabs>
          <w:tab w:leader="none" w:pos="624"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 The Administrator of the Company hereby grants to the Participant named in the Notice of Stock Option Grant in Part I of this Agreement (“Participant”), an option (the “Option”) to purchase the number of Shares set forth in the Notice of Stock Option Grant, at the exercise price per Share set forth in the Notice of Stock Option Grant (the “Exercise Price”), and subject to the terms and conditions of the Plan, which is incorporated herein by reference. Subject to Section 18 of the Plan, in the event of a conflict between the terms and conditions of the Plan and this Option Agreement, the terms and conditions of the Plan shall prevail.</w:t>
      </w:r>
    </w:p>
    <w:p>
      <w:pPr>
        <w:spacing w:after="0" w:line="183" w:lineRule="exact"/>
        <w:rPr>
          <w:sz w:val="20"/>
          <w:szCs w:val="20"/>
          <w:color w:val="auto"/>
        </w:rPr>
      </w:pPr>
    </w:p>
    <w:p>
      <w:pPr>
        <w:ind w:left="4" w:right="120" w:firstLine="991"/>
        <w:spacing w:after="0" w:line="256" w:lineRule="auto"/>
        <w:rPr>
          <w:sz w:val="20"/>
          <w:szCs w:val="20"/>
          <w:color w:val="auto"/>
        </w:rPr>
      </w:pPr>
      <w:r>
        <w:rPr>
          <w:rFonts w:ascii="Times New Roman" w:cs="Times New Roman" w:eastAsia="Times New Roman" w:hAnsi="Times New Roman"/>
          <w:sz w:val="18"/>
          <w:szCs w:val="18"/>
          <w:color w:val="auto"/>
        </w:rPr>
        <w:t>If designated in the Notice of Stock Option Grant as an Incentive Stock Option (“ISO”), this Option is intended to qualify as an Incentive Stock Option as defined in Section 422 of the Code. Nevertheless, to the extent that it exceeds the $100,000 rule of Code Section 422(d), this Option shall be treated as a Nonstatutory Stock Option (“NSO”). Further, if for any reason this Option (or portion thereof) shall not qualify as an ISO, then, to the extent of such nonqualification, such Option (or portion thereof) shall be regarded as a NSO granted under the Plan. In no event shall the Administrator, the Company or any Parent or Subsidiary or any of their respective employees or directors have any liability to Participant (or any other person) due to the failure of the Option to qualify for any reason as an ISO.</w:t>
      </w:r>
    </w:p>
    <w:p>
      <w:pPr>
        <w:spacing w:after="0" w:line="187" w:lineRule="exact"/>
        <w:rPr>
          <w:sz w:val="20"/>
          <w:szCs w:val="20"/>
          <w:color w:val="auto"/>
        </w:rPr>
      </w:pPr>
    </w:p>
    <w:p>
      <w:pPr>
        <w:ind w:left="624" w:hanging="184"/>
        <w:spacing w:after="0"/>
        <w:tabs>
          <w:tab w:leader="none" w:pos="624"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360" w:firstLine="987"/>
        <w:spacing w:after="0" w:line="282" w:lineRule="auto"/>
        <w:tabs>
          <w:tab w:leader="none" w:pos="124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Exercise</w:t>
      </w:r>
      <w:r>
        <w:rPr>
          <w:rFonts w:ascii="Times New Roman" w:cs="Times New Roman" w:eastAsia="Times New Roman" w:hAnsi="Times New Roman"/>
          <w:sz w:val="18"/>
          <w:szCs w:val="18"/>
          <w:color w:val="auto"/>
        </w:rPr>
        <w:t>. This Option shall be exercisable during its term in accordance with the Vesting Schedule set out in the Notice of Stock Option Grant and with the applicable provisions of the Plan and this Option Agreement.</w:t>
      </w:r>
    </w:p>
    <w:p>
      <w:pPr>
        <w:spacing w:after="0" w:line="161" w:lineRule="exact"/>
        <w:rPr>
          <w:rFonts w:ascii="Times New Roman" w:cs="Times New Roman" w:eastAsia="Times New Roman" w:hAnsi="Times New Roman"/>
          <w:sz w:val="18"/>
          <w:szCs w:val="18"/>
          <w:color w:val="auto"/>
        </w:rPr>
      </w:pPr>
    </w:p>
    <w:p>
      <w:pPr>
        <w:ind w:left="4" w:right="60" w:firstLine="987"/>
        <w:spacing w:after="0" w:line="256" w:lineRule="auto"/>
        <w:tabs>
          <w:tab w:leader="none" w:pos="1250" w:val="left"/>
        </w:tabs>
        <w:numPr>
          <w:ilvl w:val="1"/>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xml:space="preserve">. This Option shall be exercisable by delivery of an exercise notice in the form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“Exercise Notice”) or in a manner and pursuant to such procedures as the Administrator may determine, which shall state the election to exercise the Option, the number of Shares with respect to which the Option is being exercised (the “Exercised Shares”), and such other representations and agreements as may be required by the Company. The Exercise Notice shall be accompanied by payment of the aggregate Exercise Price as to all Exercised Shares, together with any applicable tax withholding. This Option shall be deemed to be exercised upon receipt by the Company of such fully executed Exercise Notice accompanied by the aggregate Exercise Price, together with any applicable tax withholding.</w:t>
      </w:r>
    </w:p>
    <w:p>
      <w:pPr>
        <w:spacing w:after="0" w:line="187" w:lineRule="exact"/>
        <w:rPr>
          <w:sz w:val="20"/>
          <w:szCs w:val="20"/>
          <w:color w:val="auto"/>
        </w:rPr>
      </w:pPr>
    </w:p>
    <w:p>
      <w:pPr>
        <w:ind w:left="4" w:right="360" w:firstLine="991"/>
        <w:spacing w:after="0" w:line="266" w:lineRule="auto"/>
        <w:rPr>
          <w:sz w:val="20"/>
          <w:szCs w:val="20"/>
          <w:color w:val="auto"/>
        </w:rPr>
      </w:pPr>
      <w:r>
        <w:rPr>
          <w:rFonts w:ascii="Times New Roman" w:cs="Times New Roman" w:eastAsia="Times New Roman" w:hAnsi="Times New Roman"/>
          <w:sz w:val="18"/>
          <w:szCs w:val="18"/>
          <w:color w:val="auto"/>
        </w:rPr>
        <w:t>No Shares shall be issued pursuant to the exercise of an Option unless such issuance and such exercise comply with Applicable Laws. Assuming such compliance, for income tax purposes the Shares shall be considered transferred to Participant on the date on which the Option is exercised with respect to such Shares.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420" w:name="page421"/>
    <w:bookmarkEnd w:id="420"/>
    <w:p>
      <w:pPr>
        <w:ind w:right="280" w:firstLine="436"/>
        <w:spacing w:after="0" w:line="266" w:lineRule="auto"/>
        <w:tabs>
          <w:tab w:leader="none" w:pos="62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Participant’s Representations</w:t>
      </w:r>
      <w:r>
        <w:rPr>
          <w:rFonts w:ascii="Times New Roman" w:cs="Times New Roman" w:eastAsia="Times New Roman" w:hAnsi="Times New Roman"/>
          <w:sz w:val="18"/>
          <w:szCs w:val="18"/>
          <w:color w:val="auto"/>
        </w:rPr>
        <w:t xml:space="preserve">. In the event the Shares have not been registered under the Securities Act of 1933, as amended (the “Securities Act”), at the time this Option is exercised, Participant shall, if required by the Company, concurrently with the exercise of all or any portion of this Option, deliver to the Company his or her Investment Representation Statement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436"/>
        <w:spacing w:after="0" w:line="253" w:lineRule="auto"/>
        <w:tabs>
          <w:tab w:leader="none" w:pos="62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Lock-Up Period</w:t>
      </w:r>
      <w:r>
        <w:rPr>
          <w:rFonts w:ascii="Times New Roman" w:cs="Times New Roman" w:eastAsia="Times New Roman" w:hAnsi="Times New Roman"/>
          <w:sz w:val="18"/>
          <w:szCs w:val="18"/>
          <w:color w:val="auto"/>
        </w:rPr>
        <w:t>. Participant hereby agrees that Participant shall not offer, pledge, sell, contract to sell, sell any option or contract to purchase, purchase any option or contract to sell, grant any option, right or warrant to purchase, lend, or otherwise transfer or dispose of, directly or indirectly, any Common Stock (or other securities) of the Company or enter into any swap, hedging or other arrangement that transfers to another, in whole or in part, any of the economic consequences of ownership of any Common Stock (or other securities) of the Company held by Participant (other than those included in the registration) for a period specified by the representative of the underwriters of Common Stock (or other securities) of the Company not to exceed one hundred and eighty (180) days following the effective date of any registration statement of the Company filed under the Securities Act (or such other period as may be requested by the Company or the underwriters to accommodate regulatory restrictions on (i) the publication or other distribution of research reports and (ii) analyst recommendations and opinions, including, but not limited to, the restrictions contained in NASD</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2711(f)(4) or NYSE Rule 472(f)(4), or any successor provisions or amendments thereto).</w:t>
      </w:r>
    </w:p>
    <w:p>
      <w:pPr>
        <w:spacing w:after="0" w:line="207" w:lineRule="exact"/>
        <w:rPr>
          <w:sz w:val="20"/>
          <w:szCs w:val="20"/>
          <w:color w:val="auto"/>
        </w:rPr>
      </w:pPr>
    </w:p>
    <w:p>
      <w:pPr>
        <w:ind w:right="60" w:firstLine="991"/>
        <w:spacing w:after="0" w:line="253" w:lineRule="auto"/>
        <w:rPr>
          <w:sz w:val="20"/>
          <w:szCs w:val="20"/>
          <w:color w:val="auto"/>
        </w:rPr>
      </w:pPr>
      <w:r>
        <w:rPr>
          <w:rFonts w:ascii="Times New Roman" w:cs="Times New Roman" w:eastAsia="Times New Roman" w:hAnsi="Times New Roman"/>
          <w:sz w:val="18"/>
          <w:szCs w:val="18"/>
          <w:color w:val="auto"/>
        </w:rPr>
        <w:t>Participant agrees to execute and deliver such other agreements as may be reasonably requested by the Company or the underwriter which are consistent with the foregoing or which are necessary to give further effect thereto. In addition, if requested by the Company or the representative of the underwriters of Common Stock (or other securities) of the Company, Participant shall provide, within ten (10) days of such request, such information as may be required by the Company or such representative in connection with the completion of any public offering of the Company’s securities pursuant to a registration statement filed under the Securities Act. The obligations described in this Section 4 shall not apply to a registration relating solely to employee benefit plans on Form S-1 or Form S-8 or similar forms that may be promulgated in the future, or a registration relating solely to a Commission Rule 145 transaction on Form S-4 or similar forms that may be promulgated in the future. The Company may impose stop-transfer instructions with respect to the shares of Common Stock (or other securities) subject to the foregoing restriction until the end of said one hundred and eighty (180) day (or other) period. Participant agrees that any transferee of the Option or shares acquired pursuant to the Option shall be bound by this Section 4.</w:t>
      </w:r>
    </w:p>
    <w:p>
      <w:pPr>
        <w:spacing w:after="0" w:line="194" w:lineRule="exact"/>
        <w:rPr>
          <w:sz w:val="20"/>
          <w:szCs w:val="20"/>
          <w:color w:val="auto"/>
        </w:rPr>
      </w:pPr>
    </w:p>
    <w:p>
      <w:pPr>
        <w:ind w:right="200" w:firstLine="436"/>
        <w:spacing w:after="0" w:line="282" w:lineRule="auto"/>
        <w:tabs>
          <w:tab w:leader="none" w:pos="62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Payment of the aggregate Exercise Price shall be by any of the following, or a combination thereof, at the election of the Participant:</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421" w:name="page422"/>
    <w:bookmarkEnd w:id="42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 consideration received by the Company under a formal cashless exercise program adopted by the Company in connection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or</w:t>
      </w:r>
    </w:p>
    <w:p>
      <w:pPr>
        <w:spacing w:after="0" w:line="207" w:lineRule="exact"/>
        <w:rPr>
          <w:sz w:val="20"/>
          <w:szCs w:val="20"/>
          <w:color w:val="auto"/>
        </w:rPr>
      </w:pPr>
    </w:p>
    <w:p>
      <w:pPr>
        <w:ind w:right="80" w:firstLine="987"/>
        <w:spacing w:after="0" w:line="266" w:lineRule="auto"/>
        <w:tabs>
          <w:tab w:leader="none" w:pos="1246"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of other Shares which (i) shall be valued at its Fair Market Value on the date of exercise, and (ii) must be owned free and clear of any liens, claims, encumbrances or security interests, if accepting such Shares, in the sole discretion of the Administrator, shall not result in any adverse accounting consequences to the Company.</w:t>
      </w:r>
    </w:p>
    <w:p>
      <w:pPr>
        <w:spacing w:after="0" w:line="175" w:lineRule="exact"/>
        <w:rPr>
          <w:rFonts w:ascii="Times New Roman" w:cs="Times New Roman" w:eastAsia="Times New Roman" w:hAnsi="Times New Roman"/>
          <w:sz w:val="18"/>
          <w:szCs w:val="18"/>
          <w:color w:val="auto"/>
        </w:rPr>
      </w:pPr>
    </w:p>
    <w:p>
      <w:pPr>
        <w:ind w:right="100" w:firstLine="436"/>
        <w:spacing w:after="0" w:line="266" w:lineRule="auto"/>
        <w:tabs>
          <w:tab w:leader="none" w:pos="62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Exercise</w:t>
      </w:r>
      <w:r>
        <w:rPr>
          <w:rFonts w:ascii="Times New Roman" w:cs="Times New Roman" w:eastAsia="Times New Roman" w:hAnsi="Times New Roman"/>
          <w:sz w:val="18"/>
          <w:szCs w:val="18"/>
          <w:color w:val="auto"/>
        </w:rPr>
        <w:t>. This Option may not be exercised until such time as the Plan has been approved by the stockholders of the Company, or if the issuance of such Shares upon such exercise or the method of payment of consideration for such shares would constitute a violation of any Applicable Law.</w:t>
      </w:r>
    </w:p>
    <w:p>
      <w:pPr>
        <w:spacing w:after="0" w:line="1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 of Option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Option may not be transferred in any manner otherwise than by will or by the laws of descent or distribution and may be exercised during the lifetime of Participant only by Participant. The terms of the Plan and this Option Agreement shall be binding upon the executors, administrators, heirs, successors and assigns of Participant.</w:t>
      </w:r>
    </w:p>
    <w:p>
      <w:pPr>
        <w:spacing w:after="0" w:line="175"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until the Company becomes subject to the reporting requirements of Section 13 or 15(d) of the Exchange Act, or after the Administrator determines that it is, will, or may no longer be relying upon the exemption from registration of Options under the Exchange Act as set forth in Rule 12h-1(f) promulgated under the Exchange Act (the “Reliance End Date”), Participant shall not transfer this Option or, prior to exercise, the Shares subject to this Option, in any manner other than (i) to persons who are “family members” (as defined in Rule 701(c)(3) of the Securities Act) through gifts or domestic relations orders, or (ii) to an executor or guardian of Participant upon the death or disability of Participant. Until the Reliance End Date, the Options and, prior to exercise, the Shares subject to this Option, may not be pledged, hypothecated or otherwise transferred or disposed of, including by entering into any short position, any “put equivalent position” or any “call equivalent position” (as defined in Rule 16a-1(h) and Rule 16a-1(b) of the Exchange Act, respectively), other than as permitted in clauses (i) and (ii) of this paragraph.</w:t>
      </w:r>
    </w:p>
    <w:p>
      <w:pPr>
        <w:spacing w:after="0" w:line="191" w:lineRule="exact"/>
        <w:rPr>
          <w:rFonts w:ascii="Times New Roman" w:cs="Times New Roman" w:eastAsia="Times New Roman" w:hAnsi="Times New Roman"/>
          <w:sz w:val="18"/>
          <w:szCs w:val="18"/>
          <w:color w:val="auto"/>
        </w:rPr>
      </w:pPr>
    </w:p>
    <w:p>
      <w:pPr>
        <w:ind w:right="200" w:firstLine="436"/>
        <w:spacing w:after="0" w:line="282" w:lineRule="auto"/>
        <w:tabs>
          <w:tab w:leader="none" w:pos="62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Option</w:t>
      </w:r>
      <w:r>
        <w:rPr>
          <w:rFonts w:ascii="Times New Roman" w:cs="Times New Roman" w:eastAsia="Times New Roman" w:hAnsi="Times New Roman"/>
          <w:sz w:val="18"/>
          <w:szCs w:val="18"/>
          <w:color w:val="auto"/>
        </w:rPr>
        <w:t>. This Option may be exercised only within the term set out in the Notice of Stock Option Grant, and may be exercised during such term only in accordance with the Plan and the terms of this Option Agreement.</w:t>
      </w:r>
    </w:p>
    <w:p>
      <w:pPr>
        <w:spacing w:after="0" w:line="161"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40" w:firstLine="987"/>
        <w:spacing w:after="0" w:line="261" w:lineRule="auto"/>
        <w:tabs>
          <w:tab w:leader="none" w:pos="1236"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Participant agrees to make appropriate arrangements with the Company (or the Parent or Subsidiary employing or retaining Participant) for the satisfaction of all Federal, state, local and foreign income and employment tax withholding requirements applicable to the Option exercise. Participant acknowledges and agrees that the Company may refuse to honor the exercise and refuse to deliver the Shares if such withholding amounts are not delivered at the time of exercise.</w:t>
      </w:r>
    </w:p>
    <w:p>
      <w:pPr>
        <w:spacing w:after="0" w:line="179" w:lineRule="exact"/>
        <w:rPr>
          <w:rFonts w:ascii="Times New Roman" w:cs="Times New Roman" w:eastAsia="Times New Roman" w:hAnsi="Times New Roman"/>
          <w:sz w:val="18"/>
          <w:szCs w:val="18"/>
          <w:color w:val="auto"/>
        </w:rPr>
      </w:pPr>
    </w:p>
    <w:p>
      <w:pPr>
        <w:ind w:right="400" w:firstLine="987"/>
        <w:spacing w:after="0" w:line="282" w:lineRule="auto"/>
        <w:tabs>
          <w:tab w:leader="none" w:pos="1246"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Disqualifying Disposition of ISO Shares</w:t>
      </w:r>
      <w:r>
        <w:rPr>
          <w:rFonts w:ascii="Times New Roman" w:cs="Times New Roman" w:eastAsia="Times New Roman" w:hAnsi="Times New Roman"/>
          <w:sz w:val="18"/>
          <w:szCs w:val="18"/>
          <w:color w:val="auto"/>
        </w:rPr>
        <w:t>. If the Option granted to Participant herein is an ISO, and if Participant sells or otherwise disposes of any of the Shares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422" w:name="page423"/>
    <w:bookmarkEnd w:id="422"/>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acquired pursuant to the ISO on or before the later of (i) the date two (2) years after the Date of Grant, or (ii) the date one (1) year after the date of exercise, Participant shall immediately notify the Company in writing of such disposition. Participant agrees that Participant may be subject to income tax withholding by the Company on the compensation income recognized by Participant.</w:t>
      </w:r>
    </w:p>
    <w:p>
      <w:pPr>
        <w:spacing w:after="0" w:line="176" w:lineRule="exact"/>
        <w:rPr>
          <w:sz w:val="20"/>
          <w:szCs w:val="20"/>
          <w:color w:val="auto"/>
        </w:rPr>
      </w:pPr>
    </w:p>
    <w:p>
      <w:pPr>
        <w:ind w:right="80" w:firstLine="987"/>
        <w:spacing w:after="0" w:line="254" w:lineRule="auto"/>
        <w:tabs>
          <w:tab w:leader="none" w:pos="1236"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xml:space="preserve"> Under Code Section 409A, an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 Share on the date of grant (a “discount option”) may be considered “deferred compensation.” An Option that is a “discount option” may result in (i) income recognition by Participant prior to the exercise of the Option, (ii) an additional twenty percent (20%) federal income tax, and (iii) potential penalty and interest charges. The “discount option” may also result in additional state income, penalty and interest tax to the Participant.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w:t>
      </w:r>
    </w:p>
    <w:p>
      <w:pPr>
        <w:spacing w:after="0" w:line="188" w:lineRule="exact"/>
        <w:rPr>
          <w:rFonts w:ascii="Times New Roman" w:cs="Times New Roman" w:eastAsia="Times New Roman" w:hAnsi="Times New Roman"/>
          <w:sz w:val="18"/>
          <w:szCs w:val="18"/>
          <w:color w:val="auto"/>
        </w:rPr>
      </w:pPr>
    </w:p>
    <w:p>
      <w:pPr>
        <w:ind w:right="100" w:firstLine="436"/>
        <w:spacing w:after="0" w:line="258" w:lineRule="auto"/>
        <w:tabs>
          <w:tab w:leader="none" w:pos="710"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Governing Law</w:t>
      </w:r>
      <w:r>
        <w:rPr>
          <w:rFonts w:ascii="Times New Roman" w:cs="Times New Roman" w:eastAsia="Times New Roman" w:hAnsi="Times New Roman"/>
          <w:sz w:val="18"/>
          <w:szCs w:val="18"/>
          <w:color w:val="auto"/>
        </w:rPr>
        <w:t>. The Plan is incorporated herein by reference. The Plan and this Option Agreement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 This Option Agreement is governed by the internal substantive laws but not the choice of law rules of California.</w:t>
      </w:r>
    </w:p>
    <w:p>
      <w:pPr>
        <w:spacing w:after="0" w:line="183" w:lineRule="exact"/>
        <w:rPr>
          <w:rFonts w:ascii="Times New Roman" w:cs="Times New Roman" w:eastAsia="Times New Roman" w:hAnsi="Times New Roman"/>
          <w:sz w:val="18"/>
          <w:szCs w:val="18"/>
          <w:color w:val="auto"/>
        </w:rPr>
      </w:pPr>
    </w:p>
    <w:p>
      <w:pPr>
        <w:ind w:firstLine="436"/>
        <w:spacing w:after="0" w:line="271" w:lineRule="auto"/>
        <w:tabs>
          <w:tab w:leader="none" w:pos="703" w:val="left"/>
        </w:tabs>
        <w:numPr>
          <w:ilvl w:val="0"/>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Guarantee of Continued Service</w:t>
      </w:r>
      <w:r>
        <w:rPr>
          <w:rFonts w:ascii="Times New Roman" w:cs="Times New Roman" w:eastAsia="Times New Roman" w:hAnsi="Times New Roman"/>
          <w:sz w:val="17"/>
          <w:szCs w:val="17"/>
          <w:color w:val="auto"/>
        </w:rPr>
        <w:t>. PARTICIPANT ACKNOWLEDGES AND AGREES THAT THE VESTING OF SHARES PURSUANT TO THE VESTING SCHEDULE HEREOF IS EARNED ONLY BY CONTINUING AS A SERVICE PROVIDER AT THE WILL OF THE COMPANY (OR THE PARENT OR SUBSIDIARY EMPLOYING OR RETAINING PARTICIPANT) AND NOT THROUGH THE ACT OF BEING HIRED, BEING GRANTED THIS OPTION OR ACQUIRING SHARES HEREUNDER. PARTICIPANT FURTHER ACKNOWLEDGES AND AGREES THAT THIS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THE COMPANY (OR THE PARENT OR SUBSIDIARY EMPLOYING OR RETAINING PARTICIPANT) TO TERMINATE PARTICIPANT’S RELATIONSHIP AS A SERVICE PROVIDER AT ANY TIME, WITH OR WITHOUT CAUSE.</w:t>
      </w:r>
    </w:p>
    <w:p>
      <w:pPr>
        <w:spacing w:after="0" w:line="10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440" w:top="270" w:right="519" w:bottom="1440" w:gutter="0" w:footer="0" w:header="0"/>
        </w:sectPr>
      </w:pPr>
    </w:p>
    <w:bookmarkStart w:id="423" w:name="page424"/>
    <w:bookmarkEnd w:id="423"/>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Participant acknowledges receipt of a copy of the Plan and represents that he or she is familiar with the terms and provisions thereof, and hereby accepts this Option subject to all of the terms and provisions thereof. Participant has reviewed the Plan and this Option in their entirety, has had an opportunity to obtain the advice of counsel prior to executing this Option and fully understands all provisions of the Option. Participant hereby agrees to accept as binding, conclusive and final all decisions or interpretations of the Administrator upon any questions arising under the Plan or this Option. Participant further agrees to notify the Company upon any change in the residence address indicated below.</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PARTICIPANT</w:t>
            </w:r>
          </w:p>
        </w:tc>
        <w:tc>
          <w:tcPr>
            <w:tcW w:w="630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PMV PHARMACEUTICALS, INC.</w:t>
            </w:r>
          </w:p>
        </w:tc>
      </w:tr>
      <w:tr>
        <w:trPr>
          <w:trHeight w:val="432"/>
        </w:trPr>
        <w:tc>
          <w:tcPr>
            <w:tcW w:w="4720" w:type="dxa"/>
            <w:vAlign w:val="bottom"/>
            <w:tcBorders>
              <w:bottom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r>
        <w:trPr>
          <w:trHeight w:val="228"/>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144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r>
      <w:tr>
        <w:trPr>
          <w:trHeight w:val="427"/>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1440" w:type="dxa"/>
            <w:vAlign w:val="bottom"/>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r>
        <w:trPr>
          <w:trHeight w:val="228"/>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144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r>
      <w:tr>
        <w:trPr>
          <w:trHeight w:val="427"/>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«Address»</w:t>
            </w:r>
          </w:p>
        </w:tc>
        <w:tc>
          <w:tcPr>
            <w:tcW w:w="1440" w:type="dxa"/>
            <w:vAlign w:val="bottom"/>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r>
        <w:trPr>
          <w:trHeight w:val="228"/>
        </w:trPr>
        <w:tc>
          <w:tcPr>
            <w:tcW w:w="47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427"/>
        </w:trPr>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«City_State_Zip»</w:t>
            </w:r>
          </w:p>
        </w:tc>
        <w:tc>
          <w:tcPr>
            <w:tcW w:w="144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28"/>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Residence Address</w:t>
            </w:r>
          </w:p>
        </w:tc>
        <w:tc>
          <w:tcPr>
            <w:tcW w:w="1440" w:type="dxa"/>
            <w:vAlign w:val="bottom"/>
          </w:tcPr>
          <w:p>
            <w:pPr>
              <w:spacing w:after="0"/>
              <w:rPr>
                <w:sz w:val="19"/>
                <w:szCs w:val="19"/>
                <w:color w:val="auto"/>
              </w:rPr>
            </w:pPr>
          </w:p>
        </w:tc>
        <w:tc>
          <w:tcPr>
            <w:tcW w:w="4860" w:type="dxa"/>
            <w:vAlign w:val="bottom"/>
          </w:tcPr>
          <w:p>
            <w:pPr>
              <w:spacing w:after="0"/>
              <w:rPr>
                <w:sz w:val="19"/>
                <w:szCs w:val="19"/>
                <w:color w:val="auto"/>
              </w:rPr>
            </w:pPr>
          </w:p>
        </w:tc>
      </w:tr>
      <w:tr>
        <w:trPr>
          <w:trHeight w:val="360"/>
        </w:trPr>
        <w:tc>
          <w:tcPr>
            <w:tcW w:w="4720" w:type="dxa"/>
            <w:vAlign w:val="bottom"/>
          </w:tcPr>
          <w:p>
            <w:pPr>
              <w:spacing w:after="0"/>
              <w:rPr>
                <w:sz w:val="24"/>
                <w:szCs w:val="24"/>
                <w:color w:val="auto"/>
              </w:rPr>
            </w:pPr>
          </w:p>
        </w:tc>
        <w:tc>
          <w:tcPr>
            <w:tcW w:w="14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-6-</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424" w:name="page425"/>
    <w:bookmarkEnd w:id="424"/>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2013 EQUITY INCENTIVE PLAN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Clarke Drive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Cranbury, NJ 08512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President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4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1. Exercise of Option. Effective as of today,</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7"/>
                <w:szCs w:val="17"/>
                <w:color w:val="auto"/>
              </w:rPr>
            </w:pPr>
          </w:p>
        </w:tc>
        <w:tc>
          <w:tcPr>
            <w:tcW w:w="63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 the undersigned (“Participant”) hereby elects to exercise Participant’s option (the</w:t>
            </w:r>
          </w:p>
        </w:tc>
      </w:tr>
      <w:tr>
        <w:trPr>
          <w:trHeight w:val="20"/>
        </w:trPr>
        <w:tc>
          <w:tcPr>
            <w:tcW w:w="6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196"/>
        </w:trPr>
        <w:tc>
          <w:tcPr>
            <w:tcW w:w="16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“Option”) to purchase</w:t>
            </w:r>
          </w:p>
        </w:tc>
        <w:tc>
          <w:tcPr>
            <w:tcW w:w="3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580" w:type="dxa"/>
            <w:vAlign w:val="bottom"/>
            <w:gridSpan w:val="9"/>
          </w:tcPr>
          <w:p>
            <w:pPr>
              <w:ind w:left="60"/>
              <w:spacing w:after="0" w:line="196" w:lineRule="exact"/>
              <w:rPr>
                <w:sz w:val="20"/>
                <w:szCs w:val="20"/>
                <w:color w:val="auto"/>
              </w:rPr>
            </w:pPr>
            <w:r>
              <w:rPr>
                <w:rFonts w:ascii="Times New Roman" w:cs="Times New Roman" w:eastAsia="Times New Roman" w:hAnsi="Times New Roman"/>
                <w:sz w:val="18"/>
                <w:szCs w:val="18"/>
                <w:color w:val="auto"/>
                <w:w w:val="99"/>
              </w:rPr>
              <w:t>shares of the Common Stock (the “Shares”) of PMV Pharmaceuticals, Inc. (the “Company”) under and pursuant to the</w:t>
            </w:r>
          </w:p>
        </w:tc>
      </w:tr>
      <w:tr>
        <w:trPr>
          <w:trHeight w:val="196"/>
        </w:trPr>
        <w:tc>
          <w:tcPr>
            <w:tcW w:w="576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auto"/>
              </w:rPr>
              <w:t>2013 Equity Incentive Plan (the “Plan”) and the Stock Option Agreement dated</w:t>
            </w:r>
          </w:p>
        </w:tc>
        <w:tc>
          <w:tcPr>
            <w:tcW w:w="540" w:type="dxa"/>
            <w:vAlign w:val="bottom"/>
            <w:tcBorders>
              <w:bottom w:val="single" w:sz="8" w:color="auto"/>
            </w:tcBorders>
          </w:tcPr>
          <w:p>
            <w:pPr>
              <w:spacing w:after="0"/>
              <w:rPr>
                <w:sz w:val="17"/>
                <w:szCs w:val="17"/>
                <w:color w:val="auto"/>
              </w:rPr>
            </w:pPr>
          </w:p>
        </w:tc>
        <w:tc>
          <w:tcPr>
            <w:tcW w:w="1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0"/>
              </w:rPr>
              <w:t>,</w:t>
            </w:r>
          </w:p>
        </w:tc>
        <w:tc>
          <w:tcPr>
            <w:tcW w:w="360" w:type="dxa"/>
            <w:vAlign w:val="bottom"/>
            <w:tcBorders>
              <w:bottom w:val="single" w:sz="8" w:color="auto"/>
            </w:tcBorders>
          </w:tcPr>
          <w:p>
            <w:pPr>
              <w:spacing w:after="0"/>
              <w:rPr>
                <w:sz w:val="17"/>
                <w:szCs w:val="17"/>
                <w:color w:val="auto"/>
              </w:rPr>
            </w:pPr>
          </w:p>
        </w:tc>
        <w:tc>
          <w:tcPr>
            <w:tcW w:w="4160" w:type="dxa"/>
            <w:vAlign w:val="bottom"/>
          </w:tcPr>
          <w:p>
            <w:pPr>
              <w:ind w:left="40"/>
              <w:spacing w:after="0" w:line="196" w:lineRule="exact"/>
              <w:rPr>
                <w:sz w:val="20"/>
                <w:szCs w:val="20"/>
                <w:color w:val="auto"/>
              </w:rPr>
            </w:pPr>
            <w:r>
              <w:rPr>
                <w:rFonts w:ascii="Times New Roman" w:cs="Times New Roman" w:eastAsia="Times New Roman" w:hAnsi="Times New Roman"/>
                <w:sz w:val="18"/>
                <w:szCs w:val="18"/>
                <w:color w:val="auto"/>
              </w:rPr>
              <w:t>(the “Option Agreement”).</w:t>
            </w:r>
          </w:p>
        </w:tc>
      </w:tr>
    </w:tbl>
    <w:p>
      <w:pPr>
        <w:spacing w:after="0" w:line="225" w:lineRule="exact"/>
        <w:rPr>
          <w:sz w:val="20"/>
          <w:szCs w:val="20"/>
          <w:color w:val="auto"/>
        </w:rPr>
      </w:pPr>
    </w:p>
    <w:p>
      <w:pPr>
        <w:ind w:right="140" w:firstLine="436"/>
        <w:spacing w:after="0" w:line="282" w:lineRule="auto"/>
        <w:tabs>
          <w:tab w:leader="none" w:pos="62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Payment</w:t>
      </w:r>
      <w:r>
        <w:rPr>
          <w:rFonts w:ascii="Times New Roman" w:cs="Times New Roman" w:eastAsia="Times New Roman" w:hAnsi="Times New Roman"/>
          <w:sz w:val="18"/>
          <w:szCs w:val="18"/>
          <w:color w:val="auto"/>
        </w:rPr>
        <w:t>. Participant herewith delivers to the Company the full purchase price of the Shares, as set forth in the Option Agreement, and any and all withholding taxes due in connection with the exercise of the Option.</w:t>
      </w:r>
    </w:p>
    <w:p>
      <w:pPr>
        <w:spacing w:after="0" w:line="161" w:lineRule="exact"/>
        <w:rPr>
          <w:rFonts w:ascii="Times New Roman" w:cs="Times New Roman" w:eastAsia="Times New Roman" w:hAnsi="Times New Roman"/>
          <w:sz w:val="18"/>
          <w:szCs w:val="18"/>
          <w:color w:val="auto"/>
        </w:rPr>
      </w:pPr>
    </w:p>
    <w:p>
      <w:pPr>
        <w:ind w:right="80" w:firstLine="436"/>
        <w:spacing w:after="0" w:line="282" w:lineRule="auto"/>
        <w:tabs>
          <w:tab w:leader="none" w:pos="62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Participant</w:t>
      </w:r>
      <w:r>
        <w:rPr>
          <w:rFonts w:ascii="Times New Roman" w:cs="Times New Roman" w:eastAsia="Times New Roman" w:hAnsi="Times New Roman"/>
          <w:sz w:val="18"/>
          <w:szCs w:val="18"/>
          <w:color w:val="auto"/>
        </w:rPr>
        <w:t>. Participant acknowledges that Participant has received, read and understood the Plan and the Option Agreement and agrees to abide by and be bound by their terms and conditions.</w:t>
      </w:r>
    </w:p>
    <w:p>
      <w:pPr>
        <w:spacing w:after="0" w:line="161" w:lineRule="exact"/>
        <w:rPr>
          <w:rFonts w:ascii="Times New Roman" w:cs="Times New Roman" w:eastAsia="Times New Roman" w:hAnsi="Times New Roman"/>
          <w:sz w:val="18"/>
          <w:szCs w:val="18"/>
          <w:color w:val="auto"/>
        </w:rPr>
      </w:pPr>
    </w:p>
    <w:p>
      <w:pPr>
        <w:ind w:firstLine="436"/>
        <w:spacing w:after="0" w:line="258" w:lineRule="auto"/>
        <w:tabs>
          <w:tab w:leader="none" w:pos="62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Until the issuance of the Shares (as evidenced by the appropriate entry on the books of the Company or of a duly authorized transfer agent of the Company), no right to vote or receive dividends or any other rights as a stockholder shall exist with respect to the Common Stock subject to an Award, notwithstanding the exercise of the Option. The Shares shall be issued to Participant as soon as practicable after the Option is exercised in accordance with the Option Agreement. No adjustment shall be made for a dividend or other right for which the record date is prior to the date of issuance except as provided in Section 13 of the Plan.</w:t>
      </w:r>
    </w:p>
    <w:p>
      <w:pPr>
        <w:spacing w:after="0" w:line="183" w:lineRule="exact"/>
        <w:rPr>
          <w:rFonts w:ascii="Times New Roman" w:cs="Times New Roman" w:eastAsia="Times New Roman" w:hAnsi="Times New Roman"/>
          <w:sz w:val="18"/>
          <w:szCs w:val="18"/>
          <w:color w:val="auto"/>
        </w:rPr>
      </w:pPr>
    </w:p>
    <w:p>
      <w:pPr>
        <w:ind w:right="120" w:firstLine="436"/>
        <w:spacing w:after="0" w:line="266" w:lineRule="auto"/>
        <w:tabs>
          <w:tab w:leader="none" w:pos="620"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Right of First Refusal</w:t>
      </w:r>
      <w:r>
        <w:rPr>
          <w:rFonts w:ascii="Times New Roman" w:cs="Times New Roman" w:eastAsia="Times New Roman" w:hAnsi="Times New Roman"/>
          <w:sz w:val="18"/>
          <w:szCs w:val="18"/>
          <w:color w:val="auto"/>
        </w:rPr>
        <w:t>. Before any Shares held by Participant or any transferee (either being sometimes referred to herein as the “Holder”) may be sold or otherwise transferred (including transfer by gift or operation of law), the Company or its assignee(s) shall have a right of first refusal to purchase the Shares on the terms and conditions set forth in this Section 5 (the “Right of First Refusal”).</w:t>
      </w:r>
    </w:p>
    <w:p>
      <w:pPr>
        <w:spacing w:after="0" w:line="175" w:lineRule="exact"/>
        <w:rPr>
          <w:rFonts w:ascii="Times New Roman" w:cs="Times New Roman" w:eastAsia="Times New Roman" w:hAnsi="Times New Roman"/>
          <w:sz w:val="18"/>
          <w:szCs w:val="18"/>
          <w:color w:val="auto"/>
        </w:rPr>
      </w:pPr>
    </w:p>
    <w:p>
      <w:pPr>
        <w:ind w:right="80" w:firstLine="987"/>
        <w:spacing w:after="0" w:line="258" w:lineRule="auto"/>
        <w:tabs>
          <w:tab w:leader="none" w:pos="1236"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Proposed Transfer</w:t>
      </w:r>
      <w:r>
        <w:rPr>
          <w:rFonts w:ascii="Times New Roman" w:cs="Times New Roman" w:eastAsia="Times New Roman" w:hAnsi="Times New Roman"/>
          <w:sz w:val="18"/>
          <w:szCs w:val="18"/>
          <w:color w:val="auto"/>
        </w:rPr>
        <w:t>. The Holder of the Shares shall deliver to the Company a written notice (the “Notice”) stating: (i) the Holder’s bona fide intention to sell or otherwise transfer such Shares; (ii) the name of each proposed purchaser or other transferee (“Proposed Transferee”); (iii) the number of Shares to be transferred to each Proposed Transferee; and (iv) the bona fide cash price or other consideration for which the Holder proposes to transfer the Shares (the “Offered Price”), and the Holder shall offer the Shares at the Offered Price to the Company or its assignee(s).</w:t>
      </w:r>
    </w:p>
    <w:p>
      <w:pPr>
        <w:sectPr>
          <w:pgSz w:w="11900" w:h="16838" w:orient="portrait"/>
          <w:cols w:equalWidth="0" w:num="1">
            <w:col w:w="11000"/>
          </w:cols>
          <w:pgMar w:left="440" w:top="266" w:right="459" w:bottom="1440" w:gutter="0" w:footer="0" w:header="0"/>
        </w:sectPr>
      </w:pPr>
    </w:p>
    <w:bookmarkStart w:id="425" w:name="page426"/>
    <w:bookmarkEnd w:id="425"/>
    <w:p>
      <w:pPr>
        <w:ind w:left="4" w:right="20" w:firstLine="987"/>
        <w:spacing w:after="0" w:line="266" w:lineRule="auto"/>
        <w:tabs>
          <w:tab w:leader="none" w:pos="1250"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Exercise of Right of First Refusal</w:t>
      </w:r>
      <w:r>
        <w:rPr>
          <w:rFonts w:ascii="Times New Roman" w:cs="Times New Roman" w:eastAsia="Times New Roman" w:hAnsi="Times New Roman"/>
          <w:sz w:val="18"/>
          <w:szCs w:val="18"/>
          <w:color w:val="auto"/>
        </w:rPr>
        <w:t>. At any time within thirty (30) days after receipt of the Notice, the Company and/or its assignee(s) may, by giving written notice to the Holder, elect to purchase all, but not less than all, of the Shares proposed to be transferred to any one or more of the Proposed Transferees, at the purchase price determined in accordance with subsection (c) below.</w:t>
      </w:r>
    </w:p>
    <w:p>
      <w:pPr>
        <w:spacing w:after="0" w:line="175" w:lineRule="exact"/>
        <w:rPr>
          <w:rFonts w:ascii="Times New Roman" w:cs="Times New Roman" w:eastAsia="Times New Roman" w:hAnsi="Times New Roman"/>
          <w:sz w:val="18"/>
          <w:szCs w:val="18"/>
          <w:color w:val="auto"/>
        </w:rPr>
      </w:pPr>
    </w:p>
    <w:p>
      <w:pPr>
        <w:ind w:left="4" w:firstLine="987"/>
        <w:spacing w:after="0" w:line="266" w:lineRule="auto"/>
        <w:tabs>
          <w:tab w:leader="none" w:pos="1240"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The purchase price (“Purchase Price”) for the Shares purchased by the Company or its assignee(s) under this Section 5 shall be the Offered Price. If the Offered Price includes consideration other than cash, the cash equivalent value of the non-cash consideration shall be determined by the Board of Directors of the Company in good faith.</w:t>
      </w:r>
    </w:p>
    <w:p>
      <w:pPr>
        <w:spacing w:after="0" w:line="175" w:lineRule="exact"/>
        <w:rPr>
          <w:rFonts w:ascii="Times New Roman" w:cs="Times New Roman" w:eastAsia="Times New Roman" w:hAnsi="Times New Roman"/>
          <w:sz w:val="18"/>
          <w:szCs w:val="18"/>
          <w:color w:val="auto"/>
        </w:rPr>
      </w:pPr>
    </w:p>
    <w:p>
      <w:pPr>
        <w:ind w:left="4" w:right="380" w:firstLine="987"/>
        <w:spacing w:after="0" w:line="289" w:lineRule="auto"/>
        <w:tabs>
          <w:tab w:leader="none" w:pos="1250" w:val="left"/>
        </w:tabs>
        <w:numPr>
          <w:ilvl w:val="1"/>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Payment</w:t>
      </w:r>
      <w:r>
        <w:rPr>
          <w:rFonts w:ascii="Times New Roman" w:cs="Times New Roman" w:eastAsia="Times New Roman" w:hAnsi="Times New Roman"/>
          <w:sz w:val="17"/>
          <w:szCs w:val="17"/>
          <w:color w:val="auto"/>
        </w:rPr>
        <w:t>. Payment of the Purchase Price shall be made, at the option of the Company or its assignee(s), in cash (by check), by cancellation of all or a portion of any outstanding indebtedness of the Holder to the Company (or, in the case of repurchase by an assignee, to the assignee), or by any combination thereof within thirty (30) days after receipt of the Notice or in the manner and at the times set forth in the Notice.</w:t>
      </w:r>
    </w:p>
    <w:p>
      <w:pPr>
        <w:spacing w:after="0" w:line="157" w:lineRule="exact"/>
        <w:rPr>
          <w:rFonts w:ascii="Times New Roman" w:cs="Times New Roman" w:eastAsia="Times New Roman" w:hAnsi="Times New Roman"/>
          <w:sz w:val="17"/>
          <w:szCs w:val="17"/>
          <w:color w:val="auto"/>
        </w:rPr>
      </w:pPr>
    </w:p>
    <w:p>
      <w:pPr>
        <w:ind w:left="4" w:right="180" w:firstLine="987"/>
        <w:spacing w:after="0" w:line="272" w:lineRule="auto"/>
        <w:tabs>
          <w:tab w:leader="none" w:pos="1240" w:val="left"/>
        </w:tabs>
        <w:numPr>
          <w:ilvl w:val="1"/>
          <w:numId w:val="2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Holder’s Right to Transfer</w:t>
      </w:r>
      <w:r>
        <w:rPr>
          <w:rFonts w:ascii="Times New Roman" w:cs="Times New Roman" w:eastAsia="Times New Roman" w:hAnsi="Times New Roman"/>
          <w:sz w:val="17"/>
          <w:szCs w:val="17"/>
          <w:color w:val="auto"/>
        </w:rPr>
        <w:t xml:space="preserve">. If all of the Shares proposed in the Notice to be transferred to a given Proposed Transferee are not purchased by the Company and/or its assignee(s) as provided in this Section 5, then the Holder may sell or otherwise transfer such Shares to that Proposed Transferee at the Offered Price or at a higher price,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sale or other transfer is consummated within one hundred and twenty</w:t>
      </w:r>
    </w:p>
    <w:p>
      <w:pPr>
        <w:spacing w:after="0" w:line="1" w:lineRule="exact"/>
        <w:rPr>
          <w:rFonts w:ascii="Times New Roman" w:cs="Times New Roman" w:eastAsia="Times New Roman" w:hAnsi="Times New Roman"/>
          <w:sz w:val="17"/>
          <w:szCs w:val="17"/>
          <w:color w:val="auto"/>
        </w:rPr>
      </w:pPr>
    </w:p>
    <w:p>
      <w:pPr>
        <w:ind w:left="4" w:right="160" w:hanging="4"/>
        <w:spacing w:after="0" w:line="253" w:lineRule="auto"/>
        <w:tabs>
          <w:tab w:leader="none" w:pos="439"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date of the Notice, that any such sale or other transfer is effected in accordance with any applicable securities laws and that the Proposed Transferee agrees in writing that the provisions of this Section 5 shall continue to apply to the Shares in the hands of such Proposed Transferee. If the Shares described in the Notice are not transferred to the Proposed Transferee within such period, a new Notice shall be given to the Company, and the Company and/or its assignees shall again be offered the Right of First Refusal before any Shares held by the Holder may be sold or otherwise transferred.</w:t>
      </w:r>
    </w:p>
    <w:p>
      <w:pPr>
        <w:spacing w:after="0" w:line="186" w:lineRule="exact"/>
        <w:rPr>
          <w:rFonts w:ascii="Times New Roman" w:cs="Times New Roman" w:eastAsia="Times New Roman" w:hAnsi="Times New Roman"/>
          <w:sz w:val="18"/>
          <w:szCs w:val="18"/>
          <w:color w:val="auto"/>
        </w:rPr>
      </w:pPr>
    </w:p>
    <w:p>
      <w:pPr>
        <w:ind w:left="4" w:right="20" w:firstLine="987"/>
        <w:spacing w:after="0" w:line="256" w:lineRule="auto"/>
        <w:tabs>
          <w:tab w:leader="none" w:pos="1220"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 for Certain Family Transfers</w:t>
      </w:r>
      <w:r>
        <w:rPr>
          <w:rFonts w:ascii="Times New Roman" w:cs="Times New Roman" w:eastAsia="Times New Roman" w:hAnsi="Times New Roman"/>
          <w:sz w:val="18"/>
          <w:szCs w:val="18"/>
          <w:color w:val="auto"/>
        </w:rPr>
        <w:t>. Anything to the contrary contained in this Section 5 notwithstanding, the transfer of any or all of the Shares during the Participant’s lifetime or on the Participant’s death by will or intestacy to the Participant’s immediate family or a trust for the benefit of the Participant’s immediate family shall be exempt from the provisions of this Section 5. “Immediate Family” as used herein shall mean spouse, lineal descendant or antecedent, father, mother, brother or sister. In such case, the transferee or other recipient shall receive and hold the Shares so transferred subject to the provisions of this Section 5, and there shall be no further transfer of such Shares except in accordance with the terms of this Section 5.</w:t>
      </w:r>
    </w:p>
    <w:p>
      <w:pPr>
        <w:spacing w:after="0" w:line="187" w:lineRule="exact"/>
        <w:rPr>
          <w:rFonts w:ascii="Times New Roman" w:cs="Times New Roman" w:eastAsia="Times New Roman" w:hAnsi="Times New Roman"/>
          <w:sz w:val="18"/>
          <w:szCs w:val="18"/>
          <w:color w:val="auto"/>
        </w:rPr>
      </w:pPr>
    </w:p>
    <w:p>
      <w:pPr>
        <w:ind w:left="4" w:right="20" w:firstLine="987"/>
        <w:spacing w:after="0" w:line="266" w:lineRule="auto"/>
        <w:tabs>
          <w:tab w:leader="none" w:pos="1250" w:val="left"/>
        </w:tabs>
        <w:numPr>
          <w:ilvl w:val="1"/>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Right of First Refusal</w:t>
      </w:r>
      <w:r>
        <w:rPr>
          <w:rFonts w:ascii="Times New Roman" w:cs="Times New Roman" w:eastAsia="Times New Roman" w:hAnsi="Times New Roman"/>
          <w:sz w:val="18"/>
          <w:szCs w:val="18"/>
          <w:color w:val="auto"/>
        </w:rPr>
        <w:t>. The Right of First Refusal shall terminate as to any Shares upon the earlier of (i) the first sale of Common Stock of the Company to the general public, or (ii) a Change in Control in which the successor corporation has equity securities that are publicly traded.</w:t>
      </w:r>
    </w:p>
    <w:p>
      <w:pPr>
        <w:spacing w:after="0" w:line="10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44"/>
          </w:cols>
          <w:pgMar w:left="436" w:top="270" w:right="519" w:bottom="1440" w:gutter="0" w:footer="0" w:header="0"/>
        </w:sectPr>
      </w:pPr>
    </w:p>
    <w:bookmarkStart w:id="426" w:name="page427"/>
    <w:bookmarkEnd w:id="426"/>
    <w:p>
      <w:pPr>
        <w:ind w:right="200" w:firstLine="436"/>
        <w:spacing w:after="0" w:line="266" w:lineRule="auto"/>
        <w:tabs>
          <w:tab w:leader="none" w:pos="62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Tax Consultation</w:t>
      </w:r>
      <w:r>
        <w:rPr>
          <w:rFonts w:ascii="Times New Roman" w:cs="Times New Roman" w:eastAsia="Times New Roman" w:hAnsi="Times New Roman"/>
          <w:sz w:val="18"/>
          <w:szCs w:val="18"/>
          <w:color w:val="auto"/>
        </w:rPr>
        <w:t>. Participant understands that Participant may suffer adverse tax consequences as a result of Participant’s purchase or disposition of the Shares. Participant represents that Participant has consulted with any tax consultants Participant deems advisable in connection with the purchase or disposition of the Shares and that Participant is not relying on the Company for any tax advice.</w:t>
      </w:r>
    </w:p>
    <w:p>
      <w:pPr>
        <w:spacing w:after="0" w:line="1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Legends and Stop-Transfer Orders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40" w:firstLine="987"/>
        <w:spacing w:after="0" w:line="266" w:lineRule="auto"/>
        <w:tabs>
          <w:tab w:leader="none" w:pos="1236"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Legends</w:t>
      </w:r>
      <w:r>
        <w:rPr>
          <w:rFonts w:ascii="Times New Roman" w:cs="Times New Roman" w:eastAsia="Times New Roman" w:hAnsi="Times New Roman"/>
          <w:sz w:val="18"/>
          <w:szCs w:val="18"/>
          <w:color w:val="auto"/>
        </w:rPr>
        <w:t>. Participant understands and agrees that the Company shall cause the legends set forth below or legends substantially equivalent thereto, to be placed upon any certificate(s) evidencing ownership of the Shares together with any other legends that may be required by the Company or by state or federal securities laws:</w:t>
      </w:r>
    </w:p>
    <w:p>
      <w:pPr>
        <w:spacing w:after="0" w:line="68" w:lineRule="exact"/>
        <w:rPr>
          <w:sz w:val="20"/>
          <w:szCs w:val="20"/>
          <w:color w:val="auto"/>
        </w:rPr>
      </w:pPr>
    </w:p>
    <w:p>
      <w:pPr>
        <w:ind w:left="980"/>
        <w:spacing w:after="0" w:line="281" w:lineRule="auto"/>
        <w:rPr>
          <w:sz w:val="20"/>
          <w:szCs w:val="20"/>
          <w:color w:val="auto"/>
        </w:rPr>
      </w:pPr>
      <w:r>
        <w:rPr>
          <w:rFonts w:ascii="Times New Roman" w:cs="Times New Roman" w:eastAsia="Times New Roman" w:hAnsi="Times New Roman"/>
          <w:sz w:val="17"/>
          <w:szCs w:val="17"/>
          <w:color w:val="auto"/>
        </w:rPr>
        <w:t>THE SECURITIES REPRESENTED HEREBY HAVE NOT BEEN REGISTERED UNDER THE SECURITIES ACT OF 1933 (THE “ACT”) AND MAY NOT BE OFFERED, SOLD OR OTHERWISE TRANSFERRED, PLEDGED OR HYPOTHECATED UNLESS AND UNTIL REGISTERED UNDER THE ACT OR, IN THE OPINION OF COUNSEL SATISFACTORY TO THE ISSUER OF THESE SECURITIES, SUCH OFFER, SALE OR TRANSFER, PLEDGE OR HYPOTHECATION IS IN COMPLIANCE THEREWITH.</w:t>
      </w:r>
    </w:p>
    <w:p>
      <w:pPr>
        <w:spacing w:after="0" w:line="56" w:lineRule="exact"/>
        <w:rPr>
          <w:sz w:val="20"/>
          <w:szCs w:val="20"/>
          <w:color w:val="auto"/>
        </w:rPr>
      </w:pPr>
    </w:p>
    <w:p>
      <w:pPr>
        <w:ind w:left="980" w:right="240"/>
        <w:spacing w:after="0" w:line="258" w:lineRule="auto"/>
        <w:rPr>
          <w:sz w:val="20"/>
          <w:szCs w:val="20"/>
          <w:color w:val="auto"/>
        </w:rPr>
      </w:pPr>
      <w:r>
        <w:rPr>
          <w:rFonts w:ascii="Times New Roman" w:cs="Times New Roman" w:eastAsia="Times New Roman" w:hAnsi="Times New Roman"/>
          <w:sz w:val="18"/>
          <w:szCs w:val="18"/>
          <w:color w:val="auto"/>
        </w:rPr>
        <w:t>THE SHARES REPRESENTED BY THIS CERTIFICATE ARE SUBJECT TO CERTAIN RESTRICTIONS ON TRANSFER AND A RIGHT OF FIRST REFUSAL HELD BY THE ISSUER OR ITS ASSIGNEE(S) AS SET FORTH IN THE EXERCISE NOTICE BETWEEN THE ISSUER AND THE ORIGINAL HOLDER OF THESE SHARES, A COPY OF WHICH MAY BE OBTAINED AT THE PRINCIPAL OFFICE OF THE ISSUER. SUCH TRANSFER RESTRICTIONS AND RIGHT OF FIRST REFUSAL ARE BINDING ON TRANSFEREES OF THESE SHARES.</w:t>
      </w:r>
    </w:p>
    <w:p>
      <w:pPr>
        <w:spacing w:after="0" w:line="75" w:lineRule="exact"/>
        <w:rPr>
          <w:sz w:val="20"/>
          <w:szCs w:val="20"/>
          <w:color w:val="auto"/>
        </w:rPr>
      </w:pPr>
    </w:p>
    <w:p>
      <w:pPr>
        <w:ind w:left="980"/>
        <w:spacing w:after="0" w:line="258" w:lineRule="auto"/>
        <w:rPr>
          <w:sz w:val="20"/>
          <w:szCs w:val="20"/>
          <w:color w:val="auto"/>
        </w:rPr>
      </w:pPr>
      <w:r>
        <w:rPr>
          <w:rFonts w:ascii="Times New Roman" w:cs="Times New Roman" w:eastAsia="Times New Roman" w:hAnsi="Times New Roman"/>
          <w:sz w:val="18"/>
          <w:szCs w:val="18"/>
          <w:color w:val="auto"/>
        </w:rPr>
        <w:t>THE SHARES REPRESENTED BY THIS CERTIFICATE ARE SUBJECT TO RESTRICTIONS ON TRANSFER FOR A PERIOD OF TIME FOLLOWING THE EFFECTIVE DATE OF THE UNDERWRITTEN PUBLIC OFFERING OF THE COMPANY’S SECURITIES SET FORTH IN AN AGREEMENT BETWEEN THE ISSUER AND THE ORIGINAL HOLDER OF THESE SHARES AND MAY NOT BE SOLD OR OTHERWISE DISPOSED OF BY THE HOLDER PRIOR TO THE EXPIRATION OF SUCH PERIOD WITHOUT THE CONSENT OF THE COMPANY OR THE MANAGING UNDERWRITER.</w:t>
      </w:r>
    </w:p>
    <w:p>
      <w:pPr>
        <w:spacing w:after="0" w:line="183" w:lineRule="exact"/>
        <w:rPr>
          <w:sz w:val="20"/>
          <w:szCs w:val="20"/>
          <w:color w:val="auto"/>
        </w:rPr>
      </w:pPr>
    </w:p>
    <w:p>
      <w:pPr>
        <w:ind w:right="80" w:firstLine="987"/>
        <w:spacing w:after="0" w:line="266" w:lineRule="auto"/>
        <w:tabs>
          <w:tab w:leader="none" w:pos="1246"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Stop-Transfer Notices</w:t>
      </w:r>
      <w:r>
        <w:rPr>
          <w:rFonts w:ascii="Times New Roman" w:cs="Times New Roman" w:eastAsia="Times New Roman" w:hAnsi="Times New Roman"/>
          <w:sz w:val="18"/>
          <w:szCs w:val="18"/>
          <w:color w:val="auto"/>
        </w:rPr>
        <w:t>. Participant agrees that, in order to ensure compliance with the restrictions referred to herein, the Company may issue appropriate “stop transfer” instructions to its transfer agent, if any, and that, if the Company transfers its own securities, it may make appropriate notations to the same effect in its own records.</w:t>
      </w:r>
    </w:p>
    <w:p>
      <w:pPr>
        <w:spacing w:after="0" w:line="175" w:lineRule="exact"/>
        <w:rPr>
          <w:rFonts w:ascii="Times New Roman" w:cs="Times New Roman" w:eastAsia="Times New Roman" w:hAnsi="Times New Roman"/>
          <w:sz w:val="18"/>
          <w:szCs w:val="18"/>
          <w:color w:val="auto"/>
        </w:rPr>
      </w:pPr>
    </w:p>
    <w:p>
      <w:pPr>
        <w:ind w:right="520" w:firstLine="987"/>
        <w:spacing w:after="0" w:line="266" w:lineRule="auto"/>
        <w:tabs>
          <w:tab w:leader="none" w:pos="1236"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Refusal to Transfer</w:t>
      </w:r>
      <w:r>
        <w:rPr>
          <w:rFonts w:ascii="Times New Roman" w:cs="Times New Roman" w:eastAsia="Times New Roman" w:hAnsi="Times New Roman"/>
          <w:sz w:val="18"/>
          <w:szCs w:val="18"/>
          <w:color w:val="auto"/>
        </w:rPr>
        <w:t>. The Company shall not be required (i) to transfer on its books any Shares that have been sold or otherwise transferred in violation of any of the provisions of this Exercise Notice or (ii) to treat as owner of such Shares or to accord the right to vote or pay dividends to any purchaser or other transferee to whom such Shares shall have been so transferred.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427" w:name="page428"/>
    <w:bookmarkEnd w:id="427"/>
    <w:p>
      <w:pPr>
        <w:jc w:val="both"/>
        <w:ind w:firstLine="436"/>
        <w:spacing w:after="0" w:line="266" w:lineRule="auto"/>
        <w:tabs>
          <w:tab w:leader="none" w:pos="62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Successors and Assigns</w:t>
      </w:r>
      <w:r>
        <w:rPr>
          <w:rFonts w:ascii="Times New Roman" w:cs="Times New Roman" w:eastAsia="Times New Roman" w:hAnsi="Times New Roman"/>
          <w:sz w:val="18"/>
          <w:szCs w:val="18"/>
          <w:color w:val="auto"/>
        </w:rPr>
        <w:t>. The Company may assign any of its rights under this Exercise Notice to single or multiple assignees, and this Exercise Notice shall inure to the benefit of the successors and assigns of the Company. Subject to the restrictions on transfer herein set forth, this Exercise Notice shall be binding upon Participant and his or her heirs, executors, administrators, successors and assigns.</w:t>
      </w:r>
    </w:p>
    <w:p>
      <w:pPr>
        <w:spacing w:after="0" w:line="175" w:lineRule="exact"/>
        <w:rPr>
          <w:rFonts w:ascii="Times New Roman" w:cs="Times New Roman" w:eastAsia="Times New Roman" w:hAnsi="Times New Roman"/>
          <w:sz w:val="18"/>
          <w:szCs w:val="18"/>
          <w:color w:val="auto"/>
        </w:rPr>
      </w:pPr>
    </w:p>
    <w:p>
      <w:pPr>
        <w:ind w:right="20" w:firstLine="436"/>
        <w:spacing w:after="0" w:line="266" w:lineRule="auto"/>
        <w:tabs>
          <w:tab w:leader="none" w:pos="62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Any dispute regarding the interpretation of this Exercise Notice shall be submitted by Participant or by the Company forthwith to the Administrator, which shall review such dispute at its next regular meeting. The resolution of such a dispute by the Administrator shall be final and binding on all parties.</w:t>
      </w:r>
    </w:p>
    <w:p>
      <w:pPr>
        <w:spacing w:after="0" w:line="175" w:lineRule="exact"/>
        <w:rPr>
          <w:rFonts w:ascii="Times New Roman" w:cs="Times New Roman" w:eastAsia="Times New Roman" w:hAnsi="Times New Roman"/>
          <w:sz w:val="18"/>
          <w:szCs w:val="18"/>
          <w:color w:val="auto"/>
        </w:rPr>
      </w:pPr>
    </w:p>
    <w:p>
      <w:pPr>
        <w:ind w:right="100" w:firstLine="436"/>
        <w:spacing w:after="0" w:line="266" w:lineRule="auto"/>
        <w:tabs>
          <w:tab w:leader="none" w:pos="71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Severability</w:t>
      </w:r>
      <w:r>
        <w:rPr>
          <w:rFonts w:ascii="Times New Roman" w:cs="Times New Roman" w:eastAsia="Times New Roman" w:hAnsi="Times New Roman"/>
          <w:sz w:val="18"/>
          <w:szCs w:val="18"/>
          <w:color w:val="auto"/>
        </w:rPr>
        <w:t>. This Exercise Notice is governed by the internal substantive laws, but not the choice of law rules, of California. In the event that any provision hereof becomes or is declared by a court of competent jurisdiction to be illegal, unenforceable or void, this Exercise Notice shall continue in full force and effect.</w:t>
      </w:r>
    </w:p>
    <w:p>
      <w:pPr>
        <w:spacing w:after="0" w:line="175" w:lineRule="exact"/>
        <w:rPr>
          <w:rFonts w:ascii="Times New Roman" w:cs="Times New Roman" w:eastAsia="Times New Roman" w:hAnsi="Times New Roman"/>
          <w:sz w:val="18"/>
          <w:szCs w:val="18"/>
          <w:color w:val="auto"/>
        </w:rPr>
      </w:pPr>
    </w:p>
    <w:p>
      <w:pPr>
        <w:ind w:right="160" w:firstLine="436"/>
        <w:spacing w:after="0" w:line="261" w:lineRule="auto"/>
        <w:tabs>
          <w:tab w:leader="none" w:pos="703"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and Option Agreement are incorporated herein by reference. This Exercise Notice, the Plan, the Option Agreement and the Investment Representation Statement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Submitted by:</w:t>
            </w:r>
          </w:p>
        </w:tc>
        <w:tc>
          <w:tcPr>
            <w:tcW w:w="1200" w:type="dxa"/>
            <w:vAlign w:val="bottom"/>
          </w:tcPr>
          <w:p>
            <w:pPr>
              <w:spacing w:after="0"/>
              <w:rPr>
                <w:sz w:val="20"/>
                <w:szCs w:val="20"/>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Accepted by:</w:t>
            </w:r>
          </w:p>
        </w:tc>
        <w:tc>
          <w:tcPr>
            <w:tcW w:w="0" w:type="dxa"/>
            <w:vAlign w:val="bottom"/>
          </w:tcPr>
          <w:p>
            <w:pPr>
              <w:spacing w:after="0"/>
              <w:rPr>
                <w:sz w:val="1"/>
                <w:szCs w:val="1"/>
                <w:color w:val="auto"/>
              </w:rPr>
            </w:pPr>
          </w:p>
        </w:tc>
      </w:tr>
      <w:tr>
        <w:trPr>
          <w:trHeight w:val="432"/>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PARTICIPANT</w:t>
            </w:r>
          </w:p>
        </w:tc>
        <w:tc>
          <w:tcPr>
            <w:tcW w:w="1200" w:type="dxa"/>
            <w:vAlign w:val="bottom"/>
          </w:tcPr>
          <w:p>
            <w:pPr>
              <w:spacing w:after="0"/>
              <w:rPr>
                <w:sz w:val="24"/>
                <w:szCs w:val="24"/>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PMV PHARMACEUTICALS, INC.</w:t>
            </w:r>
          </w:p>
        </w:tc>
        <w:tc>
          <w:tcPr>
            <w:tcW w:w="0" w:type="dxa"/>
            <w:vAlign w:val="bottom"/>
          </w:tcPr>
          <w:p>
            <w:pPr>
              <w:spacing w:after="0"/>
              <w:rPr>
                <w:sz w:val="1"/>
                <w:szCs w:val="1"/>
                <w:color w:val="auto"/>
              </w:rPr>
            </w:pPr>
          </w:p>
        </w:tc>
      </w:tr>
      <w:tr>
        <w:trPr>
          <w:trHeight w:val="432"/>
        </w:trPr>
        <w:tc>
          <w:tcPr>
            <w:tcW w:w="4960" w:type="dxa"/>
            <w:vAlign w:val="bottom"/>
            <w:tcBorders>
              <w:bottom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Signature</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0" w:type="dxa"/>
            <w:vAlign w:val="bottom"/>
          </w:tcPr>
          <w:p>
            <w:pPr>
              <w:spacing w:after="0"/>
              <w:rPr>
                <w:sz w:val="1"/>
                <w:szCs w:val="1"/>
                <w:color w:val="auto"/>
              </w:rPr>
            </w:pPr>
          </w:p>
        </w:tc>
      </w:tr>
      <w:tr>
        <w:trPr>
          <w:trHeight w:val="427"/>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Print Name</w:t>
            </w:r>
          </w:p>
        </w:tc>
        <w:tc>
          <w:tcPr>
            <w:tcW w:w="0" w:type="dxa"/>
            <w:vAlign w:val="bottom"/>
          </w:tcPr>
          <w:p>
            <w:pPr>
              <w:spacing w:after="0"/>
              <w:rPr>
                <w:sz w:val="1"/>
                <w:szCs w:val="1"/>
                <w:color w:val="auto"/>
              </w:rPr>
            </w:pPr>
          </w:p>
        </w:tc>
      </w:tr>
      <w:tr>
        <w:trPr>
          <w:trHeight w:val="427"/>
        </w:trPr>
        <w:tc>
          <w:tcPr>
            <w:tcW w:w="4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6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Address:</w:t>
            </w:r>
          </w:p>
        </w:tc>
        <w:tc>
          <w:tcPr>
            <w:tcW w:w="120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0" w:type="dxa"/>
            <w:vAlign w:val="bottom"/>
          </w:tcPr>
          <w:p>
            <w:pPr>
              <w:spacing w:after="0"/>
              <w:rPr>
                <w:sz w:val="1"/>
                <w:szCs w:val="1"/>
                <w:color w:val="auto"/>
              </w:rPr>
            </w:pPr>
          </w:p>
        </w:tc>
      </w:tr>
      <w:tr>
        <w:trPr>
          <w:trHeight w:val="211"/>
        </w:trPr>
        <w:tc>
          <w:tcPr>
            <w:tcW w:w="4960" w:type="dxa"/>
            <w:vAlign w:val="bottom"/>
            <w:vMerge w:val="continue"/>
          </w:tcPr>
          <w:p>
            <w:pPr>
              <w:spacing w:after="0"/>
              <w:rPr>
                <w:sz w:val="18"/>
                <w:szCs w:val="18"/>
                <w:color w:val="auto"/>
              </w:rPr>
            </w:pPr>
          </w:p>
        </w:tc>
        <w:tc>
          <w:tcPr>
            <w:tcW w:w="1200" w:type="dxa"/>
            <w:vAlign w:val="bottom"/>
          </w:tcPr>
          <w:p>
            <w:pPr>
              <w:spacing w:after="0"/>
              <w:rPr>
                <w:sz w:val="18"/>
                <w:szCs w:val="18"/>
                <w:color w:val="auto"/>
              </w:rPr>
            </w:pPr>
          </w:p>
        </w:tc>
        <w:tc>
          <w:tcPr>
            <w:tcW w:w="48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Address:</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8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«Address»</w:t>
            </w: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«City_State_Zip»</w:t>
            </w:r>
          </w:p>
        </w:tc>
        <w:tc>
          <w:tcPr>
            <w:tcW w:w="1200" w:type="dxa"/>
            <w:vAlign w:val="bottom"/>
          </w:tcPr>
          <w:p>
            <w:pPr>
              <w:spacing w:after="0"/>
              <w:rPr>
                <w:sz w:val="17"/>
                <w:szCs w:val="17"/>
                <w:color w:val="auto"/>
              </w:rPr>
            </w:pPr>
          </w:p>
        </w:tc>
        <w:tc>
          <w:tcPr>
            <w:tcW w:w="486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8 Clarke Drive</w:t>
            </w:r>
          </w:p>
        </w:tc>
        <w:tc>
          <w:tcPr>
            <w:tcW w:w="0" w:type="dxa"/>
            <w:vAlign w:val="bottom"/>
          </w:tcPr>
          <w:p>
            <w:pPr>
              <w:spacing w:after="0"/>
              <w:rPr>
                <w:sz w:val="1"/>
                <w:szCs w:val="1"/>
                <w:color w:val="auto"/>
              </w:rPr>
            </w:pPr>
          </w:p>
        </w:tc>
      </w:tr>
      <w:tr>
        <w:trPr>
          <w:trHeight w:val="226"/>
        </w:trPr>
        <w:tc>
          <w:tcPr>
            <w:tcW w:w="4960" w:type="dxa"/>
            <w:vAlign w:val="bottom"/>
            <w:tcBorders>
              <w:bottom w:val="single" w:sz="8" w:color="auto"/>
            </w:tcBorders>
            <w:vMerge w:val="continue"/>
          </w:tcPr>
          <w:p>
            <w:pPr>
              <w:spacing w:after="0"/>
              <w:rPr>
                <w:sz w:val="19"/>
                <w:szCs w:val="19"/>
                <w:color w:val="auto"/>
              </w:rPr>
            </w:pPr>
          </w:p>
        </w:tc>
        <w:tc>
          <w:tcPr>
            <w:tcW w:w="1200" w:type="dxa"/>
            <w:vAlign w:val="bottom"/>
          </w:tcPr>
          <w:p>
            <w:pPr>
              <w:spacing w:after="0"/>
              <w:rPr>
                <w:sz w:val="19"/>
                <w:szCs w:val="19"/>
                <w:color w:val="auto"/>
              </w:rPr>
            </w:pPr>
          </w:p>
        </w:tc>
        <w:tc>
          <w:tcPr>
            <w:tcW w:w="4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Cranbury, NJ 08512</w:t>
            </w:r>
          </w:p>
        </w:tc>
        <w:tc>
          <w:tcPr>
            <w:tcW w:w="0" w:type="dxa"/>
            <w:vAlign w:val="bottom"/>
          </w:tcPr>
          <w:p>
            <w:pPr>
              <w:spacing w:after="0"/>
              <w:rPr>
                <w:sz w:val="1"/>
                <w:szCs w:val="1"/>
                <w:color w:val="auto"/>
              </w:rPr>
            </w:pPr>
          </w:p>
        </w:tc>
      </w:tr>
      <w:tr>
        <w:trPr>
          <w:trHeight w:val="439"/>
        </w:trPr>
        <w:tc>
          <w:tcPr>
            <w:tcW w:w="4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8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9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Date Received</w:t>
            </w:r>
          </w:p>
        </w:tc>
        <w:tc>
          <w:tcPr>
            <w:tcW w:w="0" w:type="dxa"/>
            <w:vAlign w:val="bottom"/>
          </w:tcPr>
          <w:p>
            <w:pPr>
              <w:spacing w:after="0"/>
              <w:rPr>
                <w:sz w:val="1"/>
                <w:szCs w:val="1"/>
                <w:color w:val="auto"/>
              </w:rPr>
            </w:pPr>
          </w:p>
        </w:tc>
      </w:tr>
      <w:tr>
        <w:trPr>
          <w:trHeight w:val="360"/>
        </w:trPr>
        <w:tc>
          <w:tcPr>
            <w:tcW w:w="4960" w:type="dxa"/>
            <w:vAlign w:val="bottom"/>
          </w:tcPr>
          <w:p>
            <w:pPr>
              <w:spacing w:after="0"/>
              <w:rPr>
                <w:sz w:val="24"/>
                <w:szCs w:val="24"/>
                <w:color w:val="auto"/>
              </w:rPr>
            </w:pPr>
          </w:p>
        </w:tc>
        <w:tc>
          <w:tcPr>
            <w:tcW w:w="12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w:t>
            </w:r>
          </w:p>
        </w:tc>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428" w:name="page429"/>
    <w:bookmarkEnd w:id="42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 B</w:t>
            </w:r>
          </w:p>
        </w:tc>
        <w:tc>
          <w:tcPr>
            <w:tcW w:w="1540" w:type="dxa"/>
            <w:vAlign w:val="bottom"/>
          </w:tcPr>
          <w:p>
            <w:pPr>
              <w:spacing w:after="0"/>
              <w:rPr>
                <w:sz w:val="17"/>
                <w:szCs w:val="17"/>
                <w:color w:val="auto"/>
              </w:rPr>
            </w:pPr>
          </w:p>
        </w:tc>
      </w:tr>
      <w:tr>
        <w:trPr>
          <w:trHeight w:val="453"/>
        </w:trPr>
        <w:tc>
          <w:tcPr>
            <w:tcW w:w="1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500" w:type="dxa"/>
            <w:vAlign w:val="bottom"/>
            <w:gridSpan w:val="3"/>
          </w:tcPr>
          <w:p>
            <w:pPr>
              <w:jc w:val="center"/>
              <w:ind w:left="1370"/>
              <w:spacing w:after="0"/>
              <w:rPr>
                <w:sz w:val="20"/>
                <w:szCs w:val="20"/>
                <w:color w:val="auto"/>
              </w:rPr>
            </w:pPr>
            <w:r>
              <w:rPr>
                <w:rFonts w:ascii="Times New Roman" w:cs="Times New Roman" w:eastAsia="Times New Roman" w:hAnsi="Times New Roman"/>
                <w:sz w:val="18"/>
                <w:szCs w:val="18"/>
                <w:b w:val="1"/>
                <w:bCs w:val="1"/>
                <w:color w:val="auto"/>
                <w:w w:val="98"/>
              </w:rPr>
              <w:t>INVESTMENT REPRESENTATION STATEMENT</w:t>
            </w:r>
          </w:p>
        </w:tc>
      </w:tr>
      <w:tr>
        <w:trPr>
          <w:trHeight w:val="459"/>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PARTICIPANT</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«Name»</w:t>
            </w:r>
          </w:p>
        </w:tc>
      </w:tr>
      <w:tr>
        <w:trPr>
          <w:trHeight w:val="32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PMV PHARMACEUTICALS, INC.</w:t>
            </w:r>
          </w:p>
        </w:tc>
      </w:tr>
      <w:tr>
        <w:trPr>
          <w:trHeight w:val="32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SECURITY</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COMMON STOCK</w:t>
            </w:r>
          </w:p>
        </w:tc>
      </w:tr>
      <w:tr>
        <w:trPr>
          <w:trHeight w:val="32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AMOUNT</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55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«Shares»</w:t>
            </w:r>
          </w:p>
        </w:tc>
      </w:tr>
      <w:tr>
        <w:trPr>
          <w:trHeight w:val="324"/>
        </w:trPr>
        <w:tc>
          <w:tcPr>
            <w:tcW w:w="14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3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the purchase of the above-listed Securities, the undersigned Participant represents to the Company the following:</w:t>
      </w:r>
    </w:p>
    <w:p>
      <w:pPr>
        <w:spacing w:after="0" w:line="225" w:lineRule="exact"/>
        <w:rPr>
          <w:sz w:val="20"/>
          <w:szCs w:val="20"/>
          <w:color w:val="auto"/>
        </w:rPr>
      </w:pPr>
    </w:p>
    <w:p>
      <w:pPr>
        <w:jc w:val="both"/>
        <w:ind w:right="200" w:firstLine="436"/>
        <w:spacing w:after="0" w:line="261" w:lineRule="auto"/>
        <w:tabs>
          <w:tab w:leader="none" w:pos="685"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aware of the Company’s business affairs and financial condition and has acquired sufficient information about the Company to reach an informed and knowledgeable decision to acquire the Securities. Participant is acquiring these Securities for investment for Participant’s own account only and not with a view to, or for resale in connection with, any “distribution” thereof within the meaning of the Securities Act of 1933, as amended (the “Securities Act”).</w:t>
      </w:r>
    </w:p>
    <w:p>
      <w:pPr>
        <w:spacing w:after="0" w:line="179"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and understands that the Securities constitute “restricted securities” under the Securities Act and have not been registered under the Securities Act in reliance upon a specific exemption therefrom, which exemption depends upon, among other things, the bona fide nature of Participant’s investment intent as expressed herein. In this connection, Participant understands that, in the view of the Securities and Exchange Commission, the statutory basis for such exemption may be unavailable if Participant’s representation was predicated solely upon a present intention to hold these Securities for the minimum capital gains period specified under tax statutes, for a deferred sale, for or until an increase or decrease in the market price of the Securities, or for a period of one (1) year or any other fixed period in the future. Participant further understands that the Securities must be held indefinitely unless they are subsequently registered under the Securities Act or an exemption from such registration is available. Participant further acknowledges and understands that the Company is under no obligation to register the Securities. Participant understands that the certificate evidencing the Securities shall be imprinted with any legend required under applicable state securities laws.</w:t>
      </w:r>
    </w:p>
    <w:p>
      <w:pPr>
        <w:spacing w:after="0" w:line="188" w:lineRule="exact"/>
        <w:rPr>
          <w:rFonts w:ascii="Times New Roman" w:cs="Times New Roman" w:eastAsia="Times New Roman" w:hAnsi="Times New Roman"/>
          <w:sz w:val="18"/>
          <w:szCs w:val="18"/>
          <w:color w:val="auto"/>
        </w:rPr>
      </w:pPr>
    </w:p>
    <w:p>
      <w:pPr>
        <w:jc w:val="both"/>
        <w:ind w:right="80" w:firstLine="436"/>
        <w:spacing w:after="0" w:line="258" w:lineRule="auto"/>
        <w:tabs>
          <w:tab w:leader="none" w:pos="685"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familiar with the provisions of Rule 701 and Rule 144, each promulgated under the Securities Act, which, in substance, permit limited public resale of “restricted securities” acquired, directly or indirectly from the issuer thereof, in a non-public offering subject to the satisfaction of certain conditions. Rule 701 provides that if the issuer qualifies under Rule 701 at the time of the grant of the Option to Participant, the exercise shall be exempt from registration under the Securities Act. In the event the Company becomes subject to the reporting requirements of Section 13 or 15(d) of the Securities Exchange Act of 1934, ninety (90) days thereafter (or such</w:t>
      </w:r>
    </w:p>
    <w:p>
      <w:pPr>
        <w:sectPr>
          <w:pgSz w:w="11900" w:h="16838" w:orient="portrait"/>
          <w:cols w:equalWidth="0" w:num="1">
            <w:col w:w="11000"/>
          </w:cols>
          <w:pgMar w:left="440" w:top="256" w:right="459" w:bottom="1440" w:gutter="0" w:footer="0" w:header="0"/>
        </w:sectPr>
      </w:pPr>
    </w:p>
    <w:bookmarkStart w:id="429" w:name="page430"/>
    <w:bookmarkEnd w:id="429"/>
    <w:p>
      <w:pPr>
        <w:ind w:left="4" w:right="36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longer period as any market stand-off agreement may require) the Securities exempt under Rule 701 may be resold, subject to the satisfaction of the applicable conditions specified by Rule 144, including in the case of affiliates (1) the availability of certain public information about the Company,</w:t>
      </w:r>
    </w:p>
    <w:p>
      <w:pPr>
        <w:spacing w:after="0" w:line="1" w:lineRule="exact"/>
        <w:rPr>
          <w:sz w:val="20"/>
          <w:szCs w:val="20"/>
          <w:color w:val="auto"/>
        </w:rPr>
      </w:pPr>
    </w:p>
    <w:p>
      <w:pPr>
        <w:ind w:left="4" w:right="20" w:hanging="4"/>
        <w:spacing w:after="0" w:line="255" w:lineRule="auto"/>
        <w:tabs>
          <w:tab w:leader="none" w:pos="259"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Securities being sold during any three (3) month period not exceeding specified limitations, (3) the resale being made in an unsolicited “broker’s transaction”, transactions directly with a “market maker” or “riskless principal transactions” (as those terms are defined under the Securities Exchange Act of 1934) and (4) the timely filing of a Form 144, if applicable.</w:t>
      </w:r>
    </w:p>
    <w:p>
      <w:pPr>
        <w:spacing w:after="0" w:line="186" w:lineRule="exact"/>
        <w:rPr>
          <w:sz w:val="20"/>
          <w:szCs w:val="20"/>
          <w:color w:val="auto"/>
        </w:rPr>
      </w:pPr>
    </w:p>
    <w:p>
      <w:pPr>
        <w:ind w:left="4" w:right="180" w:firstLine="991"/>
        <w:spacing w:after="0" w:line="258" w:lineRule="auto"/>
        <w:rPr>
          <w:sz w:val="20"/>
          <w:szCs w:val="20"/>
          <w:color w:val="auto"/>
        </w:rPr>
      </w:pPr>
      <w:r>
        <w:rPr>
          <w:rFonts w:ascii="Times New Roman" w:cs="Times New Roman" w:eastAsia="Times New Roman" w:hAnsi="Times New Roman"/>
          <w:sz w:val="18"/>
          <w:szCs w:val="18"/>
          <w:color w:val="auto"/>
        </w:rPr>
        <w:t>In the event that the Company does not qualify under Rule 701 at the time of grant of the Option, then the Securities may be resold in certain limited circumstances subject to the provisions of Rule 144, which may require (i) the availability of current public information about the Company; (ii) the resale to occur more than a specified period after the purchase and full payment (within the meaning of Rule 144) for the Securities; and (iii) in the case of the sale of Securities by an affiliate, the satisfaction of the conditions set forth in sections (2), (3) and (4) of the paragraph immediately above.</w:t>
      </w:r>
    </w:p>
    <w:p>
      <w:pPr>
        <w:spacing w:after="0" w:line="183" w:lineRule="exact"/>
        <w:rPr>
          <w:sz w:val="20"/>
          <w:szCs w:val="20"/>
          <w:color w:val="auto"/>
        </w:rPr>
      </w:pPr>
    </w:p>
    <w:p>
      <w:pPr>
        <w:ind w:left="4" w:firstLine="436"/>
        <w:spacing w:after="0" w:line="255" w:lineRule="auto"/>
        <w:tabs>
          <w:tab w:leader="none" w:pos="699"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further understands that in the event all of the applicable requirements of Rule 701 or 144 are not satisfied, registration under the Securities Act, compliance with Regulation A, or some other registration exemption shall be required; and that, notwithstanding the fact that Rules 144 and 701 are not exclusive, the Staff of the Securities and Exchange Commission has expressed its opinion that persons proposing to sell private placement securities other than in a registered offering and otherwise than pursuant to Rules 144 or 701 shall have a substantial burden of proof in establishing that an exemption from registration is available for such offers or sales, and that such persons and their respective brokers who participate in such transactions do so at their own risk. Participant understands that no assurances can be given that any such other registration exemption shall be available in such event.</w:t>
      </w:r>
    </w:p>
    <w:p>
      <w:pPr>
        <w:spacing w:after="0" w:line="2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291465</wp:posOffset>
            </wp:positionV>
            <wp:extent cx="2794635"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291465</wp:posOffset>
            </wp:positionV>
            <wp:extent cx="2794635"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Date</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430" w:name="page431"/>
    <w:bookmarkEnd w:id="43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FIRST AMENDMENT</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PJ PHARMACEUTICALS, INC.</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2013 EQUITY INCENTIVE PLAN</w:t>
      </w:r>
    </w:p>
    <w:p>
      <w:pPr>
        <w:spacing w:after="0" w:line="234" w:lineRule="exact"/>
        <w:rPr>
          <w:sz w:val="20"/>
          <w:szCs w:val="20"/>
          <w:color w:val="auto"/>
        </w:rPr>
      </w:pPr>
    </w:p>
    <w:p>
      <w:pPr>
        <w:ind w:left="424" w:right="500" w:hanging="424"/>
        <w:spacing w:after="0" w:line="282" w:lineRule="auto"/>
        <w:tabs>
          <w:tab w:leader="none" w:pos="424"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authority reserved in Section 8(a) of the PJ Pharmaceuticals, Inc. 2013 Equity Incentive Plan (the “Plan”), the Plan is hereby amended as follows:</w:t>
      </w:r>
    </w:p>
    <w:p>
      <w:pPr>
        <w:spacing w:after="0" w:line="53"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plan is hereby amended and restated to read: “PMV Pharmaceuticals, Inc. 2013 Equity Incentive Plan”.</w:t>
      </w:r>
    </w:p>
    <w:p>
      <w:pPr>
        <w:spacing w:after="0" w:line="225"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2(j) is hereby amended by deleting it in full and by substituting the following in lieu thereof:</w:t>
      </w:r>
    </w:p>
    <w:p>
      <w:pPr>
        <w:spacing w:after="0" w:line="117" w:lineRule="exact"/>
        <w:rPr>
          <w:sz w:val="20"/>
          <w:szCs w:val="20"/>
          <w:color w:val="auto"/>
        </w:rPr>
      </w:pPr>
    </w:p>
    <w:p>
      <w:pPr>
        <w:ind w:left="13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PMV Pharmaceuticals, Inc., a Delaware corporation, or any successor thereto.”</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3. Section 2 is hereby amended by adding the following subsections at the end thereof:</w:t>
      </w:r>
    </w:p>
    <w:p>
      <w:pPr>
        <w:spacing w:after="0" w:line="117" w:lineRule="exact"/>
        <w:rPr>
          <w:sz w:val="20"/>
          <w:szCs w:val="20"/>
          <w:color w:val="auto"/>
        </w:rPr>
      </w:pPr>
    </w:p>
    <w:p>
      <w:pPr>
        <w:ind w:left="984" w:right="40" w:firstLine="761"/>
        <w:spacing w:after="0" w:line="255" w:lineRule="auto"/>
        <w:rPr>
          <w:sz w:val="20"/>
          <w:szCs w:val="20"/>
          <w:color w:val="auto"/>
        </w:rPr>
      </w:pPr>
      <w:r>
        <w:rPr>
          <w:rFonts w:ascii="Times New Roman" w:cs="Times New Roman" w:eastAsia="Times New Roman" w:hAnsi="Times New Roman"/>
          <w:sz w:val="18"/>
          <w:szCs w:val="18"/>
          <w:color w:val="auto"/>
        </w:rPr>
        <w:t>“(ee) ‘Cause’ means, unless otherwise provided in the Award Agreement, (i) the Participant’s commission of (A) a felony or (B) any misdemeanor involving moral turpitude, deceit, dishonesty or fraud; (ii) the Participant’s willful or negligent failure to perform his or her assigned duties and responsibilities in any material respect to the reasonable satisfaction of the Company which failure continues, in the reasonable judgment of the Company, after written notice given to the Participant by the Company; (iii) the Participant’s gross negligence, willful misconduct or insubordination with respect to the Company or any affiliate thereof; or (iv) the Participant’s material violation of any provision of any agreement(s) between the Participant and the Company relating to noncompetition, nonsolicitation, nondisclosure and/or assignment of inventions.</w:t>
      </w:r>
    </w:p>
    <w:p>
      <w:pPr>
        <w:spacing w:after="0" w:line="81" w:lineRule="exact"/>
        <w:rPr>
          <w:sz w:val="20"/>
          <w:szCs w:val="20"/>
          <w:color w:val="auto"/>
        </w:rPr>
      </w:pPr>
    </w:p>
    <w:p>
      <w:pPr>
        <w:jc w:val="both"/>
        <w:ind w:left="984" w:firstLine="768"/>
        <w:spacing w:after="0" w:line="266" w:lineRule="auto"/>
        <w:tabs>
          <w:tab w:leader="none" w:pos="2026"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means, unless otherwise provided in the Award Agreement, (i) a material diminution in the Participant’s base salary except for across-the-board salary reductions similarly affecting all or substantially all similarly situated employees of the Company or (ii) a change of more than 50 miles in the geographic location at which the Participant provides services to the Company.</w:t>
      </w:r>
    </w:p>
    <w:p>
      <w:pPr>
        <w:sectPr>
          <w:pgSz w:w="11900" w:h="16838" w:orient="portrait"/>
          <w:cols w:equalWidth="0" w:num="1">
            <w:col w:w="11024"/>
          </w:cols>
          <w:pgMar w:left="436" w:top="266" w:right="439" w:bottom="1440" w:gutter="0" w:footer="0" w:header="0"/>
        </w:sectPr>
      </w:pPr>
    </w:p>
    <w:bookmarkStart w:id="431" w:name="page432"/>
    <w:bookmarkEnd w:id="431"/>
    <w:p>
      <w:pPr>
        <w:ind w:left="444"/>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 Subsection 13(c) of the Plan is hereby amended by deleting the second paragraph in its entirety and by substituting the following in lieu thereof:</w:t>
      </w:r>
    </w:p>
    <w:p>
      <w:pPr>
        <w:spacing w:after="0" w:line="129" w:lineRule="exact"/>
        <w:rPr>
          <w:sz w:val="20"/>
          <w:szCs w:val="20"/>
          <w:color w:val="auto"/>
        </w:rPr>
      </w:pPr>
    </w:p>
    <w:p>
      <w:pPr>
        <w:ind w:left="984" w:right="100" w:firstLine="401"/>
        <w:spacing w:after="0" w:line="270" w:lineRule="auto"/>
        <w:rPr>
          <w:sz w:val="20"/>
          <w:szCs w:val="20"/>
          <w:color w:val="auto"/>
        </w:rPr>
      </w:pPr>
      <w:r>
        <w:rPr>
          <w:rFonts w:ascii="Times New Roman" w:cs="Times New Roman" w:eastAsia="Times New Roman" w:hAnsi="Times New Roman"/>
          <w:sz w:val="17"/>
          <w:szCs w:val="17"/>
          <w:color w:val="auto"/>
        </w:rPr>
        <w:t>“In the event that (i) a Participant is terminated for reasons other than Cause, Death or Disability, or terminates employment following a resignation for Good Reason, or terminates employment due to not being offered employment reasonably commensurate with their position prior to the merger or Change in Control with any successor entity, in each case in connection with the merger or Change in Control (which may include, without limitation, termination within thirty (30) days prior to the effective date of a Change of Control), or</w:t>
      </w:r>
    </w:p>
    <w:p>
      <w:pPr>
        <w:spacing w:after="0" w:line="3" w:lineRule="exact"/>
        <w:rPr>
          <w:sz w:val="20"/>
          <w:szCs w:val="20"/>
          <w:color w:val="auto"/>
        </w:rPr>
      </w:pPr>
    </w:p>
    <w:p>
      <w:pPr>
        <w:ind w:left="984" w:right="20" w:firstLine="7"/>
        <w:spacing w:after="0" w:line="251" w:lineRule="auto"/>
        <w:tabs>
          <w:tab w:leader="none" w:pos="1249"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entity assumes or substitutes the Awards of a Participant, and within twelve (12) months after the merger or Change in Control such Participant is terminated by the successor entity for reasons other than Cause, death or Disability, or such Participant resigns for Good Reason, then, in each case,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fully vests upon the termination of a Participant in connection with a merger or Change in Control pursuant to the immediately preceding sentence, the Administrator will notify such Participant in writing or electronically that the Option or Stock Appreciation Right will be exercisable for a period of time determined by the Administrator in its sole discretion (of at least three (3) days), and the Option or Stock Appreciation Right will terminate upon the expiration of such period.”</w:t>
      </w:r>
    </w:p>
    <w:p>
      <w:pPr>
        <w:spacing w:after="0" w:line="98"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amended as provided herein, the Plan is confirmed in all other respects.</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432" w:name="page433"/>
    <w:bookmarkEnd w:id="432"/>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p>
      <w:pPr>
        <w:spacing w:after="0" w:line="229" w:lineRule="exact"/>
        <w:rPr>
          <w:sz w:val="20"/>
          <w:szCs w:val="20"/>
          <w:color w:val="auto"/>
        </w:rPr>
      </w:pPr>
    </w:p>
    <w:p>
      <w:pPr>
        <w:ind w:left="760" w:hanging="324"/>
        <w:spacing w:after="0"/>
        <w:tabs>
          <w:tab w:leader="none" w:pos="76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Purposes of the Plan</w:t>
      </w:r>
      <w:r>
        <w:rPr>
          <w:rFonts w:ascii="Times New Roman" w:cs="Times New Roman" w:eastAsia="Times New Roman" w:hAnsi="Times New Roman"/>
          <w:sz w:val="18"/>
          <w:szCs w:val="18"/>
          <w:color w:val="auto"/>
        </w:rPr>
        <w:t>. The purposes of this Plan are:</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attract and retain the best available personnel for positions of substantial responsibility,</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additional incentive to Employees, Directors and Consultants,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promote the success of the Company’s business.</w:t>
      </w:r>
    </w:p>
    <w:p>
      <w:pPr>
        <w:spacing w:after="0" w:line="225"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The Plan permits the grant of Incentive Stock Options, Nonstatutory Stock Options, Restricted Stock, Restricted Stock Units, Stock Appreciation Rights, Performance Units and Performance Shares.</w:t>
      </w:r>
    </w:p>
    <w:p>
      <w:pPr>
        <w:spacing w:after="0" w:line="270" w:lineRule="exact"/>
        <w:rPr>
          <w:sz w:val="20"/>
          <w:szCs w:val="20"/>
          <w:color w:val="auto"/>
        </w:rPr>
      </w:pPr>
    </w:p>
    <w:p>
      <w:pPr>
        <w:ind w:left="760" w:hanging="324"/>
        <w:spacing w:after="0"/>
        <w:tabs>
          <w:tab w:leader="none" w:pos="76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herein, the following definitions will apply:</w:t>
      </w:r>
    </w:p>
    <w:p>
      <w:pPr>
        <w:spacing w:after="0" w:line="117"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means the Board or any of its Committees as will be administering the Plan, in accordance with Section 4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w:t>
      </w:r>
    </w:p>
    <w:p>
      <w:pPr>
        <w:spacing w:after="0" w:line="207" w:lineRule="exact"/>
        <w:rPr>
          <w:sz w:val="20"/>
          <w:szCs w:val="20"/>
          <w:color w:val="auto"/>
        </w:rPr>
      </w:pPr>
    </w:p>
    <w:p>
      <w:pPr>
        <w:ind w:right="140" w:firstLine="987"/>
        <w:spacing w:after="0" w:line="261" w:lineRule="auto"/>
        <w:tabs>
          <w:tab w:leader="none" w:pos="1381"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the legal and regulatory requirements relating to the administration of equity-based awards, including but not limited to the related issuance of shares of Common Stock, including but not limited to, under U.S.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79" w:lineRule="exact"/>
        <w:rPr>
          <w:rFonts w:ascii="Times New Roman" w:cs="Times New Roman" w:eastAsia="Times New Roman" w:hAnsi="Times New Roman"/>
          <w:sz w:val="18"/>
          <w:szCs w:val="18"/>
          <w:color w:val="auto"/>
        </w:rPr>
      </w:pPr>
    </w:p>
    <w:p>
      <w:pPr>
        <w:ind w:right="700" w:firstLine="987"/>
        <w:spacing w:after="0" w:line="282" w:lineRule="auto"/>
        <w:tabs>
          <w:tab w:leader="none" w:pos="1371"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individually or collectively, a grant under the Plan of Options, Stock Appreciation Rights, Restricted Stock, Restricted Stock Units, Performance Units or Performance Shares.</w:t>
      </w:r>
    </w:p>
    <w:p>
      <w:pPr>
        <w:spacing w:after="0" w:line="161" w:lineRule="exact"/>
        <w:rPr>
          <w:rFonts w:ascii="Times New Roman" w:cs="Times New Roman" w:eastAsia="Times New Roman" w:hAnsi="Times New Roman"/>
          <w:sz w:val="18"/>
          <w:szCs w:val="18"/>
          <w:color w:val="auto"/>
        </w:rPr>
      </w:pPr>
    </w:p>
    <w:p>
      <w:pPr>
        <w:ind w:right="500" w:firstLine="987"/>
        <w:spacing w:after="0" w:line="282" w:lineRule="auto"/>
        <w:tabs>
          <w:tab w:leader="none" w:pos="1381"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61"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occurrence of any of the following events:</w:t>
      </w:r>
    </w:p>
    <w:p>
      <w:pPr>
        <w:spacing w:after="0" w:line="225" w:lineRule="exact"/>
        <w:rPr>
          <w:rFonts w:ascii="Times New Roman" w:cs="Times New Roman" w:eastAsia="Times New Roman" w:hAnsi="Times New Roman"/>
          <w:sz w:val="18"/>
          <w:szCs w:val="18"/>
          <w:color w:val="auto"/>
        </w:rPr>
      </w:pPr>
    </w:p>
    <w:p>
      <w:pPr>
        <w:ind w:right="120" w:firstLine="1428"/>
        <w:spacing w:after="0" w:line="261" w:lineRule="auto"/>
        <w:tabs>
          <w:tab w:leader="none" w:pos="1772"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the Company which occurs on the date that any one person, or more than one person acting as a group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w:t>
      </w:r>
    </w:p>
    <w:p>
      <w:pPr>
        <w:sectPr>
          <w:pgSz w:w="11900" w:h="16838" w:orient="portrait"/>
          <w:cols w:equalWidth="0" w:num="1">
            <w:col w:w="11020"/>
          </w:cols>
          <w:pgMar w:left="440" w:top="117" w:right="439" w:bottom="1440" w:gutter="0" w:footer="0" w:header="0"/>
        </w:sectPr>
      </w:pPr>
    </w:p>
    <w:bookmarkStart w:id="433" w:name="page434"/>
    <w:bookmarkEnd w:id="433"/>
    <w:p>
      <w:pPr>
        <w:ind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fifty percent (50%) of the total voting power of the stock of the Company will not be considered a Change in Control, and (B)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the direct or indirect beneficial ownership of fifty percent (50%) or more of the total voting power of the stock of the Company or of the ultimate parent entity of the Company, such event will not be considered a Change in Control under this subsection (i).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89" w:lineRule="exact"/>
        <w:rPr>
          <w:sz w:val="20"/>
          <w:szCs w:val="20"/>
          <w:color w:val="auto"/>
        </w:rPr>
      </w:pPr>
    </w:p>
    <w:p>
      <w:pPr>
        <w:jc w:val="both"/>
        <w:ind w:firstLine="1428"/>
        <w:spacing w:after="0" w:line="261" w:lineRule="auto"/>
        <w:tabs>
          <w:tab w:leader="none" w:pos="1822"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79" w:lineRule="exact"/>
        <w:rPr>
          <w:rFonts w:ascii="Times New Roman" w:cs="Times New Roman" w:eastAsia="Times New Roman" w:hAnsi="Times New Roman"/>
          <w:sz w:val="18"/>
          <w:szCs w:val="18"/>
          <w:color w:val="auto"/>
        </w:rPr>
      </w:pPr>
    </w:p>
    <w:p>
      <w:pPr>
        <w:ind w:firstLine="1428"/>
        <w:spacing w:after="0" w:line="253" w:lineRule="auto"/>
        <w:tabs>
          <w:tab w:leader="none" w:pos="1872"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a substantial portion of the Company’s assets which occurs on the date that any Person acquires (or has acquired during the twelve (12) month period ending on the date of the most recent acquisition by such Person)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92" w:lineRule="exact"/>
        <w:rPr>
          <w:sz w:val="20"/>
          <w:szCs w:val="20"/>
          <w:color w:val="auto"/>
        </w:rPr>
      </w:pPr>
    </w:p>
    <w:p>
      <w:pPr>
        <w:ind w:right="60" w:firstLine="1432"/>
        <w:spacing w:after="0" w:line="282" w:lineRule="auto"/>
        <w:rPr>
          <w:sz w:val="20"/>
          <w:szCs w:val="20"/>
          <w:color w:val="auto"/>
        </w:rPr>
      </w:pPr>
      <w:r>
        <w:rPr>
          <w:rFonts w:ascii="Times New Roman" w:cs="Times New Roman" w:eastAsia="Times New Roman" w:hAnsi="Times New Roman"/>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62" w:lineRule="exact"/>
        <w:rPr>
          <w:sz w:val="20"/>
          <w:szCs w:val="20"/>
          <w:color w:val="auto"/>
        </w:rPr>
      </w:pPr>
    </w:p>
    <w:p>
      <w:pPr>
        <w:ind w:right="100" w:firstLine="1432"/>
        <w:spacing w:after="0" w:line="266"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76" w:lineRule="exact"/>
        <w:rPr>
          <w:sz w:val="20"/>
          <w:szCs w:val="20"/>
          <w:color w:val="auto"/>
        </w:rPr>
      </w:pPr>
    </w:p>
    <w:p>
      <w:pPr>
        <w:ind w:right="180" w:firstLine="1432"/>
        <w:spacing w:after="0" w:line="266" w:lineRule="auto"/>
        <w:rPr>
          <w:sz w:val="20"/>
          <w:szCs w:val="20"/>
          <w:color w:val="auto"/>
        </w:rPr>
      </w:pPr>
      <w:r>
        <w:rPr>
          <w:rFonts w:ascii="Times New Roman" w:cs="Times New Roman" w:eastAsia="Times New Roman" w:hAnsi="Times New Roman"/>
          <w:sz w:val="18"/>
          <w:szCs w:val="18"/>
          <w:color w:val="auto"/>
        </w:rPr>
        <w:t>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0980"/>
          </w:cols>
          <w:pgMar w:left="440" w:top="270" w:right="479" w:bottom="1440" w:gutter="0" w:footer="0" w:header="0"/>
        </w:sectPr>
      </w:pPr>
    </w:p>
    <w:bookmarkStart w:id="434" w:name="page435"/>
    <w:bookmarkEnd w:id="434"/>
    <w:p>
      <w:pPr>
        <w:ind w:left="-987" w:right="320" w:firstLine="987"/>
        <w:spacing w:after="0" w:line="266" w:lineRule="auto"/>
        <w:tabs>
          <w:tab w:leader="none" w:pos="394"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spacing w:after="0" w:line="175" w:lineRule="exact"/>
        <w:rPr>
          <w:rFonts w:ascii="Times New Roman" w:cs="Times New Roman" w:eastAsia="Times New Roman" w:hAnsi="Times New Roman"/>
          <w:sz w:val="18"/>
          <w:szCs w:val="18"/>
          <w:color w:val="auto"/>
        </w:rPr>
      </w:pPr>
    </w:p>
    <w:p>
      <w:pPr>
        <w:ind w:left="-987" w:right="180" w:firstLine="987"/>
        <w:spacing w:after="0" w:line="282" w:lineRule="auto"/>
        <w:tabs>
          <w:tab w:leader="none" w:pos="394"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 committee of Directors or of other individuals satisfying Applicable Laws appointed by the Board, or a duly authorized committee of the Board, in accordance with Section 4 hereof.</w:t>
      </w:r>
    </w:p>
    <w:p>
      <w:pPr>
        <w:spacing w:after="0" w:line="161" w:lineRule="exact"/>
        <w:rPr>
          <w:rFonts w:ascii="Times New Roman" w:cs="Times New Roman" w:eastAsia="Times New Roman" w:hAnsi="Times New Roman"/>
          <w:sz w:val="18"/>
          <w:szCs w:val="18"/>
          <w:color w:val="auto"/>
        </w:rPr>
      </w:pPr>
    </w:p>
    <w:p>
      <w:pPr>
        <w:ind w:left="353" w:hanging="353"/>
        <w:spacing w:after="0"/>
        <w:tabs>
          <w:tab w:leader="none" w:pos="353"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w:t>
      </w:r>
    </w:p>
    <w:p>
      <w:pPr>
        <w:spacing w:after="0" w:line="225" w:lineRule="exact"/>
        <w:rPr>
          <w:rFonts w:ascii="Times New Roman" w:cs="Times New Roman" w:eastAsia="Times New Roman" w:hAnsi="Times New Roman"/>
          <w:sz w:val="18"/>
          <w:szCs w:val="18"/>
          <w:color w:val="auto"/>
        </w:rPr>
      </w:pPr>
    </w:p>
    <w:p>
      <w:pPr>
        <w:ind w:left="353" w:hanging="353"/>
        <w:spacing w:after="0"/>
        <w:tabs>
          <w:tab w:leader="none" w:pos="353"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PMV Pharmaceuticals, Inc., a Delaware corporation, or any successor thereto.</w:t>
      </w:r>
    </w:p>
    <w:p>
      <w:pPr>
        <w:spacing w:after="0" w:line="225" w:lineRule="exact"/>
        <w:rPr>
          <w:rFonts w:ascii="Times New Roman" w:cs="Times New Roman" w:eastAsia="Times New Roman" w:hAnsi="Times New Roman"/>
          <w:sz w:val="18"/>
          <w:szCs w:val="18"/>
          <w:color w:val="auto"/>
        </w:rPr>
      </w:pPr>
    </w:p>
    <w:p>
      <w:pPr>
        <w:ind w:left="-987" w:firstLine="987"/>
        <w:spacing w:after="0" w:line="258" w:lineRule="auto"/>
        <w:tabs>
          <w:tab w:leader="none" w:pos="394"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natural person, including an advisor, engaged by the Company or a Parent or Subsidiary to render bona fide services to such entity, provided the services (i) are not in connection with the offer or sale of securities in a capital-raising transaction, and (ii)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83" w:lineRule="exact"/>
        <w:rPr>
          <w:rFonts w:ascii="Times New Roman" w:cs="Times New Roman" w:eastAsia="Times New Roman" w:hAnsi="Times New Roman"/>
          <w:sz w:val="18"/>
          <w:szCs w:val="18"/>
          <w:color w:val="auto"/>
        </w:rPr>
      </w:pPr>
    </w:p>
    <w:p>
      <w:pPr>
        <w:ind w:left="353" w:hanging="353"/>
        <w:spacing w:after="0"/>
        <w:tabs>
          <w:tab w:leader="none" w:pos="353"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color w:val="auto"/>
        </w:rPr>
      </w:pPr>
    </w:p>
    <w:p>
      <w:pPr>
        <w:ind w:left="-987" w:right="40" w:firstLine="987"/>
        <w:spacing w:after="0" w:line="266" w:lineRule="auto"/>
        <w:tabs>
          <w:tab w:leader="none" w:pos="444"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75" w:lineRule="exact"/>
        <w:rPr>
          <w:rFonts w:ascii="Times New Roman" w:cs="Times New Roman" w:eastAsia="Times New Roman" w:hAnsi="Times New Roman"/>
          <w:sz w:val="18"/>
          <w:szCs w:val="18"/>
          <w:color w:val="auto"/>
        </w:rPr>
      </w:pPr>
    </w:p>
    <w:p>
      <w:pPr>
        <w:ind w:left="-987" w:firstLine="987"/>
        <w:spacing w:after="0" w:line="266" w:lineRule="auto"/>
        <w:tabs>
          <w:tab w:leader="none" w:pos="394"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person, including Officers and Directors, providing services as an employee to the Company or any Parent or Subsidiary of the Company. Neither service as a Director nor payment of a director’s fee by the Company will be sufficient to constitute “employment” by the Company.</w:t>
      </w:r>
    </w:p>
    <w:p>
      <w:pPr>
        <w:spacing w:after="0" w:line="175" w:lineRule="exact"/>
        <w:rPr>
          <w:rFonts w:ascii="Times New Roman" w:cs="Times New Roman" w:eastAsia="Times New Roman" w:hAnsi="Times New Roman"/>
          <w:sz w:val="18"/>
          <w:szCs w:val="18"/>
          <w:color w:val="auto"/>
        </w:rPr>
      </w:pPr>
    </w:p>
    <w:p>
      <w:pPr>
        <w:ind w:left="393" w:hanging="393"/>
        <w:spacing w:after="0"/>
        <w:tabs>
          <w:tab w:leader="none" w:pos="393"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w:t>
      </w:r>
    </w:p>
    <w:p>
      <w:pPr>
        <w:spacing w:after="0" w:line="225" w:lineRule="exact"/>
        <w:rPr>
          <w:rFonts w:ascii="Times New Roman" w:cs="Times New Roman" w:eastAsia="Times New Roman" w:hAnsi="Times New Roman"/>
          <w:sz w:val="18"/>
          <w:szCs w:val="18"/>
          <w:color w:val="auto"/>
        </w:rPr>
      </w:pPr>
    </w:p>
    <w:p>
      <w:pPr>
        <w:ind w:left="-987" w:right="40" w:firstLine="987"/>
        <w:spacing w:after="0" w:line="258" w:lineRule="auto"/>
        <w:tabs>
          <w:tab w:leader="none" w:pos="394"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Program</w:t>
      </w:r>
      <w:r>
        <w:rPr>
          <w:rFonts w:ascii="Times New Roman" w:cs="Times New Roman" w:eastAsia="Times New Roman" w:hAnsi="Times New Roman"/>
          <w:sz w:val="18"/>
          <w:szCs w:val="18"/>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w:t>
      </w:r>
    </w:p>
    <w:p>
      <w:pPr>
        <w:spacing w:after="0" w:line="115" w:lineRule="exact"/>
        <w:rPr>
          <w:rFonts w:ascii="Times New Roman" w:cs="Times New Roman" w:eastAsia="Times New Roman" w:hAnsi="Times New Roman"/>
          <w:sz w:val="18"/>
          <w:szCs w:val="18"/>
          <w:color w:val="auto"/>
        </w:rPr>
      </w:pPr>
    </w:p>
    <w:p>
      <w:pPr>
        <w:ind w:left="4473" w:hanging="106"/>
        <w:spacing w:after="0"/>
        <w:tabs>
          <w:tab w:leader="none" w:pos="4473" w:val="left"/>
        </w:tabs>
        <w:numPr>
          <w:ilvl w:val="1"/>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9993"/>
          </w:cols>
          <w:pgMar w:left="1427" w:top="270" w:right="479" w:bottom="1440" w:gutter="0" w:footer="0" w:header="0"/>
        </w:sectPr>
      </w:pPr>
    </w:p>
    <w:bookmarkStart w:id="435" w:name="page436"/>
    <w:bookmarkEnd w:id="435"/>
    <w:p>
      <w:pPr>
        <w:ind w:left="1380" w:hanging="393"/>
        <w:spacing w:after="0"/>
        <w:tabs>
          <w:tab w:leader="none" w:pos="138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the value of Common Stock determined as follows:</w:t>
      </w:r>
    </w:p>
    <w:p>
      <w:pPr>
        <w:spacing w:after="0" w:line="225" w:lineRule="exact"/>
        <w:rPr>
          <w:rFonts w:ascii="Times New Roman" w:cs="Times New Roman" w:eastAsia="Times New Roman" w:hAnsi="Times New Roman"/>
          <w:sz w:val="18"/>
          <w:szCs w:val="18"/>
          <w:color w:val="auto"/>
        </w:rPr>
      </w:pPr>
    </w:p>
    <w:p>
      <w:pPr>
        <w:ind w:right="20" w:firstLine="1428"/>
        <w:spacing w:after="0" w:line="261" w:lineRule="auto"/>
        <w:tabs>
          <w:tab w:leader="none" w:pos="1782"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listed on any established stock exchange or a national market system, including without limitation the New York Stock Exchange,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w:t>
      </w:r>
    </w:p>
    <w:p>
      <w:pPr>
        <w:spacing w:after="0" w:line="179" w:lineRule="exact"/>
        <w:rPr>
          <w:rFonts w:ascii="Times New Roman" w:cs="Times New Roman" w:eastAsia="Times New Roman" w:hAnsi="Times New Roman"/>
          <w:sz w:val="18"/>
          <w:szCs w:val="18"/>
          <w:color w:val="auto"/>
        </w:rPr>
      </w:pPr>
    </w:p>
    <w:p>
      <w:pPr>
        <w:ind w:right="80" w:firstLine="1428"/>
        <w:spacing w:after="0" w:line="261" w:lineRule="auto"/>
        <w:tabs>
          <w:tab w:leader="none" w:pos="1832"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date such bids and asks were reported),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w:t>
      </w:r>
    </w:p>
    <w:p>
      <w:pPr>
        <w:spacing w:after="0" w:line="179" w:lineRule="exact"/>
        <w:rPr>
          <w:rFonts w:ascii="Times New Roman" w:cs="Times New Roman" w:eastAsia="Times New Roman" w:hAnsi="Times New Roman"/>
          <w:sz w:val="18"/>
          <w:szCs w:val="18"/>
          <w:color w:val="auto"/>
        </w:rPr>
      </w:pPr>
    </w:p>
    <w:p>
      <w:pPr>
        <w:ind w:firstLine="1428"/>
        <w:spacing w:after="0" w:line="266" w:lineRule="auto"/>
        <w:tabs>
          <w:tab w:leader="none" w:pos="1882"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any Awards granted on the Registration Date, the Fair Market Value will be the initial price to the public as set forth in the final prospectus included within the registration statement on Form S-1 filed with the U.S. Securities and Exchange Commission for the initial public offering of the Common Stock; or</w:t>
      </w:r>
    </w:p>
    <w:p>
      <w:pPr>
        <w:spacing w:after="0" w:line="175" w:lineRule="exact"/>
        <w:rPr>
          <w:rFonts w:ascii="Times New Roman" w:cs="Times New Roman" w:eastAsia="Times New Roman" w:hAnsi="Times New Roman"/>
          <w:sz w:val="18"/>
          <w:szCs w:val="18"/>
          <w:color w:val="auto"/>
        </w:rPr>
      </w:pPr>
    </w:p>
    <w:p>
      <w:pPr>
        <w:ind w:left="1860" w:hanging="432"/>
        <w:spacing w:after="0"/>
        <w:tabs>
          <w:tab w:leader="none" w:pos="1860"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an established market for the Common Stock, the Fair Market Value will be determined in good faith by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Administrator.</w:t>
      </w:r>
    </w:p>
    <w:p>
      <w:pPr>
        <w:spacing w:after="0" w:line="207"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determination of fair market value for purposes of tax withholding may be made in the Administrator’s discretion subject to Applicable Laws and is not required to be consistent with the determination of Fair Market Value for other purposes.</w:t>
      </w:r>
    </w:p>
    <w:p>
      <w:pPr>
        <w:spacing w:after="0" w:line="162" w:lineRule="exact"/>
        <w:rPr>
          <w:sz w:val="20"/>
          <w:szCs w:val="20"/>
          <w:color w:val="auto"/>
        </w:rPr>
      </w:pPr>
    </w:p>
    <w:p>
      <w:pPr>
        <w:ind w:left="1340" w:hanging="353"/>
        <w:spacing w:after="0"/>
        <w:tabs>
          <w:tab w:leader="none" w:pos="134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the fiscal year of the Company.</w:t>
      </w:r>
    </w:p>
    <w:p>
      <w:pPr>
        <w:spacing w:after="0" w:line="225" w:lineRule="exact"/>
        <w:rPr>
          <w:rFonts w:ascii="Times New Roman" w:cs="Times New Roman" w:eastAsia="Times New Roman" w:hAnsi="Times New Roman"/>
          <w:sz w:val="18"/>
          <w:szCs w:val="18"/>
          <w:color w:val="auto"/>
        </w:rPr>
      </w:pPr>
    </w:p>
    <w:p>
      <w:pPr>
        <w:ind w:right="120" w:firstLine="987"/>
        <w:spacing w:after="0" w:line="282" w:lineRule="auto"/>
        <w:tabs>
          <w:tab w:leader="none" w:pos="1361"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intended to qualify as an incentive stock option within the meaning of Section 422 of the Code and the regulations promulgated thereunder.</w:t>
      </w:r>
    </w:p>
    <w:p>
      <w:pPr>
        <w:spacing w:after="0" w:line="161"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Nonstatutory Stock Option</w:t>
      </w:r>
      <w:r>
        <w:rPr>
          <w:rFonts w:ascii="Times New Roman" w:cs="Times New Roman" w:eastAsia="Times New Roman" w:hAnsi="Times New Roman"/>
          <w:sz w:val="18"/>
          <w:szCs w:val="18"/>
          <w:color w:val="auto"/>
        </w:rPr>
        <w:t>” means an Option that by its terms does not qualify or is not intended to qualify as an Incentive Stock</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w:t>
      </w:r>
    </w:p>
    <w:p>
      <w:pPr>
        <w:spacing w:after="0" w:line="206" w:lineRule="exact"/>
        <w:rPr>
          <w:rFonts w:ascii="Times New Roman" w:cs="Times New Roman" w:eastAsia="Times New Roman" w:hAnsi="Times New Roman"/>
          <w:sz w:val="18"/>
          <w:szCs w:val="18"/>
          <w:color w:val="auto"/>
        </w:rPr>
      </w:pPr>
    </w:p>
    <w:p>
      <w:pPr>
        <w:ind w:right="100" w:firstLine="987"/>
        <w:spacing w:after="0" w:line="282" w:lineRule="auto"/>
        <w:tabs>
          <w:tab w:leader="none" w:pos="1381"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 and the rules and regulations promulgated thereunder.</w:t>
      </w:r>
    </w:p>
    <w:p>
      <w:pPr>
        <w:spacing w:after="0" w:line="161"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means a stock option granted pursuant to the Plan.</w:t>
      </w:r>
    </w:p>
    <w:p>
      <w:pPr>
        <w:spacing w:after="0" w:line="225" w:lineRule="exact"/>
        <w:rPr>
          <w:rFonts w:ascii="Times New Roman" w:cs="Times New Roman" w:eastAsia="Times New Roman" w:hAnsi="Times New Roman"/>
          <w:sz w:val="18"/>
          <w:szCs w:val="18"/>
          <w:color w:val="auto"/>
        </w:rPr>
      </w:pPr>
    </w:p>
    <w:p>
      <w:pPr>
        <w:ind w:left="1420" w:hanging="433"/>
        <w:spacing w:after="0"/>
        <w:tabs>
          <w:tab w:leader="none" w:pos="142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Outside Director</w:t>
      </w:r>
      <w:r>
        <w:rPr>
          <w:rFonts w:ascii="Times New Roman" w:cs="Times New Roman" w:eastAsia="Times New Roman" w:hAnsi="Times New Roman"/>
          <w:sz w:val="18"/>
          <w:szCs w:val="18"/>
          <w:color w:val="auto"/>
        </w:rPr>
        <w:t>” means a Director who is not an Employee.</w:t>
      </w:r>
    </w:p>
    <w:p>
      <w:pPr>
        <w:spacing w:after="0" w:line="22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whether now or hereafter existing, as defined in Section 424(e) of the Code.</w:t>
      </w:r>
    </w:p>
    <w:p>
      <w:pPr>
        <w:spacing w:after="0" w:line="22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the holder of an outstanding Award.</w:t>
      </w:r>
    </w:p>
    <w:p>
      <w:pPr>
        <w:spacing w:after="0" w:line="157"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1000"/>
          </w:cols>
          <w:pgMar w:left="440" w:top="270" w:right="459" w:bottom="1440" w:gutter="0" w:footer="0" w:header="0"/>
        </w:sectPr>
      </w:pPr>
    </w:p>
    <w:bookmarkStart w:id="436" w:name="page437"/>
    <w:bookmarkEnd w:id="436"/>
    <w:p>
      <w:pPr>
        <w:ind w:left="-987" w:right="820" w:firstLine="987"/>
        <w:spacing w:after="0" w:line="282" w:lineRule="auto"/>
        <w:tabs>
          <w:tab w:leader="none" w:pos="384"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Performance Share</w:t>
      </w:r>
      <w:r>
        <w:rPr>
          <w:rFonts w:ascii="Times New Roman" w:cs="Times New Roman" w:eastAsia="Times New Roman" w:hAnsi="Times New Roman"/>
          <w:sz w:val="18"/>
          <w:szCs w:val="18"/>
          <w:color w:val="auto"/>
        </w:rPr>
        <w:t>” means an Award denominated in Shares which may be earned in whole or in part upon attainment of performance goals or other vesting criteria as the Administrator may determine pursuant to Section 10.</w:t>
      </w:r>
    </w:p>
    <w:p>
      <w:pPr>
        <w:spacing w:after="0" w:line="162" w:lineRule="exact"/>
        <w:rPr>
          <w:sz w:val="20"/>
          <w:szCs w:val="20"/>
          <w:color w:val="auto"/>
        </w:rPr>
      </w:pPr>
    </w:p>
    <w:p>
      <w:pPr>
        <w:ind w:left="-987" w:right="440" w:firstLine="987"/>
        <w:spacing w:after="0" w:line="266" w:lineRule="auto"/>
        <w:tabs>
          <w:tab w:leader="none" w:pos="463"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Unit</w:t>
      </w:r>
      <w:r>
        <w:rPr>
          <w:rFonts w:ascii="Times New Roman" w:cs="Times New Roman" w:eastAsia="Times New Roman" w:hAnsi="Times New Roman"/>
          <w:sz w:val="18"/>
          <w:szCs w:val="18"/>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175" w:lineRule="exact"/>
        <w:rPr>
          <w:rFonts w:ascii="Times New Roman" w:cs="Times New Roman" w:eastAsia="Times New Roman" w:hAnsi="Times New Roman"/>
          <w:sz w:val="18"/>
          <w:szCs w:val="18"/>
          <w:color w:val="auto"/>
        </w:rPr>
      </w:pPr>
    </w:p>
    <w:p>
      <w:pPr>
        <w:ind w:left="-987" w:firstLine="987"/>
        <w:spacing w:after="0" w:line="266" w:lineRule="auto"/>
        <w:tabs>
          <w:tab w:leader="none" w:pos="484"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 of Restriction</w:t>
      </w:r>
      <w:r>
        <w:rPr>
          <w:rFonts w:ascii="Times New Roman" w:cs="Times New Roman" w:eastAsia="Times New Roman" w:hAnsi="Times New Roman"/>
          <w:sz w:val="18"/>
          <w:szCs w:val="18"/>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75" w:lineRule="exact"/>
        <w:rPr>
          <w:rFonts w:ascii="Times New Roman" w:cs="Times New Roman" w:eastAsia="Times New Roman" w:hAnsi="Times New Roman"/>
          <w:sz w:val="18"/>
          <w:szCs w:val="18"/>
          <w:color w:val="auto"/>
        </w:rPr>
      </w:pPr>
    </w:p>
    <w:p>
      <w:pPr>
        <w:ind w:left="453" w:hanging="453"/>
        <w:spacing w:after="0"/>
        <w:tabs>
          <w:tab w:leader="none" w:pos="453"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2020 Equity Incentive Plan.</w:t>
      </w:r>
    </w:p>
    <w:p>
      <w:pPr>
        <w:spacing w:after="0" w:line="225" w:lineRule="exact"/>
        <w:rPr>
          <w:rFonts w:ascii="Times New Roman" w:cs="Times New Roman" w:eastAsia="Times New Roman" w:hAnsi="Times New Roman"/>
          <w:sz w:val="18"/>
          <w:szCs w:val="18"/>
          <w:color w:val="auto"/>
        </w:rPr>
      </w:pPr>
    </w:p>
    <w:p>
      <w:pPr>
        <w:ind w:left="-987" w:right="220" w:firstLine="987"/>
        <w:spacing w:after="0" w:line="282" w:lineRule="auto"/>
        <w:tabs>
          <w:tab w:leader="none" w:pos="484"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Date</w:t>
      </w:r>
      <w:r>
        <w:rPr>
          <w:rFonts w:ascii="Times New Roman" w:cs="Times New Roman" w:eastAsia="Times New Roman" w:hAnsi="Times New Roman"/>
          <w:sz w:val="18"/>
          <w:szCs w:val="18"/>
          <w:color w:val="auto"/>
        </w:rPr>
        <w:t>” means the effective date of the first registration statement that is filed by the Company and declared effective pursuant to Section 12(b) of the Exchange Act, with respect to any class of the Company’s securities.</w:t>
      </w:r>
    </w:p>
    <w:p>
      <w:pPr>
        <w:spacing w:after="0" w:line="161" w:lineRule="exact"/>
        <w:rPr>
          <w:rFonts w:ascii="Times New Roman" w:cs="Times New Roman" w:eastAsia="Times New Roman" w:hAnsi="Times New Roman"/>
          <w:sz w:val="18"/>
          <w:szCs w:val="18"/>
          <w:color w:val="auto"/>
        </w:rPr>
      </w:pPr>
    </w:p>
    <w:p>
      <w:pPr>
        <w:ind w:left="-987" w:right="100" w:firstLine="987"/>
        <w:spacing w:after="0" w:line="282" w:lineRule="auto"/>
        <w:tabs>
          <w:tab w:leader="none" w:pos="463"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means Shares issued pursuant to an Award of Restricted Stock under Section 7 of the Plan, or issued pursuant to the early exercise of an Option.</w:t>
      </w:r>
    </w:p>
    <w:p>
      <w:pPr>
        <w:spacing w:after="0" w:line="161" w:lineRule="exact"/>
        <w:rPr>
          <w:rFonts w:ascii="Times New Roman" w:cs="Times New Roman" w:eastAsia="Times New Roman" w:hAnsi="Times New Roman"/>
          <w:sz w:val="18"/>
          <w:szCs w:val="18"/>
          <w:color w:val="auto"/>
        </w:rPr>
      </w:pPr>
    </w:p>
    <w:p>
      <w:pPr>
        <w:ind w:left="-987" w:right="320" w:firstLine="987"/>
        <w:spacing w:after="0" w:line="282" w:lineRule="auto"/>
        <w:tabs>
          <w:tab w:leader="none" w:pos="42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means a bookkeeping entry representing an amount equal to the Fair Market Value of one Share, granted pursuant to Section 8. Each Restricted Stock Unit represents an unfunded and unsecured obligation of the Company.</w:t>
      </w:r>
    </w:p>
    <w:p>
      <w:pPr>
        <w:spacing w:after="0" w:line="161" w:lineRule="exact"/>
        <w:rPr>
          <w:rFonts w:ascii="Times New Roman" w:cs="Times New Roman" w:eastAsia="Times New Roman" w:hAnsi="Times New Roman"/>
          <w:sz w:val="18"/>
          <w:szCs w:val="18"/>
          <w:color w:val="auto"/>
        </w:rPr>
      </w:pPr>
    </w:p>
    <w:p>
      <w:pPr>
        <w:ind w:left="-987" w:right="20" w:firstLine="987"/>
        <w:spacing w:after="0" w:line="282" w:lineRule="auto"/>
        <w:tabs>
          <w:tab w:leader="none" w:pos="484"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means Rule 16b-3 of the Exchange Act or any successor to Rule 16b-3, as in effect when discretion is being exercised with respect to the Plan.</w:t>
      </w:r>
    </w:p>
    <w:p>
      <w:pPr>
        <w:spacing w:after="0" w:line="161" w:lineRule="exact"/>
        <w:rPr>
          <w:rFonts w:ascii="Times New Roman" w:cs="Times New Roman" w:eastAsia="Times New Roman" w:hAnsi="Times New Roman"/>
          <w:sz w:val="18"/>
          <w:szCs w:val="18"/>
          <w:color w:val="auto"/>
        </w:rPr>
      </w:pPr>
    </w:p>
    <w:p>
      <w:pPr>
        <w:ind w:left="473" w:hanging="473"/>
        <w:spacing w:after="0"/>
        <w:tabs>
          <w:tab w:leader="none" w:pos="473"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16(b)</w:t>
      </w:r>
      <w:r>
        <w:rPr>
          <w:rFonts w:ascii="Times New Roman" w:cs="Times New Roman" w:eastAsia="Times New Roman" w:hAnsi="Times New Roman"/>
          <w:sz w:val="18"/>
          <w:szCs w:val="18"/>
          <w:color w:val="auto"/>
        </w:rPr>
        <w:t>” means Section 16(b) of the Exchange Act.</w:t>
      </w:r>
    </w:p>
    <w:p>
      <w:pPr>
        <w:spacing w:after="0" w:line="225" w:lineRule="exact"/>
        <w:rPr>
          <w:rFonts w:ascii="Times New Roman" w:cs="Times New Roman" w:eastAsia="Times New Roman" w:hAnsi="Times New Roman"/>
          <w:sz w:val="18"/>
          <w:szCs w:val="18"/>
          <w:color w:val="auto"/>
        </w:rPr>
      </w:pPr>
    </w:p>
    <w:p>
      <w:pPr>
        <w:ind w:left="-987" w:right="420" w:firstLine="987"/>
        <w:spacing w:after="0" w:line="312" w:lineRule="auto"/>
        <w:tabs>
          <w:tab w:leader="none" w:pos="404" w:val="left"/>
        </w:tabs>
        <w:numPr>
          <w:ilvl w:val="0"/>
          <w:numId w:val="3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Section 409A</w:t>
      </w:r>
      <w:r>
        <w:rPr>
          <w:rFonts w:ascii="Times New Roman" w:cs="Times New Roman" w:eastAsia="Times New Roman" w:hAnsi="Times New Roman"/>
          <w:sz w:val="17"/>
          <w:szCs w:val="17"/>
          <w:color w:val="auto"/>
        </w:rPr>
        <w:t>” means Code Section 409A, as it has been and may be amended from time to time, and any proposed or final Treasury Regulations and U.S. Internal Revenue Service guidance that has been promulgated or may be promulgated thereunder from time to time.</w:t>
      </w:r>
    </w:p>
    <w:p>
      <w:pPr>
        <w:spacing w:after="0" w:line="139" w:lineRule="exact"/>
        <w:rPr>
          <w:rFonts w:ascii="Times New Roman" w:cs="Times New Roman" w:eastAsia="Times New Roman" w:hAnsi="Times New Roman"/>
          <w:sz w:val="17"/>
          <w:szCs w:val="17"/>
          <w:color w:val="auto"/>
        </w:rPr>
      </w:pPr>
    </w:p>
    <w:p>
      <w:pPr>
        <w:ind w:left="393" w:hanging="393"/>
        <w:spacing w:after="0"/>
        <w:tabs>
          <w:tab w:leader="none" w:pos="393"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rFonts w:ascii="Times New Roman" w:cs="Times New Roman" w:eastAsia="Times New Roman" w:hAnsi="Times New Roman"/>
          <w:sz w:val="18"/>
          <w:szCs w:val="18"/>
          <w:color w:val="auto"/>
        </w:rPr>
      </w:pPr>
    </w:p>
    <w:p>
      <w:pPr>
        <w:ind w:left="473" w:hanging="473"/>
        <w:spacing w:after="0"/>
        <w:tabs>
          <w:tab w:leader="none" w:pos="473"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means an Employee, Director or Consultant.</w:t>
      </w:r>
    </w:p>
    <w:p>
      <w:pPr>
        <w:spacing w:after="0" w:line="225" w:lineRule="exact"/>
        <w:rPr>
          <w:rFonts w:ascii="Times New Roman" w:cs="Times New Roman" w:eastAsia="Times New Roman" w:hAnsi="Times New Roman"/>
          <w:sz w:val="18"/>
          <w:szCs w:val="18"/>
          <w:color w:val="auto"/>
        </w:rPr>
      </w:pPr>
    </w:p>
    <w:p>
      <w:pPr>
        <w:ind w:left="393" w:hanging="393"/>
        <w:spacing w:after="0"/>
        <w:tabs>
          <w:tab w:leader="none" w:pos="393"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 share of the Common Stock, as adjusted in accordance with Section 14 of the Plan.</w:t>
      </w:r>
    </w:p>
    <w:p>
      <w:pPr>
        <w:spacing w:after="0" w:line="225" w:lineRule="exact"/>
        <w:rPr>
          <w:rFonts w:ascii="Times New Roman" w:cs="Times New Roman" w:eastAsia="Times New Roman" w:hAnsi="Times New Roman"/>
          <w:sz w:val="18"/>
          <w:szCs w:val="18"/>
          <w:color w:val="auto"/>
        </w:rPr>
      </w:pPr>
    </w:p>
    <w:p>
      <w:pPr>
        <w:ind w:left="-987" w:right="700" w:firstLine="987"/>
        <w:spacing w:after="0" w:line="282" w:lineRule="auto"/>
        <w:tabs>
          <w:tab w:leader="none" w:pos="584"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means an Award, granted alone or in connection with an Option, that pursuant to Section 9 is designated as a Stock Appreciation Right.</w:t>
      </w:r>
    </w:p>
    <w:p>
      <w:pPr>
        <w:spacing w:after="0" w:line="161" w:lineRule="exact"/>
        <w:rPr>
          <w:rFonts w:ascii="Times New Roman" w:cs="Times New Roman" w:eastAsia="Times New Roman" w:hAnsi="Times New Roman"/>
          <w:sz w:val="18"/>
          <w:szCs w:val="18"/>
          <w:color w:val="auto"/>
        </w:rPr>
      </w:pPr>
    </w:p>
    <w:p>
      <w:pPr>
        <w:ind w:left="473" w:hanging="473"/>
        <w:spacing w:after="0"/>
        <w:tabs>
          <w:tab w:leader="none" w:pos="473"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“subsidiary corporation,” whether now or hereafter existing, as defined in Section 424(f) of the Code.</w:t>
      </w:r>
    </w:p>
    <w:p>
      <w:pPr>
        <w:spacing w:after="0" w:line="157" w:lineRule="exact"/>
        <w:rPr>
          <w:rFonts w:ascii="Times New Roman" w:cs="Times New Roman" w:eastAsia="Times New Roman" w:hAnsi="Times New Roman"/>
          <w:sz w:val="18"/>
          <w:szCs w:val="18"/>
          <w:color w:val="auto"/>
        </w:rPr>
      </w:pPr>
    </w:p>
    <w:p>
      <w:pPr>
        <w:ind w:left="4473" w:hanging="106"/>
        <w:spacing w:after="0"/>
        <w:tabs>
          <w:tab w:leader="none" w:pos="4473"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0013"/>
          </w:cols>
          <w:pgMar w:left="1427" w:top="270" w:right="459" w:bottom="1440" w:gutter="0" w:footer="0" w:header="0"/>
        </w:sectPr>
      </w:pPr>
    </w:p>
    <w:bookmarkStart w:id="437" w:name="page438"/>
    <w:bookmarkEnd w:id="437"/>
    <w:p>
      <w:pPr>
        <w:ind w:left="764" w:hanging="324"/>
        <w:spacing w:after="0"/>
        <w:tabs>
          <w:tab w:leader="none" w:pos="764"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 Subject to the Plan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200" w:firstLine="987"/>
        <w:spacing w:after="0" w:line="255" w:lineRule="auto"/>
        <w:tabs>
          <w:tab w:leader="none" w:pos="1375" w:val="left"/>
        </w:tabs>
        <w:numPr>
          <w:ilvl w:val="2"/>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 Subject to the provisions of Section 14 of the Plan and the automatic increase set forth in Section 3(b) of the Plan, the maximum aggregate number of Shares that may be issued under the Plan is (i) 23,200,000 Shares, plus (ii) any Shares subject to stock options, restricted stock units or other awards granted under the Company’s 2013 Equity Incentive Plan (the “</w:t>
      </w:r>
      <w:r>
        <w:rPr>
          <w:rFonts w:ascii="Times New Roman" w:cs="Times New Roman" w:eastAsia="Times New Roman" w:hAnsi="Times New Roman"/>
          <w:sz w:val="18"/>
          <w:szCs w:val="18"/>
          <w:u w:val="single" w:color="auto"/>
          <w:color w:val="auto"/>
        </w:rPr>
        <w:t>2013 Plan</w:t>
      </w:r>
      <w:r>
        <w:rPr>
          <w:rFonts w:ascii="Times New Roman" w:cs="Times New Roman" w:eastAsia="Times New Roman" w:hAnsi="Times New Roman"/>
          <w:sz w:val="18"/>
          <w:szCs w:val="18"/>
          <w:color w:val="auto"/>
        </w:rPr>
        <w:t>”) that, on or after the Registration Date, expire or otherwise terminate without having been exercised or issued in full and any Shares issued pursuant to awards granted sunder the 2013 Plan that, on or after the termination of the 2013 Plan, are forfeited to or repurchased by the Company, with the maximum number of Shares to be added to the Plan pursuant to clause (ii) equals 20,825,000 Shares. The Shares may be authorized, but unissued, or reacquired Common Stock.</w:t>
      </w:r>
    </w:p>
    <w:p>
      <w:pPr>
        <w:spacing w:after="0" w:line="188" w:lineRule="exact"/>
        <w:rPr>
          <w:rFonts w:ascii="Times New Roman" w:cs="Times New Roman" w:eastAsia="Times New Roman" w:hAnsi="Times New Roman"/>
          <w:sz w:val="18"/>
          <w:szCs w:val="18"/>
          <w:color w:val="auto"/>
        </w:rPr>
      </w:pPr>
    </w:p>
    <w:p>
      <w:pPr>
        <w:ind w:left="4" w:right="180" w:firstLine="987"/>
        <w:spacing w:after="0" w:line="261" w:lineRule="auto"/>
        <w:tabs>
          <w:tab w:leader="none" w:pos="1385" w:val="left"/>
        </w:tabs>
        <w:numPr>
          <w:ilvl w:val="2"/>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Share Reserve Increase</w:t>
      </w:r>
      <w:r>
        <w:rPr>
          <w:rFonts w:ascii="Times New Roman" w:cs="Times New Roman" w:eastAsia="Times New Roman" w:hAnsi="Times New Roman"/>
          <w:sz w:val="18"/>
          <w:szCs w:val="18"/>
          <w:color w:val="auto"/>
        </w:rPr>
        <w:t>. Subject to the provisions of Section 14 of the Plan, the number of Shares available for issuance under the Plan will be increased on the first day of each Fiscal Year beginning with the 2021 Fiscal Year, in an amount equal to the least of</w:t>
      </w:r>
    </w:p>
    <w:p>
      <w:pPr>
        <w:jc w:val="both"/>
        <w:ind w:left="4" w:right="320" w:hanging="4"/>
        <w:spacing w:after="0" w:line="255" w:lineRule="auto"/>
        <w:tabs>
          <w:tab w:leader="none" w:pos="219"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23,200,000 Shares, (ii) five percent (5%) the outstanding Shares on the last day of the immediately preceding Fiscal Year, or (iii) such number of Shares determined by the Administrator no later than the last day of the immediately preceding Fiscal Year. The automatic Share increase under this Section 3(b) shall terminate following the increase on the first day of the 2030 Fiscal Year.</w:t>
      </w:r>
    </w:p>
    <w:p>
      <w:pPr>
        <w:spacing w:after="0" w:line="185" w:lineRule="exact"/>
        <w:rPr>
          <w:rFonts w:ascii="Times New Roman" w:cs="Times New Roman" w:eastAsia="Times New Roman" w:hAnsi="Times New Roman"/>
          <w:sz w:val="18"/>
          <w:szCs w:val="18"/>
          <w:color w:val="auto"/>
        </w:rPr>
      </w:pPr>
    </w:p>
    <w:p>
      <w:pPr>
        <w:ind w:left="4" w:firstLine="987"/>
        <w:spacing w:after="0" w:line="252" w:lineRule="auto"/>
        <w:tabs>
          <w:tab w:leader="none" w:pos="1375" w:val="left"/>
        </w:tabs>
        <w:numPr>
          <w:ilvl w:val="2"/>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Lapsed Awards</w:t>
      </w:r>
      <w:r>
        <w:rPr>
          <w:rFonts w:ascii="Times New Roman" w:cs="Times New Roman" w:eastAsia="Times New Roman" w:hAnsi="Times New Roman"/>
          <w:sz w:val="18"/>
          <w:szCs w:val="18"/>
          <w:color w:val="auto"/>
        </w:rPr>
        <w:t>. If an Award expires or becomes unexercisable without having been exercised in full, is surrendered pursuant to an Exchange Program,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(i.e., the net Shares issued) pursuant to a Stock Appreciation Right will cease to be available under the Plan; all remaining Shares under Stock Appreciation Rights will remain available for future grant or sale under the Plan (unless the Plan has terminated). Shares that actually have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14, the maximum number of Shares that may be issued upon the exercise of Incentive Stock Options will equal the aggregate Share number stated in Section 3(a), plus, to the extent allowable under Section 422 of the Code and the Treasury Regulations promulgated thereunder, any Shares that become available for issuance under the Plan pursuant to Sections 3(b) and 3(c).</w:t>
      </w:r>
    </w:p>
    <w:p>
      <w:pPr>
        <w:spacing w:after="0" w:line="128"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3"/>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10984"/>
          </w:cols>
          <w:pgMar w:left="436" w:top="270" w:right="479" w:bottom="1440" w:gutter="0" w:footer="0" w:header="0"/>
        </w:sectPr>
      </w:pPr>
    </w:p>
    <w:bookmarkStart w:id="438" w:name="page439"/>
    <w:bookmarkEnd w:id="438"/>
    <w:p>
      <w:pPr>
        <w:ind w:right="40" w:firstLine="987"/>
        <w:spacing w:after="0" w:line="282" w:lineRule="auto"/>
        <w:tabs>
          <w:tab w:leader="none" w:pos="1381"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Share Reserve</w:t>
      </w:r>
      <w:r>
        <w:rPr>
          <w:rFonts w:ascii="Times New Roman" w:cs="Times New Roman" w:eastAsia="Times New Roman" w:hAnsi="Times New Roman"/>
          <w:sz w:val="18"/>
          <w:szCs w:val="18"/>
          <w:color w:val="auto"/>
        </w:rPr>
        <w:t>. The Company, during the term of this Plan, will at all times reserve and keep available such number of Shares as will be sufficient to satisfy the requirements of the Plan.</w:t>
      </w:r>
    </w:p>
    <w:p>
      <w:pPr>
        <w:spacing w:after="0" w:line="269"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the Plan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2"/>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Multiple Administrative Bodies</w:t>
      </w:r>
      <w:r>
        <w:rPr>
          <w:rFonts w:ascii="Times New Roman" w:cs="Times New Roman" w:eastAsia="Times New Roman" w:hAnsi="Times New Roman"/>
          <w:sz w:val="18"/>
          <w:szCs w:val="18"/>
          <w:color w:val="auto"/>
        </w:rPr>
        <w:t>. Different Committees with respect to different groups of Service Providers may administer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w:t>
      </w:r>
    </w:p>
    <w:p>
      <w:pPr>
        <w:spacing w:after="0" w:line="206" w:lineRule="exact"/>
        <w:rPr>
          <w:rFonts w:ascii="Times New Roman" w:cs="Times New Roman" w:eastAsia="Times New Roman" w:hAnsi="Times New Roman"/>
          <w:sz w:val="18"/>
          <w:szCs w:val="18"/>
          <w:color w:val="auto"/>
        </w:rPr>
      </w:pPr>
    </w:p>
    <w:p>
      <w:pPr>
        <w:ind w:right="940" w:firstLine="1428"/>
        <w:spacing w:after="0" w:line="282" w:lineRule="auto"/>
        <w:tabs>
          <w:tab w:leader="none" w:pos="1832" w:val="left"/>
        </w:tabs>
        <w:numPr>
          <w:ilvl w:val="2"/>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To the extent desirable to qualify transactions hereunder as exempt under Rule 16b-3, the transactions contemplated hereunder will be structured to satisfy the requirements for exemption under Rule 16b-3.</w:t>
      </w:r>
    </w:p>
    <w:p>
      <w:pPr>
        <w:spacing w:after="0" w:line="161" w:lineRule="exact"/>
        <w:rPr>
          <w:rFonts w:ascii="Times New Roman" w:cs="Times New Roman" w:eastAsia="Times New Roman" w:hAnsi="Times New Roman"/>
          <w:sz w:val="18"/>
          <w:szCs w:val="18"/>
          <w:color w:val="auto"/>
        </w:rPr>
      </w:pPr>
    </w:p>
    <w:p>
      <w:pPr>
        <w:ind w:right="400" w:firstLine="1428"/>
        <w:spacing w:after="0" w:line="282" w:lineRule="auto"/>
        <w:tabs>
          <w:tab w:leader="none" w:pos="1882" w:val="left"/>
        </w:tabs>
        <w:numPr>
          <w:ilvl w:val="2"/>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Administration</w:t>
      </w:r>
      <w:r>
        <w:rPr>
          <w:rFonts w:ascii="Times New Roman" w:cs="Times New Roman" w:eastAsia="Times New Roman" w:hAnsi="Times New Roman"/>
          <w:sz w:val="18"/>
          <w:szCs w:val="18"/>
          <w:color w:val="auto"/>
        </w:rPr>
        <w:t>. Other than as provided above, the Plan will be administered by (A) the Board or (B) a Committee, which committee will be constituted to satisfy Applicable Laws.</w:t>
      </w:r>
    </w:p>
    <w:p>
      <w:pPr>
        <w:spacing w:after="0" w:line="161" w:lineRule="exact"/>
        <w:rPr>
          <w:rFonts w:ascii="Times New Roman" w:cs="Times New Roman" w:eastAsia="Times New Roman" w:hAnsi="Times New Roman"/>
          <w:sz w:val="18"/>
          <w:szCs w:val="18"/>
          <w:color w:val="auto"/>
        </w:rPr>
      </w:pPr>
    </w:p>
    <w:p>
      <w:pPr>
        <w:ind w:right="420" w:firstLine="987"/>
        <w:spacing w:after="0" w:line="282" w:lineRule="auto"/>
        <w:tabs>
          <w:tab w:leader="none" w:pos="1381"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the Administrator</w:t>
      </w:r>
      <w:r>
        <w:rPr>
          <w:rFonts w:ascii="Times New Roman" w:cs="Times New Roman" w:eastAsia="Times New Roman" w:hAnsi="Times New Roman"/>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161"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2"/>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Fair Market Value;</w:t>
      </w:r>
    </w:p>
    <w:p>
      <w:pPr>
        <w:spacing w:after="0" w:line="225" w:lineRule="exact"/>
        <w:rPr>
          <w:rFonts w:ascii="Times New Roman" w:cs="Times New Roman" w:eastAsia="Times New Roman" w:hAnsi="Times New Roman"/>
          <w:sz w:val="18"/>
          <w:szCs w:val="18"/>
          <w:color w:val="auto"/>
        </w:rPr>
      </w:pPr>
    </w:p>
    <w:p>
      <w:pPr>
        <w:ind w:left="1820" w:hanging="392"/>
        <w:spacing w:after="0"/>
        <w:tabs>
          <w:tab w:leader="none" w:pos="1820" w:val="left"/>
        </w:tabs>
        <w:numPr>
          <w:ilvl w:val="2"/>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Service Providers to whom Awards may be granted hereunder;</w:t>
      </w:r>
    </w:p>
    <w:p>
      <w:pPr>
        <w:spacing w:after="0" w:line="225" w:lineRule="exact"/>
        <w:rPr>
          <w:rFonts w:ascii="Times New Roman" w:cs="Times New Roman" w:eastAsia="Times New Roman" w:hAnsi="Times New Roman"/>
          <w:sz w:val="18"/>
          <w:szCs w:val="18"/>
          <w:color w:val="auto"/>
        </w:rPr>
      </w:pPr>
    </w:p>
    <w:p>
      <w:pPr>
        <w:ind w:left="1880" w:hanging="452"/>
        <w:spacing w:after="0"/>
        <w:tabs>
          <w:tab w:leader="none" w:pos="1880" w:val="left"/>
        </w:tabs>
        <w:numPr>
          <w:ilvl w:val="2"/>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to be covered by each Award granted hereunder;</w:t>
      </w:r>
    </w:p>
    <w:p>
      <w:pPr>
        <w:spacing w:after="0" w:line="225" w:lineRule="exact"/>
        <w:rPr>
          <w:rFonts w:ascii="Times New Roman" w:cs="Times New Roman" w:eastAsia="Times New Roman" w:hAnsi="Times New Roman"/>
          <w:sz w:val="18"/>
          <w:szCs w:val="18"/>
          <w:color w:val="auto"/>
        </w:rPr>
      </w:pPr>
    </w:p>
    <w:p>
      <w:pPr>
        <w:ind w:left="1860" w:hanging="432"/>
        <w:spacing w:after="0"/>
        <w:tabs>
          <w:tab w:leader="none" w:pos="1860" w:val="left"/>
        </w:tabs>
        <w:numPr>
          <w:ilvl w:val="2"/>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forms of Award Agreements for use under the Plan;</w:t>
      </w:r>
    </w:p>
    <w:p>
      <w:pPr>
        <w:spacing w:after="0" w:line="225" w:lineRule="exact"/>
        <w:rPr>
          <w:rFonts w:ascii="Times New Roman" w:cs="Times New Roman" w:eastAsia="Times New Roman" w:hAnsi="Times New Roman"/>
          <w:sz w:val="18"/>
          <w:szCs w:val="18"/>
          <w:color w:val="auto"/>
        </w:rPr>
      </w:pPr>
    </w:p>
    <w:p>
      <w:pPr>
        <w:jc w:val="both"/>
        <w:ind w:firstLine="1428"/>
        <w:spacing w:after="0" w:line="261" w:lineRule="auto"/>
        <w:tabs>
          <w:tab w:leader="none" w:pos="1822" w:val="left"/>
        </w:tabs>
        <w:numPr>
          <w:ilvl w:val="2"/>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79" w:lineRule="exact"/>
        <w:rPr>
          <w:rFonts w:ascii="Times New Roman" w:cs="Times New Roman" w:eastAsia="Times New Roman" w:hAnsi="Times New Roman"/>
          <w:sz w:val="18"/>
          <w:szCs w:val="18"/>
          <w:color w:val="auto"/>
        </w:rPr>
      </w:pPr>
    </w:p>
    <w:p>
      <w:pPr>
        <w:ind w:left="1860" w:hanging="432"/>
        <w:spacing w:after="0"/>
        <w:tabs>
          <w:tab w:leader="none" w:pos="1860" w:val="left"/>
        </w:tabs>
        <w:numPr>
          <w:ilvl w:val="2"/>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institute and determine the terms and conditions of an Exchange Program;</w:t>
      </w:r>
    </w:p>
    <w:p>
      <w:pPr>
        <w:spacing w:after="0" w:line="225" w:lineRule="exact"/>
        <w:rPr>
          <w:rFonts w:ascii="Times New Roman" w:cs="Times New Roman" w:eastAsia="Times New Roman" w:hAnsi="Times New Roman"/>
          <w:sz w:val="18"/>
          <w:szCs w:val="18"/>
          <w:color w:val="auto"/>
        </w:rPr>
      </w:pPr>
    </w:p>
    <w:p>
      <w:pPr>
        <w:ind w:left="1920" w:hanging="492"/>
        <w:spacing w:after="0"/>
        <w:tabs>
          <w:tab w:leader="none" w:pos="1920" w:val="left"/>
        </w:tabs>
        <w:numPr>
          <w:ilvl w:val="2"/>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the Plan and Awards granted pursuant to the Plan;</w:t>
      </w:r>
    </w:p>
    <w:p>
      <w:pPr>
        <w:spacing w:after="0" w:line="225" w:lineRule="exact"/>
        <w:rPr>
          <w:rFonts w:ascii="Times New Roman" w:cs="Times New Roman" w:eastAsia="Times New Roman" w:hAnsi="Times New Roman"/>
          <w:sz w:val="18"/>
          <w:szCs w:val="18"/>
          <w:color w:val="auto"/>
        </w:rPr>
      </w:pPr>
    </w:p>
    <w:p>
      <w:pPr>
        <w:ind w:right="240" w:firstLine="1428"/>
        <w:spacing w:after="0" w:line="282" w:lineRule="auto"/>
        <w:tabs>
          <w:tab w:leader="none" w:pos="1972" w:val="left"/>
        </w:tabs>
        <w:numPr>
          <w:ilvl w:val="2"/>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and adopt sub-plans relating to the Plan, including rules, regulations and sub-plans for the purposes of facilitating compliance</w:t>
      </w:r>
    </w:p>
    <w:p>
      <w:pPr>
        <w:spacing w:after="0" w:line="94"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3"/>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0980"/>
          </w:cols>
          <w:pgMar w:left="440" w:top="270" w:right="479" w:bottom="1440" w:gutter="0" w:footer="0" w:header="0"/>
        </w:sectPr>
      </w:pPr>
    </w:p>
    <w:bookmarkStart w:id="439" w:name="page440"/>
    <w:bookmarkEnd w:id="439"/>
    <w:p>
      <w:pPr>
        <w:ind w:left="4" w:right="4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 foreign laws, easing the administration of the Plan and/or taking advantage of tax-favorable treatment for Awards granted to Service Providers outside the U.S., in each case as the Administrator may deem necessary or advisable;</w:t>
      </w:r>
    </w:p>
    <w:p>
      <w:pPr>
        <w:spacing w:after="0" w:line="162" w:lineRule="exact"/>
        <w:rPr>
          <w:sz w:val="20"/>
          <w:szCs w:val="20"/>
          <w:color w:val="auto"/>
        </w:rPr>
      </w:pPr>
    </w:p>
    <w:p>
      <w:pPr>
        <w:ind w:left="4" w:right="60" w:firstLine="1428"/>
        <w:spacing w:after="0" w:line="266" w:lineRule="auto"/>
        <w:tabs>
          <w:tab w:leader="none" w:pos="1876" w:val="left"/>
        </w:tabs>
        <w:numPr>
          <w:ilvl w:val="3"/>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or amend each Award (subject to Section 19 of the Plan), including but not limited to the discretionary authority to extend the post-termination exercisability period of Awards and to extend the maximum term of an Option (subject to Section 6(b) of the Plan regarding Incentive Stock Options);</w:t>
      </w:r>
    </w:p>
    <w:p>
      <w:pPr>
        <w:spacing w:after="0" w:line="175" w:lineRule="exact"/>
        <w:rPr>
          <w:rFonts w:ascii="Times New Roman" w:cs="Times New Roman" w:eastAsia="Times New Roman" w:hAnsi="Times New Roman"/>
          <w:sz w:val="18"/>
          <w:szCs w:val="18"/>
          <w:color w:val="auto"/>
        </w:rPr>
      </w:pPr>
    </w:p>
    <w:p>
      <w:pPr>
        <w:ind w:left="1824" w:hanging="392"/>
        <w:spacing w:after="0"/>
        <w:tabs>
          <w:tab w:leader="none" w:pos="1824" w:val="left"/>
        </w:tabs>
        <w:numPr>
          <w:ilvl w:val="3"/>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Participants to satisfy tax withholding obligations in such manner as prescribed in Section 15 of the Plan;</w:t>
      </w:r>
    </w:p>
    <w:p>
      <w:pPr>
        <w:spacing w:after="0" w:line="225" w:lineRule="exact"/>
        <w:rPr>
          <w:rFonts w:ascii="Times New Roman" w:cs="Times New Roman" w:eastAsia="Times New Roman" w:hAnsi="Times New Roman"/>
          <w:sz w:val="18"/>
          <w:szCs w:val="18"/>
          <w:color w:val="auto"/>
        </w:rPr>
      </w:pPr>
    </w:p>
    <w:p>
      <w:pPr>
        <w:ind w:left="4" w:right="740" w:firstLine="1428"/>
        <w:spacing w:after="0" w:line="282" w:lineRule="auto"/>
        <w:tabs>
          <w:tab w:leader="none" w:pos="1876" w:val="left"/>
        </w:tabs>
        <w:numPr>
          <w:ilvl w:val="3"/>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effect the grant of an Award previously granted by the Administrator;</w:t>
      </w:r>
    </w:p>
    <w:p>
      <w:pPr>
        <w:spacing w:after="0" w:line="161" w:lineRule="exact"/>
        <w:rPr>
          <w:rFonts w:ascii="Times New Roman" w:cs="Times New Roman" w:eastAsia="Times New Roman" w:hAnsi="Times New Roman"/>
          <w:sz w:val="18"/>
          <w:szCs w:val="18"/>
          <w:color w:val="auto"/>
        </w:rPr>
      </w:pPr>
    </w:p>
    <w:p>
      <w:pPr>
        <w:ind w:left="4" w:right="20" w:firstLine="1428"/>
        <w:spacing w:after="0" w:line="282" w:lineRule="auto"/>
        <w:tabs>
          <w:tab w:leader="none" w:pos="1926" w:val="left"/>
        </w:tabs>
        <w:numPr>
          <w:ilvl w:val="3"/>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a Participant to defer the receipt of the payment of cash or the delivery of Shares that would otherwise be due to such Participant under an Award; and</w:t>
      </w:r>
    </w:p>
    <w:p>
      <w:pPr>
        <w:spacing w:after="0" w:line="161" w:lineRule="exact"/>
        <w:rPr>
          <w:rFonts w:ascii="Times New Roman" w:cs="Times New Roman" w:eastAsia="Times New Roman" w:hAnsi="Times New Roman"/>
          <w:sz w:val="18"/>
          <w:szCs w:val="18"/>
          <w:color w:val="auto"/>
        </w:rPr>
      </w:pPr>
    </w:p>
    <w:p>
      <w:pPr>
        <w:ind w:left="1964" w:hanging="532"/>
        <w:spacing w:after="0"/>
        <w:tabs>
          <w:tab w:leader="none" w:pos="1964" w:val="left"/>
        </w:tabs>
        <w:numPr>
          <w:ilvl w:val="3"/>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all other determinations deemed necessary or advisable for administering the Plan.</w:t>
      </w:r>
    </w:p>
    <w:p>
      <w:pPr>
        <w:spacing w:after="0" w:line="225" w:lineRule="exact"/>
        <w:rPr>
          <w:rFonts w:ascii="Times New Roman" w:cs="Times New Roman" w:eastAsia="Times New Roman" w:hAnsi="Times New Roman"/>
          <w:sz w:val="18"/>
          <w:szCs w:val="18"/>
          <w:color w:val="auto"/>
        </w:rPr>
      </w:pPr>
    </w:p>
    <w:p>
      <w:pPr>
        <w:ind w:left="4" w:right="60" w:firstLine="987"/>
        <w:spacing w:after="0" w:line="282" w:lineRule="auto"/>
        <w:tabs>
          <w:tab w:leader="none" w:pos="1375" w:val="left"/>
        </w:tabs>
        <w:numPr>
          <w:ilvl w:val="2"/>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Administrator’s Decision</w:t>
      </w:r>
      <w:r>
        <w:rPr>
          <w:rFonts w:ascii="Times New Roman" w:cs="Times New Roman" w:eastAsia="Times New Roman" w:hAnsi="Times New Roman"/>
          <w:sz w:val="18"/>
          <w:szCs w:val="18"/>
          <w:color w:val="auto"/>
        </w:rPr>
        <w:t>. The Administrator’s decisions, determinations and interpretations will be final and binding on all Participants and any other holders of Awards and will be given the maximum deference permitted by Applicable Laws.</w:t>
      </w:r>
    </w:p>
    <w:p>
      <w:pPr>
        <w:spacing w:after="0" w:line="269" w:lineRule="exact"/>
        <w:rPr>
          <w:rFonts w:ascii="Times New Roman" w:cs="Times New Roman" w:eastAsia="Times New Roman" w:hAnsi="Times New Roman"/>
          <w:sz w:val="18"/>
          <w:szCs w:val="18"/>
          <w:color w:val="auto"/>
        </w:rPr>
      </w:pPr>
    </w:p>
    <w:p>
      <w:pPr>
        <w:ind w:left="4" w:right="600" w:firstLine="436"/>
        <w:spacing w:after="0" w:line="282" w:lineRule="auto"/>
        <w:tabs>
          <w:tab w:leader="none" w:pos="759"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Nonstatutory Stock Options, Stock Appreciation Rights, Restricted Stock, Restricted Stock Units, Performance Shares and Performance Units may be granted to Service Providers. Incentive Stock Options may be granted only to Employees.</w:t>
      </w:r>
    </w:p>
    <w:p>
      <w:pPr>
        <w:spacing w:after="0" w:line="269" w:lineRule="exact"/>
        <w:rPr>
          <w:rFonts w:ascii="Times New Roman" w:cs="Times New Roman" w:eastAsia="Times New Roman" w:hAnsi="Times New Roman"/>
          <w:sz w:val="18"/>
          <w:szCs w:val="18"/>
          <w:color w:val="auto"/>
        </w:rPr>
      </w:pPr>
    </w:p>
    <w:p>
      <w:pPr>
        <w:ind w:left="764" w:hanging="324"/>
        <w:spacing w:after="0"/>
        <w:tabs>
          <w:tab w:leader="none" w:pos="764" w:val="left"/>
        </w:tabs>
        <w:numPr>
          <w:ilvl w:val="1"/>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300" w:firstLine="987"/>
        <w:spacing w:after="0" w:line="256" w:lineRule="auto"/>
        <w:tabs>
          <w:tab w:leader="none" w:pos="1375" w:val="left"/>
        </w:tabs>
        <w:numPr>
          <w:ilvl w:val="2"/>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w:t>
      </w:r>
    </w:p>
    <w:p>
      <w:pPr>
        <w:spacing w:after="0" w:line="187" w:lineRule="exact"/>
        <w:rPr>
          <w:rFonts w:ascii="Times New Roman" w:cs="Times New Roman" w:eastAsia="Times New Roman" w:hAnsi="Times New Roman"/>
          <w:sz w:val="18"/>
          <w:szCs w:val="18"/>
          <w:color w:val="auto"/>
        </w:rPr>
      </w:pPr>
    </w:p>
    <w:p>
      <w:pPr>
        <w:ind w:left="4" w:firstLine="987"/>
        <w:spacing w:after="0" w:line="255" w:lineRule="auto"/>
        <w:tabs>
          <w:tab w:leader="none" w:pos="1385" w:val="left"/>
        </w:tabs>
        <w:numPr>
          <w:ilvl w:val="2"/>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Option</w:t>
      </w:r>
      <w:r>
        <w:rPr>
          <w:rFonts w:ascii="Times New Roman" w:cs="Times New Roman" w:eastAsia="Times New Roman" w:hAnsi="Times New Roman"/>
          <w:sz w:val="18"/>
          <w:szCs w:val="18"/>
          <w:color w:val="auto"/>
        </w:rPr>
        <w:t>. The term of each Option will be stated in the Award Agreement. In the case of an Incentive Stock Option, the term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w:t>
      </w:r>
    </w:p>
    <w:p>
      <w:pPr>
        <w:spacing w:after="0" w:line="2"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from the date of grant or such shorter term as may be provided in the Award Agreement.</w:t>
      </w:r>
    </w:p>
    <w:p>
      <w:pPr>
        <w:spacing w:after="0" w:line="139"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4"/>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1004"/>
          </w:cols>
          <w:pgMar w:left="436" w:top="270" w:right="459" w:bottom="1440" w:gutter="0" w:footer="0" w:header="0"/>
        </w:sectPr>
      </w:pPr>
    </w:p>
    <w:bookmarkStart w:id="440" w:name="page441"/>
    <w:bookmarkEnd w:id="440"/>
    <w:p>
      <w:pPr>
        <w:ind w:left="373" w:hanging="373"/>
        <w:spacing w:after="0"/>
        <w:tabs>
          <w:tab w:leader="none" w:pos="373"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 Exercise Price and Consideration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7" w:right="40" w:firstLine="1428"/>
        <w:spacing w:after="0" w:line="282" w:lineRule="auto"/>
        <w:tabs>
          <w:tab w:leader="none" w:pos="794"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per share exercise price for the Shares to be issued pursuant to exercise of an Option will be determined by the Administrator, subject to the following:</w:t>
      </w:r>
    </w:p>
    <w:p>
      <w:pPr>
        <w:spacing w:after="0" w:line="161" w:lineRule="exact"/>
        <w:rPr>
          <w:rFonts w:ascii="Times New Roman" w:cs="Times New Roman" w:eastAsia="Times New Roman" w:hAnsi="Times New Roman"/>
          <w:sz w:val="18"/>
          <w:szCs w:val="18"/>
          <w:color w:val="auto"/>
        </w:rPr>
      </w:pPr>
    </w:p>
    <w:p>
      <w:pPr>
        <w:ind w:left="1373" w:hanging="381"/>
        <w:spacing w:after="0"/>
        <w:tabs>
          <w:tab w:leader="none" w:pos="1373" w:val="left"/>
        </w:tabs>
        <w:numPr>
          <w:ilvl w:val="2"/>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Incentive Stock Option</w:t>
      </w:r>
    </w:p>
    <w:p>
      <w:pPr>
        <w:spacing w:after="0" w:line="225" w:lineRule="exact"/>
        <w:rPr>
          <w:rFonts w:ascii="Times New Roman" w:cs="Times New Roman" w:eastAsia="Times New Roman" w:hAnsi="Times New Roman"/>
          <w:sz w:val="18"/>
          <w:szCs w:val="18"/>
          <w:color w:val="auto"/>
        </w:rPr>
      </w:pPr>
    </w:p>
    <w:p>
      <w:pPr>
        <w:jc w:val="both"/>
        <w:ind w:left="-987" w:right="220" w:firstLine="2419"/>
        <w:spacing w:after="0" w:line="266" w:lineRule="auto"/>
        <w:tabs>
          <w:tab w:leader="none" w:pos="1866" w:val="left"/>
        </w:tabs>
        <w:numPr>
          <w:ilvl w:val="3"/>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w:t>
      </w:r>
    </w:p>
    <w:p>
      <w:pPr>
        <w:spacing w:after="0" w:line="175" w:lineRule="exact"/>
        <w:rPr>
          <w:rFonts w:ascii="Times New Roman" w:cs="Times New Roman" w:eastAsia="Times New Roman" w:hAnsi="Times New Roman"/>
          <w:sz w:val="18"/>
          <w:szCs w:val="18"/>
          <w:color w:val="auto"/>
        </w:rPr>
      </w:pPr>
    </w:p>
    <w:p>
      <w:pPr>
        <w:ind w:left="-987" w:right="120" w:firstLine="2419"/>
        <w:spacing w:after="0" w:line="282" w:lineRule="auto"/>
        <w:tabs>
          <w:tab w:leader="none" w:pos="1856" w:val="left"/>
        </w:tabs>
        <w:numPr>
          <w:ilvl w:val="3"/>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any Employee other than an Employee described in paragraph (A) immediately above, the per Share exercise price will be no less than one hundred percent (100%) of the Fair Market Value per Share on the date of grant.</w:t>
      </w:r>
    </w:p>
    <w:p>
      <w:pPr>
        <w:spacing w:after="0" w:line="161" w:lineRule="exact"/>
        <w:rPr>
          <w:rFonts w:ascii="Times New Roman" w:cs="Times New Roman" w:eastAsia="Times New Roman" w:hAnsi="Times New Roman"/>
          <w:sz w:val="18"/>
          <w:szCs w:val="18"/>
          <w:color w:val="auto"/>
        </w:rPr>
      </w:pPr>
    </w:p>
    <w:p>
      <w:pPr>
        <w:ind w:left="-987" w:right="500" w:firstLine="1979"/>
        <w:spacing w:after="0" w:line="282" w:lineRule="auto"/>
        <w:tabs>
          <w:tab w:leader="none" w:pos="1385" w:val="left"/>
        </w:tabs>
        <w:numPr>
          <w:ilvl w:val="2"/>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Nonstatutory Stock Option, the per Share exercise price will be no less than one hundred percent (100%) of the Fair Market Value per Share on the date of grant.</w:t>
      </w:r>
    </w:p>
    <w:p>
      <w:pPr>
        <w:spacing w:after="0" w:line="161" w:lineRule="exact"/>
        <w:rPr>
          <w:rFonts w:ascii="Times New Roman" w:cs="Times New Roman" w:eastAsia="Times New Roman" w:hAnsi="Times New Roman"/>
          <w:sz w:val="18"/>
          <w:szCs w:val="18"/>
          <w:color w:val="auto"/>
        </w:rPr>
      </w:pPr>
    </w:p>
    <w:p>
      <w:pPr>
        <w:ind w:left="-987" w:right="500" w:firstLine="1979"/>
        <w:spacing w:after="0" w:line="266" w:lineRule="auto"/>
        <w:tabs>
          <w:tab w:leader="none" w:pos="1385" w:val="left"/>
        </w:tabs>
        <w:numPr>
          <w:ilvl w:val="2"/>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Options may be granted with a per Share exercise price of less than one hundred percent (100%) of the Fair Market Value per Share on the date of grant pursuant to a transaction described in, and in a manner consistent with, Section 424(a) of the Code.</w:t>
      </w:r>
    </w:p>
    <w:p>
      <w:pPr>
        <w:spacing w:after="0" w:line="175" w:lineRule="exact"/>
        <w:rPr>
          <w:rFonts w:ascii="Times New Roman" w:cs="Times New Roman" w:eastAsia="Times New Roman" w:hAnsi="Times New Roman"/>
          <w:sz w:val="18"/>
          <w:szCs w:val="18"/>
          <w:color w:val="auto"/>
        </w:rPr>
      </w:pPr>
    </w:p>
    <w:p>
      <w:pPr>
        <w:ind w:left="-987" w:right="260" w:firstLine="1428"/>
        <w:spacing w:after="0" w:line="282" w:lineRule="auto"/>
        <w:tabs>
          <w:tab w:leader="none" w:pos="844"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Waiting Period and Exercise Dates</w:t>
      </w:r>
      <w:r>
        <w:rPr>
          <w:rFonts w:ascii="Times New Roman" w:cs="Times New Roman" w:eastAsia="Times New Roman" w:hAnsi="Times New Roman"/>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161" w:lineRule="exact"/>
        <w:rPr>
          <w:rFonts w:ascii="Times New Roman" w:cs="Times New Roman" w:eastAsia="Times New Roman" w:hAnsi="Times New Roman"/>
          <w:sz w:val="18"/>
          <w:szCs w:val="18"/>
          <w:color w:val="auto"/>
        </w:rPr>
      </w:pPr>
    </w:p>
    <w:p>
      <w:pPr>
        <w:ind w:left="-987" w:firstLine="1428"/>
        <w:spacing w:after="0" w:line="272" w:lineRule="auto"/>
        <w:tabs>
          <w:tab w:leader="none" w:pos="894" w:val="left"/>
        </w:tabs>
        <w:numPr>
          <w:ilvl w:val="1"/>
          <w:numId w:val="3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Form of Consideration</w:t>
      </w:r>
      <w:r>
        <w:rPr>
          <w:rFonts w:ascii="Times New Roman" w:cs="Times New Roman" w:eastAsia="Times New Roman" w:hAnsi="Times New Roman"/>
          <w:sz w:val="17"/>
          <w:szCs w:val="17"/>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(1) cash; (2) check; (3)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w:t>
      </w:r>
    </w:p>
    <w:p>
      <w:pPr>
        <w:spacing w:after="0" w:line="171" w:lineRule="exact"/>
        <w:rPr>
          <w:rFonts w:ascii="Times New Roman" w:cs="Times New Roman" w:eastAsia="Times New Roman" w:hAnsi="Times New Roman"/>
          <w:sz w:val="17"/>
          <w:szCs w:val="17"/>
          <w:color w:val="auto"/>
        </w:rPr>
      </w:pPr>
    </w:p>
    <w:p>
      <w:pPr>
        <w:ind w:left="393" w:hanging="393"/>
        <w:spacing w:after="0"/>
        <w:tabs>
          <w:tab w:leader="none" w:pos="393"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7" w:right="120" w:firstLine="1428"/>
        <w:spacing w:after="0" w:line="266" w:lineRule="auto"/>
        <w:tabs>
          <w:tab w:leader="none" w:pos="794"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 for Exercise; Rights as a Stockholder</w:t>
      </w:r>
      <w:r>
        <w:rPr>
          <w:rFonts w:ascii="Times New Roman" w:cs="Times New Roman" w:eastAsia="Times New Roman" w:hAnsi="Times New Roman"/>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08" w:lineRule="exact"/>
        <w:rPr>
          <w:rFonts w:ascii="Times New Roman" w:cs="Times New Roman" w:eastAsia="Times New Roman" w:hAnsi="Times New Roman"/>
          <w:sz w:val="18"/>
          <w:szCs w:val="18"/>
          <w:color w:val="auto"/>
        </w:rPr>
      </w:pPr>
    </w:p>
    <w:p>
      <w:pPr>
        <w:ind w:left="4473" w:hanging="106"/>
        <w:spacing w:after="0"/>
        <w:tabs>
          <w:tab w:leader="none" w:pos="4473" w:val="left"/>
        </w:tabs>
        <w:numPr>
          <w:ilvl w:val="4"/>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ectPr>
          <w:pgSz w:w="11900" w:h="16838" w:orient="portrait"/>
          <w:cols w:equalWidth="0" w:num="1">
            <w:col w:w="9973"/>
          </w:cols>
          <w:pgMar w:left="1427" w:top="270" w:right="499" w:bottom="1440" w:gutter="0" w:footer="0" w:header="0"/>
        </w:sectPr>
      </w:pPr>
    </w:p>
    <w:bookmarkStart w:id="441" w:name="page442"/>
    <w:bookmarkEnd w:id="441"/>
    <w:p>
      <w:pPr>
        <w:ind w:right="20" w:firstLine="1983"/>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 Option will be deemed exercised when the Company receives: (i) a notice of exercise (in such form as the Administrator may specify from time to time) from the person entitled to exercise the Option, and (ii) full payment for the Shares with respect to which the Option is exercised (together with applicable tax withholdings).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14 of the Plan.</w:t>
      </w:r>
    </w:p>
    <w:p>
      <w:pPr>
        <w:spacing w:after="0" w:line="188" w:lineRule="exact"/>
        <w:rPr>
          <w:sz w:val="20"/>
          <w:szCs w:val="20"/>
          <w:color w:val="auto"/>
        </w:rPr>
      </w:pPr>
    </w:p>
    <w:p>
      <w:pPr>
        <w:ind w:right="240" w:firstLine="1432"/>
        <w:spacing w:after="0" w:line="282" w:lineRule="auto"/>
        <w:rPr>
          <w:sz w:val="20"/>
          <w:szCs w:val="20"/>
          <w:color w:val="auto"/>
        </w:rPr>
      </w:pPr>
      <w:r>
        <w:rPr>
          <w:rFonts w:ascii="Times New Roman" w:cs="Times New Roman" w:eastAsia="Times New Roman" w:hAnsi="Times New Roman"/>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162" w:lineRule="exact"/>
        <w:rPr>
          <w:sz w:val="20"/>
          <w:szCs w:val="20"/>
          <w:color w:val="auto"/>
        </w:rPr>
      </w:pPr>
    </w:p>
    <w:p>
      <w:pPr>
        <w:ind w:right="20" w:firstLine="1428"/>
        <w:spacing w:after="0" w:line="254" w:lineRule="auto"/>
        <w:tabs>
          <w:tab w:leader="none" w:pos="1832"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Relationship as a Service Provider</w:t>
      </w:r>
      <w:r>
        <w:rPr>
          <w:rFonts w:ascii="Times New Roman" w:cs="Times New Roman" w:eastAsia="Times New Roman" w:hAnsi="Times New Roman"/>
          <w:sz w:val="18"/>
          <w:szCs w:val="18"/>
          <w:color w:val="auto"/>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91" w:lineRule="exact"/>
        <w:rPr>
          <w:rFonts w:ascii="Times New Roman" w:cs="Times New Roman" w:eastAsia="Times New Roman" w:hAnsi="Times New Roman"/>
          <w:sz w:val="18"/>
          <w:szCs w:val="18"/>
          <w:color w:val="auto"/>
        </w:rPr>
      </w:pPr>
    </w:p>
    <w:p>
      <w:pPr>
        <w:ind w:firstLine="1428"/>
        <w:spacing w:after="0" w:line="255" w:lineRule="auto"/>
        <w:tabs>
          <w:tab w:leader="none" w:pos="1882"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 of Participant</w:t>
      </w:r>
      <w:r>
        <w:rPr>
          <w:rFonts w:ascii="Times New Roman" w:cs="Times New Roman" w:eastAsia="Times New Roman" w:hAnsi="Times New Roman"/>
          <w:sz w:val="18"/>
          <w:szCs w:val="18"/>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88" w:lineRule="exact"/>
        <w:rPr>
          <w:rFonts w:ascii="Times New Roman" w:cs="Times New Roman" w:eastAsia="Times New Roman" w:hAnsi="Times New Roman"/>
          <w:sz w:val="18"/>
          <w:szCs w:val="18"/>
          <w:color w:val="auto"/>
        </w:rPr>
      </w:pPr>
    </w:p>
    <w:p>
      <w:pPr>
        <w:ind w:right="80" w:firstLine="1428"/>
        <w:spacing w:after="0" w:line="266" w:lineRule="auto"/>
        <w:tabs>
          <w:tab w:leader="none" w:pos="1872"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Participant</w:t>
      </w:r>
      <w:r>
        <w:rPr>
          <w:rFonts w:ascii="Times New Roman" w:cs="Times New Roman" w:eastAsia="Times New Roman" w:hAnsi="Times New Roman"/>
          <w:sz w:val="18"/>
          <w:szCs w:val="18"/>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w:t>
      </w:r>
    </w:p>
    <w:p>
      <w:pPr>
        <w:spacing w:after="0" w:line="108"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ectPr>
          <w:pgSz w:w="11900" w:h="16838" w:orient="portrait"/>
          <w:cols w:equalWidth="0" w:num="1">
            <w:col w:w="11000"/>
          </w:cols>
          <w:pgMar w:left="440" w:top="270" w:right="459" w:bottom="1440" w:gutter="0" w:footer="0" w:header="0"/>
        </w:sectPr>
      </w:pPr>
    </w:p>
    <w:bookmarkStart w:id="442" w:name="page443"/>
    <w:bookmarkEnd w:id="442"/>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 be exercised later than the expiration of the term of such Option as set forth in the Award Agreement), by the Participant’s designated beneficiary, provided the Administrator has permitted the designation of a beneficiary and provided such beneficiary has been designated prior to Participant’s death in a form acceptable to the Administrator. If the Administrator has not permitted the designation of a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88" w:lineRule="exact"/>
        <w:rPr>
          <w:sz w:val="20"/>
          <w:szCs w:val="20"/>
          <w:color w:val="auto"/>
        </w:rPr>
      </w:pPr>
    </w:p>
    <w:p>
      <w:pPr>
        <w:ind w:left="1820" w:hanging="392"/>
        <w:spacing w:after="0"/>
        <w:tabs>
          <w:tab w:leader="none" w:pos="1820" w:val="left"/>
        </w:tabs>
        <w:numPr>
          <w:ilvl w:val="2"/>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Tolling Expiration</w:t>
      </w:r>
      <w:r>
        <w:rPr>
          <w:rFonts w:ascii="Times New Roman" w:cs="Times New Roman" w:eastAsia="Times New Roman" w:hAnsi="Times New Roman"/>
          <w:sz w:val="18"/>
          <w:szCs w:val="18"/>
          <w:color w:val="auto"/>
        </w:rPr>
        <w:t>. A Participant’s Award Agreement may also provide that:</w:t>
      </w:r>
    </w:p>
    <w:p>
      <w:pPr>
        <w:spacing w:after="0" w:line="225" w:lineRule="exact"/>
        <w:rPr>
          <w:rFonts w:ascii="Times New Roman" w:cs="Times New Roman" w:eastAsia="Times New Roman" w:hAnsi="Times New Roman"/>
          <w:sz w:val="18"/>
          <w:szCs w:val="18"/>
          <w:color w:val="auto"/>
        </w:rPr>
      </w:pPr>
    </w:p>
    <w:p>
      <w:pPr>
        <w:ind w:right="80" w:firstLine="1979"/>
        <w:spacing w:after="0" w:line="261" w:lineRule="auto"/>
        <w:tabs>
          <w:tab w:leader="none" w:pos="2373" w:val="left"/>
        </w:tabs>
        <w:numPr>
          <w:ilvl w:val="3"/>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of the Option following the termination of Participant’s status as a Service Provider (other than upon the Participant’s death or Disability) would result in liability under Section 16(b), then the Option will terminate on the earlier of (A) the expiration of the term of the Option set forth in the Award Agreement, or (B) the tenth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after the last date on which such exercise would result in liability under Section 16(b); or</w:t>
      </w:r>
    </w:p>
    <w:p>
      <w:pPr>
        <w:spacing w:after="0" w:line="179" w:lineRule="exact"/>
        <w:rPr>
          <w:rFonts w:ascii="Times New Roman" w:cs="Times New Roman" w:eastAsia="Times New Roman" w:hAnsi="Times New Roman"/>
          <w:sz w:val="18"/>
          <w:szCs w:val="18"/>
          <w:color w:val="auto"/>
        </w:rPr>
      </w:pPr>
    </w:p>
    <w:p>
      <w:pPr>
        <w:ind w:right="80" w:firstLine="1979"/>
        <w:spacing w:after="0" w:line="258" w:lineRule="auto"/>
        <w:tabs>
          <w:tab w:leader="none" w:pos="2373" w:val="left"/>
        </w:tabs>
        <w:numPr>
          <w:ilvl w:val="3"/>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exercise of the Option following the termination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(A) the expiration of the term of the Option or (B) the expiration of a period of thirty (30)-day period after the termination of the Participant’s status as a Service Provider during which the exercise of the Option would not be in violation of such registration requirements.</w:t>
      </w:r>
    </w:p>
    <w:p>
      <w:pPr>
        <w:spacing w:after="0" w:line="291"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100" w:firstLine="987"/>
        <w:spacing w:after="0" w:line="282" w:lineRule="auto"/>
        <w:tabs>
          <w:tab w:leader="none" w:pos="1371"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Restricted Stock</w:t>
      </w:r>
      <w:r>
        <w:rPr>
          <w:rFonts w:ascii="Times New Roman" w:cs="Times New Roman" w:eastAsia="Times New Roman" w:hAnsi="Times New Roman"/>
          <w:sz w:val="18"/>
          <w:szCs w:val="18"/>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61" w:lineRule="exact"/>
        <w:rPr>
          <w:rFonts w:ascii="Times New Roman" w:cs="Times New Roman" w:eastAsia="Times New Roman" w:hAnsi="Times New Roman"/>
          <w:sz w:val="18"/>
          <w:szCs w:val="18"/>
          <w:color w:val="auto"/>
        </w:rPr>
      </w:pPr>
    </w:p>
    <w:p>
      <w:pPr>
        <w:jc w:val="both"/>
        <w:ind w:firstLine="987"/>
        <w:spacing w:after="0" w:line="289" w:lineRule="auto"/>
        <w:tabs>
          <w:tab w:leader="none" w:pos="1381" w:val="left"/>
        </w:tabs>
        <w:numPr>
          <w:ilvl w:val="1"/>
          <w:numId w:val="3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Restricted Stock Agreement</w:t>
      </w:r>
      <w:r>
        <w:rPr>
          <w:rFonts w:ascii="Times New Roman" w:cs="Times New Roman" w:eastAsia="Times New Roman" w:hAnsi="Times New Roman"/>
          <w:sz w:val="17"/>
          <w:szCs w:val="17"/>
          <w:color w:val="auto"/>
        </w:rPr>
        <w:t>.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w:t>
      </w:r>
    </w:p>
    <w:p>
      <w:pPr>
        <w:spacing w:after="0" w:line="157" w:lineRule="exact"/>
        <w:rPr>
          <w:rFonts w:ascii="Times New Roman" w:cs="Times New Roman" w:eastAsia="Times New Roman" w:hAnsi="Times New Roman"/>
          <w:sz w:val="17"/>
          <w:szCs w:val="17"/>
          <w:color w:val="auto"/>
        </w:rPr>
      </w:pPr>
    </w:p>
    <w:p>
      <w:pPr>
        <w:ind w:right="840" w:firstLine="987"/>
        <w:spacing w:after="0" w:line="282" w:lineRule="auto"/>
        <w:tabs>
          <w:tab w:leader="none" w:pos="1371"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this Section 7 or the Award Agreement, Shares of Restricted Stock may not be sold, transferred, pledged, assigned, or otherwise alienated or hypothecated until the end of the applicable Period of Restriction.</w:t>
      </w:r>
    </w:p>
    <w:p>
      <w:pPr>
        <w:spacing w:after="0" w:line="161" w:lineRule="exact"/>
        <w:rPr>
          <w:rFonts w:ascii="Times New Roman" w:cs="Times New Roman" w:eastAsia="Times New Roman" w:hAnsi="Times New Roman"/>
          <w:sz w:val="18"/>
          <w:szCs w:val="18"/>
          <w:color w:val="auto"/>
        </w:rPr>
      </w:pPr>
    </w:p>
    <w:p>
      <w:pPr>
        <w:ind w:right="240" w:firstLine="987"/>
        <w:spacing w:after="0" w:line="282" w:lineRule="auto"/>
        <w:tabs>
          <w:tab w:leader="none" w:pos="1381"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Restrictions</w:t>
      </w:r>
      <w:r>
        <w:rPr>
          <w:rFonts w:ascii="Times New Roman" w:cs="Times New Roman" w:eastAsia="Times New Roman" w:hAnsi="Times New Roman"/>
          <w:sz w:val="18"/>
          <w:szCs w:val="18"/>
          <w:color w:val="auto"/>
        </w:rPr>
        <w:t>. The Administrator, in its sole discretion, may impose such other restrictions on Shares of Restricted Stock as it may deem advisable or appropriate.</w:t>
      </w:r>
    </w:p>
    <w:p>
      <w:pPr>
        <w:spacing w:after="0" w:line="94" w:lineRule="exact"/>
        <w:rPr>
          <w:rFonts w:ascii="Times New Roman" w:cs="Times New Roman" w:eastAsia="Times New Roman" w:hAnsi="Times New Roman"/>
          <w:sz w:val="18"/>
          <w:szCs w:val="18"/>
          <w:color w:val="auto"/>
        </w:rPr>
      </w:pPr>
    </w:p>
    <w:p>
      <w:pPr>
        <w:ind w:left="5420" w:hanging="108"/>
        <w:spacing w:after="0"/>
        <w:tabs>
          <w:tab w:leader="none" w:pos="5420" w:val="left"/>
        </w:tabs>
        <w:numPr>
          <w:ilvl w:val="4"/>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ectPr>
          <w:pgSz w:w="11900" w:h="16838" w:orient="portrait"/>
          <w:cols w:equalWidth="0" w:num="1">
            <w:col w:w="11000"/>
          </w:cols>
          <w:pgMar w:left="440" w:top="270" w:right="459" w:bottom="1440" w:gutter="0" w:footer="0" w:header="0"/>
        </w:sectPr>
      </w:pPr>
    </w:p>
    <w:bookmarkStart w:id="443" w:name="page444"/>
    <w:bookmarkEnd w:id="443"/>
    <w:p>
      <w:pPr>
        <w:ind w:right="20" w:firstLine="987"/>
        <w:spacing w:after="0" w:line="266" w:lineRule="auto"/>
        <w:tabs>
          <w:tab w:leader="none" w:pos="1371"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Removal of Restrictions</w:t>
      </w:r>
      <w:r>
        <w:rPr>
          <w:rFonts w:ascii="Times New Roman" w:cs="Times New Roman" w:eastAsia="Times New Roman" w:hAnsi="Times New Roman"/>
          <w:sz w:val="18"/>
          <w:szCs w:val="18"/>
          <w:color w:val="auto"/>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75" w:lineRule="exact"/>
        <w:rPr>
          <w:rFonts w:ascii="Times New Roman" w:cs="Times New Roman" w:eastAsia="Times New Roman" w:hAnsi="Times New Roman"/>
          <w:sz w:val="18"/>
          <w:szCs w:val="18"/>
          <w:color w:val="auto"/>
        </w:rPr>
      </w:pPr>
    </w:p>
    <w:p>
      <w:pPr>
        <w:ind w:firstLine="987"/>
        <w:spacing w:after="0" w:line="282" w:lineRule="auto"/>
        <w:tabs>
          <w:tab w:leader="none" w:pos="1351"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161" w:lineRule="exact"/>
        <w:rPr>
          <w:rFonts w:ascii="Times New Roman" w:cs="Times New Roman" w:eastAsia="Times New Roman" w:hAnsi="Times New Roman"/>
          <w:sz w:val="18"/>
          <w:szCs w:val="18"/>
          <w:color w:val="auto"/>
        </w:rPr>
      </w:pPr>
    </w:p>
    <w:p>
      <w:pPr>
        <w:ind w:right="280" w:firstLine="987"/>
        <w:spacing w:after="0" w:line="261" w:lineRule="auto"/>
        <w:tabs>
          <w:tab w:leader="none" w:pos="1381"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Other Distributions</w:t>
      </w:r>
      <w:r>
        <w:rPr>
          <w:rFonts w:ascii="Times New Roman" w:cs="Times New Roman" w:eastAsia="Times New Roman" w:hAnsi="Times New Roman"/>
          <w:sz w:val="18"/>
          <w:szCs w:val="18"/>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79" w:lineRule="exact"/>
        <w:rPr>
          <w:rFonts w:ascii="Times New Roman" w:cs="Times New Roman" w:eastAsia="Times New Roman" w:hAnsi="Times New Roman"/>
          <w:sz w:val="18"/>
          <w:szCs w:val="18"/>
          <w:color w:val="auto"/>
        </w:rPr>
      </w:pPr>
    </w:p>
    <w:p>
      <w:pPr>
        <w:ind w:right="280" w:firstLine="987"/>
        <w:spacing w:after="0" w:line="282" w:lineRule="auto"/>
        <w:tabs>
          <w:tab w:leader="none" w:pos="1381"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Restricted Stock to Company</w:t>
      </w:r>
      <w:r>
        <w:rPr>
          <w:rFonts w:ascii="Times New Roman" w:cs="Times New Roman" w:eastAsia="Times New Roman" w:hAnsi="Times New Roman"/>
          <w:sz w:val="18"/>
          <w:szCs w:val="18"/>
          <w:color w:val="auto"/>
        </w:rPr>
        <w:t>. On the date set forth in the Award Agreement, the Restricted Stock for which restrictions have not lapsed will revert to the Company and again will become available for grant under the Plan.</w:t>
      </w:r>
    </w:p>
    <w:p>
      <w:pPr>
        <w:spacing w:after="0" w:line="269"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400" w:firstLine="987"/>
        <w:spacing w:after="0" w:line="266" w:lineRule="auto"/>
        <w:tabs>
          <w:tab w:leader="none" w:pos="1371"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175" w:lineRule="exact"/>
        <w:rPr>
          <w:rFonts w:ascii="Times New Roman" w:cs="Times New Roman" w:eastAsia="Times New Roman" w:hAnsi="Times New Roman"/>
          <w:sz w:val="18"/>
          <w:szCs w:val="18"/>
          <w:color w:val="auto"/>
        </w:rPr>
      </w:pPr>
    </w:p>
    <w:p>
      <w:pPr>
        <w:ind w:right="320" w:firstLine="987"/>
        <w:spacing w:after="0" w:line="261" w:lineRule="auto"/>
        <w:tabs>
          <w:tab w:leader="none" w:pos="1381"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Criteria and Other Terms</w:t>
      </w:r>
      <w:r>
        <w:rPr>
          <w:rFonts w:ascii="Times New Roman" w:cs="Times New Roman" w:eastAsia="Times New Roman" w:hAnsi="Times New Roman"/>
          <w:sz w:val="18"/>
          <w:szCs w:val="18"/>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79" w:lineRule="exact"/>
        <w:rPr>
          <w:rFonts w:ascii="Times New Roman" w:cs="Times New Roman" w:eastAsia="Times New Roman" w:hAnsi="Times New Roman"/>
          <w:sz w:val="18"/>
          <w:szCs w:val="18"/>
          <w:color w:val="auto"/>
        </w:rPr>
      </w:pPr>
    </w:p>
    <w:p>
      <w:pPr>
        <w:ind w:right="260" w:firstLine="987"/>
        <w:spacing w:after="0" w:line="266" w:lineRule="auto"/>
        <w:tabs>
          <w:tab w:leader="none" w:pos="1371"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 Restricted Stock Units</w:t>
      </w:r>
      <w:r>
        <w:rPr>
          <w:rFonts w:ascii="Times New Roman" w:cs="Times New Roman" w:eastAsia="Times New Roman" w:hAnsi="Times New Roman"/>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7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1"/>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and Timing of Payment</w:t>
      </w:r>
      <w:r>
        <w:rPr>
          <w:rFonts w:ascii="Times New Roman" w:cs="Times New Roman" w:eastAsia="Times New Roman" w:hAnsi="Times New Roman"/>
          <w:sz w:val="18"/>
          <w:szCs w:val="18"/>
          <w:color w:val="auto"/>
        </w:rPr>
        <w:t>. Payment of earned Restricted Stock Units will be made as soon as practicable after the</w:t>
      </w:r>
    </w:p>
    <w:p>
      <w:pPr>
        <w:spacing w:after="0" w:line="27" w:lineRule="exact"/>
        <w:rPr>
          <w:sz w:val="20"/>
          <w:szCs w:val="20"/>
          <w:color w:val="auto"/>
        </w:rPr>
      </w:pPr>
    </w:p>
    <w:p>
      <w:pPr>
        <w:ind w:right="700"/>
        <w:spacing w:after="0" w:line="260" w:lineRule="auto"/>
        <w:rPr>
          <w:sz w:val="20"/>
          <w:szCs w:val="20"/>
          <w:color w:val="auto"/>
        </w:rPr>
      </w:pPr>
      <w:r>
        <w:rPr>
          <w:rFonts w:ascii="Times New Roman" w:cs="Times New Roman" w:eastAsia="Times New Roman" w:hAnsi="Times New Roman"/>
          <w:sz w:val="18"/>
          <w:szCs w:val="18"/>
          <w:color w:val="auto"/>
        </w:rPr>
        <w:t>date(s) determined by the Administrator and set forth in the Award Agreement. The Administrator, in its sole discretion, may only settle earned Restricted Stock Units in cash, Shares, or a combination of both.</w:t>
      </w:r>
    </w:p>
    <w:p>
      <w:pPr>
        <w:spacing w:after="0" w:line="181" w:lineRule="exact"/>
        <w:rPr>
          <w:sz w:val="20"/>
          <w:szCs w:val="20"/>
          <w:color w:val="auto"/>
        </w:rPr>
      </w:pPr>
    </w:p>
    <w:p>
      <w:pPr>
        <w:ind w:left="1360" w:hanging="373"/>
        <w:spacing w:after="0"/>
        <w:tabs>
          <w:tab w:leader="none" w:pos="136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On the date set forth in the Award Agreement, all unearned Restricted Stock Units will be forfeited to the Company.</w:t>
      </w:r>
    </w:p>
    <w:p>
      <w:pPr>
        <w:spacing w:after="0" w:line="157"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ectPr>
          <w:pgSz w:w="11900" w:h="16838" w:orient="portrait"/>
          <w:cols w:equalWidth="0" w:num="1">
            <w:col w:w="11000"/>
          </w:cols>
          <w:pgMar w:left="440" w:top="270" w:right="459" w:bottom="1440" w:gutter="0" w:footer="0" w:header="0"/>
        </w:sectPr>
      </w:pPr>
    </w:p>
    <w:bookmarkStart w:id="444" w:name="page445"/>
    <w:bookmarkEnd w:id="444"/>
    <w:p>
      <w:pPr>
        <w:ind w:left="760" w:hanging="324"/>
        <w:spacing w:after="0"/>
        <w:tabs>
          <w:tab w:leader="none" w:pos="76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Stock Appreciation Rights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40" w:firstLine="987"/>
        <w:spacing w:after="0" w:line="282" w:lineRule="auto"/>
        <w:tabs>
          <w:tab w:leader="none" w:pos="1371"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Stock Appreciation Rights</w:t>
      </w:r>
      <w:r>
        <w:rPr>
          <w:rFonts w:ascii="Times New Roman" w:cs="Times New Roman" w:eastAsia="Times New Roman" w:hAnsi="Times New Roman"/>
          <w:sz w:val="18"/>
          <w:szCs w:val="18"/>
          <w:color w:val="auto"/>
        </w:rPr>
        <w:t>. Subject to the terms and conditions of the Plan, a Stock Appreciation Right may be granted to Service Providers at any time and from time to time as will be determined by the Administrator, in its sole discretion.</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381"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The Administrator will have complete discretion to determine the number of Stock Appreciation Rights granted to any Service Provider.</w:t>
      </w:r>
    </w:p>
    <w:p>
      <w:pPr>
        <w:spacing w:after="0" w:line="161" w:lineRule="exact"/>
        <w:rPr>
          <w:rFonts w:ascii="Times New Roman" w:cs="Times New Roman" w:eastAsia="Times New Roman" w:hAnsi="Times New Roman"/>
          <w:sz w:val="18"/>
          <w:szCs w:val="18"/>
          <w:color w:val="auto"/>
        </w:rPr>
      </w:pPr>
    </w:p>
    <w:p>
      <w:pPr>
        <w:ind w:right="60" w:firstLine="987"/>
        <w:spacing w:after="0" w:line="261" w:lineRule="auto"/>
        <w:tabs>
          <w:tab w:leader="none" w:pos="1371"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 and Other Terms</w:t>
      </w:r>
      <w:r>
        <w:rPr>
          <w:rFonts w:ascii="Times New Roman" w:cs="Times New Roman" w:eastAsia="Times New Roman" w:hAnsi="Times New Roman"/>
          <w:sz w:val="18"/>
          <w:szCs w:val="18"/>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79" w:lineRule="exact"/>
        <w:rPr>
          <w:rFonts w:ascii="Times New Roman" w:cs="Times New Roman" w:eastAsia="Times New Roman" w:hAnsi="Times New Roman"/>
          <w:sz w:val="18"/>
          <w:szCs w:val="18"/>
          <w:color w:val="auto"/>
        </w:rPr>
      </w:pPr>
    </w:p>
    <w:p>
      <w:pPr>
        <w:ind w:right="440" w:firstLine="987"/>
        <w:spacing w:after="0" w:line="266" w:lineRule="auto"/>
        <w:tabs>
          <w:tab w:leader="none" w:pos="1381"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 Agreement</w:t>
      </w:r>
      <w:r>
        <w:rPr>
          <w:rFonts w:ascii="Times New Roman" w:cs="Times New Roman" w:eastAsia="Times New Roman" w:hAnsi="Times New Roman"/>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75" w:lineRule="exact"/>
        <w:rPr>
          <w:rFonts w:ascii="Times New Roman" w:cs="Times New Roman" w:eastAsia="Times New Roman" w:hAnsi="Times New Roman"/>
          <w:sz w:val="18"/>
          <w:szCs w:val="18"/>
          <w:color w:val="auto"/>
        </w:rPr>
      </w:pPr>
    </w:p>
    <w:p>
      <w:pPr>
        <w:ind w:right="40" w:firstLine="987"/>
        <w:spacing w:after="0" w:line="266" w:lineRule="auto"/>
        <w:tabs>
          <w:tab w:leader="none" w:pos="1371"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of Stock Appreciation Rights</w:t>
      </w:r>
      <w:r>
        <w:rPr>
          <w:rFonts w:ascii="Times New Roman" w:cs="Times New Roman" w:eastAsia="Times New Roman" w:hAnsi="Times New Roman"/>
          <w:sz w:val="18"/>
          <w:szCs w:val="18"/>
          <w:color w:val="auto"/>
        </w:rPr>
        <w:t>. A Stock Appreciation Right granted under the Plan will expire upon the date determined by the Administrator, in its sole discretion, and set forth in the Award Agreement. Notwithstanding the foregoing, the rules of Section 6(b) relating to the maximum term and Section 6(d) relating to exercise also will apply to Stock Appreciation Rights.</w:t>
      </w:r>
    </w:p>
    <w:p>
      <w:pPr>
        <w:spacing w:after="0" w:line="175" w:lineRule="exact"/>
        <w:rPr>
          <w:rFonts w:ascii="Times New Roman" w:cs="Times New Roman" w:eastAsia="Times New Roman" w:hAnsi="Times New Roman"/>
          <w:sz w:val="18"/>
          <w:szCs w:val="18"/>
          <w:color w:val="auto"/>
        </w:rPr>
      </w:pPr>
    </w:p>
    <w:p>
      <w:pPr>
        <w:ind w:right="120" w:firstLine="987"/>
        <w:spacing w:after="0" w:line="282" w:lineRule="auto"/>
        <w:tabs>
          <w:tab w:leader="none" w:pos="1351"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Stock Appreciation Right Amount</w:t>
      </w:r>
      <w:r>
        <w:rPr>
          <w:rFonts w:ascii="Times New Roman" w:cs="Times New Roman" w:eastAsia="Times New Roman" w:hAnsi="Times New Roman"/>
          <w:sz w:val="18"/>
          <w:szCs w:val="18"/>
          <w:color w:val="auto"/>
        </w:rPr>
        <w:t>. Upon exercise of a Stock Appreciation Right, a Participant will be entitled to receive payment from the Company in an amount determined by multiplying:</w:t>
      </w:r>
    </w:p>
    <w:p>
      <w:pPr>
        <w:spacing w:after="0" w:line="161"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2"/>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Fair Market Value of a Share on the date of exercise over the exercise price; times</w:t>
      </w:r>
    </w:p>
    <w:p>
      <w:pPr>
        <w:spacing w:after="0" w:line="225" w:lineRule="exact"/>
        <w:rPr>
          <w:rFonts w:ascii="Times New Roman" w:cs="Times New Roman" w:eastAsia="Times New Roman" w:hAnsi="Times New Roman"/>
          <w:sz w:val="18"/>
          <w:szCs w:val="18"/>
          <w:color w:val="auto"/>
        </w:rPr>
      </w:pPr>
    </w:p>
    <w:p>
      <w:pPr>
        <w:ind w:left="1820" w:hanging="392"/>
        <w:spacing w:after="0"/>
        <w:tabs>
          <w:tab w:leader="none" w:pos="1820" w:val="left"/>
        </w:tabs>
        <w:numPr>
          <w:ilvl w:val="2"/>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with respect to which the Stock Appreciation Right is exercised.</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At the discretion of the Administrator, the payment upon Stock Appreciation Right exercise may be in cash, in Shares of equivalent value, or in some combination thereof.</w:t>
      </w:r>
    </w:p>
    <w:p>
      <w:pPr>
        <w:spacing w:after="0" w:line="270" w:lineRule="exact"/>
        <w:rPr>
          <w:sz w:val="20"/>
          <w:szCs w:val="20"/>
          <w:color w:val="auto"/>
        </w:rPr>
      </w:pPr>
    </w:p>
    <w:p>
      <w:pPr>
        <w:ind w:left="840" w:hanging="404"/>
        <w:spacing w:after="0"/>
        <w:tabs>
          <w:tab w:leader="none" w:pos="840"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Units and Performance Shares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right="60" w:firstLine="987"/>
        <w:spacing w:after="0" w:line="266" w:lineRule="auto"/>
        <w:tabs>
          <w:tab w:leader="none" w:pos="1371"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Performance Units/Shares</w:t>
      </w:r>
      <w:r>
        <w:rPr>
          <w:rFonts w:ascii="Times New Roman" w:cs="Times New Roman" w:eastAsia="Times New Roman" w:hAnsi="Times New Roman"/>
          <w:sz w:val="18"/>
          <w:szCs w:val="18"/>
          <w:color w:val="auto"/>
        </w:rPr>
        <w:t>. Performance Units and Performance Shares may be granted to Service Providers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175" w:lineRule="exact"/>
        <w:rPr>
          <w:rFonts w:ascii="Times New Roman" w:cs="Times New Roman" w:eastAsia="Times New Roman" w:hAnsi="Times New Roman"/>
          <w:sz w:val="18"/>
          <w:szCs w:val="18"/>
          <w:color w:val="auto"/>
        </w:rPr>
      </w:pPr>
    </w:p>
    <w:p>
      <w:pPr>
        <w:ind w:right="200" w:firstLine="987"/>
        <w:spacing w:after="0" w:line="282" w:lineRule="auto"/>
        <w:tabs>
          <w:tab w:leader="none" w:pos="1381"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Value of Performance Units/Shares</w:t>
      </w:r>
      <w:r>
        <w:rPr>
          <w:rFonts w:ascii="Times New Roman" w:cs="Times New Roman" w:eastAsia="Times New Roman" w:hAnsi="Times New Roman"/>
          <w:sz w:val="18"/>
          <w:szCs w:val="18"/>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9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ectPr>
          <w:pgSz w:w="11900" w:h="16838" w:orient="portrait"/>
          <w:cols w:equalWidth="0" w:num="1">
            <w:col w:w="11000"/>
          </w:cols>
          <w:pgMar w:left="440" w:top="270" w:right="459" w:bottom="1440" w:gutter="0" w:footer="0" w:header="0"/>
        </w:sectPr>
      </w:pPr>
    </w:p>
    <w:bookmarkStart w:id="445" w:name="page446"/>
    <w:bookmarkEnd w:id="445"/>
    <w:p>
      <w:pPr>
        <w:ind w:firstLine="987"/>
        <w:spacing w:after="0" w:line="254" w:lineRule="auto"/>
        <w:tabs>
          <w:tab w:leader="none" w:pos="1371"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Performance Objectives and Other Terms</w:t>
      </w:r>
      <w:r>
        <w:rPr>
          <w:rFonts w:ascii="Times New Roman" w:cs="Times New Roman" w:eastAsia="Times New Roman" w:hAnsi="Times New Roman"/>
          <w:sz w:val="18"/>
          <w:szCs w:val="18"/>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91" w:lineRule="exact"/>
        <w:rPr>
          <w:rFonts w:ascii="Times New Roman" w:cs="Times New Roman" w:eastAsia="Times New Roman" w:hAnsi="Times New Roman"/>
          <w:sz w:val="18"/>
          <w:szCs w:val="18"/>
          <w:color w:val="auto"/>
        </w:rPr>
      </w:pPr>
    </w:p>
    <w:p>
      <w:pPr>
        <w:ind w:right="80" w:firstLine="987"/>
        <w:spacing w:after="0" w:line="258" w:lineRule="auto"/>
        <w:tabs>
          <w:tab w:leader="none" w:pos="1381"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 of Performance Units/Shares</w:t>
      </w:r>
      <w:r>
        <w:rPr>
          <w:rFonts w:ascii="Times New Roman" w:cs="Times New Roman" w:eastAsia="Times New Roman" w:hAnsi="Times New Roman"/>
          <w:sz w:val="18"/>
          <w:szCs w:val="18"/>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183" w:lineRule="exact"/>
        <w:rPr>
          <w:rFonts w:ascii="Times New Roman" w:cs="Times New Roman" w:eastAsia="Times New Roman" w:hAnsi="Times New Roman"/>
          <w:sz w:val="18"/>
          <w:szCs w:val="18"/>
          <w:color w:val="auto"/>
        </w:rPr>
      </w:pPr>
    </w:p>
    <w:p>
      <w:pPr>
        <w:ind w:firstLine="987"/>
        <w:spacing w:after="0" w:line="261" w:lineRule="auto"/>
        <w:tabs>
          <w:tab w:leader="none" w:pos="1371"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and Timing of Payment of Performance Units/Shares</w:t>
      </w:r>
      <w:r>
        <w:rPr>
          <w:rFonts w:ascii="Times New Roman" w:cs="Times New Roman" w:eastAsia="Times New Roman" w:hAnsi="Times New Roman"/>
          <w:sz w:val="18"/>
          <w:szCs w:val="18"/>
          <w:color w:val="auto"/>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79" w:lineRule="exact"/>
        <w:rPr>
          <w:rFonts w:ascii="Times New Roman" w:cs="Times New Roman" w:eastAsia="Times New Roman" w:hAnsi="Times New Roman"/>
          <w:sz w:val="18"/>
          <w:szCs w:val="18"/>
          <w:color w:val="auto"/>
        </w:rPr>
      </w:pPr>
    </w:p>
    <w:p>
      <w:pPr>
        <w:ind w:right="420" w:firstLine="987"/>
        <w:spacing w:after="0" w:line="282" w:lineRule="auto"/>
        <w:tabs>
          <w:tab w:leader="none" w:pos="1351" w:val="left"/>
        </w:tabs>
        <w:numPr>
          <w:ilvl w:val="1"/>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of Performance Units/Shares</w:t>
      </w:r>
      <w:r>
        <w:rPr>
          <w:rFonts w:ascii="Times New Roman" w:cs="Times New Roman" w:eastAsia="Times New Roman" w:hAnsi="Times New Roman"/>
          <w:sz w:val="18"/>
          <w:szCs w:val="18"/>
          <w:color w:val="auto"/>
        </w:rPr>
        <w:t>. On the date set forth in the Award Agreement, all unearned or unvested Performance Units/Shares will be forfeited to the Company, and again will be available for grant under the Plan.</w:t>
      </w:r>
    </w:p>
    <w:p>
      <w:pPr>
        <w:spacing w:after="0" w:line="161" w:lineRule="exact"/>
        <w:rPr>
          <w:rFonts w:ascii="Times New Roman" w:cs="Times New Roman" w:eastAsia="Times New Roman" w:hAnsi="Times New Roman"/>
          <w:sz w:val="18"/>
          <w:szCs w:val="18"/>
          <w:color w:val="auto"/>
        </w:rPr>
      </w:pPr>
    </w:p>
    <w:p>
      <w:pPr>
        <w:ind w:right="80" w:firstLine="436"/>
        <w:spacing w:after="0" w:line="258" w:lineRule="auto"/>
        <w:tabs>
          <w:tab w:leader="none" w:pos="838"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Outside Director Limitations</w:t>
      </w:r>
      <w:r>
        <w:rPr>
          <w:rFonts w:ascii="Times New Roman" w:cs="Times New Roman" w:eastAsia="Times New Roman" w:hAnsi="Times New Roman"/>
          <w:sz w:val="18"/>
          <w:szCs w:val="18"/>
          <w:color w:val="auto"/>
        </w:rPr>
        <w:t>. No Outside Director may be paid, issued, or granted, in any Fiscal Year, equity awards (including any Awards issued under this Plan) with an aggregate value (the value of which will be based on their grant date fair value determined in accordance with U.S. generally accepted accounting principles) that, in the aggregate, exceed $750,000, increased to $1,000,000 in connection with his or her initial service. Any Awards or other compensation paid or provided to an individual for his or her services as an Employee, or for his or her services as a Consultant (other than as an Outside Director), will not count for purposes of the limitation under this Section 11.</w:t>
      </w:r>
    </w:p>
    <w:p>
      <w:pPr>
        <w:spacing w:after="0" w:line="183" w:lineRule="exact"/>
        <w:rPr>
          <w:rFonts w:ascii="Times New Roman" w:cs="Times New Roman" w:eastAsia="Times New Roman" w:hAnsi="Times New Roman"/>
          <w:sz w:val="18"/>
          <w:szCs w:val="18"/>
          <w:color w:val="auto"/>
        </w:rPr>
      </w:pPr>
    </w:p>
    <w:p>
      <w:pPr>
        <w:ind w:right="180" w:firstLine="436"/>
        <w:spacing w:after="0" w:line="272" w:lineRule="auto"/>
        <w:tabs>
          <w:tab w:leader="none" w:pos="845" w:val="left"/>
        </w:tabs>
        <w:numPr>
          <w:ilvl w:val="0"/>
          <w:numId w:val="3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Leaves of Absence/Transfer Between Locations</w:t>
      </w:r>
      <w:r>
        <w:rPr>
          <w:rFonts w:ascii="Times New Roman" w:cs="Times New Roman" w:eastAsia="Times New Roman" w:hAnsi="Times New Roman"/>
          <w:sz w:val="17"/>
          <w:szCs w:val="17"/>
          <w:color w:val="auto"/>
        </w:rPr>
        <w:t>. Unless the Administrator provides otherwise and subject to Applicable Laws,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w:t>
      </w:r>
    </w:p>
    <w:p>
      <w:pPr>
        <w:spacing w:after="0" w:line="1" w:lineRule="exact"/>
        <w:rPr>
          <w:rFonts w:ascii="Times New Roman" w:cs="Times New Roman" w:eastAsia="Times New Roman" w:hAnsi="Times New Roman"/>
          <w:sz w:val="17"/>
          <w:szCs w:val="17"/>
          <w:color w:val="auto"/>
        </w:rPr>
      </w:pPr>
    </w:p>
    <w:p>
      <w:pPr>
        <w:ind w:right="8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(1st) day of such leave any Incentive Stock Option held by the Participant will cease to be treated as an Incentive Stock Option and will be treated for tax purposes as a Nonstatutory Stock Option.</w:t>
      </w:r>
    </w:p>
    <w:p>
      <w:pPr>
        <w:spacing w:after="0" w:line="121" w:lineRule="exact"/>
        <w:rPr>
          <w:rFonts w:ascii="Times New Roman" w:cs="Times New Roman" w:eastAsia="Times New Roman" w:hAnsi="Times New Roman"/>
          <w:sz w:val="17"/>
          <w:szCs w:val="17"/>
          <w:color w:val="auto"/>
        </w:rPr>
      </w:pPr>
    </w:p>
    <w:p>
      <w:pPr>
        <w:ind w:left="5420" w:hanging="111"/>
        <w:spacing w:after="0"/>
        <w:tabs>
          <w:tab w:leader="none" w:pos="5420" w:val="left"/>
        </w:tabs>
        <w:numPr>
          <w:ilvl w:val="2"/>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ectPr>
          <w:pgSz w:w="11900" w:h="16838" w:orient="portrait"/>
          <w:cols w:equalWidth="0" w:num="1">
            <w:col w:w="10980"/>
          </w:cols>
          <w:pgMar w:left="440" w:top="270" w:right="479" w:bottom="1440" w:gutter="0" w:footer="0" w:header="0"/>
        </w:sectPr>
      </w:pPr>
    </w:p>
    <w:bookmarkStart w:id="446" w:name="page447"/>
    <w:bookmarkEnd w:id="446"/>
    <w:p>
      <w:pPr>
        <w:ind w:left="4" w:right="100" w:firstLine="436"/>
        <w:spacing w:after="0" w:line="261" w:lineRule="auto"/>
        <w:tabs>
          <w:tab w:leader="none" w:pos="849"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Transferability of Awards</w:t>
      </w:r>
      <w:r>
        <w:rPr>
          <w:rFonts w:ascii="Times New Roman" w:cs="Times New Roman" w:eastAsia="Times New Roman" w:hAnsi="Times New Roman"/>
          <w:sz w:val="18"/>
          <w:szCs w:val="18"/>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w:t>
      </w:r>
    </w:p>
    <w:p>
      <w:pPr>
        <w:spacing w:after="0" w:line="287" w:lineRule="exact"/>
        <w:rPr>
          <w:rFonts w:ascii="Times New Roman" w:cs="Times New Roman" w:eastAsia="Times New Roman" w:hAnsi="Times New Roman"/>
          <w:sz w:val="18"/>
          <w:szCs w:val="18"/>
          <w:color w:val="auto"/>
        </w:rPr>
      </w:pPr>
    </w:p>
    <w:p>
      <w:pPr>
        <w:ind w:left="844" w:hanging="404"/>
        <w:spacing w:after="0"/>
        <w:tabs>
          <w:tab w:leader="none" w:pos="844"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Dissolution or Liquidation; Merger or Change in Control</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987"/>
        <w:spacing w:after="0" w:line="256" w:lineRule="auto"/>
        <w:tabs>
          <w:tab w:leader="none" w:pos="1375" w:val="left"/>
        </w:tabs>
        <w:numPr>
          <w:ilvl w:val="2"/>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the numerical Share limits in Sections 3 and 11 of the Plan.</w:t>
      </w:r>
    </w:p>
    <w:p>
      <w:pPr>
        <w:spacing w:after="0" w:line="187" w:lineRule="exact"/>
        <w:rPr>
          <w:rFonts w:ascii="Times New Roman" w:cs="Times New Roman" w:eastAsia="Times New Roman" w:hAnsi="Times New Roman"/>
          <w:sz w:val="18"/>
          <w:szCs w:val="18"/>
          <w:color w:val="auto"/>
        </w:rPr>
      </w:pPr>
    </w:p>
    <w:p>
      <w:pPr>
        <w:ind w:left="4" w:firstLine="987"/>
        <w:spacing w:after="0" w:line="266" w:lineRule="auto"/>
        <w:tabs>
          <w:tab w:leader="none" w:pos="1385" w:val="left"/>
        </w:tabs>
        <w:numPr>
          <w:ilvl w:val="2"/>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75" w:lineRule="exact"/>
        <w:rPr>
          <w:rFonts w:ascii="Times New Roman" w:cs="Times New Roman" w:eastAsia="Times New Roman" w:hAnsi="Times New Roman"/>
          <w:sz w:val="18"/>
          <w:szCs w:val="18"/>
          <w:color w:val="auto"/>
        </w:rPr>
      </w:pPr>
    </w:p>
    <w:p>
      <w:pPr>
        <w:ind w:left="4" w:right="40" w:firstLine="987"/>
        <w:spacing w:after="0" w:line="254" w:lineRule="auto"/>
        <w:tabs>
          <w:tab w:leader="none" w:pos="1375" w:val="left"/>
        </w:tabs>
        <w:numPr>
          <w:ilvl w:val="2"/>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 limitation, that (i) Awards will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merger or Change in Control;</w:t>
      </w:r>
    </w:p>
    <w:p>
      <w:pPr>
        <w:spacing w:after="0" w:line="3" w:lineRule="exact"/>
        <w:rPr>
          <w:rFonts w:ascii="Times New Roman" w:cs="Times New Roman" w:eastAsia="Times New Roman" w:hAnsi="Times New Roman"/>
          <w:sz w:val="18"/>
          <w:szCs w:val="18"/>
          <w:color w:val="auto"/>
        </w:rPr>
      </w:pPr>
    </w:p>
    <w:p>
      <w:pPr>
        <w:ind w:left="4" w:right="20" w:hanging="4"/>
        <w:spacing w:after="0" w:line="251" w:lineRule="auto"/>
        <w:tabs>
          <w:tab w:leader="none" w:pos="319"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(iv) (A)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Administrator in its sole discretion; or (v) any combination of the foregoing. In taking any of the actions permitted under this subsection 14(c), the Administrator will not be required to treat all Awards or Participants, all Awards held by a Participant, or all Awards of the same type, similarly in the transaction.</w:t>
      </w:r>
    </w:p>
    <w:p>
      <w:pPr>
        <w:spacing w:after="0" w:line="193" w:lineRule="exact"/>
        <w:rPr>
          <w:sz w:val="20"/>
          <w:szCs w:val="20"/>
          <w:color w:val="auto"/>
        </w:rPr>
      </w:pPr>
    </w:p>
    <w:p>
      <w:pPr>
        <w:jc w:val="both"/>
        <w:ind w:left="4" w:right="120" w:firstLine="991"/>
        <w:spacing w:after="0" w:line="266" w:lineRule="auto"/>
        <w:rPr>
          <w:sz w:val="20"/>
          <w:szCs w:val="20"/>
          <w:color w:val="auto"/>
        </w:rPr>
      </w:pPr>
      <w:r>
        <w:rPr>
          <w:rFonts w:ascii="Times New Roman" w:cs="Times New Roman" w:eastAsia="Times New Roman" w:hAnsi="Times New Roman"/>
          <w:sz w:val="18"/>
          <w:szCs w:val="18"/>
          <w:color w:val="auto"/>
        </w:rPr>
        <w:t>In the event that the successor corporation does not assume or substitute for the Award (or portion thereof), the Participant will fully vest in and have the right to exercise such outstanding Option and Stock Appreciation Right not so assumed or substituted for, including Shares as to which such Award</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4"/>
          </w:cols>
          <w:pgMar w:left="436" w:top="270" w:right="479" w:bottom="1440" w:gutter="0" w:footer="0" w:header="0"/>
        </w:sectPr>
      </w:pPr>
    </w:p>
    <w:bookmarkStart w:id="447" w:name="page448"/>
    <w:bookmarkEnd w:id="44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would not otherwise be vested or exercisable, all restrictions on such Restricted Stock and Restricted Stock Units not so assumed or substituted for will lapse, and, with respect to such Awards with performance-based vesting, all performance goals or other vesting criteria will be deemed achieved at one hundred percent (100%) of target levels and all other terms and conditions met, in all cases, unless specifically provided otherwise under the applicable Award Agreement or other written agreement between the Participant and the Company or any of its Subsidiaries or Parents, as applicable. In addition, if an Option or Stock Appreciation Right is not assumed or substituted in the event of a merger or Change in Control, the Administrator will notify the Participant in writing or electronically that such Option or Stock Appreciation Right not so assumed or substituted for will be exercisable for a period of time determined by the Administrator in its sole discretion, and the Option or Stock Appreciation Right will terminate upon the expiration of such period.</w:t>
      </w:r>
    </w:p>
    <w:p>
      <w:pPr>
        <w:spacing w:after="0" w:line="192"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For the purposes of this subsection (c),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merger or Change in Control.</w:t>
      </w:r>
    </w:p>
    <w:p>
      <w:pPr>
        <w:spacing w:after="0" w:line="188"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Notwithstanding anything in this Section 14(c) to the contrary, and unless otherwise provided in an Award Agreement,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80" w:lineRule="exact"/>
        <w:rPr>
          <w:sz w:val="20"/>
          <w:szCs w:val="20"/>
          <w:color w:val="auto"/>
        </w:rPr>
      </w:pPr>
    </w:p>
    <w:p>
      <w:pPr>
        <w:jc w:val="both"/>
        <w:ind w:right="80" w:firstLine="991"/>
        <w:spacing w:after="0" w:line="281" w:lineRule="auto"/>
        <w:rPr>
          <w:sz w:val="20"/>
          <w:szCs w:val="20"/>
          <w:color w:val="auto"/>
        </w:rPr>
      </w:pPr>
      <w:r>
        <w:rPr>
          <w:rFonts w:ascii="Times New Roman" w:cs="Times New Roman" w:eastAsia="Times New Roman" w:hAnsi="Times New Roman"/>
          <w:sz w:val="17"/>
          <w:szCs w:val="17"/>
          <w:color w:val="auto"/>
        </w:rPr>
        <w:t>Notwithstanding anything in this Section 14(c) to the contrary, if a payment under an Award Agreement is subject to Code Section 409A and if the change in control definition contained in the Award Agreement does not comply with the definition of “change of control” for purposes of a distribution under Code Section 409A, then any payment of an amount that is otherwise accelerated under this Section will be delayed until the earliest time that such payment would be permissible under Code Section 409A without triggering any penalties applicable under Code Section 409A.</w:t>
      </w:r>
    </w:p>
    <w:p>
      <w:pPr>
        <w:spacing w:after="0" w:line="164" w:lineRule="exact"/>
        <w:rPr>
          <w:sz w:val="20"/>
          <w:szCs w:val="20"/>
          <w:color w:val="auto"/>
        </w:rPr>
      </w:pPr>
    </w:p>
    <w:p>
      <w:pPr>
        <w:ind w:right="20" w:firstLine="987"/>
        <w:spacing w:after="0" w:line="256" w:lineRule="auto"/>
        <w:tabs>
          <w:tab w:leader="none" w:pos="1381"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Outside Director Awards</w:t>
      </w:r>
      <w:r>
        <w:rPr>
          <w:rFonts w:ascii="Times New Roman" w:cs="Times New Roman" w:eastAsia="Times New Roman" w:hAnsi="Times New Roman"/>
          <w:sz w:val="18"/>
          <w:szCs w:val="18"/>
          <w:color w:val="auto"/>
        </w:rPr>
        <w:t>. In the event of a Change in Control, with respect to Awards granted to an Outside Director, the Outside Director will fully vest in and have the right to exercise Options and/or Stock Appreciation Rights as to all of the Shares underlying such Award, including those Shares which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between the Participant and the Company or any of its Subsidiaries or Parents, as applicable.</w:t>
      </w:r>
    </w:p>
    <w:p>
      <w:pPr>
        <w:spacing w:after="0" w:line="119"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16 -</w:t>
      </w:r>
    </w:p>
    <w:p>
      <w:pPr>
        <w:sectPr>
          <w:pgSz w:w="11900" w:h="16838" w:orient="portrait"/>
          <w:cols w:equalWidth="0" w:num="1">
            <w:col w:w="10940"/>
          </w:cols>
          <w:pgMar w:left="440" w:top="270" w:right="519" w:bottom="1440" w:gutter="0" w:footer="0" w:header="0"/>
        </w:sectPr>
      </w:pPr>
    </w:p>
    <w:bookmarkStart w:id="448" w:name="page449"/>
    <w:bookmarkEnd w:id="448"/>
    <w:p>
      <w:pPr>
        <w:ind w:left="404" w:hanging="404"/>
        <w:spacing w:after="0"/>
        <w:tabs>
          <w:tab w:leader="none" w:pos="404"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Tax</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36" w:right="40" w:firstLine="987"/>
        <w:spacing w:after="0" w:line="261" w:lineRule="auto"/>
        <w:tabs>
          <w:tab w:leader="none" w:pos="934"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Requirements</w:t>
      </w:r>
      <w:r>
        <w:rPr>
          <w:rFonts w:ascii="Times New Roman" w:cs="Times New Roman" w:eastAsia="Times New Roman" w:hAnsi="Times New Roman"/>
          <w:sz w:val="18"/>
          <w:szCs w:val="18"/>
          <w:color w:val="auto"/>
        </w:rPr>
        <w:t>. Prior to the delivery of any Shares or cash pursuant to an Award (or exercise thereof) or such earlier time as any tax withholding obligations are due, the Company will have the power and the right to deduct or withhold, or require a Participant to remit to the Company, an amount sufficient to satisfy U.S. federal, state, or local taxes, non-U.S. taxes, or other taxes (including the Participant’s FICA or other social insurance contribution obligation) required to be withheld with respect to such Award (or exercise thereof).</w:t>
      </w:r>
    </w:p>
    <w:p>
      <w:pPr>
        <w:spacing w:after="0" w:line="179" w:lineRule="exact"/>
        <w:rPr>
          <w:rFonts w:ascii="Times New Roman" w:cs="Times New Roman" w:eastAsia="Times New Roman" w:hAnsi="Times New Roman"/>
          <w:sz w:val="18"/>
          <w:szCs w:val="18"/>
          <w:color w:val="auto"/>
        </w:rPr>
      </w:pPr>
    </w:p>
    <w:p>
      <w:pPr>
        <w:ind w:left="-436" w:right="80" w:firstLine="987"/>
        <w:spacing w:after="0" w:line="253" w:lineRule="auto"/>
        <w:tabs>
          <w:tab w:leader="none" w:pos="945"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Arrangements</w:t>
      </w:r>
      <w:r>
        <w:rPr>
          <w:rFonts w:ascii="Times New Roman" w:cs="Times New Roman" w:eastAsia="Times New Roman" w:hAnsi="Times New Roman"/>
          <w:sz w:val="18"/>
          <w:szCs w:val="18"/>
          <w:color w:val="auto"/>
        </w:rPr>
        <w:t>. The Administrator, in its sole discretion and pursuant to such procedures as it may specify from time to time, may permit a Participant to satisfy such tax withholding obligation, in whole or in part by (without limitation) (i) paying cash, check or other cash equivalents, (ii)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minimum statutory amount required to be withheld or such greater amount as the Administrator may determine, in each case,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 or (e) any combination of the foregoing methods of payment. The fair market value of the Shares to be withheld or delivered will be determined as of the date that the taxes are required to be withheld.</w:t>
      </w:r>
    </w:p>
    <w:p>
      <w:pPr>
        <w:spacing w:after="0" w:line="194" w:lineRule="exact"/>
        <w:rPr>
          <w:rFonts w:ascii="Times New Roman" w:cs="Times New Roman" w:eastAsia="Times New Roman" w:hAnsi="Times New Roman"/>
          <w:sz w:val="18"/>
          <w:szCs w:val="18"/>
          <w:color w:val="auto"/>
        </w:rPr>
      </w:pPr>
    </w:p>
    <w:p>
      <w:pPr>
        <w:ind w:left="-436" w:firstLine="987"/>
        <w:spacing w:after="0" w:line="254" w:lineRule="auto"/>
        <w:tabs>
          <w:tab w:leader="none" w:pos="934"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Section 409A</w:t>
      </w:r>
      <w:r>
        <w:rPr>
          <w:rFonts w:ascii="Times New Roman" w:cs="Times New Roman" w:eastAsia="Times New Roman" w:hAnsi="Times New Roman"/>
          <w:sz w:val="18"/>
          <w:szCs w:val="18"/>
          <w:color w:val="auto"/>
        </w:rPr>
        <w:t>. Awards will be designed and operated in such a manner that they are either exempt from the application of, or 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meet the requirements of Section 409A and will be construed and interpreted in accordance with such intent,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Parent or Subsidiaries have any obligation under the terms of this Plan to reimburse, indemnify, or hold harmless a Participant for any taxes, interest or penalties imposed, or other costs incurred, as a result of Section 409A.</w:t>
      </w:r>
    </w:p>
    <w:p>
      <w:pPr>
        <w:spacing w:after="0" w:line="188" w:lineRule="exact"/>
        <w:rPr>
          <w:rFonts w:ascii="Times New Roman" w:cs="Times New Roman" w:eastAsia="Times New Roman" w:hAnsi="Times New Roman"/>
          <w:sz w:val="18"/>
          <w:szCs w:val="18"/>
          <w:color w:val="auto"/>
        </w:rPr>
      </w:pPr>
    </w:p>
    <w:p>
      <w:pPr>
        <w:jc w:val="both"/>
        <w:ind w:left="-436" w:right="60" w:firstLine="436"/>
        <w:spacing w:after="0" w:line="266" w:lineRule="auto"/>
        <w:tabs>
          <w:tab w:leader="none" w:pos="409"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Employment or Service</w:t>
      </w:r>
      <w:r>
        <w:rPr>
          <w:rFonts w:ascii="Times New Roman" w:cs="Times New Roman" w:eastAsia="Times New Roman" w:hAnsi="Times New Roman"/>
          <w:sz w:val="18"/>
          <w:szCs w:val="18"/>
          <w:color w:val="auto"/>
        </w:rPr>
        <w:t>. Neither the Plan nor any Award will confer upon a Participant any right with respect to continuing the Participant’s relationship as a Service Provider, nor will they interfere in any way with the Participant’s right or the right of the Company (or any Parent or Subsidiary of the Company) to terminate such relationship at any time, with or without cause, to the extent permitted by Applicable Laws.</w:t>
      </w:r>
    </w:p>
    <w:p>
      <w:pPr>
        <w:spacing w:after="0" w:line="108"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2"/>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w:t>
      </w:r>
    </w:p>
    <w:p>
      <w:pPr>
        <w:sectPr>
          <w:pgSz w:w="11900" w:h="16838" w:orient="portrait"/>
          <w:cols w:equalWidth="0" w:num="1">
            <w:col w:w="10564"/>
          </w:cols>
          <w:pgMar w:left="876" w:top="270" w:right="459" w:bottom="1440" w:gutter="0" w:footer="0" w:header="0"/>
        </w:sectPr>
      </w:pPr>
    </w:p>
    <w:bookmarkStart w:id="449" w:name="page450"/>
    <w:bookmarkEnd w:id="449"/>
    <w:p>
      <w:pPr>
        <w:ind w:left="4" w:firstLine="436"/>
        <w:spacing w:after="0" w:line="266" w:lineRule="auto"/>
        <w:tabs>
          <w:tab w:leader="none" w:pos="849"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Date of Grant</w:t>
      </w:r>
      <w:r>
        <w:rPr>
          <w:rFonts w:ascii="Times New Roman" w:cs="Times New Roman" w:eastAsia="Times New Roman" w:hAnsi="Times New Roman"/>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75" w:lineRule="exact"/>
        <w:rPr>
          <w:rFonts w:ascii="Times New Roman" w:cs="Times New Roman" w:eastAsia="Times New Roman" w:hAnsi="Times New Roman"/>
          <w:sz w:val="18"/>
          <w:szCs w:val="18"/>
          <w:color w:val="auto"/>
        </w:rPr>
      </w:pPr>
    </w:p>
    <w:p>
      <w:pPr>
        <w:ind w:left="844" w:hanging="404"/>
        <w:spacing w:after="0"/>
        <w:tabs>
          <w:tab w:leader="none" w:pos="844"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Plan</w:t>
      </w:r>
      <w:r>
        <w:rPr>
          <w:rFonts w:ascii="Times New Roman" w:cs="Times New Roman" w:eastAsia="Times New Roman" w:hAnsi="Times New Roman"/>
          <w:sz w:val="18"/>
          <w:szCs w:val="18"/>
          <w:color w:val="auto"/>
        </w:rPr>
        <w:t>. Subject to Section 23 of the Plan, the Plan will become effective upon the later to occur of (i) its adoption by the Board or</w:t>
      </w:r>
    </w:p>
    <w:p>
      <w:pPr>
        <w:spacing w:after="0" w:line="27" w:lineRule="exact"/>
        <w:rPr>
          <w:rFonts w:ascii="Times New Roman" w:cs="Times New Roman" w:eastAsia="Times New Roman" w:hAnsi="Times New Roman"/>
          <w:sz w:val="18"/>
          <w:szCs w:val="18"/>
          <w:color w:val="auto"/>
        </w:rPr>
      </w:pPr>
    </w:p>
    <w:p>
      <w:pPr>
        <w:ind w:left="4" w:right="280" w:hanging="4"/>
        <w:spacing w:after="0" w:line="260" w:lineRule="auto"/>
        <w:tabs>
          <w:tab w:leader="none" w:pos="269"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day immediately prior to the Registration Date. It will continue in effect until terminated earlier under Section 19 of the Plan, but no Incentive Stock Options may be granted after 10 years from the date the Plan is adopted by the Board.</w:t>
      </w:r>
    </w:p>
    <w:p>
      <w:pPr>
        <w:spacing w:after="0" w:line="289" w:lineRule="exact"/>
        <w:rPr>
          <w:rFonts w:ascii="Times New Roman" w:cs="Times New Roman" w:eastAsia="Times New Roman" w:hAnsi="Times New Roman"/>
          <w:sz w:val="18"/>
          <w:szCs w:val="18"/>
          <w:color w:val="auto"/>
        </w:rPr>
      </w:pPr>
    </w:p>
    <w:p>
      <w:pPr>
        <w:ind w:left="844" w:hanging="404"/>
        <w:spacing w:after="0"/>
        <w:tabs>
          <w:tab w:leader="none" w:pos="844"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 of the Plan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364" w:hanging="373"/>
        <w:spacing w:after="0"/>
        <w:tabs>
          <w:tab w:leader="none" w:pos="1364" w:val="left"/>
        </w:tabs>
        <w:numPr>
          <w:ilvl w:val="2"/>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w:t>
      </w:r>
      <w:r>
        <w:rPr>
          <w:rFonts w:ascii="Times New Roman" w:cs="Times New Roman" w:eastAsia="Times New Roman" w:hAnsi="Times New Roman"/>
          <w:sz w:val="18"/>
          <w:szCs w:val="18"/>
          <w:color w:val="auto"/>
        </w:rPr>
        <w:t>. The Administrator may at any time amend, alter, suspend or terminate the Plan.</w:t>
      </w:r>
    </w:p>
    <w:p>
      <w:pPr>
        <w:spacing w:after="0" w:line="225" w:lineRule="exact"/>
        <w:rPr>
          <w:rFonts w:ascii="Times New Roman" w:cs="Times New Roman" w:eastAsia="Times New Roman" w:hAnsi="Times New Roman"/>
          <w:sz w:val="18"/>
          <w:szCs w:val="18"/>
          <w:color w:val="auto"/>
        </w:rPr>
      </w:pPr>
    </w:p>
    <w:p>
      <w:pPr>
        <w:ind w:left="4" w:right="80" w:firstLine="987"/>
        <w:spacing w:after="0" w:line="282" w:lineRule="auto"/>
        <w:tabs>
          <w:tab w:leader="none" w:pos="1385" w:val="left"/>
        </w:tabs>
        <w:numPr>
          <w:ilvl w:val="2"/>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Company will obtain stockholder approval of any Plan amendment to the extent necessary and desirable to comply with Applicable Laws.</w:t>
      </w:r>
    </w:p>
    <w:p>
      <w:pPr>
        <w:spacing w:after="0" w:line="161" w:lineRule="exact"/>
        <w:rPr>
          <w:rFonts w:ascii="Times New Roman" w:cs="Times New Roman" w:eastAsia="Times New Roman" w:hAnsi="Times New Roman"/>
          <w:sz w:val="18"/>
          <w:szCs w:val="18"/>
          <w:color w:val="auto"/>
        </w:rPr>
      </w:pPr>
    </w:p>
    <w:p>
      <w:pPr>
        <w:ind w:left="4" w:right="320" w:firstLine="987"/>
        <w:spacing w:after="0" w:line="261" w:lineRule="auto"/>
        <w:tabs>
          <w:tab w:leader="none" w:pos="1375" w:val="left"/>
        </w:tabs>
        <w:numPr>
          <w:ilvl w:val="2"/>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Amendment or Termination</w:t>
      </w:r>
      <w:r>
        <w:rPr>
          <w:rFonts w:ascii="Times New Roman" w:cs="Times New Roman" w:eastAsia="Times New Roman" w:hAnsi="Times New Roman"/>
          <w:sz w:val="18"/>
          <w:szCs w:val="18"/>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287" w:lineRule="exact"/>
        <w:rPr>
          <w:rFonts w:ascii="Times New Roman" w:cs="Times New Roman" w:eastAsia="Times New Roman" w:hAnsi="Times New Roman"/>
          <w:sz w:val="18"/>
          <w:szCs w:val="18"/>
          <w:color w:val="auto"/>
        </w:rPr>
      </w:pPr>
    </w:p>
    <w:p>
      <w:pPr>
        <w:ind w:left="844" w:hanging="404"/>
        <w:spacing w:after="0"/>
        <w:tabs>
          <w:tab w:leader="none" w:pos="844"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Upon Issuance of Shares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60" w:firstLine="987"/>
        <w:spacing w:after="0" w:line="266" w:lineRule="auto"/>
        <w:tabs>
          <w:tab w:leader="none" w:pos="1375" w:val="left"/>
        </w:tabs>
        <w:numPr>
          <w:ilvl w:val="2"/>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Compliance</w:t>
      </w:r>
      <w:r>
        <w:rPr>
          <w:rFonts w:ascii="Times New Roman" w:cs="Times New Roman" w:eastAsia="Times New Roman" w:hAnsi="Times New Roman"/>
          <w:sz w:val="18"/>
          <w:szCs w:val="18"/>
          <w:color w:val="auto"/>
        </w:rPr>
        <w:t>. Shares will not be issued pursuant to an Award unless the exercise or vesting of such Award and the issuance and delivery of such Shares will comply with Applicable Laws and will be further subject to the approval of counsel for the Company with respect to such compliance.</w:t>
      </w:r>
    </w:p>
    <w:p>
      <w:pPr>
        <w:spacing w:after="0" w:line="175" w:lineRule="exact"/>
        <w:rPr>
          <w:rFonts w:ascii="Times New Roman" w:cs="Times New Roman" w:eastAsia="Times New Roman" w:hAnsi="Times New Roman"/>
          <w:sz w:val="18"/>
          <w:szCs w:val="18"/>
          <w:color w:val="auto"/>
        </w:rPr>
      </w:pPr>
    </w:p>
    <w:p>
      <w:pPr>
        <w:ind w:left="4" w:right="100" w:firstLine="987"/>
        <w:spacing w:after="0" w:line="266" w:lineRule="auto"/>
        <w:tabs>
          <w:tab w:leader="none" w:pos="1385" w:val="left"/>
        </w:tabs>
        <w:numPr>
          <w:ilvl w:val="2"/>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w:t>
      </w:r>
    </w:p>
    <w:p>
      <w:pPr>
        <w:spacing w:after="0" w:line="175" w:lineRule="exact"/>
        <w:rPr>
          <w:rFonts w:ascii="Times New Roman" w:cs="Times New Roman" w:eastAsia="Times New Roman" w:hAnsi="Times New Roman"/>
          <w:sz w:val="18"/>
          <w:szCs w:val="18"/>
          <w:color w:val="auto"/>
        </w:rPr>
      </w:pPr>
    </w:p>
    <w:p>
      <w:pPr>
        <w:ind w:left="4" w:firstLine="436"/>
        <w:spacing w:after="0" w:line="255" w:lineRule="auto"/>
        <w:tabs>
          <w:tab w:leader="none" w:pos="849"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to Obtain Authority</w:t>
      </w:r>
      <w:r>
        <w:rPr>
          <w:rFonts w:ascii="Times New Roman" w:cs="Times New Roman" w:eastAsia="Times New Roman" w:hAnsi="Times New Roman"/>
          <w:sz w:val="18"/>
          <w:szCs w:val="18"/>
          <w:color w:val="auto"/>
        </w:rPr>
        <w:t>. If the Company determines it to be impossible or impractical to obtain authority from any regulatory body having jurisdiction or to complete or comply with the requirements of any registration or other qualification of the Shares under any U.S. federal or state law, any non-U.S. law, or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w:t>
      </w:r>
    </w:p>
    <w:p>
      <w:pPr>
        <w:spacing w:after="0" w:line="121"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3"/>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18 -</w:t>
      </w:r>
    </w:p>
    <w:p>
      <w:pPr>
        <w:sectPr>
          <w:pgSz w:w="11900" w:h="16838" w:orient="portrait"/>
          <w:cols w:equalWidth="0" w:num="1">
            <w:col w:w="10984"/>
          </w:cols>
          <w:pgMar w:left="436" w:top="270" w:right="479" w:bottom="1440" w:gutter="0" w:footer="0" w:header="0"/>
        </w:sectPr>
      </w:pPr>
    </w:p>
    <w:bookmarkStart w:id="450" w:name="page451"/>
    <w:bookmarkEnd w:id="450"/>
    <w:p>
      <w:pPr>
        <w:ind w:left="800" w:hanging="404"/>
        <w:spacing w:after="0"/>
        <w:tabs>
          <w:tab w:leader="none" w:pos="800"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Forfeiture Events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0" w:right="40" w:firstLine="987"/>
        <w:spacing w:after="0" w:line="254" w:lineRule="auto"/>
        <w:tabs>
          <w:tab w:leader="none" w:pos="1321"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Awards under the Plan will be subject to recoupment under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in an Award Agreement as the Administrator determines necessary or appropriate, including but not limited to a reacquisition right regarding previously acquired Shares or other cash or property. Unless this Section 22 is specifically mentioned and waived in an Award Agreement or other document, no recovery of compensation under a clawback policy or otherwise will be an event that triggers or contributes to any right of a Participant to resign for “good reason” or “constructive termination” (or similar term) under any agreement with the Company or a Subsidiary or Parent of the Company.</w:t>
      </w:r>
    </w:p>
    <w:p>
      <w:pPr>
        <w:spacing w:after="0" w:line="191" w:lineRule="exact"/>
        <w:rPr>
          <w:rFonts w:ascii="Times New Roman" w:cs="Times New Roman" w:eastAsia="Times New Roman" w:hAnsi="Times New Roman"/>
          <w:sz w:val="18"/>
          <w:szCs w:val="18"/>
          <w:color w:val="auto"/>
        </w:rPr>
      </w:pPr>
    </w:p>
    <w:p>
      <w:pPr>
        <w:ind w:left="-40" w:right="20" w:firstLine="987"/>
        <w:spacing w:after="0" w:line="258" w:lineRule="auto"/>
        <w:tabs>
          <w:tab w:leader="none" w:pos="1338"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Such events may include, but will not be limited to, termination of such Participant’s status as Service Provider for cause or any specified action or inaction by a Participant, whether before or after such termination of service, that would constitute cause for termination of such Participant’s status as a Service Provider.</w:t>
      </w:r>
    </w:p>
    <w:p>
      <w:pPr>
        <w:spacing w:after="0" w:line="183" w:lineRule="exact"/>
        <w:rPr>
          <w:rFonts w:ascii="Times New Roman" w:cs="Times New Roman" w:eastAsia="Times New Roman" w:hAnsi="Times New Roman"/>
          <w:sz w:val="18"/>
          <w:szCs w:val="18"/>
          <w:color w:val="auto"/>
        </w:rPr>
      </w:pPr>
    </w:p>
    <w:p>
      <w:pPr>
        <w:ind w:left="-40" w:firstLine="436"/>
        <w:spacing w:after="0" w:line="282" w:lineRule="auto"/>
        <w:tabs>
          <w:tab w:leader="none" w:pos="805"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62" w:lineRule="exact"/>
        <w:rPr>
          <w:sz w:val="20"/>
          <w:szCs w:val="20"/>
          <w:color w:val="auto"/>
        </w:rPr>
      </w:pPr>
    </w:p>
    <w:p>
      <w:pPr>
        <w:ind w:left="4580"/>
        <w:spacing w:after="0"/>
        <w:tabs>
          <w:tab w:leader="none" w:pos="5380" w:val="left"/>
          <w:tab w:leader="none" w:pos="6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20"/>
          </w:cols>
          <w:pgMar w:left="480" w:top="270" w:right="499" w:bottom="1440" w:gutter="0" w:footer="0" w:header="0"/>
        </w:sectPr>
      </w:pPr>
    </w:p>
    <w:bookmarkStart w:id="451" w:name="page452"/>
    <w:bookmarkEnd w:id="451"/>
    <w:p>
      <w:pPr>
        <w:ind w:left="4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PMV PHARMACEUTICALS, INC.</w:t>
      </w:r>
    </w:p>
    <w:p>
      <w:pPr>
        <w:spacing w:after="0" w:line="3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p>
      <w:pPr>
        <w:spacing w:after="0" w:line="9"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207"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Unless otherwise defined herein, the terms defined in the PMV Pharmaceuticals, Inc. 2020 Equity Incentive Plan (the “Plan”) will have the same defined meanings in this Stock Option Agreement which includes the Notice of Stock Option Grant, the Terms and Conditions of Stock Option Grant,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all appendices and exhibits attached thereto (all together, the “Option Agreement”).</w:t>
      </w:r>
    </w:p>
    <w:p>
      <w:pPr>
        <w:spacing w:after="0" w:line="3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NOTICE OF STOCK OPTION GRANT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Address:</w:t>
      </w:r>
    </w:p>
    <w:p>
      <w:pPr>
        <w:spacing w:after="0" w:line="207"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undersigned Participant has been granted an Option to purchase Common Stock of PMV Pharmaceuticals, Inc. (the “Company”), subject to the terms and conditions of the Plan and this Option Agreement, as follows:</w:t>
      </w:r>
    </w:p>
    <w:p>
      <w:pPr>
        <w:sectPr>
          <w:pgSz w:w="11900" w:h="16838" w:orient="portrait"/>
          <w:cols w:equalWidth="0" w:num="1">
            <w:col w:w="10900"/>
          </w:cols>
          <w:pgMar w:left="440" w:top="266" w:right="559" w:bottom="1440" w:gutter="0" w:footer="0" w:header="0"/>
        </w:sectPr>
      </w:pP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Grant Number:</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of Grant: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Vesting Commencement Date:</w:t>
      </w:r>
    </w:p>
    <w:p>
      <w:pPr>
        <w:spacing w:after="0" w:line="1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Number of Shares Granted:</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Exercise Price per Share: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Exercise Price: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Type of Option:</w:t>
      </w:r>
    </w:p>
    <w:p>
      <w:pPr>
        <w:spacing w:after="0" w:line="200" w:lineRule="exact"/>
        <w:rPr>
          <w:sz w:val="20"/>
          <w:szCs w:val="20"/>
          <w:color w:val="auto"/>
        </w:rPr>
      </w:pPr>
    </w:p>
    <w:p>
      <w:pPr>
        <w:spacing w:after="0" w:line="2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Term/Expiration Date: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-830580</wp:posOffset>
            </wp:positionV>
            <wp:extent cx="214249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214249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-624840</wp:posOffset>
            </wp:positionV>
            <wp:extent cx="2142490"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14249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-419100</wp:posOffset>
            </wp:positionV>
            <wp:extent cx="2142490" cy="825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2142490"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-213360</wp:posOffset>
            </wp:positionV>
            <wp:extent cx="2142490"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2142490" cy="8255"/>
                    </a:xfrm>
                    <a:prstGeom prst="rect">
                      <a:avLst/>
                    </a:prstGeom>
                    <a:noFill/>
                  </pic:spPr>
                </pic:pic>
              </a:graphicData>
            </a:graphic>
          </wp:anchor>
        </w:drawing>
        <w:drawing>
          <wp:anchor simplePos="0" relativeHeight="251657728" behindDoc="1" locked="0" layoutInCell="0" allowOverlap="1">
            <wp:simplePos x="0" y="0"/>
            <wp:positionH relativeFrom="column">
              <wp:posOffset>62865</wp:posOffset>
            </wp:positionH>
            <wp:positionV relativeFrom="paragraph">
              <wp:posOffset>-7620</wp:posOffset>
            </wp:positionV>
            <wp:extent cx="2085340"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2085340" cy="8890"/>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-7620</wp:posOffset>
            </wp:positionV>
            <wp:extent cx="2085340"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2085340" cy="8255"/>
                    </a:xfrm>
                    <a:prstGeom prst="rect">
                      <a:avLst/>
                    </a:prstGeom>
                    <a:noFill/>
                  </pic:spPr>
                </pic:pic>
              </a:graphicData>
            </a:graphic>
          </wp:anchor>
        </w:drawing>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 Incentive Stock Option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 Nonstatutory Stock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197485</wp:posOffset>
            </wp:positionV>
            <wp:extent cx="214249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2142490" cy="8890"/>
                    </a:xfrm>
                    <a:prstGeom prst="rect">
                      <a:avLst/>
                    </a:prstGeom>
                    <a:noFill/>
                  </pic:spPr>
                </pic:pic>
              </a:graphicData>
            </a:graphic>
          </wp:anchor>
        </w:drawing>
      </w:r>
    </w:p>
    <w:p>
      <w:pPr>
        <w:spacing w:after="0" w:line="956" w:lineRule="exact"/>
        <w:rPr>
          <w:sz w:val="20"/>
          <w:szCs w:val="20"/>
          <w:color w:val="auto"/>
        </w:rPr>
      </w:pPr>
    </w:p>
    <w:p>
      <w:pPr>
        <w:sectPr>
          <w:pgSz w:w="11900" w:h="16838" w:orient="portrait"/>
          <w:cols w:equalWidth="0" w:num="2">
            <w:col w:w="5220" w:space="720"/>
            <w:col w:w="4960"/>
          </w:cols>
          <w:pgMar w:left="440" w:top="266" w:right="559" w:bottom="1440" w:gutter="0" w:footer="0" w:header="0"/>
          <w:type w:val="continuous"/>
        </w:sectPr>
      </w:pPr>
    </w:p>
    <w:p>
      <w:pPr>
        <w:spacing w:after="0" w:line="25"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Subject to any accelerated vesting as set forth below or in the Plan, this Option will be scheduled to vest in accordance with the following schedule:</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[Twenty-five percent (25%) of the Shares subject to the Option will be scheduled to vest on the one (1) year anniversary of the Vesting Commencement Date, and one forty-eighth (1/48</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of the Shares subject to the Option will be scheduled to vest each month thereafter on the same day of the month as the Vesting Commencement Date (and if there is no corresponding day, on the last day of the month), subject to Participant continuing to be a Service Provider through each such date.]</w:t>
      </w:r>
    </w:p>
    <w:p>
      <w:pPr>
        <w:sectPr>
          <w:pgSz w:w="11900" w:h="16838" w:orient="portrait"/>
          <w:cols w:equalWidth="0" w:num="1">
            <w:col w:w="10900"/>
          </w:cols>
          <w:pgMar w:left="440" w:top="266" w:right="559" w:bottom="1440" w:gutter="0" w:footer="0" w:header="0"/>
          <w:type w:val="continuous"/>
        </w:sectPr>
      </w:pPr>
    </w:p>
    <w:bookmarkStart w:id="452" w:name="page453"/>
    <w:bookmarkEnd w:id="452"/>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the foregoing, the vesting of the Option shall be subject to any vesting acceleration provisions applicable to the Option contained in any employment or service agreement, offer letter, change in control severance agreement, change of control severance policy, or any other agreement that, prior to and effective as of the date of this Option Agreement, has been entered into between Participant and the Company or any parent or subsidiary corporation of the Company (such agreement, a “Separate Agreement”) to the extent not otherwise duplicative of the vesting terms described above.</w:t>
      </w:r>
    </w:p>
    <w:p>
      <w:pPr>
        <w:spacing w:after="0" w:line="29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Termination Period</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the event of cessation of Participant’s status as a Service Provider, this Option will be exercisable, to the extent vested, for a period of three</w:t>
      </w:r>
    </w:p>
    <w:p>
      <w:pPr>
        <w:spacing w:after="0" w:line="27" w:lineRule="exact"/>
        <w:rPr>
          <w:sz w:val="20"/>
          <w:szCs w:val="20"/>
          <w:color w:val="auto"/>
        </w:rPr>
      </w:pPr>
    </w:p>
    <w:p>
      <w:pPr>
        <w:ind w:left="4" w:hanging="4"/>
        <w:spacing w:after="0" w:line="253" w:lineRule="auto"/>
        <w:tabs>
          <w:tab w:leader="none" w:pos="259"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after Participant ceases to be a Service Provider, unless such termination is due to Participant’s death or Disability, in which case this Option will be exercisable, to the extent vested, for a period of twelve (12) months after Participant ceases to be a Service Provider. Notwithstanding the foregoing sentence, in no event may this Option be exercised after the Term/Expiration Date as provided above and may be subject to earlier termination as provided in Section 14 of the Plan.</w:t>
      </w:r>
    </w:p>
    <w:p>
      <w:pPr>
        <w:spacing w:after="0" w:line="189"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By Participant’s signature and the signature of the representative of the Company below, Participant and the Company agree that this Option is granted under and governed by the terms and conditions of the Plan and this Option Agreement, including the Terms and Conditions of Stock Option Grant,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all of which are made a part of this document. Participant acknowledges receipt of a copy of the Plan. Participant has reviewed the Plan and this Option Agreement in their entirety, has had an opportunity to obtain the advice of counsel prior to executing this Option Agreement, and fully understands all provisions of the Plan and this Option Agreement. Participant hereby agrees to accept as binding, conclusive, and final all decisions or interpretations of the Administrator upon any questions relating to the Plan and the Option Agreement. Participant further agrees to notify the Company upon any change in the residence address indicated below.</w:t>
      </w:r>
    </w:p>
    <w:p>
      <w:pPr>
        <w:spacing w:after="0" w:line="216" w:lineRule="exact"/>
        <w:rPr>
          <w:sz w:val="20"/>
          <w:szCs w:val="20"/>
          <w:color w:val="auto"/>
        </w:rPr>
      </w:pPr>
    </w:p>
    <w:p>
      <w:pPr>
        <w:ind w:left="4"/>
        <w:spacing w:after="0"/>
        <w:tabs>
          <w:tab w:leader="none" w:pos="6264" w:val="left"/>
        </w:tabs>
        <w:rPr>
          <w:sz w:val="20"/>
          <w:szCs w:val="20"/>
          <w:color w:val="auto"/>
        </w:rPr>
      </w:pPr>
      <w:r>
        <w:rPr>
          <w:rFonts w:ascii="Times New Roman" w:cs="Times New Roman" w:eastAsia="Times New Roman" w:hAnsi="Times New Roman"/>
          <w:sz w:val="18"/>
          <w:szCs w:val="18"/>
          <w:color w:val="auto"/>
        </w:rPr>
        <w:t>PARTICIPANT</w:t>
      </w:r>
      <w:r>
        <w:rPr>
          <w:sz w:val="20"/>
          <w:szCs w:val="20"/>
          <w:color w:val="auto"/>
        </w:rPr>
        <w:tab/>
      </w:r>
      <w:r>
        <w:rPr>
          <w:rFonts w:ascii="Times New Roman" w:cs="Times New Roman" w:eastAsia="Times New Roman" w:hAnsi="Times New Roman"/>
          <w:sz w:val="18"/>
          <w:szCs w:val="18"/>
          <w:color w:val="auto"/>
        </w:rPr>
        <w:t>PMV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291465</wp:posOffset>
            </wp:positionV>
            <wp:extent cx="699516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04"/>
          </w:cols>
          <w:pgMar w:left="436" w:top="270" w:right="4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291465</wp:posOffset>
            </wp:positionV>
            <wp:extent cx="3086100"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Print Name</w:t>
      </w:r>
    </w:p>
    <w:p>
      <w:pPr>
        <w:spacing w:after="0" w:line="200" w:lineRule="exact"/>
        <w:rPr>
          <w:sz w:val="20"/>
          <w:szCs w:val="20"/>
          <w:color w:val="auto"/>
        </w:rPr>
      </w:pPr>
    </w:p>
    <w:p>
      <w:pPr>
        <w:spacing w:after="0" w:line="2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154305</wp:posOffset>
            </wp:positionV>
            <wp:extent cx="3086100"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30861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445770</wp:posOffset>
            </wp:positionV>
            <wp:extent cx="308610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30861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291465</wp:posOffset>
            </wp:positionV>
            <wp:extent cx="300037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154305</wp:posOffset>
            </wp:positionV>
            <wp:extent cx="3000375" cy="825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00037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415" w:lineRule="exact"/>
        <w:rPr>
          <w:sz w:val="20"/>
          <w:szCs w:val="20"/>
          <w:color w:val="auto"/>
        </w:rPr>
      </w:pPr>
    </w:p>
    <w:p>
      <w:pPr>
        <w:sectPr>
          <w:pgSz w:w="11900" w:h="16838" w:orient="portrait"/>
          <w:cols w:equalWidth="0" w:num="2">
            <w:col w:w="5564" w:space="720"/>
            <w:col w:w="4720"/>
          </w:cols>
          <w:pgMar w:left="436" w:top="270"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7"/>
          <w:szCs w:val="17"/>
          <w:color w:val="auto"/>
        </w:rPr>
        <w:t>- 2 -</w:t>
      </w:r>
    </w:p>
    <w:p>
      <w:pPr>
        <w:sectPr>
          <w:pgSz w:w="11900" w:h="16838" w:orient="portrait"/>
          <w:cols w:equalWidth="0" w:num="1">
            <w:col w:w="11004"/>
          </w:cols>
          <w:pgMar w:left="436" w:top="270" w:right="459" w:bottom="1440" w:gutter="0" w:footer="0" w:header="0"/>
          <w:type w:val="continuous"/>
        </w:sectPr>
      </w:pPr>
    </w:p>
    <w:bookmarkStart w:id="453" w:name="page454"/>
    <w:bookmarkEnd w:id="45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AND CONDITIONS OF STOCK OPTION GRANT</w:t>
      </w:r>
    </w:p>
    <w:p>
      <w:pPr>
        <w:spacing w:after="0" w:line="229" w:lineRule="exact"/>
        <w:rPr>
          <w:sz w:val="20"/>
          <w:szCs w:val="20"/>
          <w:color w:val="auto"/>
        </w:rPr>
      </w:pPr>
    </w:p>
    <w:p>
      <w:pPr>
        <w:ind w:left="760" w:hanging="324"/>
        <w:spacing w:after="0"/>
        <w:tabs>
          <w:tab w:leader="none" w:pos="76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20" w:firstLine="987"/>
        <w:spacing w:after="0" w:line="258" w:lineRule="auto"/>
        <w:tabs>
          <w:tab w:leader="none" w:pos="1368"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hereby grants to the individual (“Participant”) named in the Notice of Stock Option Grant of this Option Agreement (the “Notice of Grant”) an option (the “Option”) to purchase the number of Shares set forth in the Notice of Grant, at the exercise price per Share set forth in the Notice of Grant (the “Exercise Price”), subject to all of the terms and conditions in this Option Agreement and the Plan, which is incorporated herein by this reference. Subject to Section 19(c) of the Plan, in the event of a conflict between the terms and conditions of the Plan and the terms and conditions of this Option Agreement, the terms and conditions of the Plan will prevail.</w:t>
      </w:r>
    </w:p>
    <w:p>
      <w:pPr>
        <w:spacing w:after="0" w:line="183" w:lineRule="exact"/>
        <w:rPr>
          <w:rFonts w:ascii="Times New Roman" w:cs="Times New Roman" w:eastAsia="Times New Roman" w:hAnsi="Times New Roman"/>
          <w:sz w:val="18"/>
          <w:szCs w:val="18"/>
          <w:color w:val="auto"/>
        </w:rPr>
      </w:pPr>
    </w:p>
    <w:p>
      <w:pPr>
        <w:ind w:right="60" w:firstLine="987"/>
        <w:spacing w:after="0" w:line="255" w:lineRule="auto"/>
        <w:tabs>
          <w:tab w:leader="none" w:pos="1381"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U.S. taxpayers, the Option will be designated as either an Incentive Stock Option (“ISO”) or a Nonstatutory Stock Option (“NSO”). If designated in the Notice of Grant as an ISO, this Option is intended to qualify as an ISO under Section 422 of the Internal Revenue Code of 1986, as amended (the “Code”). However, if this Option is intended to be an ISO, to the extent that it exceeds the $100,000 rule of Code Section 422(d) it will be treated as an NSO. Further, if for any reason this Option (or portion thereof) will not qualify as an ISO, then, to the extent of such nonqualification, such Option (or portion thereof) shall be regarded as a NSO granted under the Plan. In no event will the Administrator, the Company or any Parent or Subsidiary or any of their respective employees or directors have any liability to Participant (or any other person) due to the failure of the Option to qualify for any reason as an ISO.</w:t>
      </w:r>
    </w:p>
    <w:p>
      <w:pPr>
        <w:spacing w:after="0" w:line="188"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non-U.S. taxpayers, the Option will be designated as an NSO.</w:t>
      </w:r>
    </w:p>
    <w:p>
      <w:pPr>
        <w:spacing w:after="0" w:line="225" w:lineRule="exact"/>
        <w:rPr>
          <w:rFonts w:ascii="Times New Roman" w:cs="Times New Roman" w:eastAsia="Times New Roman" w:hAnsi="Times New Roman"/>
          <w:sz w:val="18"/>
          <w:szCs w:val="18"/>
          <w:color w:val="auto"/>
        </w:rPr>
      </w:pPr>
    </w:p>
    <w:p>
      <w:pPr>
        <w:ind w:right="180" w:firstLine="436"/>
        <w:spacing w:after="0" w:line="261" w:lineRule="auto"/>
        <w:tabs>
          <w:tab w:leader="none" w:pos="755"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Except as provided in Section 3, the Option awarded by this Option Agreement will vest in accordance with the vesting provisions set forth in the Notice of Grant. Shares scheduled to vest on a certain date or upon the occurrence of a certain condition will not vest in Participant in accordance with any of the provisions of this Option Agreement, unless Participant will have been continuously a Service Provider from the Date of Grant until the date such vesting occurs.</w:t>
      </w:r>
    </w:p>
    <w:p>
      <w:pPr>
        <w:spacing w:after="0" w:line="179" w:lineRule="exact"/>
        <w:rPr>
          <w:rFonts w:ascii="Times New Roman" w:cs="Times New Roman" w:eastAsia="Times New Roman" w:hAnsi="Times New Roman"/>
          <w:sz w:val="18"/>
          <w:szCs w:val="18"/>
          <w:color w:val="auto"/>
        </w:rPr>
      </w:pPr>
    </w:p>
    <w:p>
      <w:pPr>
        <w:ind w:firstLine="436"/>
        <w:spacing w:after="0" w:line="266" w:lineRule="auto"/>
        <w:tabs>
          <w:tab w:leader="none" w:pos="755"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Discretion</w:t>
      </w:r>
      <w:r>
        <w:rPr>
          <w:rFonts w:ascii="Times New Roman" w:cs="Times New Roman" w:eastAsia="Times New Roman" w:hAnsi="Times New Roman"/>
          <w:sz w:val="18"/>
          <w:szCs w:val="18"/>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75"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right="320" w:firstLine="987"/>
        <w:spacing w:after="0" w:line="266" w:lineRule="auto"/>
        <w:tabs>
          <w:tab w:leader="none" w:pos="1371"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Exercise</w:t>
      </w:r>
      <w:r>
        <w:rPr>
          <w:rFonts w:ascii="Times New Roman" w:cs="Times New Roman" w:eastAsia="Times New Roman" w:hAnsi="Times New Roman"/>
          <w:sz w:val="18"/>
          <w:szCs w:val="18"/>
          <w:color w:val="auto"/>
        </w:rPr>
        <w:t>. This Option may be exercised only within the term set out in the Notice of Grant, and may be exercised during such term only in accordance with the Vesting Schedule set out in the Notice of Option Grant and with the applicable provisions of the Plan and the terms of this Option Agreement.</w:t>
      </w:r>
    </w:p>
    <w:p>
      <w:pPr>
        <w:spacing w:after="0" w:line="175" w:lineRule="exact"/>
        <w:rPr>
          <w:rFonts w:ascii="Times New Roman" w:cs="Times New Roman" w:eastAsia="Times New Roman" w:hAnsi="Times New Roman"/>
          <w:sz w:val="18"/>
          <w:szCs w:val="18"/>
          <w:color w:val="auto"/>
        </w:rPr>
      </w:pPr>
    </w:p>
    <w:p>
      <w:pPr>
        <w:ind w:right="420" w:firstLine="987"/>
        <w:spacing w:after="0" w:line="282" w:lineRule="auto"/>
        <w:tabs>
          <w:tab w:leader="none" w:pos="1381"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xml:space="preserve">. This Option is exercisable by delivery of an exercise notice (the “Exercise Notice”) in the form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Notice of Grant or in a manner</w:t>
      </w:r>
    </w:p>
    <w:p>
      <w:pPr>
        <w:sectPr>
          <w:pgSz w:w="11900" w:h="16838" w:orient="portrait"/>
          <w:cols w:equalWidth="0" w:num="1">
            <w:col w:w="11000"/>
          </w:cols>
          <w:pgMar w:left="440" w:top="266" w:right="459" w:bottom="1440" w:gutter="0" w:footer="0" w:header="0"/>
        </w:sectPr>
      </w:pPr>
    </w:p>
    <w:bookmarkStart w:id="454" w:name="page455"/>
    <w:bookmarkEnd w:id="454"/>
    <w:p>
      <w:pPr>
        <w:ind w:right="2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pursuant to such procedures as the Administrator may determine, which will state the election to exercise the Option, the number of Shares in respect of which the Option is being exercised (the “Exercised Shares”), and such other representations and agreements as may be required by the Company pursuant to the provisions of the Plan. The Exercise Notice will be completed by Participant and delivered to the Company. The Exercise Notice will be accompanied by payment of the aggregate Exercise Price as to all Exercised Shares and of any Tax Obligations (as defined in Section 6(a)). This Option will be deemed to be exercised upon receipt by the Company of such fully executed Exercise Notice accompanied by the aggregate Exercise Price, together with any applicable Tax Obligations.</w:t>
      </w:r>
    </w:p>
    <w:p>
      <w:pPr>
        <w:spacing w:after="0" w:line="187" w:lineRule="exact"/>
        <w:rPr>
          <w:sz w:val="20"/>
          <w:szCs w:val="20"/>
          <w:color w:val="auto"/>
        </w:rPr>
      </w:pPr>
    </w:p>
    <w:p>
      <w:pPr>
        <w:ind w:right="340" w:firstLine="436"/>
        <w:spacing w:after="0" w:line="282" w:lineRule="auto"/>
        <w:tabs>
          <w:tab w:leader="none" w:pos="755"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Payment of the aggregate Exercise Price will be by any of the following, or a combination thereof, at the election of Participant:</w:t>
      </w:r>
    </w:p>
    <w:p>
      <w:pPr>
        <w:spacing w:after="0" w:line="161"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22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w:t>
      </w:r>
    </w:p>
    <w:p>
      <w:pPr>
        <w:spacing w:after="0" w:line="225"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received by the Company under a formal cashless exercise program adopted by the Company in connection with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or</w:t>
      </w:r>
    </w:p>
    <w:p>
      <w:pPr>
        <w:spacing w:after="0" w:line="206" w:lineRule="exact"/>
        <w:rPr>
          <w:rFonts w:ascii="Times New Roman" w:cs="Times New Roman" w:eastAsia="Times New Roman" w:hAnsi="Times New Roman"/>
          <w:sz w:val="18"/>
          <w:szCs w:val="18"/>
          <w:color w:val="auto"/>
        </w:rPr>
      </w:pPr>
    </w:p>
    <w:p>
      <w:pPr>
        <w:ind w:right="220" w:firstLine="987"/>
        <w:spacing w:after="0" w:line="289" w:lineRule="auto"/>
        <w:tabs>
          <w:tab w:leader="none" w:pos="1381" w:val="left"/>
        </w:tabs>
        <w:numPr>
          <w:ilvl w:val="1"/>
          <w:numId w:val="3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Participant is a U.S. employee, surrender of other Shares which have a Fair Market Value on the date of surrender equal to the aggregate Exercise Price of the Exercised Shares and that are owned free and clear of any liens, claims, encumbrances, or security interests, provided that accepting such Shares, in the sole discretion of the Administrator, will not result in any adverse accounting consequences to the Company.</w:t>
      </w:r>
    </w:p>
    <w:p>
      <w:pPr>
        <w:spacing w:after="0" w:line="157" w:lineRule="exact"/>
        <w:rPr>
          <w:rFonts w:ascii="Times New Roman" w:cs="Times New Roman" w:eastAsia="Times New Roman" w:hAnsi="Times New Roman"/>
          <w:sz w:val="17"/>
          <w:szCs w:val="17"/>
          <w:color w:val="auto"/>
        </w:rPr>
      </w:pPr>
    </w:p>
    <w:p>
      <w:pPr>
        <w:ind w:left="760" w:hanging="324"/>
        <w:spacing w:after="0"/>
        <w:tabs>
          <w:tab w:leader="none" w:pos="76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987"/>
        <w:spacing w:after="0" w:line="253" w:lineRule="auto"/>
        <w:tabs>
          <w:tab w:leader="none" w:pos="1371" w:val="left"/>
        </w:tabs>
        <w:numPr>
          <w:ilvl w:val="1"/>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Responsibility for Taxes</w:t>
      </w:r>
      <w:r>
        <w:rPr>
          <w:rFonts w:ascii="Times New Roman" w:cs="Times New Roman" w:eastAsia="Times New Roman" w:hAnsi="Times New Roman"/>
          <w:sz w:val="18"/>
          <w:szCs w:val="18"/>
          <w:color w:val="auto"/>
        </w:rPr>
        <w:t>. Participant acknowledges that, regardless of any action taken by the Company or, if different, Participant’s employer (the “Employer”) or any Parent or Subsidiary to which Participant is providing services (together, the Company, Employer and/or Parent or Subsidiary to which Participant is providing services, the “Service Recipient”), the ultimate liability for any tax and/or social insurance liability obligations and requirements in connection with the Option, including, without limitation, (i) all federal, state, and local taxes (including the Participant’s Federal Insurance Contributions Act (FICA) obligation) that are required to be withheld by the Company or the Service Recipient or other payment of tax-related items related to Participant’s participation in the Plan and legally applicable to Participant, (ii) the Participant’s and, to the extent required by the Company (or Service Recipient), the Company’s (or Service Recipient’s) fringe benefit tax liability, if any, associated with the grant, vesting, or exercise of the Option or sale of Shares, and (iii) any other Company (or Service Recipient) taxes the responsibility for which the Participant has, or has agreed to bear, with respect to the Option (or exercise thereof or issuance of Shares thereunder) (collectively, the “Tax Obligations”), is and remains Participant’s responsibility and may exceed the amount actually withheld by the Company or the Service Recipient. Participant further acknowledges that the Company and/or the Service Recipient (A) make no representations or undertakings regarding the treatment of any Tax Obligations in connection with any aspect of the Option, including, but not limited to, the grant, vesting or exercise of the Option, the subsequent sale of Shares acquired pursuant to such exercise and the receipt of any dividends or other distributions,</w:t>
      </w:r>
    </w:p>
    <w:p>
      <w:pPr>
        <w:spacing w:after="0" w:line="119"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2"/>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0960"/>
          </w:cols>
          <w:pgMar w:left="440" w:top="270" w:right="499" w:bottom="1440" w:gutter="0" w:footer="0" w:header="0"/>
        </w:sectPr>
      </w:pPr>
    </w:p>
    <w:bookmarkStart w:id="455" w:name="page456"/>
    <w:bookmarkEnd w:id="455"/>
    <w:p>
      <w:pPr>
        <w:ind w:right="1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(B) do not commit to and are under no obligation to structure the terms of the grant or any aspect of the Option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Company and/or the Service Recipient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187" w:lineRule="exact"/>
        <w:rPr>
          <w:sz w:val="20"/>
          <w:szCs w:val="20"/>
          <w:color w:val="auto"/>
        </w:rPr>
      </w:pPr>
    </w:p>
    <w:p>
      <w:pPr>
        <w:ind w:firstLine="987"/>
        <w:spacing w:after="0" w:line="267" w:lineRule="auto"/>
        <w:tabs>
          <w:tab w:leader="none" w:pos="1381" w:val="left"/>
        </w:tabs>
        <w:numPr>
          <w:ilvl w:val="0"/>
          <w:numId w:val="3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Withholding</w:t>
      </w:r>
      <w:r>
        <w:rPr>
          <w:rFonts w:ascii="Times New Roman" w:cs="Times New Roman" w:eastAsia="Times New Roman" w:hAnsi="Times New Roman"/>
          <w:sz w:val="17"/>
          <w:szCs w:val="17"/>
          <w:color w:val="auto"/>
        </w:rPr>
        <w:t>. When the Option is exercised, Participant generally will recognize immediate U.S. taxable income if Participant is a U.S. taxpayer. If Participant is a non-U.S. taxpayer, Participant will be subject to applicable taxes in his or her jurisdiction. Pursuant to such procedures as the Administrator may specify from time to time, the Company and/or Service Recipient shall withhold the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(i) paying cash, (ii) 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withholding the amount of such Tax Obligations from Participant’s wages or other cash compensation paid to Participant by the Company and/or the Service Recipient, (iv) delivering to the Company already vested and owned Shares having a fair market value equal to such Tax Obligations, or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accounting consequences). To the extent determined appropriate by the Administrator in its discretion, it will have the right (but not the obligation) to satisfy any Tax Obligations by reducing the number of Shares otherwise deliverable to Participant. Further, if Participant is subject to tax in more than one jurisdiction between the Date of Grant and a date of any relevant taxable or tax withholding event, as applicable, Participant acknowledges and agrees that the Company and/or the Service Recipient (and/or former employer, as applicable) may be required to withhold or account for tax in more than one jurisdiction. If Participant fails to make satisfactory arrangements for the payment of any required Tax Obligations hereunder at the time of the Option exercise, Participant acknowledges and agrees that the Company may refuse to honor the exercise and refuse to deliver the Shares if such amounts are not delivered at the time of exercise.</w:t>
      </w:r>
    </w:p>
    <w:p>
      <w:pPr>
        <w:spacing w:after="0" w:line="200" w:lineRule="exact"/>
        <w:rPr>
          <w:rFonts w:ascii="Times New Roman" w:cs="Times New Roman" w:eastAsia="Times New Roman" w:hAnsi="Times New Roman"/>
          <w:sz w:val="17"/>
          <w:szCs w:val="17"/>
          <w:color w:val="auto"/>
        </w:rPr>
      </w:pPr>
    </w:p>
    <w:p>
      <w:pPr>
        <w:spacing w:after="0" w:line="205" w:lineRule="exact"/>
        <w:rPr>
          <w:rFonts w:ascii="Times New Roman" w:cs="Times New Roman" w:eastAsia="Times New Roman" w:hAnsi="Times New Roman"/>
          <w:sz w:val="17"/>
          <w:szCs w:val="17"/>
          <w:color w:val="auto"/>
        </w:rPr>
      </w:pPr>
    </w:p>
    <w:p>
      <w:pPr>
        <w:ind w:right="40" w:firstLine="987"/>
        <w:spacing w:after="0" w:line="261" w:lineRule="auto"/>
        <w:tabs>
          <w:tab w:leader="none" w:pos="1371"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Disqualifying Disposition of ISO Shares</w:t>
      </w:r>
      <w:r>
        <w:rPr>
          <w:rFonts w:ascii="Times New Roman" w:cs="Times New Roman" w:eastAsia="Times New Roman" w:hAnsi="Times New Roman"/>
          <w:sz w:val="18"/>
          <w:szCs w:val="18"/>
          <w:color w:val="auto"/>
        </w:rPr>
        <w:t>. If the Option granted to Participant herein is an ISO, and if Participant sells or otherwise disposes of any of the Shares acquired pursuant to the ISO on or before the later of (i) the date two (2) years after the Date of Grant, or (ii) the date one (1) year after the date of exercise, Participant immediately will notify the Company in writing of such disposition. Participant agrees that Participant may be subject to income tax withholding by the Company on the compensation income recognized by Participant.</w:t>
      </w:r>
    </w:p>
    <w:p>
      <w:pPr>
        <w:spacing w:after="0" w:line="112"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1000"/>
          </w:cols>
          <w:pgMar w:left="440" w:top="270" w:right="459" w:bottom="1440" w:gutter="0" w:footer="0" w:header="0"/>
        </w:sectPr>
      </w:pPr>
    </w:p>
    <w:bookmarkStart w:id="456" w:name="page457"/>
    <w:bookmarkEnd w:id="456"/>
    <w:p>
      <w:pPr>
        <w:ind w:left="-436" w:right="20" w:firstLine="987"/>
        <w:spacing w:after="0" w:line="253" w:lineRule="auto"/>
        <w:tabs>
          <w:tab w:leader="none" w:pos="945"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409A</w:t>
      </w:r>
      <w:r>
        <w:rPr>
          <w:rFonts w:ascii="Times New Roman" w:cs="Times New Roman" w:eastAsia="Times New Roman" w:hAnsi="Times New Roman"/>
          <w:sz w:val="18"/>
          <w:szCs w:val="18"/>
          <w:color w:val="auto"/>
        </w:rPr>
        <w:t>. Under Section 409A, a stock right (such as the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an underlying share on the date of grant (a “discount option”) may be considered “deferred compensation.” A stock right that is a “discount option” may result in (i) income recognition by the recipient of the stock right prior to the exercise of the stock right, (ii) an additional twenty percent (20%) federal income tax, and (iii) potential penalty and interest charges. The “discount option” also may result in additional state income, penalty and interest tax to the recipient of the stock right.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shall be solely responsible for Participant’s costs related to such a determination. In no event will the Company or any of its Parent or Subsidiaries have any liability or obligation to reimburse, indemnify, or hold harmless Participant for any taxes, penalties and interest that may be imposed, or other costs that may be incurred, as a result of Section 409A.</w:t>
      </w:r>
    </w:p>
    <w:p>
      <w:pPr>
        <w:spacing w:after="0" w:line="191" w:lineRule="exact"/>
        <w:rPr>
          <w:rFonts w:ascii="Times New Roman" w:cs="Times New Roman" w:eastAsia="Times New Roman" w:hAnsi="Times New Roman"/>
          <w:sz w:val="18"/>
          <w:szCs w:val="18"/>
          <w:color w:val="auto"/>
        </w:rPr>
      </w:pPr>
    </w:p>
    <w:p>
      <w:pPr>
        <w:ind w:left="-436" w:right="40" w:firstLine="436"/>
        <w:spacing w:after="0" w:line="258" w:lineRule="auto"/>
        <w:tabs>
          <w:tab w:leader="none" w:pos="319"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83" w:lineRule="exact"/>
        <w:rPr>
          <w:rFonts w:ascii="Times New Roman" w:cs="Times New Roman" w:eastAsia="Times New Roman" w:hAnsi="Times New Roman"/>
          <w:sz w:val="18"/>
          <w:szCs w:val="18"/>
          <w:color w:val="auto"/>
        </w:rPr>
      </w:pPr>
    </w:p>
    <w:p>
      <w:pPr>
        <w:ind w:left="-436" w:firstLine="436"/>
        <w:spacing w:after="0" w:line="253" w:lineRule="auto"/>
        <w:tabs>
          <w:tab w:leader="none" w:pos="319"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Continued Service</w:t>
      </w:r>
      <w:r>
        <w:rPr>
          <w:rFonts w:ascii="Times New Roman" w:cs="Times New Roman" w:eastAsia="Times New Roman" w:hAnsi="Times New Roman"/>
          <w:sz w:val="18"/>
          <w:szCs w:val="18"/>
          <w:color w:val="auto"/>
        </w:rPr>
        <w:t>. PARTICIPANT ACKNOWLEDGES AND AGREES THAT THE VESTING OF SHARES PURSUANT TO THE VESTING SCHEDULE HEREOF IS EARNED ONLY BY CONTINUING AS A SERVICE PROVIDER, WHICH UNLESS PROVIDED OTHERWISE UNDER APPLICABLE LAW IS AT THE WILL OF THE COMPANY (OR THE SERVICE RECIPIENT) AND NOT THROUGH THE ACT OF BEING HIRED, BEING GRANTED THIS OPTION OR ACQUIRING SHARES HEREUNDER. PARTICIPANT FURTHER ACKNOWLEDGES AND AGREES THAT THIS OPTION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SERVICE RECIPIENT) TO TERMINATE PARTICIPANT’S RELATIONSHIP AS A SERVICE PROVIDER, SUBJECT TO APPLICABLE LAW, WHICH TERMINATION, UNLESS PROVIDED OTHERWISE UNDER APPLICABLE LAW, MAY BE AT ANY TIME, WITH OR WITHOUT CAUSE.</w:t>
      </w:r>
    </w:p>
    <w:p>
      <w:pPr>
        <w:spacing w:after="0" w:line="126" w:lineRule="exact"/>
        <w:rPr>
          <w:rFonts w:ascii="Times New Roman" w:cs="Times New Roman" w:eastAsia="Times New Roman" w:hAnsi="Times New Roman"/>
          <w:sz w:val="18"/>
          <w:szCs w:val="18"/>
          <w:color w:val="auto"/>
        </w:rPr>
      </w:pPr>
    </w:p>
    <w:p>
      <w:pPr>
        <w:ind w:left="5024" w:hanging="106"/>
        <w:spacing w:after="0"/>
        <w:tabs>
          <w:tab w:leader="none" w:pos="5024" w:val="left"/>
        </w:tabs>
        <w:numPr>
          <w:ilvl w:val="2"/>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0564"/>
          </w:cols>
          <w:pgMar w:left="876" w:top="270" w:right="459" w:bottom="1440" w:gutter="0" w:footer="0" w:header="0"/>
        </w:sectPr>
      </w:pPr>
    </w:p>
    <w:bookmarkStart w:id="457" w:name="page458"/>
    <w:bookmarkEnd w:id="457"/>
    <w:p>
      <w:pPr>
        <w:ind w:left="760" w:hanging="324"/>
        <w:spacing w:after="0"/>
        <w:tabs>
          <w:tab w:leader="none" w:pos="760"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Nature of Grant</w:t>
      </w:r>
      <w:r>
        <w:rPr>
          <w:rFonts w:ascii="Times New Roman" w:cs="Times New Roman" w:eastAsia="Times New Roman" w:hAnsi="Times New Roman"/>
          <w:sz w:val="18"/>
          <w:szCs w:val="18"/>
          <w:color w:val="auto"/>
        </w:rPr>
        <w:t>. In accepting the Option, Participant acknowledges, understands and agrees that:</w:t>
      </w:r>
    </w:p>
    <w:p>
      <w:pPr>
        <w:spacing w:after="0" w:line="225" w:lineRule="exact"/>
        <w:rPr>
          <w:rFonts w:ascii="Times New Roman" w:cs="Times New Roman" w:eastAsia="Times New Roman" w:hAnsi="Times New Roman"/>
          <w:sz w:val="18"/>
          <w:szCs w:val="18"/>
          <w:color w:val="auto"/>
        </w:rPr>
      </w:pPr>
    </w:p>
    <w:p>
      <w:pPr>
        <w:ind w:firstLine="987"/>
        <w:spacing w:after="0" w:line="282" w:lineRule="auto"/>
        <w:tabs>
          <w:tab w:leader="none" w:pos="1371"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Option is voluntary and occasional and does not create any contractual or other right to receive future grants of equity awards, or benefits in lieu of equity awards, even if equity awards have been granted in the past;</w:t>
      </w:r>
    </w:p>
    <w:p>
      <w:pPr>
        <w:spacing w:after="0" w:line="161"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option or other grants, if any, will be at the sole discretion of the Administrator;</w:t>
      </w:r>
    </w:p>
    <w:p>
      <w:pPr>
        <w:spacing w:after="0" w:line="225"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voluntarily participating in the Plan;</w:t>
      </w:r>
    </w:p>
    <w:p>
      <w:pPr>
        <w:spacing w:after="0" w:line="22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and any Shares acquired under the Plan are not intended to replace any pension rights or compensation;</w:t>
      </w:r>
    </w:p>
    <w:p>
      <w:pPr>
        <w:spacing w:after="0" w:line="225" w:lineRule="exact"/>
        <w:rPr>
          <w:rFonts w:ascii="Times New Roman" w:cs="Times New Roman" w:eastAsia="Times New Roman" w:hAnsi="Times New Roman"/>
          <w:sz w:val="18"/>
          <w:szCs w:val="18"/>
          <w:color w:val="auto"/>
        </w:rPr>
      </w:pPr>
    </w:p>
    <w:p>
      <w:pPr>
        <w:ind w:right="200" w:firstLine="987"/>
        <w:spacing w:after="0" w:line="266" w:lineRule="auto"/>
        <w:tabs>
          <w:tab w:leader="none" w:pos="1371"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and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75"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underlying the Option is unknown, indeterminable, and cannot be predicted;</w:t>
      </w:r>
    </w:p>
    <w:p>
      <w:pPr>
        <w:spacing w:after="0" w:line="22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underlying Shares do not increase in value, the Option will have no value;</w:t>
      </w:r>
    </w:p>
    <w:p>
      <w:pPr>
        <w:spacing w:after="0" w:line="22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Participant exercises the Option and acquires Shares, the value of such Shares may increase or decrease in value, even below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w:t>
      </w:r>
    </w:p>
    <w:p>
      <w:pPr>
        <w:spacing w:after="0" w:line="206" w:lineRule="exact"/>
        <w:rPr>
          <w:rFonts w:ascii="Times New Roman" w:cs="Times New Roman" w:eastAsia="Times New Roman" w:hAnsi="Times New Roman"/>
          <w:sz w:val="18"/>
          <w:szCs w:val="18"/>
          <w:color w:val="auto"/>
        </w:rPr>
      </w:pPr>
    </w:p>
    <w:p>
      <w:pPr>
        <w:ind w:right="20" w:firstLine="987"/>
        <w:spacing w:after="0" w:line="253" w:lineRule="auto"/>
        <w:tabs>
          <w:tab w:leader="none" w:pos="1341"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Option,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Option Agreement (including by reference in the Notice of Grant to other arrangements or contracts) or determined by the Administrator, (i) Participant’s right to vest in the Option under the Plan, if any, will terminate as of such date and will not be extended by any notice period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Participant’s period of service would not include any contractual notice period or any period of “garden leave” or similar period mandated under employment laws in the jurisdiction where Participant is a Service Provider or Participant’s employment or service agreement, if any, unless Participant is providing bona fide services during such time); and (ii) the period (if any) during which Participant may exercise the Option after such termination of Participant’s status as a Service Provider will commence on the date Participant ceases to actively provide services and will not be extended by any notice period mandated under employment laws in the jurisdiction where Participant is employed or terms of Participant’s engagement agreement, if any; the Administrator shall have the exclusive discretion to determine when Participant is no longer actively providing services for purposes of his or her Option grant (including whether Participant may still be considered to be providing services while on a leave of absence and consistent with local law);</w:t>
      </w:r>
    </w:p>
    <w:p>
      <w:pPr>
        <w:spacing w:after="0" w:line="119"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2"/>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0980"/>
          </w:cols>
          <w:pgMar w:left="440" w:top="270" w:right="479" w:bottom="1440" w:gutter="0" w:footer="0" w:header="0"/>
        </w:sectPr>
      </w:pPr>
    </w:p>
    <w:bookmarkStart w:id="458" w:name="page459"/>
    <w:bookmarkEnd w:id="458"/>
    <w:p>
      <w:pPr>
        <w:jc w:val="both"/>
        <w:ind w:right="180" w:firstLine="987"/>
        <w:spacing w:after="0" w:line="266" w:lineRule="auto"/>
        <w:tabs>
          <w:tab w:leader="none" w:pos="1341"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unless otherwise provided in the Plan or by the Administrator in its discretion, the Option and the benefits evidenced by this Option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17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apply only if Participant is providing services outside the United States:</w:t>
      </w:r>
    </w:p>
    <w:p>
      <w:pPr>
        <w:spacing w:after="0" w:line="225"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2"/>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and the Shares subject to the Option are not part of normal or expected compensation or salary for any purpose;</w:t>
      </w:r>
    </w:p>
    <w:p>
      <w:pPr>
        <w:spacing w:after="0" w:line="225" w:lineRule="exact"/>
        <w:rPr>
          <w:rFonts w:ascii="Times New Roman" w:cs="Times New Roman" w:eastAsia="Times New Roman" w:hAnsi="Times New Roman"/>
          <w:sz w:val="18"/>
          <w:szCs w:val="18"/>
          <w:color w:val="auto"/>
        </w:rPr>
      </w:pPr>
    </w:p>
    <w:p>
      <w:pPr>
        <w:ind w:right="60" w:firstLine="1428"/>
        <w:spacing w:after="0" w:line="266" w:lineRule="auto"/>
        <w:tabs>
          <w:tab w:leader="none" w:pos="1832" w:val="left"/>
        </w:tabs>
        <w:numPr>
          <w:ilvl w:val="2"/>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and agrees that none of the Company, the Service Recipient, or any Parent or Subsidiary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 and</w:t>
      </w:r>
    </w:p>
    <w:p>
      <w:pPr>
        <w:spacing w:after="0" w:line="175" w:lineRule="exact"/>
        <w:rPr>
          <w:rFonts w:ascii="Times New Roman" w:cs="Times New Roman" w:eastAsia="Times New Roman" w:hAnsi="Times New Roman"/>
          <w:sz w:val="18"/>
          <w:szCs w:val="18"/>
          <w:color w:val="auto"/>
        </w:rPr>
      </w:pPr>
    </w:p>
    <w:p>
      <w:pPr>
        <w:ind w:right="20" w:firstLine="1428"/>
        <w:spacing w:after="0" w:line="254" w:lineRule="auto"/>
        <w:tabs>
          <w:tab w:leader="none" w:pos="1882" w:val="left"/>
        </w:tabs>
        <w:numPr>
          <w:ilvl w:val="2"/>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the Option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Option to which Participant is otherwise not entitled, Participant irrevocably agrees never to institute any claim against the Company, any Parent, any Subsidiary or the Service Recipient, waives his or her ability, if any, to bring any such claim, and releases the Company, any Parent or Subsidiary and the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91" w:lineRule="exact"/>
        <w:rPr>
          <w:rFonts w:ascii="Times New Roman" w:cs="Times New Roman" w:eastAsia="Times New Roman" w:hAnsi="Times New Roman"/>
          <w:sz w:val="18"/>
          <w:szCs w:val="18"/>
          <w:color w:val="auto"/>
        </w:rPr>
      </w:pPr>
    </w:p>
    <w:p>
      <w:pPr>
        <w:ind w:right="260" w:firstLine="436"/>
        <w:spacing w:after="0" w:line="261" w:lineRule="auto"/>
        <w:tabs>
          <w:tab w:leader="none" w:pos="845"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Advice Regarding Grant</w:t>
      </w:r>
      <w:r>
        <w:rPr>
          <w:rFonts w:ascii="Times New Roman" w:cs="Times New Roman" w:eastAsia="Times New Roman" w:hAnsi="Times New Roman"/>
          <w:sz w:val="18"/>
          <w:szCs w:val="18"/>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175" w:lineRule="exact"/>
        <w:rPr>
          <w:rFonts w:ascii="Times New Roman" w:cs="Times New Roman" w:eastAsia="Times New Roman" w:hAnsi="Times New Roman"/>
          <w:sz w:val="18"/>
          <w:szCs w:val="18"/>
          <w:color w:val="auto"/>
        </w:rPr>
      </w:pPr>
    </w:p>
    <w:p>
      <w:pPr>
        <w:ind w:left="840" w:hanging="404"/>
        <w:spacing w:after="0"/>
        <w:tabs>
          <w:tab w:leader="none" w:pos="840" w:val="left"/>
        </w:tabs>
        <w:numPr>
          <w:ilvl w:val="0"/>
          <w:numId w:val="3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u w:val="single" w:color="auto"/>
          <w:color w:val="auto"/>
        </w:rPr>
        <w:t>Data Privacy</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 xml:space="preserve"> Participant hereby explicitly and unambiguously consents to the collection, use and transfer, in electronic or other form, of</w:t>
      </w:r>
    </w:p>
    <w:p>
      <w:pPr>
        <w:spacing w:after="0" w:line="42" w:lineRule="exact"/>
        <w:rPr>
          <w:rFonts w:ascii="Times New Roman" w:cs="Times New Roman" w:eastAsia="Times New Roman" w:hAnsi="Times New Roman"/>
          <w:sz w:val="17"/>
          <w:szCs w:val="17"/>
          <w:color w:val="auto"/>
        </w:rPr>
      </w:pPr>
    </w:p>
    <w:p>
      <w:pPr>
        <w:ind w:right="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b w:val="1"/>
          <w:bCs w:val="1"/>
          <w:i w:val="1"/>
          <w:iCs w:val="1"/>
          <w:color w:val="auto"/>
        </w:rPr>
        <w:t>Participant’s personal data as described in this Option Agreement and any other Option grant materials by and among, as applicable, the Employer or other Service Recipient, the Company and any Parent or Subsidiary for the exclusive purpose of implementing, administering and managing Participant’s participation in the Plan.</w:t>
      </w:r>
    </w:p>
    <w:p>
      <w:pPr>
        <w:spacing w:after="0" w:line="290"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Company and the Employer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Options or any</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1000"/>
          </w:cols>
          <w:pgMar w:left="440" w:top="270" w:right="459" w:bottom="1440" w:gutter="0" w:footer="0" w:header="0"/>
        </w:sectPr>
      </w:pPr>
    </w:p>
    <w:bookmarkStart w:id="459" w:name="page460"/>
    <w:bookmarkEnd w:id="459"/>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 entitlement to Shares awarded, canceled, exercised, vested, unvested or outstanding in Participant’s favor (“Data”), for the exclusive purpose of implementing, administering and managing the Plan.</w:t>
      </w:r>
    </w:p>
    <w:p>
      <w:pPr>
        <w:spacing w:after="0" w:line="15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Data may be transferred to a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Participant’s participation in the Plan. Participant understands that Data will be held only as long as is necessary to implement, administer and manage Participant’s participation in the Plan. Participant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Employer will not be adversely affected. The only adverse consequence of refusing or withdrawing Participant’s consent is that the Company would not be able to grant Participant Options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96" w:lineRule="exact"/>
        <w:rPr>
          <w:sz w:val="20"/>
          <w:szCs w:val="20"/>
          <w:color w:val="auto"/>
        </w:rPr>
      </w:pPr>
    </w:p>
    <w:p>
      <w:pPr>
        <w:ind w:right="80" w:firstLine="436"/>
        <w:spacing w:after="0" w:line="312" w:lineRule="auto"/>
        <w:tabs>
          <w:tab w:leader="none" w:pos="845" w:val="left"/>
        </w:tabs>
        <w:numPr>
          <w:ilvl w:val="0"/>
          <w:numId w:val="3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Address for Notices</w:t>
      </w:r>
      <w:r>
        <w:rPr>
          <w:rFonts w:ascii="Times New Roman" w:cs="Times New Roman" w:eastAsia="Times New Roman" w:hAnsi="Times New Roman"/>
          <w:sz w:val="17"/>
          <w:szCs w:val="17"/>
          <w:color w:val="auto"/>
        </w:rPr>
        <w:t>. Any notice to be given to the Company under the terms of this Option Agreement will be addressed to the Company at PMV Pharmaceuticals, Inc., 8 Clarke Drive, Suite 3, Cranbury, NJ 08512, or at such other address as the Company may hereafter designate in writing.</w:t>
      </w:r>
    </w:p>
    <w:p>
      <w:pPr>
        <w:spacing w:after="0" w:line="139" w:lineRule="exact"/>
        <w:rPr>
          <w:rFonts w:ascii="Times New Roman" w:cs="Times New Roman" w:eastAsia="Times New Roman" w:hAnsi="Times New Roman"/>
          <w:sz w:val="17"/>
          <w:szCs w:val="17"/>
          <w:color w:val="auto"/>
        </w:rPr>
      </w:pPr>
    </w:p>
    <w:p>
      <w:pPr>
        <w:ind w:right="80" w:firstLine="436"/>
        <w:spacing w:after="0" w:line="261" w:lineRule="auto"/>
        <w:tabs>
          <w:tab w:leader="none" w:pos="845"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and Acceptance</w:t>
      </w:r>
      <w:r>
        <w:rPr>
          <w:rFonts w:ascii="Times New Roman" w:cs="Times New Roman" w:eastAsia="Times New Roman" w:hAnsi="Times New Roman"/>
          <w:sz w:val="18"/>
          <w:szCs w:val="18"/>
          <w:color w:val="auto"/>
        </w:rPr>
        <w:t>. The Company may, in its sole discretion, decide to deliver any documents related to the Option awarded under the Plan or future options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79" w:lineRule="exact"/>
        <w:rPr>
          <w:rFonts w:ascii="Times New Roman" w:cs="Times New Roman" w:eastAsia="Times New Roman" w:hAnsi="Times New Roman"/>
          <w:sz w:val="18"/>
          <w:szCs w:val="18"/>
          <w:color w:val="auto"/>
        </w:rPr>
      </w:pPr>
    </w:p>
    <w:p>
      <w:pPr>
        <w:ind w:left="840" w:hanging="404"/>
        <w:spacing w:after="0"/>
        <w:tabs>
          <w:tab w:leader="none" w:pos="840"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Option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139"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1000"/>
          </w:cols>
          <w:pgMar w:left="440" w:top="266" w:right="459" w:bottom="1440" w:gutter="0" w:footer="0" w:header="0"/>
        </w:sectPr>
      </w:pPr>
    </w:p>
    <w:bookmarkStart w:id="460" w:name="page461"/>
    <w:bookmarkEnd w:id="460"/>
    <w:p>
      <w:pPr>
        <w:ind w:left="-436" w:right="60" w:firstLine="436"/>
        <w:spacing w:after="0" w:line="266" w:lineRule="auto"/>
        <w:tabs>
          <w:tab w:leader="none" w:pos="409"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Option Agreement Severable</w:t>
      </w:r>
      <w:r>
        <w:rPr>
          <w:rFonts w:ascii="Times New Roman" w:cs="Times New Roman" w:eastAsia="Times New Roman" w:hAnsi="Times New Roman"/>
          <w:sz w:val="18"/>
          <w:szCs w:val="18"/>
          <w:color w:val="auto"/>
        </w:rPr>
        <w:t>. In the event that any provision in this Option Agreement will be held invalid or unenforceable, such provision will be severable from, and such invalidity or unenforceability will not be construed to have any effect on, the remaining provisions of this Option Agreement.</w:t>
      </w:r>
    </w:p>
    <w:p>
      <w:pPr>
        <w:spacing w:after="0" w:line="175" w:lineRule="exact"/>
        <w:rPr>
          <w:rFonts w:ascii="Times New Roman" w:cs="Times New Roman" w:eastAsia="Times New Roman" w:hAnsi="Times New Roman"/>
          <w:sz w:val="18"/>
          <w:szCs w:val="18"/>
          <w:color w:val="auto"/>
        </w:rPr>
      </w:pPr>
    </w:p>
    <w:p>
      <w:pPr>
        <w:ind w:left="-436" w:firstLine="436"/>
        <w:spacing w:after="0" w:line="261" w:lineRule="auto"/>
        <w:tabs>
          <w:tab w:leader="none" w:pos="409"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Either party’s failure to enforce any provision or provisions of this Option Agreement shall not in any way be construed as a waiver of any such provision or provisions, nor prevent that party from thereafter enforcing each and every other provision of this Option Agreement. The rights granted both parties herein are cumulative and shall not constitute a waiver of either party’s right to assert all other legal remedies available to it under the circumstances.</w:t>
      </w:r>
    </w:p>
    <w:p>
      <w:pPr>
        <w:spacing w:after="0" w:line="179" w:lineRule="exact"/>
        <w:rPr>
          <w:rFonts w:ascii="Times New Roman" w:cs="Times New Roman" w:eastAsia="Times New Roman" w:hAnsi="Times New Roman"/>
          <w:sz w:val="18"/>
          <w:szCs w:val="18"/>
          <w:color w:val="auto"/>
        </w:rPr>
      </w:pPr>
    </w:p>
    <w:p>
      <w:pPr>
        <w:ind w:left="-436" w:right="600" w:firstLine="436"/>
        <w:spacing w:after="0" w:line="282" w:lineRule="auto"/>
        <w:tabs>
          <w:tab w:leader="none" w:pos="409"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 of Option</w:t>
      </w:r>
      <w:r>
        <w:rPr>
          <w:rFonts w:ascii="Times New Roman" w:cs="Times New Roman" w:eastAsia="Times New Roman" w:hAnsi="Times New Roman"/>
          <w:sz w:val="18"/>
          <w:szCs w:val="18"/>
          <w:color w:val="auto"/>
        </w:rPr>
        <w:t>. This Option may not be transferred in any manner otherwise than by will or by the laws of descent or distribution and may be exercised during the lifetime of Participant only by Participant.</w:t>
      </w:r>
    </w:p>
    <w:p>
      <w:pPr>
        <w:spacing w:after="0" w:line="161" w:lineRule="exact"/>
        <w:rPr>
          <w:rFonts w:ascii="Times New Roman" w:cs="Times New Roman" w:eastAsia="Times New Roman" w:hAnsi="Times New Roman"/>
          <w:sz w:val="18"/>
          <w:szCs w:val="18"/>
          <w:color w:val="auto"/>
        </w:rPr>
      </w:pPr>
    </w:p>
    <w:p>
      <w:pPr>
        <w:jc w:val="both"/>
        <w:ind w:left="-436" w:right="20" w:firstLine="436"/>
        <w:spacing w:after="0" w:line="261" w:lineRule="auto"/>
        <w:tabs>
          <w:tab w:leader="none" w:pos="409"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Option Agreement to single or multiple assignees, and this Option Agreement shall inure to the benefit of the successors and assigns of the Company. Subject to the restrictions on transfer herein set forth, this Option Agreement shall be binding upon Participant and his or her heirs, executors, administrators, successors and assigns. The rights and obligations of Participant under this Option Agreement may be assigned only with the prior written consent of the Company.</w:t>
      </w:r>
    </w:p>
    <w:p>
      <w:pPr>
        <w:spacing w:after="0" w:line="179" w:lineRule="exact"/>
        <w:rPr>
          <w:rFonts w:ascii="Times New Roman" w:cs="Times New Roman" w:eastAsia="Times New Roman" w:hAnsi="Times New Roman"/>
          <w:sz w:val="18"/>
          <w:szCs w:val="18"/>
          <w:color w:val="auto"/>
        </w:rPr>
      </w:pPr>
    </w:p>
    <w:p>
      <w:pPr>
        <w:ind w:left="-436" w:firstLine="436"/>
        <w:spacing w:after="0" w:line="253" w:lineRule="auto"/>
        <w:tabs>
          <w:tab w:leader="none" w:pos="409"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Conditions to Issuance of Stock</w:t>
      </w:r>
      <w:r>
        <w:rPr>
          <w:rFonts w:ascii="Times New Roman" w:cs="Times New Roman" w:eastAsia="Times New Roman" w:hAnsi="Times New Roman"/>
          <w:sz w:val="18"/>
          <w:szCs w:val="18"/>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exercise of the Options or the purchase by, or issuance of Shares, to Participant (or his or her estate) hereunder, such exercise, purchase or issuance will not occur unless and until such listing, registration, qualification, rule compliance, clearance, consent or approval will have been completed, effected or obtained free of any conditions not acceptable to the Company. Subject to the terms of the Option Agreement and the Plan, the Company shall not be required to issue any certificate or certificates for (or make any entry on the books of the Company or of a duly authorized transfer agent of the Company of) the Shares hereunder prior to the lapse of such reasonable period of time following the date of exercise of the Option as the Administrator may establish from time to time for reasons of administrative convenience.</w:t>
      </w:r>
    </w:p>
    <w:p>
      <w:pPr>
        <w:spacing w:after="0" w:line="194" w:lineRule="exact"/>
        <w:rPr>
          <w:rFonts w:ascii="Times New Roman" w:cs="Times New Roman" w:eastAsia="Times New Roman" w:hAnsi="Times New Roman"/>
          <w:sz w:val="18"/>
          <w:szCs w:val="18"/>
          <w:color w:val="auto"/>
        </w:rPr>
      </w:pPr>
    </w:p>
    <w:p>
      <w:pPr>
        <w:ind w:left="-436" w:right="100" w:firstLine="436"/>
        <w:spacing w:after="0" w:line="282" w:lineRule="auto"/>
        <w:tabs>
          <w:tab w:leader="none" w:pos="409"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Language</w:t>
      </w:r>
      <w:r>
        <w:rPr>
          <w:rFonts w:ascii="Times New Roman" w:cs="Times New Roman" w:eastAsia="Times New Roman" w:hAnsi="Times New Roman"/>
          <w:sz w:val="18"/>
          <w:szCs w:val="18"/>
          <w:color w:val="auto"/>
        </w:rPr>
        <w:t>. If Participant has received this Option Agreement or any other document related to the Plan translated into a language other than English and if the meaning of the translated version is different than the English version, the English version will control.</w:t>
      </w:r>
    </w:p>
    <w:p>
      <w:pPr>
        <w:spacing w:after="0" w:line="161" w:lineRule="exact"/>
        <w:rPr>
          <w:rFonts w:ascii="Times New Roman" w:cs="Times New Roman" w:eastAsia="Times New Roman" w:hAnsi="Times New Roman"/>
          <w:sz w:val="18"/>
          <w:szCs w:val="18"/>
          <w:color w:val="auto"/>
        </w:rPr>
      </w:pPr>
    </w:p>
    <w:p>
      <w:pPr>
        <w:ind w:left="-436" w:right="100" w:firstLine="436"/>
        <w:spacing w:after="0" w:line="266" w:lineRule="auto"/>
        <w:tabs>
          <w:tab w:leader="none" w:pos="409"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Administrator will have the power to interpret the Plan and this Option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w:t>
      </w:r>
    </w:p>
    <w:p>
      <w:pPr>
        <w:spacing w:after="0" w:line="108" w:lineRule="exact"/>
        <w:rPr>
          <w:rFonts w:ascii="Times New Roman" w:cs="Times New Roman" w:eastAsia="Times New Roman" w:hAnsi="Times New Roman"/>
          <w:sz w:val="18"/>
          <w:szCs w:val="18"/>
          <w:color w:val="auto"/>
        </w:rPr>
      </w:pPr>
    </w:p>
    <w:p>
      <w:pPr>
        <w:ind w:left="5024" w:hanging="106"/>
        <w:spacing w:after="0"/>
        <w:tabs>
          <w:tab w:leader="none" w:pos="5024"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0564"/>
          </w:cols>
          <w:pgMar w:left="876" w:top="270" w:right="459" w:bottom="1440" w:gutter="0" w:footer="0" w:header="0"/>
        </w:sectPr>
      </w:pPr>
    </w:p>
    <w:bookmarkStart w:id="461" w:name="page462"/>
    <w:bookmarkEnd w:id="461"/>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Option Agreement.</w:t>
      </w:r>
    </w:p>
    <w:p>
      <w:pPr>
        <w:spacing w:after="0" w:line="176" w:lineRule="exact"/>
        <w:rPr>
          <w:sz w:val="20"/>
          <w:szCs w:val="20"/>
          <w:color w:val="auto"/>
        </w:rPr>
      </w:pPr>
    </w:p>
    <w:p>
      <w:pPr>
        <w:ind w:right="120" w:firstLine="436"/>
        <w:spacing w:after="0" w:line="266" w:lineRule="auto"/>
        <w:tabs>
          <w:tab w:leader="none" w:pos="845"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Suspension or Termination of the Plan</w:t>
      </w:r>
      <w:r>
        <w:rPr>
          <w:rFonts w:ascii="Times New Roman" w:cs="Times New Roman" w:eastAsia="Times New Roman" w:hAnsi="Times New Roman"/>
          <w:sz w:val="18"/>
          <w:szCs w:val="18"/>
          <w:color w:val="auto"/>
        </w:rPr>
        <w:t>. By accepting this Option, Participant expressly warrants that he or she has received an Option under the Plan, and has received, read and understood a description of the Plan. Participant understands that the Plan is discretionary in nature and may be amended, suspended or terminated by the Administrator at any time.</w:t>
      </w:r>
    </w:p>
    <w:p>
      <w:pPr>
        <w:spacing w:after="0" w:line="175" w:lineRule="exact"/>
        <w:rPr>
          <w:rFonts w:ascii="Times New Roman" w:cs="Times New Roman" w:eastAsia="Times New Roman" w:hAnsi="Times New Roman"/>
          <w:sz w:val="18"/>
          <w:szCs w:val="18"/>
          <w:color w:val="auto"/>
        </w:rPr>
      </w:pPr>
    </w:p>
    <w:p>
      <w:pPr>
        <w:ind w:right="140" w:firstLine="436"/>
        <w:spacing w:after="0" w:line="255" w:lineRule="auto"/>
        <w:tabs>
          <w:tab w:leader="none" w:pos="845"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to the Option Agreement</w:t>
      </w:r>
      <w:r>
        <w:rPr>
          <w:rFonts w:ascii="Times New Roman" w:cs="Times New Roman" w:eastAsia="Times New Roman" w:hAnsi="Times New Roman"/>
          <w:sz w:val="18"/>
          <w:szCs w:val="18"/>
          <w:color w:val="auto"/>
        </w:rPr>
        <w:t>. This Option Agreement constitutes the entire understanding of the parties on the subjects covered. Participant expressly warrants that he or she is not accepting this Option Agreement in reliance on any promises, representations, or inducements other than those contained herein. Modifications to this Option Agreement or the Plan can be made only in an express written contract executed by a duly authorized officer of the Company. Notwithstanding anything to the contrary in the Plan or this Option Agreement, the Company reserves the right to revise this Option Agreement as it deems necessary or advisable, in its sole discretion and without the consent of Participant, to comply with Code Section 409A or to otherwise avoid imposition of any additional tax or income recognition under Section 409A of the Code in connection with the Option.</w:t>
      </w:r>
    </w:p>
    <w:p>
      <w:pPr>
        <w:spacing w:after="0" w:line="188" w:lineRule="exact"/>
        <w:rPr>
          <w:rFonts w:ascii="Times New Roman" w:cs="Times New Roman" w:eastAsia="Times New Roman" w:hAnsi="Times New Roman"/>
          <w:sz w:val="18"/>
          <w:szCs w:val="18"/>
          <w:color w:val="auto"/>
        </w:rPr>
      </w:pPr>
    </w:p>
    <w:p>
      <w:pPr>
        <w:ind w:firstLine="436"/>
        <w:spacing w:after="0" w:line="261" w:lineRule="auto"/>
        <w:tabs>
          <w:tab w:leader="none" w:pos="845"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Venue</w:t>
      </w:r>
      <w:r>
        <w:rPr>
          <w:rFonts w:ascii="Times New Roman" w:cs="Times New Roman" w:eastAsia="Times New Roman" w:hAnsi="Times New Roman"/>
          <w:sz w:val="18"/>
          <w:szCs w:val="18"/>
          <w:color w:val="auto"/>
        </w:rPr>
        <w:t>. This Option Agreement and the Option will be governed by the laws of New Jersey, without giving effect to the conflict of law principles thereof. For purposes of litigating any dispute that arises under this Option or this Option Agreement, the parties hereby submit to and consent to the jurisdiction of the State of New Jersey, and agree that such litigation will be conducted in the courts of Middlesex County, New Jersey, or the U.S. federal courts for the District of New Jersey, and no other courts, where this Option is made and/or to be performed.</w:t>
      </w:r>
    </w:p>
    <w:p>
      <w:pPr>
        <w:spacing w:after="0" w:line="179" w:lineRule="exact"/>
        <w:rPr>
          <w:rFonts w:ascii="Times New Roman" w:cs="Times New Roman" w:eastAsia="Times New Roman" w:hAnsi="Times New Roman"/>
          <w:sz w:val="18"/>
          <w:szCs w:val="18"/>
          <w:color w:val="auto"/>
        </w:rPr>
      </w:pPr>
    </w:p>
    <w:p>
      <w:pPr>
        <w:ind w:right="40" w:firstLine="436"/>
        <w:spacing w:after="0" w:line="261" w:lineRule="auto"/>
        <w:tabs>
          <w:tab w:leader="none" w:pos="845"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is incorporated herein by reference. The Plan and this Option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79" w:lineRule="exact"/>
        <w:rPr>
          <w:rFonts w:ascii="Times New Roman" w:cs="Times New Roman" w:eastAsia="Times New Roman" w:hAnsi="Times New Roman"/>
          <w:sz w:val="18"/>
          <w:szCs w:val="18"/>
          <w:color w:val="auto"/>
        </w:rPr>
      </w:pPr>
    </w:p>
    <w:p>
      <w:pPr>
        <w:ind w:right="80" w:firstLine="436"/>
        <w:spacing w:after="0" w:line="256" w:lineRule="auto"/>
        <w:tabs>
          <w:tab w:leader="none" w:pos="845"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Notwithstanding any provisions in this Option Agreement, this Option shall be subject to any special terms and conditions set forth in an appendix (if any) to this Option Agreement for any country whose laws are applicable to Participant and this Option (as determined by the Administrator in its sole discretion) (the “Country Addendum”).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Option Agreement.</w:t>
      </w:r>
    </w:p>
    <w:p>
      <w:pPr>
        <w:spacing w:after="0" w:line="187" w:lineRule="exact"/>
        <w:rPr>
          <w:rFonts w:ascii="Times New Roman" w:cs="Times New Roman" w:eastAsia="Times New Roman" w:hAnsi="Times New Roman"/>
          <w:sz w:val="18"/>
          <w:szCs w:val="18"/>
          <w:color w:val="auto"/>
        </w:rPr>
      </w:pPr>
    </w:p>
    <w:p>
      <w:pPr>
        <w:ind w:right="80" w:firstLine="436"/>
        <w:spacing w:after="0" w:line="282" w:lineRule="auto"/>
        <w:tabs>
          <w:tab w:leader="none" w:pos="845"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 Participant has reviewed with his or her own tax advisors the U.S. federal, state, local and non-U.S. tax consequences of this investment and the transactions</w:t>
      </w:r>
    </w:p>
    <w:p>
      <w:pPr>
        <w:spacing w:after="0" w:line="94"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ectPr>
          <w:pgSz w:w="11900" w:h="16838" w:orient="portrait"/>
          <w:cols w:equalWidth="0" w:num="1">
            <w:col w:w="11000"/>
          </w:cols>
          <w:pgMar w:left="440" w:top="270" w:right="459" w:bottom="1440" w:gutter="0" w:footer="0" w:header="0"/>
        </w:sectPr>
      </w:pPr>
    </w:p>
    <w:bookmarkStart w:id="462" w:name="page463"/>
    <w:bookmarkEnd w:id="46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contemplated by this Option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Option Agreement.</w:t>
      </w:r>
    </w:p>
    <w:p>
      <w:pPr>
        <w:spacing w:after="0" w:line="176" w:lineRule="exact"/>
        <w:rPr>
          <w:sz w:val="20"/>
          <w:szCs w:val="20"/>
          <w:color w:val="auto"/>
        </w:rPr>
      </w:pPr>
    </w:p>
    <w:p>
      <w:pPr>
        <w:ind w:left="4800"/>
        <w:spacing w:after="0"/>
        <w:tabs>
          <w:tab w:leader="none" w:pos="5420" w:val="left"/>
          <w:tab w:leader="none" w:pos="610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440" w:top="270" w:right="559" w:bottom="1440" w:gutter="0" w:footer="0" w:header="0"/>
        </w:sectPr>
      </w:pPr>
    </w:p>
    <w:bookmarkStart w:id="463" w:name="page464"/>
    <w:bookmarkEnd w:id="46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Clarke Drive, Suite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Cranbury, NJ 08512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Stock Administration</w:t>
      </w:r>
    </w:p>
    <w:p>
      <w:pPr>
        <w:spacing w:after="0" w:line="207" w:lineRule="exact"/>
        <w:rPr>
          <w:sz w:val="20"/>
          <w:szCs w:val="20"/>
          <w:color w:val="auto"/>
        </w:rPr>
      </w:pPr>
    </w:p>
    <w:p>
      <w:pPr>
        <w:ind w:left="440"/>
        <w:spacing w:after="0"/>
        <w:tabs>
          <w:tab w:leader="none" w:pos="740" w:val="left"/>
          <w:tab w:leader="none" w:pos="4640" w:val="left"/>
          <w:tab w:leader="none" w:pos="5280" w:val="left"/>
          <w:tab w:leader="none" w:pos="1040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 Effective as of today,</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 the undersigned (“Purchaser”) hereby elects to purchase</w:t>
      </w:r>
      <w:r>
        <w:rPr>
          <w:sz w:val="20"/>
          <w:szCs w:val="20"/>
          <w:color w:val="auto"/>
        </w:rPr>
        <w:tab/>
      </w:r>
      <w:r>
        <w:rPr>
          <w:rFonts w:ascii="Times New Roman" w:cs="Times New Roman" w:eastAsia="Times New Roman" w:hAnsi="Times New Roman"/>
          <w:sz w:val="17"/>
          <w:szCs w:val="17"/>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2393315</wp:posOffset>
            </wp:positionH>
            <wp:positionV relativeFrom="paragraph">
              <wp:posOffset>-7620</wp:posOffset>
            </wp:positionV>
            <wp:extent cx="97091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970915" cy="8255"/>
                    </a:xfrm>
                    <a:prstGeom prst="rect">
                      <a:avLst/>
                    </a:prstGeom>
                    <a:noFill/>
                  </pic:spPr>
                </pic:pic>
              </a:graphicData>
            </a:graphic>
          </wp:anchor>
        </w:drawing>
        <w:drawing>
          <wp:anchor simplePos="0" relativeHeight="251657728" behindDoc="1" locked="0" layoutInCell="0" allowOverlap="1">
            <wp:simplePos x="0" y="0"/>
            <wp:positionH relativeFrom="column">
              <wp:posOffset>6012815</wp:posOffset>
            </wp:positionH>
            <wp:positionV relativeFrom="paragraph">
              <wp:posOffset>-7620</wp:posOffset>
            </wp:positionV>
            <wp:extent cx="571500"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of the Common Stock of PMV Pharmaceuticals, Inc. (the “Company”) under and pursuant to the 2020 Equity Incentive Plan (the “Plan”)</w:t>
      </w:r>
    </w:p>
    <w:tbl>
      <w:tblPr>
        <w:tblLayout w:type="fixed"/>
        <w:tblInd w:w="0" w:type="dxa"/>
        <w:tblCellMar>
          <w:top w:w="0" w:type="dxa"/>
          <w:left w:w="0" w:type="dxa"/>
          <w:bottom w:w="0" w:type="dxa"/>
          <w:right w:w="0" w:type="dxa"/>
        </w:tblCellMar>
      </w:tblPr>
      <w:tr>
        <w:trPr>
          <w:trHeight w:val="185"/>
        </w:trPr>
        <w:tc>
          <w:tcPr>
            <w:tcW w:w="2880" w:type="dxa"/>
            <w:vAlign w:val="bottom"/>
          </w:tcPr>
          <w:p>
            <w:pPr>
              <w:spacing w:after="0" w:line="184" w:lineRule="exact"/>
              <w:rPr>
                <w:sz w:val="20"/>
                <w:szCs w:val="20"/>
                <w:color w:val="auto"/>
              </w:rPr>
            </w:pPr>
            <w:r>
              <w:rPr>
                <w:rFonts w:ascii="Times New Roman" w:cs="Times New Roman" w:eastAsia="Times New Roman" w:hAnsi="Times New Roman"/>
                <w:sz w:val="18"/>
                <w:szCs w:val="18"/>
                <w:color w:val="auto"/>
              </w:rPr>
              <w:t>and the Stock Option Agreement, dated</w:t>
            </w:r>
          </w:p>
        </w:tc>
        <w:tc>
          <w:tcPr>
            <w:tcW w:w="540" w:type="dxa"/>
            <w:vAlign w:val="bottom"/>
            <w:tcBorders>
              <w:bottom w:val="single" w:sz="8" w:color="auto"/>
            </w:tcBorders>
          </w:tcPr>
          <w:p>
            <w:pPr>
              <w:spacing w:after="0"/>
              <w:rPr>
                <w:sz w:val="16"/>
                <w:szCs w:val="16"/>
                <w:color w:val="auto"/>
              </w:rPr>
            </w:pPr>
          </w:p>
        </w:tc>
        <w:tc>
          <w:tcPr>
            <w:tcW w:w="7460" w:type="dxa"/>
            <w:vAlign w:val="bottom"/>
            <w:gridSpan w:val="3"/>
          </w:tcPr>
          <w:p>
            <w:pPr>
              <w:ind w:left="60"/>
              <w:spacing w:after="0" w:line="184" w:lineRule="exact"/>
              <w:rPr>
                <w:sz w:val="20"/>
                <w:szCs w:val="20"/>
                <w:color w:val="auto"/>
              </w:rPr>
            </w:pPr>
            <w:r>
              <w:rPr>
                <w:rFonts w:ascii="Times New Roman" w:cs="Times New Roman" w:eastAsia="Times New Roman" w:hAnsi="Times New Roman"/>
                <w:sz w:val="18"/>
                <w:szCs w:val="18"/>
                <w:color w:val="auto"/>
              </w:rPr>
              <w:t>and including the Notice of Grant, the Terms and Conditions of Stock Option Grant, and exhibits</w:t>
            </w:r>
          </w:p>
        </w:tc>
      </w:tr>
      <w:tr>
        <w:trPr>
          <w:trHeight w:val="196"/>
        </w:trPr>
        <w:tc>
          <w:tcPr>
            <w:tcW w:w="62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auto"/>
                <w:w w:val="99"/>
              </w:rPr>
              <w:t>attached thereto (the “Option Agreement”). The purchase price for the Shares will be $</w:t>
            </w:r>
          </w:p>
        </w:tc>
        <w:tc>
          <w:tcPr>
            <w:tcW w:w="540" w:type="dxa"/>
            <w:vAlign w:val="bottom"/>
            <w:tcBorders>
              <w:bottom w:val="single" w:sz="8" w:color="auto"/>
            </w:tcBorders>
          </w:tcPr>
          <w:p>
            <w:pPr>
              <w:spacing w:after="0"/>
              <w:rPr>
                <w:sz w:val="17"/>
                <w:szCs w:val="17"/>
                <w:color w:val="auto"/>
              </w:rPr>
            </w:pPr>
          </w:p>
        </w:tc>
        <w:tc>
          <w:tcPr>
            <w:tcW w:w="40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9"/>
              </w:rPr>
              <w:t>, as required by the Option Agreement. Unless otherwise</w:t>
            </w:r>
          </w:p>
        </w:tc>
      </w:tr>
    </w:tbl>
    <w:p>
      <w:pPr>
        <w:spacing w:after="0" w:line="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defined herein, capitalized terms used in this Exercise Notice shall be ascribed the same defined meanings as set forth in the Option Agreement (or, as applicable, the Plan or other written agreement or arrangement as specified in the Option Agreement).</w:t>
      </w:r>
    </w:p>
    <w:p>
      <w:pPr>
        <w:spacing w:after="0" w:line="162" w:lineRule="exact"/>
        <w:rPr>
          <w:sz w:val="20"/>
          <w:szCs w:val="20"/>
          <w:color w:val="auto"/>
        </w:rPr>
      </w:pPr>
    </w:p>
    <w:p>
      <w:pPr>
        <w:ind w:firstLine="436"/>
        <w:spacing w:after="0" w:line="282" w:lineRule="auto"/>
        <w:tabs>
          <w:tab w:leader="none" w:pos="755"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Payment</w:t>
      </w:r>
      <w:r>
        <w:rPr>
          <w:rFonts w:ascii="Times New Roman" w:cs="Times New Roman" w:eastAsia="Times New Roman" w:hAnsi="Times New Roman"/>
          <w:sz w:val="18"/>
          <w:szCs w:val="18"/>
          <w:color w:val="auto"/>
        </w:rPr>
        <w:t>. Purchaser herewith delivers to the Company the full purchase price of the Shares and any Tax Obligations (as defined in Section 6(a) of the Option Agreement) to be paid in connection with the exercise of the Option.</w:t>
      </w:r>
    </w:p>
    <w:p>
      <w:pPr>
        <w:spacing w:after="0" w:line="161" w:lineRule="exact"/>
        <w:rPr>
          <w:rFonts w:ascii="Times New Roman" w:cs="Times New Roman" w:eastAsia="Times New Roman" w:hAnsi="Times New Roman"/>
          <w:sz w:val="18"/>
          <w:szCs w:val="18"/>
          <w:color w:val="auto"/>
        </w:rPr>
      </w:pPr>
    </w:p>
    <w:p>
      <w:pPr>
        <w:ind w:right="140" w:firstLine="436"/>
        <w:spacing w:after="0" w:line="282" w:lineRule="auto"/>
        <w:tabs>
          <w:tab w:leader="none" w:pos="755"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Purchaser</w:t>
      </w:r>
      <w:r>
        <w:rPr>
          <w:rFonts w:ascii="Times New Roman" w:cs="Times New Roman" w:eastAsia="Times New Roman" w:hAnsi="Times New Roman"/>
          <w:sz w:val="18"/>
          <w:szCs w:val="18"/>
          <w:color w:val="auto"/>
        </w:rPr>
        <w:t>. Purchaser acknowledges that Purchaser has received, read and understood the Plan and the Option Agreement and agrees to abide by and be bound by their terms and conditions.</w:t>
      </w:r>
    </w:p>
    <w:p>
      <w:pPr>
        <w:spacing w:after="0" w:line="161" w:lineRule="exact"/>
        <w:rPr>
          <w:rFonts w:ascii="Times New Roman" w:cs="Times New Roman" w:eastAsia="Times New Roman" w:hAnsi="Times New Roman"/>
          <w:sz w:val="18"/>
          <w:szCs w:val="18"/>
          <w:color w:val="auto"/>
        </w:rPr>
      </w:pPr>
    </w:p>
    <w:p>
      <w:pPr>
        <w:ind w:firstLine="436"/>
        <w:spacing w:after="0" w:line="258" w:lineRule="auto"/>
        <w:tabs>
          <w:tab w:leader="none" w:pos="755"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14 of the Plan.</w:t>
      </w:r>
    </w:p>
    <w:p>
      <w:pPr>
        <w:spacing w:after="0" w:line="183" w:lineRule="exact"/>
        <w:rPr>
          <w:rFonts w:ascii="Times New Roman" w:cs="Times New Roman" w:eastAsia="Times New Roman" w:hAnsi="Times New Roman"/>
          <w:sz w:val="18"/>
          <w:szCs w:val="18"/>
          <w:color w:val="auto"/>
        </w:rPr>
      </w:pPr>
    </w:p>
    <w:p>
      <w:pPr>
        <w:ind w:right="140" w:firstLine="436"/>
        <w:spacing w:after="0" w:line="266" w:lineRule="auto"/>
        <w:tabs>
          <w:tab w:leader="none" w:pos="755"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Consultation</w:t>
      </w:r>
      <w:r>
        <w:rPr>
          <w:rFonts w:ascii="Times New Roman" w:cs="Times New Roman" w:eastAsia="Times New Roman" w:hAnsi="Times New Roman"/>
          <w:sz w:val="18"/>
          <w:szCs w:val="18"/>
          <w:color w:val="auto"/>
        </w:rPr>
        <w:t>.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w:t>
      </w:r>
    </w:p>
    <w:p>
      <w:pPr>
        <w:sectPr>
          <w:pgSz w:w="11900" w:h="16838" w:orient="portrait"/>
          <w:cols w:equalWidth="0" w:num="1">
            <w:col w:w="11000"/>
          </w:cols>
          <w:pgMar w:left="440" w:top="266" w:right="459" w:bottom="1440" w:gutter="0" w:footer="0" w:header="0"/>
        </w:sectPr>
      </w:pPr>
    </w:p>
    <w:bookmarkStart w:id="464" w:name="page465"/>
    <w:bookmarkEnd w:id="464"/>
    <w:p>
      <w:pPr>
        <w:ind w:firstLine="436"/>
        <w:spacing w:after="0" w:line="258" w:lineRule="auto"/>
        <w:tabs>
          <w:tab w:leader="none" w:pos="755"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Entire Agreement; Governing Law</w:t>
      </w:r>
      <w:r>
        <w:rPr>
          <w:rFonts w:ascii="Times New Roman" w:cs="Times New Roman" w:eastAsia="Times New Roman" w:hAnsi="Times New Roman"/>
          <w:sz w:val="18"/>
          <w:szCs w:val="18"/>
          <w:color w:val="auto"/>
        </w:rPr>
        <w:t>. The Plan and Option Agreement are incorporated herein by reference. This Exercise Notice, the Plan and the Option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Option Agreement is governed by the internal substantive laws, but not the choice of law rules, of NEW JERSEY.</w:t>
      </w:r>
    </w:p>
    <w:p>
      <w:pPr>
        <w:sectPr>
          <w:pgSz w:w="11900" w:h="16838" w:orient="portrait"/>
          <w:cols w:equalWidth="0" w:num="1">
            <w:col w:w="10960"/>
          </w:cols>
          <w:pgMar w:left="440" w:top="270" w:right="499" w:bottom="1440" w:gutter="0" w:footer="0" w:header="0"/>
        </w:sect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Submitted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299085</wp:posOffset>
            </wp:positionV>
            <wp:extent cx="286321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86321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86321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28632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582930</wp:posOffset>
            </wp:positionV>
            <wp:extent cx="286321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PMV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299085</wp:posOffset>
            </wp:positionV>
            <wp:extent cx="286321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jc w:val="center"/>
        <w:ind w:right="464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291465</wp:posOffset>
            </wp:positionV>
            <wp:extent cx="286321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450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222885</wp:posOffset>
            </wp:positionV>
            <wp:extent cx="286321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2863215" cy="8890"/>
                    </a:xfrm>
                    <a:prstGeom prst="rect">
                      <a:avLst/>
                    </a:prstGeom>
                    <a:noFill/>
                  </pic:spPr>
                </pic:pic>
              </a:graphicData>
            </a:graphic>
          </wp:anchor>
        </w:drawing>
      </w:r>
    </w:p>
    <w:p>
      <w:pPr>
        <w:spacing w:after="0" w:line="340" w:lineRule="exact"/>
        <w:rPr>
          <w:sz w:val="20"/>
          <w:szCs w:val="20"/>
          <w:color w:val="auto"/>
        </w:rPr>
      </w:pPr>
    </w:p>
    <w:p>
      <w:pPr>
        <w:jc w:val="center"/>
        <w:ind w:right="500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882015</wp:posOffset>
            </wp:positionV>
            <wp:extent cx="2863215"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00" w:space="720"/>
            <w:col w:w="5340"/>
          </w:cols>
          <w:pgMar w:left="440" w:top="270"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 Received</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0960"/>
          </w:cols>
          <w:pgMar w:left="440" w:top="270" w:right="499" w:bottom="1440" w:gutter="0" w:footer="0" w:header="0"/>
          <w:type w:val="continuous"/>
        </w:sectPr>
      </w:pPr>
    </w:p>
    <w:bookmarkStart w:id="465" w:name="page466"/>
    <w:bookmarkEnd w:id="46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PMV PHARMACEUTICALS,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207"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Unless otherwise defined herein, the terms defined in the PMV Pharmaceuticals, Inc. 2020 Equity Incentive Plan (the “Plan”) will have the same defined meanings in this Restricted Stock Unit Agreement which includes the Notice of Restricted Stock Unit Grant, the Terms and Conditions of Restricted Stock Unit Grant,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all exhibits attached thereto (all together, the “RSU Agreement”).</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NOTICE OF RESTRICTED STOCK UNIT GRANT</w:t>
      </w:r>
    </w:p>
    <w:p>
      <w:pPr>
        <w:spacing w:after="0" w:line="2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Address: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Participant has been granted the right to receive an Award of Restricted Stock Units, subject to the terms and conditions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Plan and this RSU Agreement, as follows:</w:t>
      </w:r>
    </w:p>
    <w:p>
      <w:pPr>
        <w:spacing w:after="0" w:line="2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0</wp:posOffset>
            </wp:positionV>
            <wp:extent cx="321437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0</wp:posOffset>
            </wp:positionV>
            <wp:extent cx="321437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0</wp:posOffset>
            </wp:positionV>
            <wp:extent cx="3214370"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Number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3220720</wp:posOffset>
            </wp:positionH>
            <wp:positionV relativeFrom="paragraph">
              <wp:posOffset>0</wp:posOffset>
            </wp:positionV>
            <wp:extent cx="321437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Subject to any accelerated vesting as set forth below or in the Plan, the Restricted Stock Units will be scheduled to vest in accordance with the following schedule:</w:t>
      </w:r>
    </w:p>
    <w:p>
      <w:pPr>
        <w:spacing w:after="0" w:line="162"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[Twenty-five percent (25%) of the Restricted Stock Units will be scheduled to vest on the first Quarterly Vesting Date following the one (1) year anniversary of the Vesting Commencement Date, and six and one-quarter percent (6.25%) of the Restricted Stock Units will be scheduled to vest each quarter on each Quarterly Vesting Date thereafter, subject to Participant continuing to be a Service Provider through each such date. A “Quarterly Vesting Date” is the first trading day on or after each of February 15, May 15, August 15 and November 15.</w:t>
      </w:r>
      <w:r>
        <w:rPr>
          <w:rFonts w:ascii="Times New Roman" w:cs="Times New Roman" w:eastAsia="Times New Roman" w:hAnsi="Times New Roman"/>
          <w:sz w:val="18"/>
          <w:szCs w:val="18"/>
          <w:b w:val="1"/>
          <w:bCs w:val="1"/>
          <w:color w:val="auto"/>
        </w:rPr>
        <w:t>]</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Notwithstanding the foregoing, the vesting of the Restricted Stock Units shall be subject to any vesting acceleration provisions applicable to the Restricted Stock Units contained in any employment or service agreement, offer letter, change in control severance agreement, change of control severance policy, or any other agreement that, prior to and effective as of the date of this RSU Agreement, has been entered into between Participant and the Company or any parent or subsidiary corporation of the Company (such agreement, a “Separate Agreement”) to the extent not otherwise duplicative of the vesting terms described above.</w:t>
      </w:r>
    </w:p>
    <w:p>
      <w:pPr>
        <w:sectPr>
          <w:pgSz w:w="11900" w:h="16838" w:orient="portrait"/>
          <w:cols w:equalWidth="0" w:num="1">
            <w:col w:w="10980"/>
          </w:cols>
          <w:pgMar w:left="440" w:top="266" w:right="479" w:bottom="1440" w:gutter="0" w:footer="0" w:header="0"/>
        </w:sectPr>
      </w:pPr>
    </w:p>
    <w:bookmarkStart w:id="466" w:name="page467"/>
    <w:bookmarkEnd w:id="466"/>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the event Participant ceases to be a Service Provider for any or no reason before Participant vests in the Restricted Stock Units, the Restricted Stock Units and Participant’s right to acquire any Shares hereunder will immediately terminate.</w:t>
      </w:r>
    </w:p>
    <w:p>
      <w:pPr>
        <w:spacing w:after="0" w:line="162"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 xml:space="preserve">By Participant’s signature and the signature of the representative of PMV Pharmaceuticals, Inc. (the “Company”) below, Participant and the Company agree that this Award of Restricted Stock Units is granted under and governed by the terms and conditions of the Plan and this RSU Agreement, including the Terms and Conditions of Restricted Stock Unit Grant,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all of which are made a part of this document. Participant acknowledges receipt of a copy of the Plan. Participant has reviewed the Plan and this RSU Agreement in their entirety, has had an opportunity to obtain the advice of counsel prior to executing this RSU Agreement, and fully understands all provisions of the Plan and this RSU Agreement. Participant hereby agrees to accept as binding, conclusive, and final all decisions or interpretations of the Administrator upon any questions relating to the Plan and the RSU Agreement. Participant further agrees to notify the Company upon any change in the residence address indicated below.</w:t>
      </w:r>
    </w:p>
    <w:p>
      <w:pPr>
        <w:spacing w:after="0" w:line="198"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PARTICIPANT</w:t>
      </w:r>
      <w:r>
        <w:rPr>
          <w:sz w:val="20"/>
          <w:szCs w:val="20"/>
          <w:color w:val="auto"/>
        </w:rPr>
        <w:tab/>
      </w:r>
      <w:r>
        <w:rPr>
          <w:rFonts w:ascii="Times New Roman" w:cs="Times New Roman" w:eastAsia="Times New Roman" w:hAnsi="Times New Roman"/>
          <w:sz w:val="18"/>
          <w:szCs w:val="18"/>
          <w:color w:val="auto"/>
        </w:rPr>
        <w:t>PMV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643763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437630" cy="825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86321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291465</wp:posOffset>
            </wp:positionV>
            <wp:extent cx="2863215"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286321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582930</wp:posOffset>
            </wp:positionV>
            <wp:extent cx="2863215"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jc w:val="center"/>
        <w:ind w:right="468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291465</wp:posOffset>
            </wp:positionV>
            <wp:extent cx="286321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454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291465</wp:posOffset>
            </wp:positionV>
            <wp:extent cx="286321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286321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5040"/>
        <w:spacing w:after="0"/>
        <w:rPr>
          <w:sz w:val="20"/>
          <w:szCs w:val="20"/>
          <w:color w:val="auto"/>
        </w:rPr>
      </w:pPr>
      <w:r>
        <w:rPr>
          <w:rFonts w:ascii="Times New Roman" w:cs="Times New Roman" w:eastAsia="Times New Roman" w:hAnsi="Times New Roman"/>
          <w:sz w:val="17"/>
          <w:szCs w:val="17"/>
          <w:color w:val="auto"/>
        </w:rPr>
        <w:t>Title</w:t>
      </w:r>
    </w:p>
    <w:p>
      <w:pPr>
        <w:spacing w:after="0" w:line="643" w:lineRule="exact"/>
        <w:rPr>
          <w:sz w:val="20"/>
          <w:szCs w:val="20"/>
          <w:color w:val="auto"/>
        </w:rPr>
      </w:pPr>
    </w:p>
    <w:p>
      <w:pPr>
        <w:sectPr>
          <w:pgSz w:w="11900" w:h="16838" w:orient="portrait"/>
          <w:cols w:equalWidth="0" w:num="2">
            <w:col w:w="4900" w:space="720"/>
            <w:col w:w="5380"/>
          </w:cols>
          <w:pgMar w:left="440" w:top="270" w:right="4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- 2 -</w:t>
      </w:r>
    </w:p>
    <w:p>
      <w:pPr>
        <w:sectPr>
          <w:pgSz w:w="11900" w:h="16838" w:orient="portrait"/>
          <w:cols w:equalWidth="0" w:num="1">
            <w:col w:w="11000"/>
          </w:cols>
          <w:pgMar w:left="440" w:top="270" w:right="459" w:bottom="1440" w:gutter="0" w:footer="0" w:header="0"/>
          <w:type w:val="continuous"/>
        </w:sectPr>
      </w:pPr>
    </w:p>
    <w:bookmarkStart w:id="467" w:name="page468"/>
    <w:bookmarkEnd w:id="46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 OF RESTRICTED STOCK UNIT GRANT</w:t>
      </w:r>
    </w:p>
    <w:p>
      <w:pPr>
        <w:spacing w:after="0" w:line="229" w:lineRule="exact"/>
        <w:rPr>
          <w:sz w:val="20"/>
          <w:szCs w:val="20"/>
          <w:color w:val="auto"/>
        </w:rPr>
      </w:pPr>
    </w:p>
    <w:p>
      <w:pPr>
        <w:ind w:left="-20" w:firstLine="436"/>
        <w:spacing w:after="0" w:line="281" w:lineRule="auto"/>
        <w:tabs>
          <w:tab w:leader="none" w:pos="735" w:val="left"/>
        </w:tabs>
        <w:numPr>
          <w:ilvl w:val="0"/>
          <w:numId w:val="3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Grant of Restricted Stock Units</w:t>
      </w:r>
      <w:r>
        <w:rPr>
          <w:rFonts w:ascii="Times New Roman" w:cs="Times New Roman" w:eastAsia="Times New Roman" w:hAnsi="Times New Roman"/>
          <w:sz w:val="17"/>
          <w:szCs w:val="17"/>
          <w:color w:val="auto"/>
        </w:rPr>
        <w:t>. The Company hereby grants to the individual (“Participant”) named in the Notice of Grant of Restricted Stock Units of this RSU Agreement (the “Notice of Grant”) under the Plan an Award of Restricted Stock Units, subject to all of the terms and conditions in this RSU Agreement and the Plan, which is incorporated herein by reference. Subject to Section 19(c) of the Plan, in the event of a conflict between the terms and conditions of the Plan and the terms and conditions of this RSU Agreement, the terms and conditions of the Plan will prevail.</w:t>
      </w:r>
    </w:p>
    <w:p>
      <w:pPr>
        <w:spacing w:after="0" w:line="164" w:lineRule="exact"/>
        <w:rPr>
          <w:rFonts w:ascii="Times New Roman" w:cs="Times New Roman" w:eastAsia="Times New Roman" w:hAnsi="Times New Roman"/>
          <w:sz w:val="17"/>
          <w:szCs w:val="17"/>
          <w:color w:val="auto"/>
        </w:rPr>
      </w:pPr>
    </w:p>
    <w:p>
      <w:pPr>
        <w:ind w:left="-20" w:right="100" w:firstLine="436"/>
        <w:spacing w:after="0" w:line="261" w:lineRule="auto"/>
        <w:tabs>
          <w:tab w:leader="none" w:pos="735"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Obligation to Pay</w:t>
      </w:r>
      <w:r>
        <w:rPr>
          <w:rFonts w:ascii="Times New Roman" w:cs="Times New Roman" w:eastAsia="Times New Roman" w:hAnsi="Times New Roman"/>
          <w:sz w:val="18"/>
          <w:szCs w:val="18"/>
          <w:color w:val="auto"/>
        </w:rPr>
        <w:t>. Each Restricted Stock Unit represents the right to receive a Share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79" w:lineRule="exact"/>
        <w:rPr>
          <w:rFonts w:ascii="Times New Roman" w:cs="Times New Roman" w:eastAsia="Times New Roman" w:hAnsi="Times New Roman"/>
          <w:sz w:val="18"/>
          <w:szCs w:val="18"/>
          <w:color w:val="auto"/>
        </w:rPr>
      </w:pPr>
    </w:p>
    <w:p>
      <w:pPr>
        <w:ind w:left="-20" w:right="80" w:firstLine="436"/>
        <w:spacing w:after="0" w:line="261" w:lineRule="auto"/>
        <w:tabs>
          <w:tab w:leader="none" w:pos="735"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Except as provided in Section 4, and subject to Section 5, the Restricted Stock Units awarded by this RSU Agreement will vest in accordance with the vesting provisions set forth in the Notice of Grant. Restricted Stock Units scheduled to vest on a certain date or upon the occurrence of a certain condition will not vest in Participant in accordance with any of the provisions of this RSU Agreement, unless Participant will have been continuously a Service Provider from the Date of Grant until the date such vesting occurs.</w:t>
      </w:r>
    </w:p>
    <w:p>
      <w:pPr>
        <w:spacing w:after="0" w:line="179" w:lineRule="exact"/>
        <w:rPr>
          <w:rFonts w:ascii="Times New Roman" w:cs="Times New Roman" w:eastAsia="Times New Roman" w:hAnsi="Times New Roman"/>
          <w:sz w:val="18"/>
          <w:szCs w:val="18"/>
          <w:color w:val="auto"/>
        </w:rPr>
      </w:pPr>
    </w:p>
    <w:p>
      <w:pPr>
        <w:ind w:left="740" w:hanging="324"/>
        <w:spacing w:after="0"/>
        <w:tabs>
          <w:tab w:leader="none" w:pos="740"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after Vesting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180" w:firstLine="987"/>
        <w:spacing w:after="0" w:line="258" w:lineRule="auto"/>
        <w:tabs>
          <w:tab w:leader="none" w:pos="1351"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Rule</w:t>
      </w:r>
      <w:r>
        <w:rPr>
          <w:rFonts w:ascii="Times New Roman" w:cs="Times New Roman" w:eastAsia="Times New Roman" w:hAnsi="Times New Roman"/>
          <w:sz w:val="18"/>
          <w:szCs w:val="18"/>
          <w:color w:val="auto"/>
        </w:rPr>
        <w:t>. Subject to Section 7, any Restricted Stock Units that vest will be paid to Participant (or in the event of Participant’s death, to his or her properly designated beneficiary or estate) in whole Shares. Subject to the provisions of Section 4(b), such vested Restricted Stock Units will be paid in whole Shares as soon as practicable after vesting, but in each such case within sixty (60) days following the vesting date. In no event will Participant be permitted, directly or indirectly, to specify the taxable year of payment of any Restricted Stock Units payable under this RSU Agreement.</w:t>
      </w:r>
    </w:p>
    <w:p>
      <w:pPr>
        <w:spacing w:after="0" w:line="183" w:lineRule="exact"/>
        <w:rPr>
          <w:rFonts w:ascii="Times New Roman" w:cs="Times New Roman" w:eastAsia="Times New Roman" w:hAnsi="Times New Roman"/>
          <w:sz w:val="18"/>
          <w:szCs w:val="18"/>
          <w:color w:val="auto"/>
        </w:rPr>
      </w:pPr>
    </w:p>
    <w:p>
      <w:pPr>
        <w:ind w:left="1360" w:hanging="393"/>
        <w:spacing w:after="0"/>
        <w:tabs>
          <w:tab w:leader="none" w:pos="1360"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40" w:firstLine="1428"/>
        <w:spacing w:after="0" w:line="258" w:lineRule="auto"/>
        <w:tabs>
          <w:tab w:leader="none" w:pos="1762" w:val="left"/>
        </w:tabs>
        <w:numPr>
          <w:ilvl w:val="2"/>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Discretionary Acceleration</w:t>
      </w:r>
      <w:r>
        <w:rPr>
          <w:rFonts w:ascii="Times New Roman" w:cs="Times New Roman" w:eastAsia="Times New Roman" w:hAnsi="Times New Roman"/>
          <w:sz w:val="18"/>
          <w:szCs w:val="18"/>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 If Participant is a U.S. taxpayer, the payment of Shares vesting pursuant to this Section 4(b) shall in all cases be paid at a time or in a manner that is exempt from, or complies with, Section 409A. The prior sentence may be superseded in a future agreement or amendment to this RSU Agreement only by direct and specific reference to such sentence.</w:t>
      </w:r>
    </w:p>
    <w:p>
      <w:pPr>
        <w:sectPr>
          <w:pgSz w:w="11900" w:h="16838" w:orient="portrait"/>
          <w:cols w:equalWidth="0" w:num="1">
            <w:col w:w="10960"/>
          </w:cols>
          <w:pgMar w:left="460" w:top="266" w:right="479" w:bottom="1440" w:gutter="0" w:footer="0" w:header="0"/>
        </w:sectPr>
      </w:pPr>
    </w:p>
    <w:bookmarkStart w:id="468" w:name="page469"/>
    <w:bookmarkEnd w:id="468"/>
    <w:p>
      <w:pPr>
        <w:ind w:left="4" w:right="20" w:firstLine="1428"/>
        <w:spacing w:after="0" w:line="257" w:lineRule="auto"/>
        <w:tabs>
          <w:tab w:leader="none" w:pos="1836" w:val="left"/>
        </w:tabs>
        <w:numPr>
          <w:ilvl w:val="3"/>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Notwithstanding anything in the Plan or this RSU Agreement or any other agreement (whether entered into before, on or after the Date of Grant), if the vesting of the balance, or some lesser portion of the balance, of the Restricted Stock Units is accelerated in connection with the cessation of Participant’s status as a Service Provider (provided that such termination is a “separation from service” within the meaning of</w:t>
      </w:r>
    </w:p>
    <w:p>
      <w:pPr>
        <w:spacing w:after="0" w:line="1" w:lineRule="exact"/>
        <w:rPr>
          <w:rFonts w:ascii="Times New Roman" w:cs="Times New Roman" w:eastAsia="Times New Roman" w:hAnsi="Times New Roman"/>
          <w:sz w:val="18"/>
          <w:szCs w:val="18"/>
          <w:color w:val="auto"/>
        </w:rPr>
      </w:pPr>
    </w:p>
    <w:p>
      <w:pPr>
        <w:ind w:left="4" w:right="4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Section 409A, as determined by the Administrator), other than due to Participant’s death,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the cessation of Participant’s status as a Service Provider, then the payment of such accelerated Restricted Stock Units will not be made until the date six</w:t>
      </w:r>
    </w:p>
    <w:p>
      <w:pPr>
        <w:ind w:left="4" w:hanging="4"/>
        <w:spacing w:after="0" w:line="255" w:lineRule="auto"/>
        <w:tabs>
          <w:tab w:leader="none" w:pos="259"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and one (1) day following the date of cessation of Participant’s status as a Service Provider, unless Participant dies following his or her termination as a Service Provider, in which case, the Restricted Stock Units will be paid in Shares to Participant’s estate as soon as practicable following his or her death.</w:t>
      </w:r>
    </w:p>
    <w:p>
      <w:pPr>
        <w:spacing w:after="0" w:line="185" w:lineRule="exact"/>
        <w:rPr>
          <w:rFonts w:ascii="Times New Roman" w:cs="Times New Roman" w:eastAsia="Times New Roman" w:hAnsi="Times New Roman"/>
          <w:sz w:val="18"/>
          <w:szCs w:val="18"/>
          <w:color w:val="auto"/>
        </w:rPr>
      </w:pPr>
    </w:p>
    <w:p>
      <w:pPr>
        <w:ind w:left="4" w:right="260" w:firstLine="1428"/>
        <w:spacing w:after="0" w:line="255" w:lineRule="auto"/>
        <w:tabs>
          <w:tab w:leader="none" w:pos="1816" w:val="left"/>
        </w:tabs>
        <w:numPr>
          <w:ilvl w:val="3"/>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It is the intent of this RSU Agreement that it and all payments and benefits to U.S. taxpayers hereunder be exempt from, or comply with, the requirements of Section 409A so that none of the Restricted Stock Units provided under this RSU Agreement or Shares issuable thereunder will be subject to the additional tax imposed under Section 409A, and any ambiguities herein will be interpreted to be so exempt or so comply. Each payment payable under this RSU Agreement is intended to constitute a separate payment for purposes of Treasury Regulation Section 1.409A-2(b)(2). However, in no event will the Company or any of its Parent or Subsidiaries have any liability or obligation to reimburse, indemnify, or hold harmless Participant for any taxes, penalties and interest that may be imposed, or other costs that may be incurred, as a result of Section 409A.</w:t>
      </w:r>
    </w:p>
    <w:p>
      <w:pPr>
        <w:spacing w:after="0" w:line="188"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759"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Upon Termination as a Service Provider</w:t>
      </w:r>
      <w:r>
        <w:rPr>
          <w:rFonts w:ascii="Times New Roman" w:cs="Times New Roman" w:eastAsia="Times New Roman" w:hAnsi="Times New Roman"/>
          <w:sz w:val="18"/>
          <w:szCs w:val="18"/>
          <w:color w:val="auto"/>
        </w:rPr>
        <w:t>. Unless specifically provided otherwise in this RSU Agreement or other written agreement between Participant and the Company or any of its Subsidiaries or Parents, as applicable, if Participant ceases to be a Service Provider for any or no reason, the then-unvested Restricted Stock Units awarded by this RSU Agreement will thereupon be forfeited at no cost to the Company and Participant will have no further rights thereunder.</w:t>
      </w:r>
    </w:p>
    <w:p>
      <w:pPr>
        <w:spacing w:after="0" w:line="179"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759"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Participant</w:t>
      </w:r>
      <w:r>
        <w:rPr>
          <w:rFonts w:ascii="Times New Roman" w:cs="Times New Roman" w:eastAsia="Times New Roman" w:hAnsi="Times New Roman"/>
          <w:sz w:val="18"/>
          <w:szCs w:val="18"/>
          <w:color w:val="auto"/>
        </w:rPr>
        <w:t>. Any distribution or delivery to be made to Participant under this RSU Agreement will, if Participant is then deceased, be made to Participant’s designated beneficiary, or if no beneficiary survives Participant,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79" w:lineRule="exact"/>
        <w:rPr>
          <w:rFonts w:ascii="Times New Roman" w:cs="Times New Roman" w:eastAsia="Times New Roman" w:hAnsi="Times New Roman"/>
          <w:sz w:val="18"/>
          <w:szCs w:val="18"/>
          <w:color w:val="auto"/>
        </w:rPr>
      </w:pPr>
    </w:p>
    <w:p>
      <w:pPr>
        <w:ind w:left="764" w:hanging="324"/>
        <w:spacing w:after="0"/>
        <w:tabs>
          <w:tab w:leader="none" w:pos="764"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Obligations</w:t>
      </w:r>
    </w:p>
    <w:p>
      <w:pPr>
        <w:spacing w:after="0" w:line="225" w:lineRule="exact"/>
        <w:rPr>
          <w:rFonts w:ascii="Times New Roman" w:cs="Times New Roman" w:eastAsia="Times New Roman" w:hAnsi="Times New Roman"/>
          <w:sz w:val="18"/>
          <w:szCs w:val="18"/>
          <w:color w:val="auto"/>
        </w:rPr>
      </w:pPr>
    </w:p>
    <w:p>
      <w:pPr>
        <w:ind w:left="4" w:right="100" w:firstLine="987"/>
        <w:spacing w:after="0" w:line="266" w:lineRule="auto"/>
        <w:tabs>
          <w:tab w:leader="none" w:pos="1375" w:val="left"/>
        </w:tabs>
        <w:numPr>
          <w:ilvl w:val="2"/>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Responsibility for Taxes</w:t>
      </w:r>
      <w:r>
        <w:rPr>
          <w:rFonts w:ascii="Times New Roman" w:cs="Times New Roman" w:eastAsia="Times New Roman" w:hAnsi="Times New Roman"/>
          <w:sz w:val="18"/>
          <w:szCs w:val="18"/>
          <w:color w:val="auto"/>
        </w:rPr>
        <w:t>. Participant acknowledges that, regardless of any action taken by the Company or, if different, Participant’s employer (the “Employer”) or any Parent or Subsidiary to which Participant is providing services (together, the Company, Employer and/or Parent or Subsidiary to which Participant is providing services, the “Service Recipient”),</w:t>
      </w:r>
    </w:p>
    <w:p>
      <w:pPr>
        <w:spacing w:after="0" w:line="108"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4"/>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0984"/>
          </w:cols>
          <w:pgMar w:left="436" w:top="270" w:right="479" w:bottom="1440" w:gutter="0" w:footer="0" w:header="0"/>
        </w:sectPr>
      </w:pPr>
    </w:p>
    <w:bookmarkStart w:id="469" w:name="page470"/>
    <w:bookmarkEnd w:id="469"/>
    <w:p>
      <w:pPr>
        <w:ind w:left="4" w:right="8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ultimate liability for any tax and/or social insurance liability obligations and requirements in connection with the Restricted Stock Units, including, without limitation, (i) all federal, state, and local taxes (including the Participant’s Federal Insurance Contributions Act (FICA) obligation) that are required to be withheld by the Company or the Service Recipient or other payment of tax-related items related to Participant’s participation in the Plan and legally applicable to Participant, (ii) the Participant’s and, to the extent required by the Company (or Service Recipient), the Company’s (or Service Recipient’s) fringe benefit tax liability, if any, associated with the grant, vesting, or settlement of the Restricted Stock Units or sale of Shares, and</w:t>
      </w:r>
    </w:p>
    <w:p>
      <w:pPr>
        <w:spacing w:after="0" w:line="3" w:lineRule="exact"/>
        <w:rPr>
          <w:sz w:val="20"/>
          <w:szCs w:val="20"/>
          <w:color w:val="auto"/>
        </w:rPr>
      </w:pPr>
    </w:p>
    <w:p>
      <w:pPr>
        <w:ind w:left="4" w:right="40" w:hanging="4"/>
        <w:spacing w:after="0" w:line="251" w:lineRule="auto"/>
        <w:tabs>
          <w:tab w:leader="none" w:pos="319"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Company (or Service Recipient) taxes the responsibility for which the Participant has, or has agreed to bear, with respect to the Restricted Stock Units (or settlement thereof or issuance of Shares thereunder) (collectively, the “Tax Obligations”), is and remains Participant’s responsibility and may exceed the amount actually withheld by the Company or the Service Recipient. Participant further acknowledges that the Company and/or the Service Recipient (A) make no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do not commit to and are under no obligation to structure the terms of the grant or any aspect of the Restricted Stock Units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Company and/or the Service Recipient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192" w:lineRule="exact"/>
        <w:rPr>
          <w:rFonts w:ascii="Times New Roman" w:cs="Times New Roman" w:eastAsia="Times New Roman" w:hAnsi="Times New Roman"/>
          <w:sz w:val="18"/>
          <w:szCs w:val="18"/>
          <w:color w:val="auto"/>
        </w:rPr>
      </w:pPr>
    </w:p>
    <w:p>
      <w:pPr>
        <w:ind w:left="4" w:firstLine="987"/>
        <w:spacing w:after="0" w:line="253" w:lineRule="auto"/>
        <w:tabs>
          <w:tab w:leader="none" w:pos="1385"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Pursuant to such procedures as the Administrator may specify from time to time, the Company and/or Service Recipient shall withhold the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(i) paying cash, (ii) 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withholding the amount of such Tax Obligations from Participant’s wages or other cash compensation paid to Participant by the Company and/or the Service Recipient, (iv) delivering to the Company already vested and owned Shares having a fair market value equal to such Tax Obligations, or</w:t>
      </w:r>
    </w:p>
    <w:p>
      <w:pPr>
        <w:ind w:left="4" w:right="320" w:hanging="4"/>
        <w:spacing w:after="0" w:line="255" w:lineRule="auto"/>
        <w:tabs>
          <w:tab w:leader="none" w:pos="259"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w:t>
      </w:r>
    </w:p>
    <w:p>
      <w:pPr>
        <w:spacing w:after="0" w:line="118"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2"/>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1004"/>
          </w:cols>
          <w:pgMar w:left="436" w:top="270" w:right="459" w:bottom="1440" w:gutter="0" w:footer="0" w:header="0"/>
        </w:sectPr>
      </w:pPr>
    </w:p>
    <w:bookmarkStart w:id="470" w:name="page471"/>
    <w:bookmarkEnd w:id="470"/>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adverse financial accounting consequences). Further, if Participant is subject to tax in more than one jurisdiction between the Date of Grant and a date of any relevant taxable or tax withholding event, as applicable, Participant acknowledges and agrees that the Company and/or the Service Recipient (and/or former employer, as applicable) may be required to withhold or account for tax in more than one jurisdiction. If Participant fails to make satisfactory arrangements for the payment of such Tax Obligations hereunder at the time any applicable Restricted Stock Units otherwise are scheduled to vest pursuant to Sections 3 or 4, Participant will permanently forfeit such Restricted Stock Units and any right to receive Shares thereunder and such Restricted Stock Units will be returned to the Company at no cost to the Company. Participant acknowledges and agrees that the Company may refuse to deliver the Shares if such Tax Obligations are not delivered at the time they are due.</w:t>
      </w:r>
    </w:p>
    <w:p>
      <w:pPr>
        <w:spacing w:after="0" w:line="189" w:lineRule="exact"/>
        <w:rPr>
          <w:sz w:val="20"/>
          <w:szCs w:val="20"/>
          <w:color w:val="auto"/>
        </w:rPr>
      </w:pPr>
    </w:p>
    <w:p>
      <w:pPr>
        <w:ind w:right="140" w:firstLine="987"/>
        <w:spacing w:after="0" w:line="258" w:lineRule="auto"/>
        <w:tabs>
          <w:tab w:leader="none" w:pos="1371"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Representations</w:t>
      </w:r>
      <w:r>
        <w:rPr>
          <w:rFonts w:ascii="Times New Roman" w:cs="Times New Roman" w:eastAsia="Times New Roman" w:hAnsi="Times New Roman"/>
          <w:sz w:val="18"/>
          <w:szCs w:val="18"/>
          <w:color w:val="auto"/>
        </w:rPr>
        <w:t>. Participant has reviewed with his or her own tax advisers the U.S. federal, state, local and non-U.S. tax consequences of this investment and the transactions contemplated by this RSU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RSU Agreement.</w:t>
      </w:r>
    </w:p>
    <w:p>
      <w:pPr>
        <w:spacing w:after="0" w:line="183" w:lineRule="exact"/>
        <w:rPr>
          <w:rFonts w:ascii="Times New Roman" w:cs="Times New Roman" w:eastAsia="Times New Roman" w:hAnsi="Times New Roman"/>
          <w:sz w:val="18"/>
          <w:szCs w:val="18"/>
          <w:color w:val="auto"/>
        </w:rPr>
      </w:pPr>
    </w:p>
    <w:p>
      <w:pPr>
        <w:ind w:right="20" w:firstLine="987"/>
        <w:spacing w:after="0" w:line="255" w:lineRule="auto"/>
        <w:tabs>
          <w:tab w:leader="none" w:pos="1381" w:val="left"/>
        </w:tabs>
        <w:numPr>
          <w:ilvl w:val="1"/>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Obligation to Deliver Shares</w:t>
      </w:r>
      <w:r>
        <w:rPr>
          <w:rFonts w:ascii="Times New Roman" w:cs="Times New Roman" w:eastAsia="Times New Roman" w:hAnsi="Times New Roman"/>
          <w:sz w:val="18"/>
          <w:szCs w:val="18"/>
          <w:color w:val="auto"/>
        </w:rPr>
        <w:t>. For clarification purposes, in no event will the Company issue Participant any Shares unless and until arrangements satisfactory to the Administrator have been made for the payment of Participant’s Tax Obligations. If Participant fails to make satisfactory arrangements for the payment of such Tax Obligations hereunder at the time any applicable Restricted Stock Units otherwise are scheduled to vest pursuant to Sections 3 or 4 or Participant’s Tax Obligations otherwise become due, Participant will permanently forfeit such Restricted Stock Units to which Participant’s Tax Obligation relates and any right to receive Shares thereunder and such Restricted Stock Units will be returned to the Company at no cost to the Company. Participant acknowledges and agrees that the Company may refuse to issue or deliver the Shares if such Tax Obligations are not delivered at the time they are due.</w:t>
      </w:r>
    </w:p>
    <w:p>
      <w:pPr>
        <w:spacing w:after="0" w:line="188" w:lineRule="exact"/>
        <w:rPr>
          <w:rFonts w:ascii="Times New Roman" w:cs="Times New Roman" w:eastAsia="Times New Roman" w:hAnsi="Times New Roman"/>
          <w:sz w:val="18"/>
          <w:szCs w:val="18"/>
          <w:color w:val="auto"/>
        </w:rPr>
      </w:pPr>
    </w:p>
    <w:p>
      <w:pPr>
        <w:ind w:right="20" w:firstLine="436"/>
        <w:spacing w:after="0" w:line="258" w:lineRule="auto"/>
        <w:tabs>
          <w:tab w:leader="none" w:pos="755"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83" w:lineRule="exact"/>
        <w:rPr>
          <w:rFonts w:ascii="Times New Roman" w:cs="Times New Roman" w:eastAsia="Times New Roman" w:hAnsi="Times New Roman"/>
          <w:sz w:val="18"/>
          <w:szCs w:val="18"/>
          <w:color w:val="auto"/>
        </w:rPr>
      </w:pPr>
    </w:p>
    <w:p>
      <w:pPr>
        <w:ind w:right="220" w:firstLine="436"/>
        <w:spacing w:after="0" w:line="266" w:lineRule="auto"/>
        <w:tabs>
          <w:tab w:leader="none" w:pos="755"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Continued Service</w:t>
      </w:r>
      <w:r>
        <w:rPr>
          <w:rFonts w:ascii="Times New Roman" w:cs="Times New Roman" w:eastAsia="Times New Roman" w:hAnsi="Times New Roman"/>
          <w:sz w:val="18"/>
          <w:szCs w:val="18"/>
          <w:color w:val="auto"/>
        </w:rPr>
        <w:t>. PARTICIPANT ACKNOWLEDGES AND AGREES THAT THE VESTING OF THE RESTRICTED STOCK UNITS PURSUANT TO THE VESTING SCHEDULE HEREOF IS EARNED ONLY BY CONTINUING AS A SERVICE PROVIDER, WHICH UNLESS PROVIDED OTHERWISE UNDER APPLICABLE LAW IS AT</w:t>
      </w:r>
    </w:p>
    <w:p>
      <w:pPr>
        <w:spacing w:after="0" w:line="108"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2"/>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1000"/>
          </w:cols>
          <w:pgMar w:left="440" w:top="270" w:right="459" w:bottom="1440" w:gutter="0" w:footer="0" w:header="0"/>
        </w:sectPr>
      </w:pPr>
    </w:p>
    <w:bookmarkStart w:id="471" w:name="page472"/>
    <w:bookmarkEnd w:id="471"/>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WILL OF THE COMPANY (OR THE SERVICE RECIPIENT) AND NOT THROUGH THE ACT OF BEING HIRED, BEING GRANTED THIS RESTRICTED STOCK UNIT AWARD OR ACQUIRING SHARES HEREUNDER. PARTICIPANT FURTHER ACKNOWLEDGES AND AGREES THAT THIS RSU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SERVICE RECIPIENT) TO TERMINATE PARTICIPANT’S RELATIONSHIP AS A SERVICE PROVIDER, SUBJECT TO APPLICABLE LAW, WHICH TERMINATION, UNLESS PROVIDED OTHERWISE UNDER APPLICABLE LAW, MAY BE AT ANY TIME, WITH OR WITHOUT CAUSE.</w:t>
      </w:r>
    </w:p>
    <w:p>
      <w:pPr>
        <w:spacing w:after="0" w:line="192" w:lineRule="exact"/>
        <w:rPr>
          <w:sz w:val="20"/>
          <w:szCs w:val="20"/>
          <w:color w:val="auto"/>
        </w:rPr>
      </w:pPr>
    </w:p>
    <w:p>
      <w:pPr>
        <w:ind w:left="840" w:hanging="404"/>
        <w:spacing w:after="0"/>
        <w:tabs>
          <w:tab w:leader="none" w:pos="84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Grant</w:t>
      </w:r>
      <w:r>
        <w:rPr>
          <w:rFonts w:ascii="Times New Roman" w:cs="Times New Roman" w:eastAsia="Times New Roman" w:hAnsi="Times New Roman"/>
          <w:sz w:val="18"/>
          <w:szCs w:val="18"/>
          <w:color w:val="auto"/>
        </w:rPr>
        <w:t>. In accepting this Award of Restricted Stock Units, Participant acknowledges, understands and agrees that:</w:t>
      </w:r>
    </w:p>
    <w:p>
      <w:pPr>
        <w:spacing w:after="0" w:line="225" w:lineRule="exact"/>
        <w:rPr>
          <w:rFonts w:ascii="Times New Roman" w:cs="Times New Roman" w:eastAsia="Times New Roman" w:hAnsi="Times New Roman"/>
          <w:sz w:val="18"/>
          <w:szCs w:val="18"/>
          <w:color w:val="auto"/>
        </w:rPr>
      </w:pPr>
    </w:p>
    <w:p>
      <w:pPr>
        <w:ind w:right="60" w:firstLine="987"/>
        <w:spacing w:after="0" w:line="282" w:lineRule="auto"/>
        <w:tabs>
          <w:tab w:leader="none" w:pos="1371"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Restricted Stock Units is voluntary and occasional and does not create any contractual or other right to receive future grants of equity awards, or benefits in lieu of equity awards, even if equity awards have been granted in the past;</w:t>
      </w:r>
    </w:p>
    <w:p>
      <w:pPr>
        <w:spacing w:after="0" w:line="161"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Restricted Stock Units or other grants, if any, will be at the sole discretion of the Administrator;</w:t>
      </w:r>
    </w:p>
    <w:p>
      <w:pPr>
        <w:spacing w:after="0" w:line="225"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voluntarily participating in the Plan;</w:t>
      </w:r>
    </w:p>
    <w:p>
      <w:pPr>
        <w:spacing w:after="0" w:line="22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and the Shares subject to the Restricted Stock Units are not intended to replace any pension rights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w:t>
      </w:r>
    </w:p>
    <w:p>
      <w:pPr>
        <w:spacing w:after="0" w:line="206" w:lineRule="exact"/>
        <w:rPr>
          <w:rFonts w:ascii="Times New Roman" w:cs="Times New Roman" w:eastAsia="Times New Roman" w:hAnsi="Times New Roman"/>
          <w:sz w:val="18"/>
          <w:szCs w:val="18"/>
          <w:color w:val="auto"/>
        </w:rPr>
      </w:pPr>
    </w:p>
    <w:p>
      <w:pPr>
        <w:jc w:val="both"/>
        <w:ind w:right="40" w:firstLine="987"/>
        <w:spacing w:after="0" w:line="266" w:lineRule="auto"/>
        <w:tabs>
          <w:tab w:leader="none" w:pos="1371"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and Shares subject to the Restricted Stock Units,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75"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underlying the Restricted Stock Units is unknown, indeterminable, and cannot be predicted;</w:t>
      </w:r>
    </w:p>
    <w:p>
      <w:pPr>
        <w:spacing w:after="0" w:line="225" w:lineRule="exact"/>
        <w:rPr>
          <w:rFonts w:ascii="Times New Roman" w:cs="Times New Roman" w:eastAsia="Times New Roman" w:hAnsi="Times New Roman"/>
          <w:sz w:val="18"/>
          <w:szCs w:val="18"/>
          <w:color w:val="auto"/>
        </w:rPr>
      </w:pPr>
    </w:p>
    <w:p>
      <w:pPr>
        <w:ind w:firstLine="987"/>
        <w:spacing w:after="0" w:line="254" w:lineRule="auto"/>
        <w:tabs>
          <w:tab w:leader="none" w:pos="1381"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Restricted Stock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RSU Agreement (including by reference in the Notice of Grant to other arrangements or contracts) or determined by the Administrator,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w:t>
      </w:r>
    </w:p>
    <w:p>
      <w:pPr>
        <w:spacing w:after="0" w:line="124"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2"/>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1000"/>
          </w:cols>
          <w:pgMar w:left="440" w:top="270" w:right="459" w:bottom="1440" w:gutter="0" w:footer="0" w:header="0"/>
        </w:sectPr>
      </w:pPr>
    </w:p>
    <w:bookmarkStart w:id="472" w:name="page473"/>
    <w:bookmarkEnd w:id="472"/>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the Restricted Stock Units grant (including whether Participant may still be considered to be providing services while on a leave of absence and consistent with local law);</w:t>
      </w:r>
    </w:p>
    <w:p>
      <w:pPr>
        <w:spacing w:after="0" w:line="180" w:lineRule="exact"/>
        <w:rPr>
          <w:sz w:val="20"/>
          <w:szCs w:val="20"/>
          <w:color w:val="auto"/>
        </w:rPr>
      </w:pPr>
    </w:p>
    <w:p>
      <w:pPr>
        <w:ind w:right="100" w:firstLine="987"/>
        <w:spacing w:after="0" w:line="266" w:lineRule="auto"/>
        <w:tabs>
          <w:tab w:leader="none" w:pos="1381"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Plan or by the Administrator in its discretion, the Restricted Stock Units and the benefits evidenced by this RSU Agreement do not create any entitlement to have the Restricted Stock Units or any such benefits transferred to, or assumed by, another company nor to be exchanged, cashed out or substituted for, in connection with any corporate transaction affecting the Shares; and</w:t>
      </w:r>
    </w:p>
    <w:p>
      <w:pPr>
        <w:spacing w:after="0" w:line="175"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1"/>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apply only if Participant is providing services outside the United States:</w:t>
      </w:r>
    </w:p>
    <w:p>
      <w:pPr>
        <w:spacing w:after="0" w:line="225" w:lineRule="exact"/>
        <w:rPr>
          <w:rFonts w:ascii="Times New Roman" w:cs="Times New Roman" w:eastAsia="Times New Roman" w:hAnsi="Times New Roman"/>
          <w:sz w:val="18"/>
          <w:szCs w:val="18"/>
          <w:color w:val="auto"/>
        </w:rPr>
      </w:pPr>
    </w:p>
    <w:p>
      <w:pPr>
        <w:ind w:right="40" w:firstLine="1428"/>
        <w:spacing w:after="0" w:line="282" w:lineRule="auto"/>
        <w:tabs>
          <w:tab w:leader="none" w:pos="1782" w:val="left"/>
        </w:tabs>
        <w:numPr>
          <w:ilvl w:val="2"/>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Stock Units and the Shares subject to the Restricted Stock Units are not part of normal or expected compensation or salary for any purpose;</w:t>
      </w:r>
    </w:p>
    <w:p>
      <w:pPr>
        <w:spacing w:after="0" w:line="161" w:lineRule="exact"/>
        <w:rPr>
          <w:rFonts w:ascii="Times New Roman" w:cs="Times New Roman" w:eastAsia="Times New Roman" w:hAnsi="Times New Roman"/>
          <w:sz w:val="18"/>
          <w:szCs w:val="18"/>
          <w:color w:val="auto"/>
        </w:rPr>
      </w:pPr>
    </w:p>
    <w:p>
      <w:pPr>
        <w:ind w:right="40" w:firstLine="1428"/>
        <w:spacing w:after="0" w:line="261" w:lineRule="auto"/>
        <w:tabs>
          <w:tab w:leader="none" w:pos="1832" w:val="left"/>
        </w:tabs>
        <w:numPr>
          <w:ilvl w:val="2"/>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and agrees that none of the Company, the Service Recipient, or any Parent or Subsidiary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spacing w:after="0" w:line="179" w:lineRule="exact"/>
        <w:rPr>
          <w:rFonts w:ascii="Times New Roman" w:cs="Times New Roman" w:eastAsia="Times New Roman" w:hAnsi="Times New Roman"/>
          <w:sz w:val="18"/>
          <w:szCs w:val="18"/>
          <w:color w:val="auto"/>
        </w:rPr>
      </w:pPr>
    </w:p>
    <w:p>
      <w:pPr>
        <w:ind w:firstLine="1428"/>
        <w:spacing w:after="0" w:line="254" w:lineRule="auto"/>
        <w:tabs>
          <w:tab w:leader="none" w:pos="1882" w:val="left"/>
        </w:tabs>
        <w:numPr>
          <w:ilvl w:val="2"/>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the Restricted Stock Units resulting from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Restricted Stock Units to which Participant is otherwise not entitled, Participant irrevocably agrees never to institute any claim against any the Company, any Parent, any Subsidiary or the Service Recipient, waives his or her ability, if any, to bring any such claim, and releases the Company, any Parent, any Subsidiary or the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91" w:lineRule="exact"/>
        <w:rPr>
          <w:rFonts w:ascii="Times New Roman" w:cs="Times New Roman" w:eastAsia="Times New Roman" w:hAnsi="Times New Roman"/>
          <w:sz w:val="18"/>
          <w:szCs w:val="18"/>
          <w:color w:val="auto"/>
        </w:rPr>
      </w:pPr>
    </w:p>
    <w:p>
      <w:pPr>
        <w:ind w:right="40" w:firstLine="436"/>
        <w:spacing w:after="0" w:line="261" w:lineRule="auto"/>
        <w:tabs>
          <w:tab w:leader="none" w:pos="838"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Advice Regarding Grant</w:t>
      </w:r>
      <w:r>
        <w:rPr>
          <w:rFonts w:ascii="Times New Roman" w:cs="Times New Roman" w:eastAsia="Times New Roman" w:hAnsi="Times New Roman"/>
          <w:sz w:val="18"/>
          <w:szCs w:val="18"/>
          <w:color w:val="auto"/>
        </w:rPr>
        <w:t>. The Company is not providing any tax, legal or financial advice, nor is the Company making any recommendations regarding Participant’s participation in the Plan, or Participant’s acquisition or sale of the Shares underlying the Restricted Stock Units. Participant is hereby advised to consult with his or her own personal tax, legal and financial advisors regarding his or her participation in the Plan before taking any action related to the Plan.</w:t>
      </w:r>
    </w:p>
    <w:p>
      <w:pPr>
        <w:spacing w:after="0" w:line="112"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3"/>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11000"/>
          </w:cols>
          <w:pgMar w:left="440" w:top="270" w:right="459" w:bottom="1440" w:gutter="0" w:footer="0" w:header="0"/>
        </w:sectPr>
      </w:pPr>
    </w:p>
    <w:bookmarkStart w:id="473" w:name="page474"/>
    <w:bookmarkEnd w:id="473"/>
    <w:p>
      <w:pPr>
        <w:ind w:firstLine="436"/>
        <w:spacing w:after="0" w:line="262" w:lineRule="auto"/>
        <w:tabs>
          <w:tab w:leader="none" w:pos="845"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Data Privacy</w:t>
      </w:r>
      <w:r>
        <w:rPr>
          <w:rFonts w:ascii="Times New Roman" w:cs="Times New Roman" w:eastAsia="Times New Roman" w:hAnsi="Times New Roman"/>
          <w:sz w:val="18"/>
          <w:szCs w:val="18"/>
          <w:b w:val="1"/>
          <w:bCs w:val="1"/>
          <w:i w:val="1"/>
          <w:iCs w:val="1"/>
          <w:color w:val="auto"/>
        </w:rPr>
        <w:t>. Participant hereby explicitly and unambiguously consents to the collection, use and transfer, in electronic or other form, of Participant’s personal data as described in this RSU Agreement and any other Restricted Stock Unit grant materials by and among, as applicable, the Employer or other Service Recipient, the Company and any Parent or Subsidiary for the exclusive purpose of implementing, administering and managing Participant’s participation in the Plan.</w:t>
      </w:r>
    </w:p>
    <w:p>
      <w:pPr>
        <w:spacing w:after="0" w:line="176" w:lineRule="exact"/>
        <w:rPr>
          <w:sz w:val="20"/>
          <w:szCs w:val="20"/>
          <w:color w:val="auto"/>
        </w:rPr>
      </w:pPr>
    </w:p>
    <w:p>
      <w:pPr>
        <w:ind w:right="22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Company and the Employer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(“Data”), for the exclusive purpose of implementing, administering and managing the Plan.</w:t>
      </w:r>
    </w:p>
    <w:p>
      <w:pPr>
        <w:spacing w:after="0" w:line="17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Data may be transferred to a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Participant’s participation in the Plan. Participant understands that Data will be held only as long as is necessary to implement, administer and manage Participant’s participation in the Plan. Participant understands that,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Employer will not be adversely affected. The only adverse consequence of refusing or withdrawing Participant’s consent is that the Company would not be able to grant Participant Restricted Stock Units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96" w:lineRule="exact"/>
        <w:rPr>
          <w:sz w:val="20"/>
          <w:szCs w:val="20"/>
          <w:color w:val="auto"/>
        </w:rPr>
      </w:pPr>
    </w:p>
    <w:p>
      <w:pPr>
        <w:jc w:val="both"/>
        <w:ind w:right="180" w:firstLine="436"/>
        <w:spacing w:after="0" w:line="312" w:lineRule="auto"/>
        <w:tabs>
          <w:tab w:leader="none" w:pos="845" w:val="left"/>
        </w:tabs>
        <w:numPr>
          <w:ilvl w:val="0"/>
          <w:numId w:val="3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Address for Notices</w:t>
      </w:r>
      <w:r>
        <w:rPr>
          <w:rFonts w:ascii="Times New Roman" w:cs="Times New Roman" w:eastAsia="Times New Roman" w:hAnsi="Times New Roman"/>
          <w:sz w:val="17"/>
          <w:szCs w:val="17"/>
          <w:color w:val="auto"/>
        </w:rPr>
        <w:t>. Any notice to be given to the Company under the terms of this RSU Agreement will be addressed to the Company at PMV Pharmaceuticals, Inc., 8 Clarke Drive, Suite 3, Cranbury, NJ 08512, or at such other address as the Company may hereafter designate in writing.</w:t>
      </w:r>
    </w:p>
    <w:p>
      <w:pPr>
        <w:spacing w:after="0" w:line="72" w:lineRule="exact"/>
        <w:rPr>
          <w:rFonts w:ascii="Times New Roman" w:cs="Times New Roman" w:eastAsia="Times New Roman" w:hAnsi="Times New Roman"/>
          <w:sz w:val="17"/>
          <w:szCs w:val="17"/>
          <w:color w:val="auto"/>
        </w:rPr>
      </w:pPr>
    </w:p>
    <w:p>
      <w:pPr>
        <w:ind w:left="5460" w:hanging="106"/>
        <w:spacing w:after="0"/>
        <w:tabs>
          <w:tab w:leader="none" w:pos="5460"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1000"/>
          </w:cols>
          <w:pgMar w:left="440" w:top="266" w:right="459" w:bottom="1440" w:gutter="0" w:footer="0" w:header="0"/>
        </w:sectPr>
      </w:pPr>
    </w:p>
    <w:bookmarkStart w:id="474" w:name="page475"/>
    <w:bookmarkEnd w:id="474"/>
    <w:p>
      <w:pPr>
        <w:ind w:right="60" w:firstLine="436"/>
        <w:spacing w:after="0" w:line="261" w:lineRule="auto"/>
        <w:tabs>
          <w:tab w:leader="none" w:pos="845"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Electronic Delivery and Acceptance</w:t>
      </w:r>
      <w:r>
        <w:rPr>
          <w:rFonts w:ascii="Times New Roman" w:cs="Times New Roman" w:eastAsia="Times New Roman" w:hAnsi="Times New Roman"/>
          <w:sz w:val="18"/>
          <w:szCs w:val="18"/>
          <w:color w:val="auto"/>
        </w:rPr>
        <w:t>. The Company may, in its sole discretion, decide to deliver any documents related to the Restricted Stock Units awarded under the Plan or future Restricted Stock Units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79" w:lineRule="exact"/>
        <w:rPr>
          <w:rFonts w:ascii="Times New Roman" w:cs="Times New Roman" w:eastAsia="Times New Roman" w:hAnsi="Times New Roman"/>
          <w:sz w:val="18"/>
          <w:szCs w:val="18"/>
          <w:color w:val="auto"/>
        </w:rPr>
      </w:pPr>
    </w:p>
    <w:p>
      <w:pPr>
        <w:ind w:left="840" w:hanging="404"/>
        <w:spacing w:after="0"/>
        <w:tabs>
          <w:tab w:leader="none" w:pos="84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RSU</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jc w:val="both"/>
        <w:ind w:right="20" w:firstLine="436"/>
        <w:spacing w:after="0" w:line="282" w:lineRule="auto"/>
        <w:tabs>
          <w:tab w:leader="none" w:pos="845"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RSU Agreement Severable</w:t>
      </w:r>
      <w:r>
        <w:rPr>
          <w:rFonts w:ascii="Times New Roman" w:cs="Times New Roman" w:eastAsia="Times New Roman" w:hAnsi="Times New Roman"/>
          <w:sz w:val="18"/>
          <w:szCs w:val="18"/>
          <w:color w:val="auto"/>
        </w:rPr>
        <w:t>. In the event that any provision in this RSU Agreement will be held invalid or unenforceable, such provision will be severable from, and such invalidity or unenforceability will not be construed to have any effect on, the remaining provisions of this RSU Agreement.</w:t>
      </w:r>
    </w:p>
    <w:p>
      <w:pPr>
        <w:spacing w:after="0" w:line="161" w:lineRule="exact"/>
        <w:rPr>
          <w:rFonts w:ascii="Times New Roman" w:cs="Times New Roman" w:eastAsia="Times New Roman" w:hAnsi="Times New Roman"/>
          <w:sz w:val="18"/>
          <w:szCs w:val="18"/>
          <w:color w:val="auto"/>
        </w:rPr>
      </w:pPr>
    </w:p>
    <w:p>
      <w:pPr>
        <w:ind w:right="40" w:firstLine="436"/>
        <w:spacing w:after="0" w:line="261" w:lineRule="auto"/>
        <w:tabs>
          <w:tab w:leader="none" w:pos="845"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Either party’s failure to enforce any provision or provisions of this RSU Agreement shall not in any way be construed as a waiver of any such provision or provisions, nor prevent that party from thereafter enforcing each and every other provision of this RSU Agreement. The rights granted both parties herein are cumulative and shall not constitute a waiver of either party’s right to assert all other legal remedies available to it under the circumstances.</w:t>
      </w:r>
    </w:p>
    <w:p>
      <w:pPr>
        <w:spacing w:after="0" w:line="179" w:lineRule="exact"/>
        <w:rPr>
          <w:rFonts w:ascii="Times New Roman" w:cs="Times New Roman" w:eastAsia="Times New Roman" w:hAnsi="Times New Roman"/>
          <w:sz w:val="18"/>
          <w:szCs w:val="18"/>
          <w:color w:val="auto"/>
        </w:rPr>
      </w:pPr>
    </w:p>
    <w:p>
      <w:pPr>
        <w:ind w:right="220" w:firstLine="436"/>
        <w:spacing w:after="0" w:line="258" w:lineRule="auto"/>
        <w:tabs>
          <w:tab w:leader="none" w:pos="845"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is Not Transferable</w:t>
      </w:r>
      <w:r>
        <w:rPr>
          <w:rFonts w:ascii="Times New Roman" w:cs="Times New Roman" w:eastAsia="Times New Roman" w:hAnsi="Times New Roman"/>
          <w:sz w:val="18"/>
          <w:szCs w:val="18"/>
          <w:color w:val="auto"/>
        </w:rPr>
        <w:t>. Except to the limited extent provided in Section 6, this grant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this grant and the rights and privileges conferred hereby immediately will become null and void.</w:t>
      </w:r>
    </w:p>
    <w:p>
      <w:pPr>
        <w:spacing w:after="0" w:line="183" w:lineRule="exact"/>
        <w:rPr>
          <w:rFonts w:ascii="Times New Roman" w:cs="Times New Roman" w:eastAsia="Times New Roman" w:hAnsi="Times New Roman"/>
          <w:sz w:val="18"/>
          <w:szCs w:val="18"/>
          <w:color w:val="auto"/>
        </w:rPr>
      </w:pPr>
    </w:p>
    <w:p>
      <w:pPr>
        <w:ind w:right="40" w:firstLine="436"/>
        <w:spacing w:after="0" w:line="261" w:lineRule="auto"/>
        <w:tabs>
          <w:tab w:leader="none" w:pos="845"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RSU Agreement to single or multiple assignees, and this RSU Agreement shall inure to the benefit of the successors and assigns of the Company. Subject to the restrictions on transfer herein set forth, this RSU Agreement shall be binding upon Participant and his or her heirs, executors, administrators, successors and assigns. The rights and obligations of Participant under this RSU Agreement may be assigned only with the prior written consent of the Company.</w:t>
      </w:r>
    </w:p>
    <w:p>
      <w:pPr>
        <w:spacing w:after="0" w:line="179" w:lineRule="exact"/>
        <w:rPr>
          <w:rFonts w:ascii="Times New Roman" w:cs="Times New Roman" w:eastAsia="Times New Roman" w:hAnsi="Times New Roman"/>
          <w:sz w:val="18"/>
          <w:szCs w:val="18"/>
          <w:color w:val="auto"/>
        </w:rPr>
      </w:pPr>
    </w:p>
    <w:p>
      <w:pPr>
        <w:ind w:firstLine="436"/>
        <w:spacing w:after="0" w:line="255" w:lineRule="auto"/>
        <w:tabs>
          <w:tab w:leader="none" w:pos="845"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Conditions to Issuance of Stock</w:t>
      </w:r>
      <w:r>
        <w:rPr>
          <w:rFonts w:ascii="Times New Roman" w:cs="Times New Roman" w:eastAsia="Times New Roman" w:hAnsi="Times New Roman"/>
          <w:sz w:val="18"/>
          <w:szCs w:val="18"/>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Subject to the terms of the RSU</w:t>
      </w:r>
    </w:p>
    <w:p>
      <w:pPr>
        <w:spacing w:after="0" w:line="121"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1000"/>
          </w:cols>
          <w:pgMar w:left="440" w:top="270" w:right="459" w:bottom="1440" w:gutter="0" w:footer="0" w:header="0"/>
        </w:sectPr>
      </w:pPr>
    </w:p>
    <w:bookmarkStart w:id="475" w:name="page476"/>
    <w:bookmarkEnd w:id="475"/>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 and the Plan, the Company shall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Administrator may establish from time to time for reasons of administrative convenience.</w:t>
      </w:r>
    </w:p>
    <w:p>
      <w:pPr>
        <w:spacing w:after="0" w:line="176" w:lineRule="exact"/>
        <w:rPr>
          <w:sz w:val="20"/>
          <w:szCs w:val="20"/>
          <w:color w:val="auto"/>
        </w:rPr>
      </w:pPr>
    </w:p>
    <w:p>
      <w:pPr>
        <w:ind w:right="260" w:firstLine="436"/>
        <w:spacing w:after="0" w:line="282" w:lineRule="auto"/>
        <w:tabs>
          <w:tab w:leader="none" w:pos="845"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Language</w:t>
      </w:r>
      <w:r>
        <w:rPr>
          <w:rFonts w:ascii="Times New Roman" w:cs="Times New Roman" w:eastAsia="Times New Roman" w:hAnsi="Times New Roman"/>
          <w:sz w:val="18"/>
          <w:szCs w:val="18"/>
          <w:color w:val="auto"/>
        </w:rPr>
        <w:t>. If Participant has received this RSU Agreement or any other document related to the Plan translated into a language other than English and if the meaning of the translated version is different than the English version, the English version will control.</w:t>
      </w:r>
    </w:p>
    <w:p>
      <w:pPr>
        <w:spacing w:after="0" w:line="161" w:lineRule="exact"/>
        <w:rPr>
          <w:rFonts w:ascii="Times New Roman" w:cs="Times New Roman" w:eastAsia="Times New Roman" w:hAnsi="Times New Roman"/>
          <w:sz w:val="18"/>
          <w:szCs w:val="18"/>
          <w:color w:val="auto"/>
        </w:rPr>
      </w:pPr>
    </w:p>
    <w:p>
      <w:pPr>
        <w:ind w:right="40" w:firstLine="436"/>
        <w:spacing w:after="0" w:line="256" w:lineRule="auto"/>
        <w:tabs>
          <w:tab w:leader="none" w:pos="845"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Administrator will have the power to interpret the Plan and this RSU Agreement and to adopt such rules for the administration, interpretation and application of the Plan as are consistent therewith and to interpret or revoke any such rules (including, but not limited to, the determination of whether or not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RSU Agreement.</w:t>
      </w:r>
    </w:p>
    <w:p>
      <w:pPr>
        <w:spacing w:after="0" w:line="187" w:lineRule="exact"/>
        <w:rPr>
          <w:rFonts w:ascii="Times New Roman" w:cs="Times New Roman" w:eastAsia="Times New Roman" w:hAnsi="Times New Roman"/>
          <w:sz w:val="18"/>
          <w:szCs w:val="18"/>
          <w:color w:val="auto"/>
        </w:rPr>
      </w:pPr>
    </w:p>
    <w:p>
      <w:pPr>
        <w:ind w:right="80" w:firstLine="436"/>
        <w:spacing w:after="0" w:line="266" w:lineRule="auto"/>
        <w:tabs>
          <w:tab w:leader="none" w:pos="845"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Suspension or Termination of the Plan</w:t>
      </w:r>
      <w:r>
        <w:rPr>
          <w:rFonts w:ascii="Times New Roman" w:cs="Times New Roman" w:eastAsia="Times New Roman" w:hAnsi="Times New Roman"/>
          <w:sz w:val="18"/>
          <w:szCs w:val="18"/>
          <w:color w:val="auto"/>
        </w:rPr>
        <w:t>. By accepting this Award, Participant expressly warrants that he or she has received an Award of Restricted Stock Units under the Plan, and has received, read and understood a description of the Plan. Participant understands that the Plan is discretionary in nature and may be amended, suspended or terminated by the Administrator at any time.</w:t>
      </w:r>
    </w:p>
    <w:p>
      <w:pPr>
        <w:spacing w:after="0" w:line="175" w:lineRule="exact"/>
        <w:rPr>
          <w:rFonts w:ascii="Times New Roman" w:cs="Times New Roman" w:eastAsia="Times New Roman" w:hAnsi="Times New Roman"/>
          <w:sz w:val="18"/>
          <w:szCs w:val="18"/>
          <w:color w:val="auto"/>
        </w:rPr>
      </w:pPr>
    </w:p>
    <w:p>
      <w:pPr>
        <w:ind w:firstLine="436"/>
        <w:spacing w:after="0" w:line="255" w:lineRule="auto"/>
        <w:tabs>
          <w:tab w:leader="none" w:pos="845"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to the RSU Agreement</w:t>
      </w:r>
      <w:r>
        <w:rPr>
          <w:rFonts w:ascii="Times New Roman" w:cs="Times New Roman" w:eastAsia="Times New Roman" w:hAnsi="Times New Roman"/>
          <w:sz w:val="18"/>
          <w:szCs w:val="18"/>
          <w:color w:val="auto"/>
        </w:rPr>
        <w:t>. This RSU Agreement constitutes the entire understanding of the parties on the subjects covered. Participant expressly warrants that he or she is not accepting this RSU Agreement in reliance on any promises, representations, or inducements other than those contained herein. Modifications to this RSU Agreement or the Plan can be made only in an express written contract executed by a duly authorized officer of the Company. Notwithstanding anything to the contrary in the Plan or this RSU Agreement, the Company reserves the right to revise this RSU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w:t>
      </w:r>
    </w:p>
    <w:p>
      <w:pPr>
        <w:spacing w:after="0" w:line="188" w:lineRule="exact"/>
        <w:rPr>
          <w:rFonts w:ascii="Times New Roman" w:cs="Times New Roman" w:eastAsia="Times New Roman" w:hAnsi="Times New Roman"/>
          <w:sz w:val="18"/>
          <w:szCs w:val="18"/>
          <w:color w:val="auto"/>
        </w:rPr>
      </w:pPr>
    </w:p>
    <w:p>
      <w:pPr>
        <w:ind w:right="40" w:firstLine="436"/>
        <w:spacing w:after="0" w:line="258" w:lineRule="auto"/>
        <w:tabs>
          <w:tab w:leader="none" w:pos="845"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This RSU Agreement and the Restricted Stock Units will be governed by the laws of New Jersey, without giving effect to the conflict of law principles thereof. For purposes of litigating any dispute that arises under these Restricted Stock Units or this RSU Agreement, the parties hereby submit to and consent to the jurisdiction of the State of New Jersey, and agree that such litigation will be conducted in the courts of Middlesex County, New Jersey, or the U.S. federal courts for the District of New Jersey, and no other courts, where this Option is made and/or to be performed.</w:t>
      </w:r>
    </w:p>
    <w:p>
      <w:pPr>
        <w:spacing w:after="0" w:line="115"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ectPr>
          <w:pgSz w:w="11900" w:h="16838" w:orient="portrait"/>
          <w:cols w:equalWidth="0" w:num="1">
            <w:col w:w="11000"/>
          </w:cols>
          <w:pgMar w:left="440" w:top="270" w:right="459" w:bottom="1440" w:gutter="0" w:footer="0" w:header="0"/>
        </w:sectPr>
      </w:pPr>
    </w:p>
    <w:bookmarkStart w:id="476" w:name="page477"/>
    <w:bookmarkEnd w:id="476"/>
    <w:p>
      <w:pPr>
        <w:ind w:left="-40" w:right="160" w:firstLine="436"/>
        <w:spacing w:after="0" w:line="261" w:lineRule="auto"/>
        <w:tabs>
          <w:tab w:leader="none" w:pos="805"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Entire Agreement</w:t>
      </w:r>
      <w:r>
        <w:rPr>
          <w:rFonts w:ascii="Times New Roman" w:cs="Times New Roman" w:eastAsia="Times New Roman" w:hAnsi="Times New Roman"/>
          <w:sz w:val="18"/>
          <w:szCs w:val="18"/>
          <w:color w:val="auto"/>
        </w:rPr>
        <w:t>. The Plan is incorporated herein by reference. The Plan and this RSU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79" w:lineRule="exact"/>
        <w:rPr>
          <w:rFonts w:ascii="Times New Roman" w:cs="Times New Roman" w:eastAsia="Times New Roman" w:hAnsi="Times New Roman"/>
          <w:sz w:val="18"/>
          <w:szCs w:val="18"/>
          <w:color w:val="auto"/>
        </w:rPr>
      </w:pPr>
    </w:p>
    <w:p>
      <w:pPr>
        <w:ind w:left="-40" w:firstLine="436"/>
        <w:spacing w:after="0" w:line="256" w:lineRule="auto"/>
        <w:tabs>
          <w:tab w:leader="none" w:pos="805"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Notwithstanding any provisions in this RSU Agreement, the Restricted Stock Unit grant shall be subject to any special terms and conditions set forth in an appendix (if any) to this RSU Agreement for any country whose laws are applicable to Participant and this Award of Restricted Stock Units (as determined by the Administrator in its sole discretion) (the “Country Addendum”).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RSU Agreement.</w:t>
      </w:r>
    </w:p>
    <w:p>
      <w:pPr>
        <w:spacing w:after="0" w:line="187" w:lineRule="exact"/>
        <w:rPr>
          <w:rFonts w:ascii="Times New Roman" w:cs="Times New Roman" w:eastAsia="Times New Roman" w:hAnsi="Times New Roman"/>
          <w:sz w:val="18"/>
          <w:szCs w:val="18"/>
          <w:color w:val="auto"/>
        </w:rPr>
      </w:pPr>
    </w:p>
    <w:p>
      <w:pPr>
        <w:ind w:left="-40" w:right="40" w:firstLine="436"/>
        <w:spacing w:after="0" w:line="258" w:lineRule="auto"/>
        <w:tabs>
          <w:tab w:leader="none" w:pos="805"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 Participant has reviewed with his or her own tax advisors the U.S. federal, state, local and non-U.S. tax consequences of this investment and the transactions contemplated by this RSU Agreement. With respect to such matters, Participant relies solely on such advisors and not on any statements or representations of the Company or any of its agents, written or oral. Participant understands that Participant (and not the Company) shall be solely responsible for Participant’s own tax liability that may arise as a result of this investment or the transactions contemplated by this RSU Agreement.</w:t>
      </w:r>
    </w:p>
    <w:p>
      <w:pPr>
        <w:spacing w:after="0" w:line="183" w:lineRule="exact"/>
        <w:rPr>
          <w:sz w:val="20"/>
          <w:szCs w:val="20"/>
          <w:color w:val="auto"/>
        </w:rPr>
      </w:pPr>
    </w:p>
    <w:p>
      <w:pPr>
        <w:ind w:left="4580"/>
        <w:spacing w:after="0"/>
        <w:tabs>
          <w:tab w:leader="none" w:pos="5380" w:val="left"/>
          <w:tab w:leader="none" w:pos="6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480" w:top="269" w:right="499" w:bottom="1440" w:gutter="0" w:footer="0" w:header="0"/>
        </w:sectPr>
      </w:pPr>
    </w:p>
    <w:bookmarkStart w:id="477" w:name="page478"/>
    <w:bookmarkEnd w:id="477"/>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PMV PHARMACEUTICALS,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2020 EQUITY INCENTIVE PLAN</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RESTRICTED STOCK AWARD AGREEMENT</w:t>
      </w:r>
    </w:p>
    <w:p>
      <w:pPr>
        <w:spacing w:after="0" w:line="207" w:lineRule="exact"/>
        <w:rPr>
          <w:sz w:val="20"/>
          <w:szCs w:val="20"/>
          <w:color w:val="auto"/>
        </w:rPr>
      </w:pPr>
    </w:p>
    <w:p>
      <w:pPr>
        <w:ind w:right="80" w:firstLine="440"/>
        <w:spacing w:after="0" w:line="289" w:lineRule="auto"/>
        <w:rPr>
          <w:sz w:val="20"/>
          <w:szCs w:val="20"/>
          <w:color w:val="auto"/>
        </w:rPr>
      </w:pPr>
      <w:r>
        <w:rPr>
          <w:rFonts w:ascii="Times New Roman" w:cs="Times New Roman" w:eastAsia="Times New Roman" w:hAnsi="Times New Roman"/>
          <w:sz w:val="17"/>
          <w:szCs w:val="17"/>
          <w:color w:val="auto"/>
        </w:rPr>
        <w:t xml:space="preserve">Unless otherwise defined herein, the terms defined in the PMV Pharmaceuticals, Inc. 2020 Equity Incentive Plan (the “Plan”) will have the same defined meanings in this Restricted Stock Award Agreement which includes the Notice of Restricted Stock Grant, the Terms and Conditions of Restricted Stock Grant, attached hereto as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and all appendices and exhibits attached thereto (all together, the “Restricted Stock Agreement”).</w:t>
      </w:r>
    </w:p>
    <w:p>
      <w:pPr>
        <w:spacing w:after="0" w:line="3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NOTICE OF RESTRICTED STOCK GRANT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Participant:</w:t>
      </w:r>
    </w:p>
    <w:p>
      <w:pPr>
        <w:spacing w:after="0" w:line="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Address:</w:t>
      </w:r>
    </w:p>
    <w:p>
      <w:pPr>
        <w:spacing w:after="0" w:line="207" w:lineRule="exact"/>
        <w:rPr>
          <w:sz w:val="20"/>
          <w:szCs w:val="20"/>
          <w:color w:val="auto"/>
        </w:rPr>
      </w:pPr>
    </w:p>
    <w:p>
      <w:pPr>
        <w:ind w:right="960" w:firstLine="440"/>
        <w:spacing w:after="0" w:line="312" w:lineRule="auto"/>
        <w:rPr>
          <w:sz w:val="20"/>
          <w:szCs w:val="20"/>
          <w:color w:val="auto"/>
        </w:rPr>
      </w:pPr>
      <w:r>
        <w:rPr>
          <w:rFonts w:ascii="Times New Roman" w:cs="Times New Roman" w:eastAsia="Times New Roman" w:hAnsi="Times New Roman"/>
          <w:sz w:val="17"/>
          <w:szCs w:val="17"/>
          <w:color w:val="auto"/>
        </w:rPr>
        <w:t>The undersigned Participant has been granted the right to receive an Award of Shares of Restricted Stock of Common Stock of PMV Pharmaceuticals, Inc. (the “Company”), subject to the terms and conditions of the Plan and this Restricted Stock Agreement, as follows:</w:t>
      </w:r>
    </w:p>
    <w:p>
      <w:pPr>
        <w:spacing w:after="0" w:line="1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-7620</wp:posOffset>
            </wp:positionV>
            <wp:extent cx="279908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2799080" cy="8255"/>
                    </a:xfrm>
                    <a:prstGeom prst="rect">
                      <a:avLst/>
                    </a:prstGeom>
                    <a:noFill/>
                  </pic:spPr>
                </pic:pic>
              </a:graphicData>
            </a:graphic>
          </wp:anchor>
        </w:drawing>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-7620</wp:posOffset>
            </wp:positionV>
            <wp:extent cx="279908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799080" cy="8255"/>
                    </a:xfrm>
                    <a:prstGeom prst="rect">
                      <a:avLst/>
                    </a:prstGeom>
                    <a:noFill/>
                  </pic:spPr>
                </pic:pic>
              </a:graphicData>
            </a:graphic>
          </wp:anchor>
        </w:drawing>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-7620</wp:posOffset>
            </wp:positionV>
            <wp:extent cx="279908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799080" cy="8255"/>
                    </a:xfrm>
                    <a:prstGeom prst="rect">
                      <a:avLst/>
                    </a:prstGeom>
                    <a:noFill/>
                  </pic:spPr>
                </pic:pic>
              </a:graphicData>
            </a:graphic>
          </wp:anchor>
        </w:drawing>
      </w:r>
    </w:p>
    <w:p>
      <w:pPr>
        <w:spacing w:after="0" w:line="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Number of Shares of Restricted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2209165</wp:posOffset>
            </wp:positionH>
            <wp:positionV relativeFrom="paragraph">
              <wp:posOffset>-7620</wp:posOffset>
            </wp:positionV>
            <wp:extent cx="279908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799080" cy="8255"/>
                    </a:xfrm>
                    <a:prstGeom prst="rect">
                      <a:avLst/>
                    </a:prstGeom>
                    <a:noFill/>
                  </pic:spPr>
                </pic:pic>
              </a:graphicData>
            </a:graphic>
          </wp:anchor>
        </w:drawing>
      </w:r>
    </w:p>
    <w:p>
      <w:pPr>
        <w:spacing w:after="0" w:line="3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Subject to any accelerated vesting as set forth below or in the Plan, the Shares of Restricted Stock will be scheduled to vest, and the Company’s right to reacquire the Restricted Stock will be scheduled to lapse, in accordance with the following schedule:</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Vesting Schedule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By Participant’s signature and the signature of the representative of the Company below, Participant and the Company agree that this Award of Restricted Stock is granted under and governed by the terms and conditions of the Plan and this Restricted Stock Agreement, including the Terms and Conditions of Restricted Stock Grant,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all of which are made a part of this document. Participant acknowledges receipt of a copy of the Plan. Participant has reviewed the Plan and this Restricted Stock Agreement in their entirety, has had an opportunity to obtain the advice of counsel prior to executing this Restricted Stock Agreement and fully understands all provisions of the Plan and this Restricted Stock Agreement. Participant hereby agrees to accept as binding, conclusive and final all decisions or interpretations of the Administrator upon any questions relating to the Plan and the Restricted Stock Agreement. Participant further agrees to notify the Company upon any change in the residence address indicated below.</w:t>
      </w:r>
    </w:p>
    <w:p>
      <w:pPr>
        <w:sectPr>
          <w:pgSz w:w="11900" w:h="16838" w:orient="portrait"/>
          <w:cols w:equalWidth="0" w:num="1">
            <w:col w:w="10940"/>
          </w:cols>
          <w:pgMar w:left="440" w:top="265" w:right="519" w:bottom="1440" w:gutter="0" w:footer="0" w:header="0"/>
        </w:sectPr>
      </w:pPr>
    </w:p>
    <w:bookmarkStart w:id="478" w:name="page479"/>
    <w:bookmarkEnd w:id="478"/>
    <w:p>
      <w:pPr>
        <w:spacing w:after="0"/>
        <w:rPr>
          <w:sz w:val="20"/>
          <w:szCs w:val="20"/>
          <w:color w:val="auto"/>
        </w:rPr>
      </w:pPr>
      <w:r>
        <w:rPr>
          <w:rFonts w:ascii="Times New Roman" w:cs="Times New Roman" w:eastAsia="Times New Roman" w:hAnsi="Times New Roman"/>
          <w:sz w:val="17"/>
          <w:szCs w:val="17"/>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299085</wp:posOffset>
            </wp:positionV>
            <wp:extent cx="329184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329184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329184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329184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514350</wp:posOffset>
            </wp:positionV>
            <wp:extent cx="3291840"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PMV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-205740</wp:posOffset>
            </wp:positionV>
            <wp:extent cx="7149465" cy="254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299085</wp:posOffset>
            </wp:positionV>
            <wp:extent cx="314579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222885</wp:posOffset>
            </wp:positionV>
            <wp:extent cx="314579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222885</wp:posOffset>
            </wp:positionV>
            <wp:extent cx="314579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524" w:lineRule="exact"/>
        <w:rPr>
          <w:sz w:val="20"/>
          <w:szCs w:val="20"/>
          <w:color w:val="auto"/>
        </w:rPr>
      </w:pPr>
    </w:p>
    <w:p>
      <w:pPr>
        <w:sectPr>
          <w:pgSz w:w="11900" w:h="16838" w:orient="portrait"/>
          <w:cols w:equalWidth="0" w:num="2">
            <w:col w:w="5340" w:space="720"/>
            <w:col w:w="3959"/>
          </w:cols>
          <w:pgMar w:left="440" w:top="26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7"/>
          <w:szCs w:val="17"/>
          <w:color w:val="auto"/>
        </w:rPr>
        <w:t>- 2 -</w:t>
      </w:r>
    </w:p>
    <w:p>
      <w:pPr>
        <w:sectPr>
          <w:pgSz w:w="11900" w:h="16838" w:orient="portrait"/>
          <w:cols w:equalWidth="0" w:num="1">
            <w:col w:w="10019"/>
          </w:cols>
          <w:pgMar w:left="440" w:top="269" w:right="1440" w:bottom="1440" w:gutter="0" w:footer="0" w:header="0"/>
          <w:type w:val="continuous"/>
        </w:sectPr>
      </w:pPr>
    </w:p>
    <w:bookmarkStart w:id="479" w:name="page480"/>
    <w:bookmarkEnd w:id="47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 OF RESTRICTED STOCK GRANT</w:t>
      </w:r>
    </w:p>
    <w:p>
      <w:pPr>
        <w:spacing w:after="0" w:line="229" w:lineRule="exact"/>
        <w:rPr>
          <w:sz w:val="20"/>
          <w:szCs w:val="20"/>
          <w:color w:val="auto"/>
        </w:rPr>
      </w:pPr>
    </w:p>
    <w:p>
      <w:pPr>
        <w:ind w:right="40" w:firstLine="436"/>
        <w:spacing w:after="0" w:line="261" w:lineRule="auto"/>
        <w:tabs>
          <w:tab w:leader="none" w:pos="755"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Shares of Restricted Stock</w:t>
      </w:r>
      <w:r>
        <w:rPr>
          <w:rFonts w:ascii="Times New Roman" w:cs="Times New Roman" w:eastAsia="Times New Roman" w:hAnsi="Times New Roman"/>
          <w:sz w:val="18"/>
          <w:szCs w:val="18"/>
          <w:color w:val="auto"/>
        </w:rPr>
        <w:t>. The Company hereby grants to the individual (“Participant”) named in the Notice of Restricted Stock Grant (the “Notice of Grant”) under the Plan an Award of Shares of Restricted Stock, subject to all of the terms and conditions in this Restricted Stock Agreement and the Plan, which is incorporated herein by reference. Subject to Section 19(c) of the Plan, in the event of a conflict between the terms and conditions of the Plan and this Restricted Stock Agreement, the terms and conditions of the Plan will prevail.</w:t>
      </w:r>
    </w:p>
    <w:p>
      <w:pPr>
        <w:spacing w:after="0" w:line="287"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Escrow of Shares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20" w:firstLine="987"/>
        <w:spacing w:after="0" w:line="266" w:lineRule="auto"/>
        <w:tabs>
          <w:tab w:leader="none" w:pos="1361"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of Restricted Stock will, upon execution of this Restricted Stock Agreement, be delivered and deposited with an escrow holder designated by the Company (the “Escrow Holder”). The Shares of Restricted Stock will be held by the Escrow Holder until such time as the Shares of Restricted Stock vest or the date Participant ceases to be a Service Provider.</w:t>
      </w:r>
    </w:p>
    <w:p>
      <w:pPr>
        <w:spacing w:after="0" w:line="175" w:lineRule="exact"/>
        <w:rPr>
          <w:rFonts w:ascii="Times New Roman" w:cs="Times New Roman" w:eastAsia="Times New Roman" w:hAnsi="Times New Roman"/>
          <w:sz w:val="18"/>
          <w:szCs w:val="18"/>
          <w:color w:val="auto"/>
        </w:rPr>
      </w:pPr>
    </w:p>
    <w:p>
      <w:pPr>
        <w:ind w:right="340" w:firstLine="987"/>
        <w:spacing w:after="0" w:line="282" w:lineRule="auto"/>
        <w:tabs>
          <w:tab w:leader="none" w:pos="1378"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Holder will not be liable for any act it may do or omit to do with respect to holding the Shares of Restricted Stock in escrow while acting in good faith and in the exercise of its judgment.</w:t>
      </w:r>
    </w:p>
    <w:p>
      <w:pPr>
        <w:spacing w:after="0" w:line="161" w:lineRule="exact"/>
        <w:rPr>
          <w:rFonts w:ascii="Times New Roman" w:cs="Times New Roman" w:eastAsia="Times New Roman" w:hAnsi="Times New Roman"/>
          <w:sz w:val="18"/>
          <w:szCs w:val="18"/>
          <w:color w:val="auto"/>
        </w:rPr>
      </w:pPr>
    </w:p>
    <w:p>
      <w:pPr>
        <w:jc w:val="both"/>
        <w:ind w:right="80" w:firstLine="987"/>
        <w:spacing w:after="0" w:line="258" w:lineRule="auto"/>
        <w:tabs>
          <w:tab w:leader="none" w:pos="1371"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Participant’s termination as a Service Provider for any reason, the Escrow Holder, upon receipt of written notice of such termination, will take all steps necessary to accomplish the transfer of the unvested Shares of Restricted Stock to the Company. Participant hereby appoints the Escrow Holder with full power of substitution, as Participant’s true and lawful attorney-in-fact with irrevocable power and authority in the name and on behalf of Participant to take any action and execute all documents and instruments, including, without limitation, stock powers which may be necessary to transfer the certificate or certificates evidencing such unvested Shares of Restricted Stock to the Company upon such termination.</w:t>
      </w:r>
    </w:p>
    <w:p>
      <w:pPr>
        <w:spacing w:after="0" w:line="183" w:lineRule="exact"/>
        <w:rPr>
          <w:rFonts w:ascii="Times New Roman" w:cs="Times New Roman" w:eastAsia="Times New Roman" w:hAnsi="Times New Roman"/>
          <w:sz w:val="18"/>
          <w:szCs w:val="18"/>
          <w:color w:val="auto"/>
        </w:rPr>
      </w:pPr>
    </w:p>
    <w:p>
      <w:pPr>
        <w:ind w:right="40" w:firstLine="987"/>
        <w:spacing w:after="0" w:line="282" w:lineRule="auto"/>
        <w:tabs>
          <w:tab w:leader="none" w:pos="1378"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Holder will take all steps necessary to accomplish the transfer of Shares of Restricted Stock to Participant after they vest following Participant’s request that the Escrow Holder do so.</w:t>
      </w:r>
    </w:p>
    <w:p>
      <w:pPr>
        <w:spacing w:after="0" w:line="161" w:lineRule="exact"/>
        <w:rPr>
          <w:rFonts w:ascii="Times New Roman" w:cs="Times New Roman" w:eastAsia="Times New Roman" w:hAnsi="Times New Roman"/>
          <w:sz w:val="18"/>
          <w:szCs w:val="18"/>
          <w:color w:val="auto"/>
        </w:rPr>
      </w:pPr>
    </w:p>
    <w:p>
      <w:pPr>
        <w:ind w:right="460" w:firstLine="987"/>
        <w:spacing w:after="0" w:line="282" w:lineRule="auto"/>
        <w:tabs>
          <w:tab w:leader="none" w:pos="1371"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hereof, Participant will have all the rights of a stockholder with respect to the Shares while they are held in escrow, including without limitation, the right to vote the Shares and to receive any cash dividends declared thereon.</w:t>
      </w:r>
    </w:p>
    <w:p>
      <w:pPr>
        <w:spacing w:after="0" w:line="161" w:lineRule="exact"/>
        <w:rPr>
          <w:rFonts w:ascii="Times New Roman" w:cs="Times New Roman" w:eastAsia="Times New Roman" w:hAnsi="Times New Roman"/>
          <w:sz w:val="18"/>
          <w:szCs w:val="18"/>
          <w:color w:val="auto"/>
        </w:rPr>
      </w:pPr>
    </w:p>
    <w:p>
      <w:pPr>
        <w:ind w:firstLine="987"/>
        <w:spacing w:after="0" w:line="256" w:lineRule="auto"/>
        <w:tabs>
          <w:tab w:leader="none" w:pos="1351"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the Shares of Restricted Stock will be increased, reduced or otherwise changed, and by virtue of any such change Participant will in his or her capacity as owner of unvested Shares of Restricted Stock be entitled to new or additional or different shares of stock, cash or securities (other than rights or warrants to purchase securities); such new or additional or different shares, cash or securities will thereupon be considered to be unvested Shares</w:t>
      </w:r>
    </w:p>
    <w:p>
      <w:pPr>
        <w:sectPr>
          <w:pgSz w:w="11900" w:h="16838" w:orient="portrait"/>
          <w:cols w:equalWidth="0" w:num="1">
            <w:col w:w="11000"/>
          </w:cols>
          <w:pgMar w:left="440" w:top="265" w:right="459" w:bottom="1440" w:gutter="0" w:footer="0" w:header="0"/>
        </w:sectPr>
      </w:pPr>
    </w:p>
    <w:bookmarkStart w:id="480" w:name="page481"/>
    <w:bookmarkEnd w:id="480"/>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 Restricted Stock and will be subject to all of the conditions and restrictions which were applicable to the unvested Shares of Restricted Stock pursuant to this Restricted Stock Agreement. If Participant receives rights or warrants with respect to any unvested Shares of Restricted Stock, such rights or warrants may be held or exercised by Participant, provided that until such exercise any such rights or warrants and after such exercise any shares or other securities acquired by the exercise of such rights or warrants will be considered to be unvested Shares of Restricted Stock and will be subject to all of the conditions and restrictions which were applicable to the unvested Shares of Restricted Stock pursuant to this Restricted Stock Agreement. The Administrator in its absolute discretion at any time may accelerate the vesting of all or any portion of such new or additional shares of stock, cash or securities, rights or warrants to purchase securities or shares or other securities acquired by the exercise of such rights or warrants.</w:t>
      </w:r>
    </w:p>
    <w:p>
      <w:pPr>
        <w:spacing w:after="0" w:line="189" w:lineRule="exact"/>
        <w:rPr>
          <w:sz w:val="20"/>
          <w:szCs w:val="20"/>
          <w:color w:val="auto"/>
        </w:rPr>
      </w:pPr>
    </w:p>
    <w:p>
      <w:pPr>
        <w:ind w:right="180" w:firstLine="987"/>
        <w:spacing w:after="0" w:line="282" w:lineRule="auto"/>
        <w:tabs>
          <w:tab w:leader="none" w:pos="1378" w:val="left"/>
        </w:tabs>
        <w:numPr>
          <w:ilvl w:val="1"/>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instruct the transfer agent for its Common Stock to place a legend on the certificates representing the Restricted Stock or otherwise note its records as to the restrictions on transfer set forth in this Restricted Stock Agreement.</w:t>
      </w:r>
    </w:p>
    <w:p>
      <w:pPr>
        <w:spacing w:after="0" w:line="161" w:lineRule="exact"/>
        <w:rPr>
          <w:rFonts w:ascii="Times New Roman" w:cs="Times New Roman" w:eastAsia="Times New Roman" w:hAnsi="Times New Roman"/>
          <w:sz w:val="18"/>
          <w:szCs w:val="18"/>
          <w:color w:val="auto"/>
        </w:rPr>
      </w:pPr>
    </w:p>
    <w:p>
      <w:pPr>
        <w:jc w:val="both"/>
        <w:ind w:right="100" w:firstLine="436"/>
        <w:spacing w:after="0" w:line="261" w:lineRule="auto"/>
        <w:tabs>
          <w:tab w:leader="none" w:pos="755"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Except as provided in Section 4, and subject to Section 5, the Shares of Restricted Stock awarded by this Restricted Stock Agreement will vest in accordance with the vesting provisions set forth in the Notice of Grant. Shares of Restricted Stock scheduled to vest on a certain date or upon the occurrence of a certain condition will not vest in Participant in accordance with any of the provisions of this Restricted Stock Agreement, unless Participant will have been continuously a Service Provider from the Date of Grant until the date such vesting occurs.</w:t>
      </w:r>
    </w:p>
    <w:p>
      <w:pPr>
        <w:spacing w:after="0" w:line="179" w:lineRule="exact"/>
        <w:rPr>
          <w:rFonts w:ascii="Times New Roman" w:cs="Times New Roman" w:eastAsia="Times New Roman" w:hAnsi="Times New Roman"/>
          <w:sz w:val="18"/>
          <w:szCs w:val="18"/>
          <w:color w:val="auto"/>
        </w:rPr>
      </w:pPr>
    </w:p>
    <w:p>
      <w:pPr>
        <w:jc w:val="both"/>
        <w:ind w:firstLine="436"/>
        <w:spacing w:after="0" w:line="266" w:lineRule="auto"/>
        <w:tabs>
          <w:tab w:leader="none" w:pos="755"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Discretion</w:t>
      </w:r>
      <w:r>
        <w:rPr>
          <w:rFonts w:ascii="Times New Roman" w:cs="Times New Roman" w:eastAsia="Times New Roman" w:hAnsi="Times New Roman"/>
          <w:sz w:val="18"/>
          <w:szCs w:val="18"/>
          <w:color w:val="auto"/>
        </w:rPr>
        <w:t>. The Administrator, in its discretion, may accelerate the vesting of the balance, or some lesser portion of the balance, of the unvested Restricted Stock at any time, subject to the terms of the Plan. If so accelerated, such Restricted Stock will be considered as having vested as of the date specified by the Administrator.</w:t>
      </w:r>
    </w:p>
    <w:p>
      <w:pPr>
        <w:spacing w:after="0" w:line="175" w:lineRule="exact"/>
        <w:rPr>
          <w:rFonts w:ascii="Times New Roman" w:cs="Times New Roman" w:eastAsia="Times New Roman" w:hAnsi="Times New Roman"/>
          <w:sz w:val="18"/>
          <w:szCs w:val="18"/>
          <w:color w:val="auto"/>
        </w:rPr>
      </w:pPr>
    </w:p>
    <w:p>
      <w:pPr>
        <w:ind w:right="60" w:firstLine="436"/>
        <w:spacing w:after="0" w:line="254" w:lineRule="auto"/>
        <w:tabs>
          <w:tab w:leader="none" w:pos="755"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Forfeiture Upon Termination as a Service Provider</w:t>
      </w:r>
      <w:r>
        <w:rPr>
          <w:rFonts w:ascii="Times New Roman" w:cs="Times New Roman" w:eastAsia="Times New Roman" w:hAnsi="Times New Roman"/>
          <w:sz w:val="18"/>
          <w:szCs w:val="18"/>
          <w:color w:val="auto"/>
        </w:rPr>
        <w:t>. Unless specifically provided otherwise in this Restricted Stock Agreement or other written agreement between Participant and the Company or any of its Subsidiaries or Parents, as applicable, if Participant ceases to be a Service Provider for any or no reason, the balance of the Shares of Restricted Stock that have not vested as of the time Participant ceases to be a Service Provider for any or no reason will be forfeited and automatically transferred to and reacquired by the Company at no cost to the Company upon the date of such termination and Participant will have no further rights thereunder. Participant will not be entitled to a refund of the price paid for the Shares of Restricted Stock, if any, returned to the Company pursuant to this Section 4. Participant hereby appoints the Escrow Agent with full power of substitution, as Participant’s true and lawful attorney-in-fact with irrevocable power and authority in the name and on behalf of Participant to take any action and execute all documents and instruments, including, without limitation, stock powers which may be necessary to transfer the certificate or certificates evidencing such unvested Shares to the Company upon such termination of service.</w:t>
      </w:r>
    </w:p>
    <w:p>
      <w:pPr>
        <w:spacing w:after="0" w:line="188" w:lineRule="exact"/>
        <w:rPr>
          <w:rFonts w:ascii="Times New Roman" w:cs="Times New Roman" w:eastAsia="Times New Roman" w:hAnsi="Times New Roman"/>
          <w:sz w:val="18"/>
          <w:szCs w:val="18"/>
          <w:color w:val="auto"/>
        </w:rPr>
      </w:pPr>
    </w:p>
    <w:p>
      <w:pPr>
        <w:ind w:right="160" w:firstLine="436"/>
        <w:spacing w:after="0" w:line="282" w:lineRule="auto"/>
        <w:tabs>
          <w:tab w:leader="none" w:pos="755"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Participant</w:t>
      </w:r>
      <w:r>
        <w:rPr>
          <w:rFonts w:ascii="Times New Roman" w:cs="Times New Roman" w:eastAsia="Times New Roman" w:hAnsi="Times New Roman"/>
          <w:sz w:val="18"/>
          <w:szCs w:val="18"/>
          <w:color w:val="auto"/>
        </w:rPr>
        <w:t>. Any distribution or delivery to be made to Participant under this Restricted Stock Agreement will, if Participant is then deceased, be made to Participant’s designated beneficiary, or if no beneficiary survives Participant, the administrator or executor of</w:t>
      </w:r>
    </w:p>
    <w:p>
      <w:pPr>
        <w:spacing w:after="0" w:line="94"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2"/>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1000"/>
          </w:cols>
          <w:pgMar w:left="440" w:top="269" w:right="459" w:bottom="1440" w:gutter="0" w:footer="0" w:header="0"/>
        </w:sectPr>
      </w:pPr>
    </w:p>
    <w:bookmarkStart w:id="481" w:name="page482"/>
    <w:bookmarkEnd w:id="481"/>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270" w:lineRule="exact"/>
        <w:rPr>
          <w:sz w:val="20"/>
          <w:szCs w:val="20"/>
          <w:color w:val="auto"/>
        </w:rPr>
      </w:pPr>
    </w:p>
    <w:p>
      <w:pPr>
        <w:ind w:left="760" w:hanging="324"/>
        <w:spacing w:after="0"/>
        <w:tabs>
          <w:tab w:leader="none" w:pos="76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Obligations</w:t>
      </w:r>
    </w:p>
    <w:p>
      <w:pPr>
        <w:spacing w:after="0" w:line="117" w:lineRule="exact"/>
        <w:rPr>
          <w:rFonts w:ascii="Times New Roman" w:cs="Times New Roman" w:eastAsia="Times New Roman" w:hAnsi="Times New Roman"/>
          <w:sz w:val="18"/>
          <w:szCs w:val="18"/>
          <w:color w:val="auto"/>
        </w:rPr>
      </w:pPr>
    </w:p>
    <w:p>
      <w:pPr>
        <w:ind w:firstLine="987"/>
        <w:spacing w:after="0" w:line="251" w:lineRule="auto"/>
        <w:tabs>
          <w:tab w:leader="none" w:pos="1371"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Responsibility for Taxes</w:t>
      </w:r>
      <w:r>
        <w:rPr>
          <w:rFonts w:ascii="Times New Roman" w:cs="Times New Roman" w:eastAsia="Times New Roman" w:hAnsi="Times New Roman"/>
          <w:sz w:val="18"/>
          <w:szCs w:val="18"/>
          <w:color w:val="auto"/>
        </w:rPr>
        <w:t>. Participant acknowledges that, regardless of any action taken by the Company or, if different, Participant’s employer (the “Employer”) or any Parent or Subsidiary to which Participant is providing services (together, the Company, Employer and/or Parent or Subsidiary to which Participant is providing services, the “Service Recipient”), the ultimate liability for any tax and/or social insurance liability obligations and requirements in connection with the Shares of Restricted Stock, including, without limitation, (i) all federal, state, and local taxes (including the Participant’s Federal Insurance Contributions Act (FICA) obligation) that are required to be withheld by the Company or the Employer or other payment of tax-related items related to Participant’s participation in the Plan and legally applicable to Participant, (ii) the Participant’s and, to the extent required by the Company (or Service Recipient), the Company’s (or Service Recipient’s) fringe benefit tax liability, if any, associated with the grant, vesting or release from escrow of the Shares of Restricted Stock, the filing of an 83(b) election with respect to the Shares of Restricted Stock, or the sale of Shares, and (iii) any other Company (or Service Recipient) taxes the responsibility for which the Participant has, or has agreed to bear, with respect to the Shares of Restricted Stock (or exercise thereof or issuance of Shares thereunder) (collectively, the “Tax Obligations”), is and remains Participant’s responsibility and may exceed the amount actually withheld by the Company or the Service Recipient. Participant further acknowledges that the Company and/or the Service Recipient (A) make no representations or undertakings regarding the treatment of any Tax Obligations in connection with any aspect of the Shares of Restricted Stock, including, but not limited to, the grant, vesting or release from escrow of the Shares of Restricted Stock, the filing of an 83(b) election with respect to the Shares of Restricted Stock, the subsequent sale of Shares acquired pursuant to this Restricted Stock Agreement and the receipt of any dividends or other distributions, and (B) do not commit to and are under no obligation to structure the terms of the grant or any aspect of the Award of Restricted Stock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Company and/or the Service Recipient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 Participant understands that Section 83 of the Code, taxes as ordinary income the difference between the purchase price, if any, for the Shares and the Fair Market Value of the Shares as of each vesting date. If Participant is a U.S. taxpayer, Participant understands that Participant may elect, for purposes of U.S. tax law, to be taxed at the time the Shares are granted rather than when such Shares vest by filing an election under Section 83(b) of the Code (the “83(b) Election”) with the IRS within thirty (30) days from the date of grant of the Restricted Stock Award.</w:t>
      </w:r>
    </w:p>
    <w:p>
      <w:pPr>
        <w:spacing w:after="0" w:line="136"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2"/>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0980"/>
          </w:cols>
          <w:pgMar w:left="440" w:top="269" w:right="479" w:bottom="1440" w:gutter="0" w:footer="0" w:header="0"/>
        </w:sectPr>
      </w:pPr>
    </w:p>
    <w:bookmarkStart w:id="482" w:name="page483"/>
    <w:bookmarkEnd w:id="482"/>
    <w:p>
      <w:pPr>
        <w:ind w:left="-987" w:firstLine="987"/>
        <w:spacing w:after="0" w:line="252" w:lineRule="auto"/>
        <w:tabs>
          <w:tab w:leader="none" w:pos="394"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Tax Withholding</w:t>
      </w:r>
      <w:r>
        <w:rPr>
          <w:rFonts w:ascii="Times New Roman" w:cs="Times New Roman" w:eastAsia="Times New Roman" w:hAnsi="Times New Roman"/>
          <w:sz w:val="18"/>
          <w:szCs w:val="18"/>
          <w:color w:val="auto"/>
        </w:rPr>
        <w:t>. Notwithstanding any contrary provision of this Restricted Stock Agreement, no certificate representing the Shares of Restricted Stock may be released from the escrow established pursuant to Section 14, unless and until satisfactory arrangements (as determined by the Administrator) will have been made by Participant with respect to the payment of all Tax Obligations. When Shares of Restricted Stock are vested, Participant generally will recognize immediate U.S. taxable income if Participant is a U.S. taxpayer. If Participant is a non-U.S. taxpayer, Participant will be subject to applicable taxes in his or her jurisdiction. Pursuant to such procedures as the Administrator may specify from time to time, the Company and/or Service Recipient shall withhold the amount required to be withheld for the payment of Tax Obligations which the Company determines must be withheld with respect to this Award. The Administrator, in its sole discretion and pursuant to such procedures as it may specify from time to time, may permit or require Participant to satisfy Participant’s Tax Obligations, in whole or in part (without limitation), if permissible by applicable local law, by (i) paying cash in U.S. dollars, (ii) electing to have the Company withhold otherwise deliverable Shares having a fair market value equal to the minimum amount that is necessary to meet the withholding requirement for such Tax Obligations (or such greater amount as Participant may elect if permitted by the Administrator, if such greater amount would not result in adverse financial accounting consequences), (iii) having the amount of such Tax Obligation withheld from Participant’s wages or other cash compensation paid to Participant by the applicable Service Recipient(s), (iv) delivering to the Company Shares that Participant owns and that have vested with a fair market value equal to the Tax Obligations (or such greater amount as Participant may elect if permitted by the Administrator, if such greater amount would not result in adverse financial accounting consequences), (v) selling a sufficient number of such Shares otherwise deliverable to Participant through such means as the Company may determine in its sole discretion (whether through a broker or otherwise) equal to the minimum amount that is necessary to meet the withholding requirement for such Tax Obligations (or such greater amount as Participant may elect if permitted by the Administrator, if such greater amount would not result in adverse financial accounting consequences), or (vi) such other means as the Administrator deems appropriate. To the extent determined appropriate by the Administrator in its discretion, the Administrator will have the right (but not the obligation) to satisfy any Tax Obligations by reducing the number of Shares otherwise deliverable to Participant and, until determined otherwise by the Company, this will be the method by which such Tax Obligations are satisfied.</w:t>
      </w:r>
    </w:p>
    <w:p>
      <w:pPr>
        <w:spacing w:after="0" w:line="187" w:lineRule="exact"/>
        <w:rPr>
          <w:rFonts w:ascii="Times New Roman" w:cs="Times New Roman" w:eastAsia="Times New Roman" w:hAnsi="Times New Roman"/>
          <w:sz w:val="18"/>
          <w:szCs w:val="18"/>
          <w:color w:val="auto"/>
        </w:rPr>
      </w:pPr>
    </w:p>
    <w:p>
      <w:pPr>
        <w:ind w:left="-987" w:right="120" w:firstLine="987"/>
        <w:spacing w:after="0" w:line="258" w:lineRule="auto"/>
        <w:tabs>
          <w:tab w:leader="none" w:pos="383"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Representations</w:t>
      </w:r>
      <w:r>
        <w:rPr>
          <w:rFonts w:ascii="Times New Roman" w:cs="Times New Roman" w:eastAsia="Times New Roman" w:hAnsi="Times New Roman"/>
          <w:sz w:val="18"/>
          <w:szCs w:val="18"/>
          <w:color w:val="auto"/>
        </w:rPr>
        <w:t>. Participant has reviewed with his or her own tax advisers the U.S. federal, state, local and non-U.S. tax consequences of this investment and the transactions contemplated by this Restricted Stock Agreement. With respect to such matters, Participant relies solely on such advisers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Restricted Stock Agreement.</w:t>
      </w:r>
    </w:p>
    <w:p>
      <w:pPr>
        <w:spacing w:after="0" w:line="183" w:lineRule="exact"/>
        <w:rPr>
          <w:rFonts w:ascii="Times New Roman" w:cs="Times New Roman" w:eastAsia="Times New Roman" w:hAnsi="Times New Roman"/>
          <w:sz w:val="18"/>
          <w:szCs w:val="18"/>
          <w:color w:val="auto"/>
        </w:rPr>
      </w:pPr>
    </w:p>
    <w:p>
      <w:pPr>
        <w:ind w:left="-987" w:right="140" w:firstLine="987"/>
        <w:spacing w:after="0" w:line="256" w:lineRule="auto"/>
        <w:tabs>
          <w:tab w:leader="none" w:pos="394"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Obligation to Release Shares</w:t>
      </w:r>
      <w:r>
        <w:rPr>
          <w:rFonts w:ascii="Times New Roman" w:cs="Times New Roman" w:eastAsia="Times New Roman" w:hAnsi="Times New Roman"/>
          <w:sz w:val="18"/>
          <w:szCs w:val="18"/>
          <w:color w:val="auto"/>
        </w:rPr>
        <w:t>. For clarification purposes, in no event will the Company release Shares from the escrow established pursuant to Section 11 unless and until arrangements satisfactory to the Administrator have been made for the payment of Participant’s Tax Obligations. If Participant fails to make satisfactory arrangements for the payment of such Tax Obligations hereunder at the time any applicable Shares of Restricted Stock otherwise are scheduled to vest pursuant to Sections 2 or 3, at the time Participant files a timely 83(b) Election with the IRS, or Participant’s Tax Obligations otherwise become due, Participant will permanently forfeit such Shares of Restricted Stock to which Participant’s Tax Obligation</w:t>
      </w:r>
    </w:p>
    <w:p>
      <w:pPr>
        <w:spacing w:after="0" w:line="119" w:lineRule="exact"/>
        <w:rPr>
          <w:rFonts w:ascii="Times New Roman" w:cs="Times New Roman" w:eastAsia="Times New Roman" w:hAnsi="Times New Roman"/>
          <w:sz w:val="18"/>
          <w:szCs w:val="18"/>
          <w:color w:val="auto"/>
        </w:rPr>
      </w:pPr>
    </w:p>
    <w:p>
      <w:pPr>
        <w:ind w:left="4473" w:hanging="106"/>
        <w:spacing w:after="0"/>
        <w:tabs>
          <w:tab w:leader="none" w:pos="4473"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0013"/>
          </w:cols>
          <w:pgMar w:left="1427" w:top="269" w:right="459" w:bottom="1440" w:gutter="0" w:footer="0" w:header="0"/>
        </w:sectPr>
      </w:pPr>
    </w:p>
    <w:bookmarkStart w:id="483" w:name="page484"/>
    <w:bookmarkEnd w:id="483"/>
    <w:p>
      <w:pPr>
        <w:ind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relates and any right to receive Shares thereunder and such Shares of Restricted Stock will be returned to the Company at no cost to the Company. Participant acknowledges and agrees that the Company may refuse to issue or deliver the Shares if such Tax Obligations are not delivered at the time they are due.</w:t>
      </w:r>
    </w:p>
    <w:p>
      <w:pPr>
        <w:spacing w:after="0" w:line="176" w:lineRule="exact"/>
        <w:rPr>
          <w:sz w:val="20"/>
          <w:szCs w:val="20"/>
          <w:color w:val="auto"/>
        </w:rPr>
      </w:pPr>
    </w:p>
    <w:p>
      <w:pPr>
        <w:ind w:firstLine="436"/>
        <w:spacing w:after="0" w:line="255" w:lineRule="auto"/>
        <w:tabs>
          <w:tab w:leader="none" w:pos="755"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or the Escrow Agent. After such issuance, recordation and delivery, Participant will have all the rights of a stockholder of the Company with respect to voting such Shares and receipt of dividends and distributions on such Shares. Except as provided in Section 1(f), after such issuance, recordation and delivery, Participant will have all the rights of a stockholder of the Company with respect to voting such Shares and receipt of dividends and distributions on such Shares.</w:t>
      </w:r>
    </w:p>
    <w:p>
      <w:pPr>
        <w:spacing w:after="0" w:line="188" w:lineRule="exact"/>
        <w:rPr>
          <w:rFonts w:ascii="Times New Roman" w:cs="Times New Roman" w:eastAsia="Times New Roman" w:hAnsi="Times New Roman"/>
          <w:sz w:val="18"/>
          <w:szCs w:val="18"/>
          <w:color w:val="auto"/>
        </w:rPr>
      </w:pPr>
    </w:p>
    <w:p>
      <w:pPr>
        <w:ind w:right="120" w:firstLine="436"/>
        <w:spacing w:after="0" w:line="253" w:lineRule="auto"/>
        <w:tabs>
          <w:tab w:leader="none" w:pos="755"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Guarantee of Continued Service</w:t>
      </w:r>
      <w:r>
        <w:rPr>
          <w:rFonts w:ascii="Times New Roman" w:cs="Times New Roman" w:eastAsia="Times New Roman" w:hAnsi="Times New Roman"/>
          <w:sz w:val="18"/>
          <w:szCs w:val="18"/>
          <w:color w:val="auto"/>
        </w:rPr>
        <w:t>. PARTICIPANT ACKNOWLEDGES AND AGREES THAT THE VESTING OF THE SHARES OF RESTRICTED STOCK PURSUANT TO THE VESTING SCHEDULE HEREOF IS EARNED ONLY BY CONTINUING AS A SERVICE PROVIDER, WHICH UNLESS PROVIDED OTHERWISE UNDER APPLICABLE LAW IS AT THE WILL OF THE COMPANY (OR THE SERVICE RECIPIENT) AND NOT THROUGH THE ACT OF BEING HIRED, BEING GRANTED THIS RESTRICTED STOCK AWARD OR ACQUIRING SHARES HEREUNDER. PARTICIPANT FURTHER ACKNOWLEDGES AND AGREES THAT THIS RESTRICTED STOCK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SERVICE RECIPIENT) TO TERMINATE PARTICIPANT’S RELATIONSHIP AS A SERVICE PROVIDER, SUBJECT TO APPLICABLE LAW, WHICH TERMINATION, UNLESS PROVIDED OTHERWISE UNDER APPLICABLE LAW, MAY BE AT ANY TIME, WITH OR WITHOUT CAUSE.</w:t>
      </w:r>
    </w:p>
    <w:p>
      <w:pPr>
        <w:spacing w:after="0" w:line="299" w:lineRule="exact"/>
        <w:rPr>
          <w:rFonts w:ascii="Times New Roman" w:cs="Times New Roman" w:eastAsia="Times New Roman" w:hAnsi="Times New Roman"/>
          <w:sz w:val="18"/>
          <w:szCs w:val="18"/>
          <w:color w:val="auto"/>
        </w:rPr>
      </w:pPr>
    </w:p>
    <w:p>
      <w:pPr>
        <w:ind w:left="840" w:hanging="404"/>
        <w:spacing w:after="0"/>
        <w:tabs>
          <w:tab w:leader="none" w:pos="84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Grant</w:t>
      </w:r>
      <w:r>
        <w:rPr>
          <w:rFonts w:ascii="Times New Roman" w:cs="Times New Roman" w:eastAsia="Times New Roman" w:hAnsi="Times New Roman"/>
          <w:sz w:val="18"/>
          <w:szCs w:val="18"/>
          <w:color w:val="auto"/>
        </w:rPr>
        <w:t>. In accepting this Award of Restricted Stock, Participant acknowledges, understands and agrees that:</w:t>
      </w:r>
    </w:p>
    <w:p>
      <w:pPr>
        <w:spacing w:after="0" w:line="117" w:lineRule="exact"/>
        <w:rPr>
          <w:rFonts w:ascii="Times New Roman" w:cs="Times New Roman" w:eastAsia="Times New Roman" w:hAnsi="Times New Roman"/>
          <w:sz w:val="18"/>
          <w:szCs w:val="18"/>
          <w:color w:val="auto"/>
        </w:rPr>
      </w:pPr>
    </w:p>
    <w:p>
      <w:pPr>
        <w:ind w:right="80" w:firstLine="987"/>
        <w:spacing w:after="0" w:line="266" w:lineRule="auto"/>
        <w:tabs>
          <w:tab w:leader="none" w:pos="1371"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Shares of Restricted Stock is voluntary and occasional and does not create any contractual or other right to receive future grants of Shares of Restricted Stock, or benefits in lieu of Shares of Restricted Stock, even if Shares of Restricted Stock have been granted in the past;</w:t>
      </w:r>
    </w:p>
    <w:p>
      <w:pPr>
        <w:spacing w:after="0" w:line="17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grants of Restricted Stock or other grants, if any, will be at the sole discretion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Administrator;</w:t>
      </w:r>
    </w:p>
    <w:p>
      <w:pPr>
        <w:spacing w:after="0" w:line="206"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1"/>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voluntarily participating in the Plan;</w:t>
      </w:r>
    </w:p>
    <w:p>
      <w:pPr>
        <w:spacing w:after="0" w:line="157"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2"/>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0960"/>
          </w:cols>
          <w:pgMar w:left="440" w:top="269" w:right="499" w:bottom="1440" w:gutter="0" w:footer="0" w:header="0"/>
        </w:sectPr>
      </w:pPr>
    </w:p>
    <w:bookmarkStart w:id="484" w:name="page485"/>
    <w:bookmarkEnd w:id="484"/>
    <w:p>
      <w:pPr>
        <w:ind w:left="393" w:hanging="393"/>
        <w:spacing w:after="0"/>
        <w:tabs>
          <w:tab w:leader="none" w:pos="393"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Shares of Restricted Stock are not intended to replace any pension rights or compensation;</w:t>
      </w:r>
    </w:p>
    <w:p>
      <w:pPr>
        <w:spacing w:after="0" w:line="225" w:lineRule="exact"/>
        <w:rPr>
          <w:rFonts w:ascii="Times New Roman" w:cs="Times New Roman" w:eastAsia="Times New Roman" w:hAnsi="Times New Roman"/>
          <w:sz w:val="18"/>
          <w:szCs w:val="18"/>
          <w:color w:val="auto"/>
        </w:rPr>
      </w:pPr>
    </w:p>
    <w:p>
      <w:pPr>
        <w:ind w:left="-987" w:right="180" w:firstLine="987"/>
        <w:spacing w:after="0" w:line="266" w:lineRule="auto"/>
        <w:tabs>
          <w:tab w:leader="none" w:pos="384"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Restricted Stock,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75" w:lineRule="exact"/>
        <w:rPr>
          <w:rFonts w:ascii="Times New Roman" w:cs="Times New Roman" w:eastAsia="Times New Roman" w:hAnsi="Times New Roman"/>
          <w:sz w:val="18"/>
          <w:szCs w:val="18"/>
          <w:color w:val="auto"/>
        </w:rPr>
      </w:pPr>
    </w:p>
    <w:p>
      <w:pPr>
        <w:ind w:left="353" w:hanging="353"/>
        <w:spacing w:after="0"/>
        <w:tabs>
          <w:tab w:leader="none" w:pos="353"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underlying Shares is unknown, indeterminable and cannot be predicted;</w:t>
      </w:r>
    </w:p>
    <w:p>
      <w:pPr>
        <w:spacing w:after="0" w:line="225" w:lineRule="exact"/>
        <w:rPr>
          <w:rFonts w:ascii="Times New Roman" w:cs="Times New Roman" w:eastAsia="Times New Roman" w:hAnsi="Times New Roman"/>
          <w:sz w:val="18"/>
          <w:szCs w:val="18"/>
          <w:color w:val="auto"/>
        </w:rPr>
      </w:pPr>
    </w:p>
    <w:p>
      <w:pPr>
        <w:ind w:left="-987" w:right="80" w:firstLine="987"/>
        <w:spacing w:after="0" w:line="253" w:lineRule="auto"/>
        <w:tabs>
          <w:tab w:leader="none" w:pos="394"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Shares of Restricted Stock,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Restricted Stock Agreement (including by reference in the Notice of Grant to other arrangements or contracts) or determined by the Administrator, Participant’s right to vest in the Shares of Restricted Stock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the Restricted Stock Award (including whether Participant may still be considered to be providing services while on a leave of absence and consistent with local law);</w:t>
      </w:r>
    </w:p>
    <w:p>
      <w:pPr>
        <w:spacing w:after="0" w:line="191" w:lineRule="exact"/>
        <w:rPr>
          <w:rFonts w:ascii="Times New Roman" w:cs="Times New Roman" w:eastAsia="Times New Roman" w:hAnsi="Times New Roman"/>
          <w:sz w:val="18"/>
          <w:szCs w:val="18"/>
          <w:color w:val="auto"/>
        </w:rPr>
      </w:pPr>
    </w:p>
    <w:p>
      <w:pPr>
        <w:ind w:left="-987" w:firstLine="987"/>
        <w:spacing w:after="0" w:line="266" w:lineRule="auto"/>
        <w:tabs>
          <w:tab w:leader="none" w:pos="394"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Plan or by the Administrator in its discretion, the Shares of Restricted Stock and the benefits evidenced by this Restricted Stock Agreement do not create any entitlement to have the Shares of Restricted Stock or any such benefits transferred to, or assumed by, another company nor be exchanged, cashed out or substituted for, in connection with any corporate transaction affecting the Shares; and</w:t>
      </w:r>
    </w:p>
    <w:p>
      <w:pPr>
        <w:spacing w:after="0" w:line="175" w:lineRule="exact"/>
        <w:rPr>
          <w:rFonts w:ascii="Times New Roman" w:cs="Times New Roman" w:eastAsia="Times New Roman" w:hAnsi="Times New Roman"/>
          <w:sz w:val="18"/>
          <w:szCs w:val="18"/>
          <w:color w:val="auto"/>
        </w:rPr>
      </w:pPr>
    </w:p>
    <w:p>
      <w:pPr>
        <w:ind w:left="353" w:hanging="353"/>
        <w:spacing w:after="0"/>
        <w:tabs>
          <w:tab w:leader="none" w:pos="353"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apply only if Participant is providing services outside the United States:</w:t>
      </w:r>
    </w:p>
    <w:p>
      <w:pPr>
        <w:spacing w:after="0" w:line="225" w:lineRule="exact"/>
        <w:rPr>
          <w:rFonts w:ascii="Times New Roman" w:cs="Times New Roman" w:eastAsia="Times New Roman" w:hAnsi="Times New Roman"/>
          <w:sz w:val="18"/>
          <w:szCs w:val="18"/>
          <w:color w:val="auto"/>
        </w:rPr>
      </w:pPr>
    </w:p>
    <w:p>
      <w:pPr>
        <w:ind w:left="793" w:hanging="352"/>
        <w:spacing w:after="0"/>
        <w:tabs>
          <w:tab w:leader="none" w:pos="793"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Restricted Stock are not part of normal or expected compensation or salary for any purpose;</w:t>
      </w:r>
    </w:p>
    <w:p>
      <w:pPr>
        <w:spacing w:after="0" w:line="225" w:lineRule="exact"/>
        <w:rPr>
          <w:rFonts w:ascii="Times New Roman" w:cs="Times New Roman" w:eastAsia="Times New Roman" w:hAnsi="Times New Roman"/>
          <w:sz w:val="18"/>
          <w:szCs w:val="18"/>
          <w:color w:val="auto"/>
        </w:rPr>
      </w:pPr>
    </w:p>
    <w:p>
      <w:pPr>
        <w:ind w:left="-987" w:right="220" w:firstLine="1428"/>
        <w:spacing w:after="0" w:line="266" w:lineRule="auto"/>
        <w:tabs>
          <w:tab w:leader="none" w:pos="844"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and agrees that none of the Company, the Employer or any Parent or Subsidiary shall be liable for any foreign exchange rate fluctuation between Participant’s local currency and the United States Dollar that may affect the value of the Shares of Restricted Stock or the subsequent sale of any Shares; and</w:t>
      </w:r>
    </w:p>
    <w:p>
      <w:pPr>
        <w:spacing w:after="0" w:line="175" w:lineRule="exact"/>
        <w:rPr>
          <w:rFonts w:ascii="Times New Roman" w:cs="Times New Roman" w:eastAsia="Times New Roman" w:hAnsi="Times New Roman"/>
          <w:sz w:val="18"/>
          <w:szCs w:val="18"/>
          <w:color w:val="auto"/>
        </w:rPr>
      </w:pPr>
    </w:p>
    <w:p>
      <w:pPr>
        <w:ind w:left="-987" w:right="420" w:firstLine="1428"/>
        <w:spacing w:after="0" w:line="282" w:lineRule="auto"/>
        <w:tabs>
          <w:tab w:leader="none" w:pos="894"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the Restricted Stock resulting from the termination of Participant’s status as a Service Provider (for any reason whatsoever whether or not later found to be invalid or in</w:t>
      </w:r>
    </w:p>
    <w:p>
      <w:pPr>
        <w:spacing w:after="0" w:line="94" w:lineRule="exact"/>
        <w:rPr>
          <w:rFonts w:ascii="Times New Roman" w:cs="Times New Roman" w:eastAsia="Times New Roman" w:hAnsi="Times New Roman"/>
          <w:sz w:val="18"/>
          <w:szCs w:val="18"/>
          <w:color w:val="auto"/>
        </w:rPr>
      </w:pPr>
    </w:p>
    <w:p>
      <w:pPr>
        <w:ind w:left="4473" w:hanging="106"/>
        <w:spacing w:after="0"/>
        <w:tabs>
          <w:tab w:leader="none" w:pos="4473" w:val="left"/>
        </w:tabs>
        <w:numPr>
          <w:ilvl w:val="2"/>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9993"/>
          </w:cols>
          <w:pgMar w:left="1427" w:top="269" w:right="479" w:bottom="1440" w:gutter="0" w:footer="0" w:header="0"/>
        </w:sectPr>
      </w:pPr>
    </w:p>
    <w:bookmarkStart w:id="485" w:name="page486"/>
    <w:bookmarkEnd w:id="485"/>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breach of employment laws in the jurisdiction where Participant is a Service Provider or the terms of Participant’s employment or service agreement, if any), and in consideration of the grant of the Restricted Stock to which Participant is otherwise not entitled, Participant irrevocably agrees never to institute any claim against the Company, any Parent or Subsidiary or the Service Recipient, waives his or her ability, if any, to bring any such claim, and releases the Company, any Parent or Subsidiary and the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87" w:lineRule="exact"/>
        <w:rPr>
          <w:sz w:val="20"/>
          <w:szCs w:val="20"/>
          <w:color w:val="auto"/>
        </w:rPr>
      </w:pPr>
    </w:p>
    <w:p>
      <w:pPr>
        <w:ind w:right="260" w:firstLine="436"/>
        <w:spacing w:after="0" w:line="261" w:lineRule="auto"/>
        <w:tabs>
          <w:tab w:leader="none" w:pos="838"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Advice Regarding Grant</w:t>
      </w:r>
      <w:r>
        <w:rPr>
          <w:rFonts w:ascii="Times New Roman" w:cs="Times New Roman" w:eastAsia="Times New Roman" w:hAnsi="Times New Roman"/>
          <w:sz w:val="18"/>
          <w:szCs w:val="18"/>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175" w:lineRule="exact"/>
        <w:rPr>
          <w:rFonts w:ascii="Times New Roman" w:cs="Times New Roman" w:eastAsia="Times New Roman" w:hAnsi="Times New Roman"/>
          <w:sz w:val="18"/>
          <w:szCs w:val="18"/>
          <w:color w:val="auto"/>
        </w:rPr>
      </w:pPr>
    </w:p>
    <w:p>
      <w:pPr>
        <w:ind w:firstLine="436"/>
        <w:spacing w:after="0" w:line="268" w:lineRule="auto"/>
        <w:tabs>
          <w:tab w:leader="none" w:pos="845" w:val="left"/>
        </w:tabs>
        <w:numPr>
          <w:ilvl w:val="0"/>
          <w:numId w:val="36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u w:val="single" w:color="auto"/>
          <w:color w:val="auto"/>
        </w:rPr>
        <w:t>Data Privacy</w:t>
      </w:r>
      <w:r>
        <w:rPr>
          <w:rFonts w:ascii="Times New Roman" w:cs="Times New Roman" w:eastAsia="Times New Roman" w:hAnsi="Times New Roman"/>
          <w:sz w:val="18"/>
          <w:szCs w:val="18"/>
          <w:b w:val="1"/>
          <w:bCs w:val="1"/>
          <w:i w:val="1"/>
          <w:iCs w:val="1"/>
          <w:color w:val="auto"/>
        </w:rPr>
        <w:t>. Participant hereby explicitly and unambiguously consents to the collection, use and transfer, in electronic or other form, of Participant’s personal data as described in this Restricted Stock Agreement and any other Restricted Stock grant materials by and among, as applicable, the Service Recipients for the exclusive purpose of implementing, administering and managing Participant’s participation in the Plan.</w:t>
      </w:r>
    </w:p>
    <w:p>
      <w:pPr>
        <w:spacing w:after="0" w:line="171"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Shares of Restricted Stock or any other entitlement to Shares awarded, canceled, exercised, vested, unvested or outstanding in Participant’s favor (“Data”), for the exclusive purpose of implementing, administering and managing the Plan.</w:t>
      </w:r>
    </w:p>
    <w:p>
      <w:pPr>
        <w:spacing w:after="0" w:line="17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ectPr>
          <w:pgSz w:w="11900" w:h="16838" w:orient="portrait"/>
          <w:cols w:equalWidth="0" w:num="1">
            <w:col w:w="11000"/>
          </w:cols>
          <w:pgMar w:left="440" w:top="269" w:right="459" w:bottom="1440" w:gutter="0" w:footer="0" w:header="0"/>
        </w:sectPr>
      </w:pPr>
    </w:p>
    <w:bookmarkStart w:id="486" w:name="page487"/>
    <w:bookmarkEnd w:id="486"/>
    <w:p>
      <w:pPr>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Restricted Stock or other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his or her local human resources representative.</w:t>
      </w:r>
    </w:p>
    <w:p>
      <w:pPr>
        <w:spacing w:after="0" w:line="187" w:lineRule="exact"/>
        <w:rPr>
          <w:sz w:val="20"/>
          <w:szCs w:val="20"/>
          <w:color w:val="auto"/>
        </w:rPr>
      </w:pPr>
    </w:p>
    <w:p>
      <w:pPr>
        <w:ind w:right="60" w:firstLine="436"/>
        <w:spacing w:after="0" w:line="266" w:lineRule="auto"/>
        <w:tabs>
          <w:tab w:leader="none" w:pos="845"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for Notices</w:t>
      </w:r>
      <w:r>
        <w:rPr>
          <w:rFonts w:ascii="Times New Roman" w:cs="Times New Roman" w:eastAsia="Times New Roman" w:hAnsi="Times New Roman"/>
          <w:sz w:val="18"/>
          <w:szCs w:val="18"/>
          <w:color w:val="auto"/>
        </w:rPr>
        <w:t>. Any notice to be given to the Company under the terms of this Restricted Stock Agreement will be addressed to the Company at PMV Pharmaceuticals, Inc., 8 Clarke Drive, Suite 3, Cranbury, NJ 08512, or at such other address as the Company may hereafter designate in writing.</w:t>
      </w:r>
    </w:p>
    <w:p>
      <w:pPr>
        <w:spacing w:after="0" w:line="175" w:lineRule="exact"/>
        <w:rPr>
          <w:rFonts w:ascii="Times New Roman" w:cs="Times New Roman" w:eastAsia="Times New Roman" w:hAnsi="Times New Roman"/>
          <w:sz w:val="18"/>
          <w:szCs w:val="18"/>
          <w:color w:val="auto"/>
        </w:rPr>
      </w:pPr>
    </w:p>
    <w:p>
      <w:pPr>
        <w:ind w:right="140" w:firstLine="436"/>
        <w:spacing w:after="0" w:line="258" w:lineRule="auto"/>
        <w:tabs>
          <w:tab w:leader="none" w:pos="845"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and Acceptance</w:t>
      </w:r>
      <w:r>
        <w:rPr>
          <w:rFonts w:ascii="Times New Roman" w:cs="Times New Roman" w:eastAsia="Times New Roman" w:hAnsi="Times New Roman"/>
          <w:sz w:val="18"/>
          <w:szCs w:val="18"/>
          <w:color w:val="auto"/>
        </w:rPr>
        <w:t>. The Company may, in its sole discretion, decide to deliver any documents related to the Shares of Restricted Stock awarded under the Plan or future Shares of Restricted Stock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83" w:lineRule="exact"/>
        <w:rPr>
          <w:rFonts w:ascii="Times New Roman" w:cs="Times New Roman" w:eastAsia="Times New Roman" w:hAnsi="Times New Roman"/>
          <w:sz w:val="18"/>
          <w:szCs w:val="18"/>
          <w:color w:val="auto"/>
        </w:rPr>
      </w:pPr>
    </w:p>
    <w:p>
      <w:pPr>
        <w:ind w:right="700" w:firstLine="436"/>
        <w:spacing w:after="0" w:line="282" w:lineRule="auto"/>
        <w:tabs>
          <w:tab w:leader="none" w:pos="845"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Restricted Stock Agreement.</w:t>
      </w:r>
    </w:p>
    <w:p>
      <w:pPr>
        <w:spacing w:after="0" w:line="161" w:lineRule="exact"/>
        <w:rPr>
          <w:rFonts w:ascii="Times New Roman" w:cs="Times New Roman" w:eastAsia="Times New Roman" w:hAnsi="Times New Roman"/>
          <w:sz w:val="18"/>
          <w:szCs w:val="18"/>
          <w:color w:val="auto"/>
        </w:rPr>
      </w:pPr>
    </w:p>
    <w:p>
      <w:pPr>
        <w:ind w:right="100" w:firstLine="436"/>
        <w:spacing w:after="0" w:line="266" w:lineRule="auto"/>
        <w:tabs>
          <w:tab w:leader="none" w:pos="845"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Agreement Severable</w:t>
      </w:r>
      <w:r>
        <w:rPr>
          <w:rFonts w:ascii="Times New Roman" w:cs="Times New Roman" w:eastAsia="Times New Roman" w:hAnsi="Times New Roman"/>
          <w:sz w:val="18"/>
          <w:szCs w:val="18"/>
          <w:color w:val="auto"/>
        </w:rPr>
        <w:t>. In the event that any provision in this Restricted Stock Agreement will be held invalid or unenforceable, such provision will be severable from, and such invalidity or unenforceability will not be construed to have any effect on, the remaining provisions of this Restricted Stock Agreement.</w:t>
      </w:r>
    </w:p>
    <w:p>
      <w:pPr>
        <w:spacing w:after="0" w:line="175" w:lineRule="exact"/>
        <w:rPr>
          <w:rFonts w:ascii="Times New Roman" w:cs="Times New Roman" w:eastAsia="Times New Roman" w:hAnsi="Times New Roman"/>
          <w:sz w:val="18"/>
          <w:szCs w:val="18"/>
          <w:color w:val="auto"/>
        </w:rPr>
      </w:pPr>
    </w:p>
    <w:p>
      <w:pPr>
        <w:ind w:firstLine="436"/>
        <w:spacing w:after="0" w:line="261" w:lineRule="auto"/>
        <w:tabs>
          <w:tab w:leader="none" w:pos="845"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Either party’s failure to enforce any provision or provisions of this Restricted Stock Agreement shall not in any way be construed as a waiver of any such provision or provisions, nor prevent that party from thereafter enforcing each and every other provision of this Restricted Stock Agreement. The rights granted both parties herein are cumulative and shall not constitute a waiver of either party’s right to assert all other legal remedies available to it under the circumstances.</w:t>
      </w:r>
    </w:p>
    <w:p>
      <w:pPr>
        <w:spacing w:after="0" w:line="179" w:lineRule="exact"/>
        <w:rPr>
          <w:rFonts w:ascii="Times New Roman" w:cs="Times New Roman" w:eastAsia="Times New Roman" w:hAnsi="Times New Roman"/>
          <w:sz w:val="18"/>
          <w:szCs w:val="18"/>
          <w:color w:val="auto"/>
        </w:rPr>
      </w:pPr>
    </w:p>
    <w:p>
      <w:pPr>
        <w:ind w:right="160" w:firstLine="436"/>
        <w:spacing w:after="0" w:line="258" w:lineRule="auto"/>
        <w:tabs>
          <w:tab w:leader="none" w:pos="845"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is Not Transferable</w:t>
      </w:r>
      <w:r>
        <w:rPr>
          <w:rFonts w:ascii="Times New Roman" w:cs="Times New Roman" w:eastAsia="Times New Roman" w:hAnsi="Times New Roman"/>
          <w:sz w:val="18"/>
          <w:szCs w:val="18"/>
          <w:color w:val="auto"/>
        </w:rPr>
        <w:t>. Except for the escrow described in Section 11 or transfer of the Shares to the Company or its assignees contemplated by this Restricted Stock Agreement, and except to the limited extent provided in Section 6, the unvested Shares subject to this Restricted Stock Agreement and the rights and privileges conferred hereby will not be transferred, assigned, pledged or hypothecated in any way (whether by operation of law or otherwise) and will not be subject to sale under execution, attachment or similar process. Upon any attempt to transfer, assign, pledge, hypothecate or otherwise dispose of any unvested Shares of Restricted Stock</w:t>
      </w:r>
    </w:p>
    <w:p>
      <w:pPr>
        <w:spacing w:after="0" w:line="115"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1000"/>
          </w:cols>
          <w:pgMar w:left="440" w:top="265" w:right="459" w:bottom="1440" w:gutter="0" w:footer="0" w:header="0"/>
        </w:sectPr>
      </w:pPr>
    </w:p>
    <w:bookmarkStart w:id="487" w:name="page488"/>
    <w:bookmarkEnd w:id="487"/>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subject to this grant, or any right or privilege conferred hereby, or upon any attempted sale under any execution, attachment or similar process, this grant and the rights and privileges conferred hereby immediately will become null and void.</w:t>
      </w:r>
    </w:p>
    <w:p>
      <w:pPr>
        <w:spacing w:after="0" w:line="162" w:lineRule="exact"/>
        <w:rPr>
          <w:sz w:val="20"/>
          <w:szCs w:val="20"/>
          <w:color w:val="auto"/>
        </w:rPr>
      </w:pPr>
    </w:p>
    <w:p>
      <w:pPr>
        <w:ind w:firstLine="436"/>
        <w:spacing w:after="0" w:line="281" w:lineRule="auto"/>
        <w:tabs>
          <w:tab w:leader="none" w:pos="845" w:val="left"/>
        </w:tabs>
        <w:numPr>
          <w:ilvl w:val="0"/>
          <w:numId w:val="3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 and Assigns</w:t>
      </w:r>
      <w:r>
        <w:rPr>
          <w:rFonts w:ascii="Times New Roman" w:cs="Times New Roman" w:eastAsia="Times New Roman" w:hAnsi="Times New Roman"/>
          <w:sz w:val="17"/>
          <w:szCs w:val="17"/>
          <w:color w:val="auto"/>
        </w:rPr>
        <w:t>. The Company may assign any of its rights under this Restricted Stock Agreement to single or multiple assignees, and this Restricted Stock Agreement shall inure to the benefit of the successors and assigns of the Company. Subject to the restrictions on transfer herein set forth, this Restricted Stock Agreement shall be binding upon Participant and his or her heirs, executors, administrators, successors and assigns. The rights and obligations of Participant under this Restricted Stock Agreement may be assigned only with the prior written consent of the Company.</w:t>
      </w:r>
    </w:p>
    <w:p>
      <w:pPr>
        <w:spacing w:after="0" w:line="164" w:lineRule="exact"/>
        <w:rPr>
          <w:rFonts w:ascii="Times New Roman" w:cs="Times New Roman" w:eastAsia="Times New Roman" w:hAnsi="Times New Roman"/>
          <w:sz w:val="17"/>
          <w:szCs w:val="17"/>
          <w:color w:val="auto"/>
        </w:rPr>
      </w:pPr>
    </w:p>
    <w:p>
      <w:pPr>
        <w:ind w:right="20" w:firstLine="436"/>
        <w:spacing w:after="0" w:line="253" w:lineRule="auto"/>
        <w:tabs>
          <w:tab w:leader="none" w:pos="845"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Conditions to Issuance of Stock</w:t>
      </w:r>
      <w:r>
        <w:rPr>
          <w:rFonts w:ascii="Times New Roman" w:cs="Times New Roman" w:eastAsia="Times New Roman" w:hAnsi="Times New Roman"/>
          <w:sz w:val="18"/>
          <w:szCs w:val="18"/>
          <w:color w:val="auto"/>
        </w:rPr>
        <w:t>. If at any time the Company will determine, in its discretion, that the listing, registration, qualification or rule compliance of the Shares upon any securities exchange or under any state, federal or non-U.S.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or the Escrow Holder hereunder, such issuance will not occur unless and until such listing, registration, qualification, rule compliance, clearance, consent or approval will have been completed, effected or obtained free of any conditions not acceptable to the Company. Subject to the terms of the Restricted Stock Agreement and the Plan, the Company shall not be required to issue any certificate or certificates for (or make any entry on the books of the Company or of a duly authorized transfer agent of the Company of) the Shares hereunder prior to the lapse of such reasonable period of time following the Date of Grant of the Shares of Restricted Stock as the Administrator may establish from time to time for reasons of administrative convenience.</w:t>
      </w:r>
    </w:p>
    <w:p>
      <w:pPr>
        <w:spacing w:after="0" w:line="194" w:lineRule="exact"/>
        <w:rPr>
          <w:rFonts w:ascii="Times New Roman" w:cs="Times New Roman" w:eastAsia="Times New Roman" w:hAnsi="Times New Roman"/>
          <w:sz w:val="18"/>
          <w:szCs w:val="18"/>
          <w:color w:val="auto"/>
        </w:rPr>
      </w:pPr>
    </w:p>
    <w:p>
      <w:pPr>
        <w:ind w:right="200" w:firstLine="436"/>
        <w:spacing w:after="0" w:line="282" w:lineRule="auto"/>
        <w:tabs>
          <w:tab w:leader="none" w:pos="845"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Language</w:t>
      </w:r>
      <w:r>
        <w:rPr>
          <w:rFonts w:ascii="Times New Roman" w:cs="Times New Roman" w:eastAsia="Times New Roman" w:hAnsi="Times New Roman"/>
          <w:sz w:val="18"/>
          <w:szCs w:val="18"/>
          <w:color w:val="auto"/>
        </w:rPr>
        <w:t>. If Participant has received this Restricted Stock Agreement or any other document related to the Plan translated into a language other than English and if the meaning of the translated version is different than the English version, the English version will control.</w:t>
      </w:r>
    </w:p>
    <w:p>
      <w:pPr>
        <w:spacing w:after="0" w:line="161" w:lineRule="exact"/>
        <w:rPr>
          <w:rFonts w:ascii="Times New Roman" w:cs="Times New Roman" w:eastAsia="Times New Roman" w:hAnsi="Times New Roman"/>
          <w:sz w:val="18"/>
          <w:szCs w:val="18"/>
          <w:color w:val="auto"/>
        </w:rPr>
      </w:pPr>
    </w:p>
    <w:p>
      <w:pPr>
        <w:ind w:right="20" w:firstLine="436"/>
        <w:spacing w:after="0" w:line="256" w:lineRule="auto"/>
        <w:tabs>
          <w:tab w:leader="none" w:pos="845"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Administrator will have the power to interpret the Plan and this Restricted Stock Agreement and to adopt such rules for the administration, interpretation and application of the Plan as are consistent therewith and to interpret or revoke any such rules (including, but not limited to, the determination of whether or not any Shares of Restricted Stock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Restricted Stock Agreement.</w:t>
      </w:r>
    </w:p>
    <w:p>
      <w:pPr>
        <w:spacing w:after="0" w:line="187" w:lineRule="exact"/>
        <w:rPr>
          <w:rFonts w:ascii="Times New Roman" w:cs="Times New Roman" w:eastAsia="Times New Roman" w:hAnsi="Times New Roman"/>
          <w:sz w:val="18"/>
          <w:szCs w:val="18"/>
          <w:color w:val="auto"/>
        </w:rPr>
      </w:pPr>
    </w:p>
    <w:p>
      <w:pPr>
        <w:ind w:right="140" w:firstLine="436"/>
        <w:spacing w:after="0" w:line="266" w:lineRule="auto"/>
        <w:tabs>
          <w:tab w:leader="none" w:pos="845"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Suspension or Termination of the Plan</w:t>
      </w:r>
      <w:r>
        <w:rPr>
          <w:rFonts w:ascii="Times New Roman" w:cs="Times New Roman" w:eastAsia="Times New Roman" w:hAnsi="Times New Roman"/>
          <w:sz w:val="18"/>
          <w:szCs w:val="18"/>
          <w:color w:val="auto"/>
        </w:rPr>
        <w:t>. By accepting this Award, Participant expressly warrants that he or she has received an Award of Restricted Stock under the Plan, and has received, read and understood a description of the Plan. Participant understands that the Plan is discretionary in nature and may be amended, suspended or terminated by the Administrator at any time.</w:t>
      </w:r>
    </w:p>
    <w:p>
      <w:pPr>
        <w:spacing w:after="0" w:line="108"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ectPr>
          <w:pgSz w:w="11900" w:h="16838" w:orient="portrait"/>
          <w:cols w:equalWidth="0" w:num="1">
            <w:col w:w="11000"/>
          </w:cols>
          <w:pgMar w:left="440" w:top="269" w:right="459" w:bottom="1440" w:gutter="0" w:footer="0" w:header="0"/>
        </w:sectPr>
      </w:pPr>
    </w:p>
    <w:bookmarkStart w:id="488" w:name="page489"/>
    <w:bookmarkEnd w:id="488"/>
    <w:p>
      <w:pPr>
        <w:ind w:left="-40" w:firstLine="436"/>
        <w:spacing w:after="0" w:line="255" w:lineRule="auto"/>
        <w:tabs>
          <w:tab w:leader="none" w:pos="805"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Modifications to the Restricted Stock Agreement</w:t>
      </w:r>
      <w:r>
        <w:rPr>
          <w:rFonts w:ascii="Times New Roman" w:cs="Times New Roman" w:eastAsia="Times New Roman" w:hAnsi="Times New Roman"/>
          <w:sz w:val="18"/>
          <w:szCs w:val="18"/>
          <w:color w:val="auto"/>
        </w:rPr>
        <w:t>. This Restricted Stock Agreement constitutes the entire understanding of the parties on the subjects covered. Participant expressly warrants that he or she is not accepting this Restricted Stock Agreement in reliance on any promises, representations, or inducements other than those contained herein. Modifications to this Restricted Stock Agreement or the Plan can be made only in an express written contract executed by a duly authorized officer of the Company. Notwithstanding anything to the contrary in the Plan or this Restricted Stock Agreement, the Company reserves the right to revise this Restricted Stock Agreement as it deems necessary or advisable, in its sole discretion and without the consent of Participant, to comply with Section 409A or to otherwise avoid imposition of any additional tax or income recognition under Section 409A in connection with this Award of Shares of Restricted Stock.</w:t>
      </w:r>
    </w:p>
    <w:p>
      <w:pPr>
        <w:spacing w:after="0" w:line="188" w:lineRule="exact"/>
        <w:rPr>
          <w:rFonts w:ascii="Times New Roman" w:cs="Times New Roman" w:eastAsia="Times New Roman" w:hAnsi="Times New Roman"/>
          <w:sz w:val="18"/>
          <w:szCs w:val="18"/>
          <w:color w:val="auto"/>
        </w:rPr>
      </w:pPr>
    </w:p>
    <w:p>
      <w:pPr>
        <w:ind w:left="-40" w:right="20" w:firstLine="436"/>
        <w:spacing w:after="0" w:line="258" w:lineRule="auto"/>
        <w:tabs>
          <w:tab w:leader="none" w:pos="805"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Venue</w:t>
      </w:r>
      <w:r>
        <w:rPr>
          <w:rFonts w:ascii="Times New Roman" w:cs="Times New Roman" w:eastAsia="Times New Roman" w:hAnsi="Times New Roman"/>
          <w:sz w:val="18"/>
          <w:szCs w:val="18"/>
          <w:color w:val="auto"/>
        </w:rPr>
        <w:t>. This Restricted Stock Agreement and the Shares of Restricted Stock will be governed by the laws of New Jersey, without giving effect to the conflict of law principles thereof. For purposes of litigating any dispute that arises under this Restricted Stock Award or this Restricted Stock Agreement, the parties hereby submit to and consent to the jurisdiction of the State of New Jersey, and agree that such litigation will be conducted in the courts of Middlesex County, New Jersey, or the U.S. federal courts for the District of New Jersey, and no other courts, where this Award or Restricted Stock is made and/or to be performed.</w:t>
      </w:r>
    </w:p>
    <w:p>
      <w:pPr>
        <w:spacing w:after="0" w:line="183" w:lineRule="exact"/>
        <w:rPr>
          <w:rFonts w:ascii="Times New Roman" w:cs="Times New Roman" w:eastAsia="Times New Roman" w:hAnsi="Times New Roman"/>
          <w:sz w:val="18"/>
          <w:szCs w:val="18"/>
          <w:color w:val="auto"/>
        </w:rPr>
      </w:pPr>
    </w:p>
    <w:p>
      <w:pPr>
        <w:ind w:left="-40" w:right="140" w:firstLine="436"/>
        <w:spacing w:after="0" w:line="261" w:lineRule="auto"/>
        <w:tabs>
          <w:tab w:leader="none" w:pos="805"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The Plan is incorporated herein by reference. The Plan and this Restricted Stock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 and may not be modified adversely to the Participant’s interest except by means of a writing signed by the Company and Participant.</w:t>
      </w:r>
    </w:p>
    <w:p>
      <w:pPr>
        <w:spacing w:after="0" w:line="179" w:lineRule="exact"/>
        <w:rPr>
          <w:rFonts w:ascii="Times New Roman" w:cs="Times New Roman" w:eastAsia="Times New Roman" w:hAnsi="Times New Roman"/>
          <w:sz w:val="18"/>
          <w:szCs w:val="18"/>
          <w:color w:val="auto"/>
        </w:rPr>
      </w:pPr>
    </w:p>
    <w:p>
      <w:pPr>
        <w:ind w:left="-40" w:right="100" w:firstLine="436"/>
        <w:spacing w:after="0" w:line="256" w:lineRule="auto"/>
        <w:tabs>
          <w:tab w:leader="none" w:pos="805"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Notwithstanding any provisions in this Restricted Stock Agreement, the Restricted Stock grant shall be subject to any special terms and conditions set forth in an appendix (if any) to this Restricted Stock Agreement for any country whose laws are applicable to Participant and this Award of Restricted Stock (as determined by the Administrator in its sole discretion) (the “Country Addendum”).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a part of this Restricted Stock Agreement.</w:t>
      </w:r>
    </w:p>
    <w:p>
      <w:pPr>
        <w:spacing w:after="0" w:line="187" w:lineRule="exact"/>
        <w:rPr>
          <w:rFonts w:ascii="Times New Roman" w:cs="Times New Roman" w:eastAsia="Times New Roman" w:hAnsi="Times New Roman"/>
          <w:sz w:val="18"/>
          <w:szCs w:val="18"/>
          <w:color w:val="auto"/>
        </w:rPr>
      </w:pPr>
    </w:p>
    <w:p>
      <w:pPr>
        <w:ind w:left="-40" w:right="60" w:firstLine="436"/>
        <w:spacing w:after="0" w:line="258" w:lineRule="auto"/>
        <w:tabs>
          <w:tab w:leader="none" w:pos="805"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 Participant has reviewed with his or her own tax advisors the U.S. federal, state, local and non-U.S. tax consequences of this investment and the transactions contemplated by this Restricted Stock Agreement. With respect to such matters, Participant relies solely on such advisors and not on any statements or representations of the Company or any of its agents, written or oral. Participant understands that Participant (and not the Company) shall be solely responsible for Participant’s own tax liability that may arise as a result of this investment or the transactions contemplated by this Restricted Stock Agreement.</w:t>
      </w:r>
    </w:p>
    <w:p>
      <w:pPr>
        <w:spacing w:after="0" w:line="183" w:lineRule="exact"/>
        <w:rPr>
          <w:sz w:val="20"/>
          <w:szCs w:val="20"/>
          <w:color w:val="auto"/>
        </w:rPr>
      </w:pPr>
    </w:p>
    <w:p>
      <w:pPr>
        <w:ind w:left="4580"/>
        <w:spacing w:after="0"/>
        <w:tabs>
          <w:tab w:leader="none" w:pos="5380" w:val="left"/>
          <w:tab w:leader="none" w:pos="62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6"/>
          <w:szCs w:val="16"/>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480" w:top="269" w:right="479" w:bottom="1440" w:gutter="0" w:footer="0" w:header="0"/>
        </w:sectPr>
      </w:pPr>
    </w:p>
    <w:bookmarkStart w:id="489" w:name="page490"/>
    <w:bookmarkEnd w:id="489"/>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2020 EMPLOYEE STOCK PURCHASE PLAN</w:t>
      </w:r>
    </w:p>
    <w:p>
      <w:pPr>
        <w:spacing w:after="0" w:line="229" w:lineRule="exact"/>
        <w:rPr>
          <w:sz w:val="20"/>
          <w:szCs w:val="20"/>
          <w:color w:val="auto"/>
        </w:rPr>
      </w:pPr>
    </w:p>
    <w:p>
      <w:pPr>
        <w:ind w:right="20" w:firstLine="436"/>
        <w:spacing w:after="0" w:line="254" w:lineRule="auto"/>
        <w:tabs>
          <w:tab w:leader="none" w:pos="755"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The purpose of the Plan is to provide employees of the Company and its Designated Companies with an opportunity to purchase Common Stock through accumulated Contributions. The Company intends for the Plan to have two components: a component that is intended to qualify as an “employee stock purchase plan” under Section 423 of the Code (the “423 Component”) and a component that is not intended to qualify as an “employee stock purchase plan” under Section 423 of the Code (the “Non-423 Component”). The provisions of the 423 Component, accordingly, will be construed so as to extend and limit Plan participation in a uniform and nondiscriminatory basis consistent with the requirements of Section 423 of the Code. An option to purchase shares of Common Stock under the Non-423 Component will be granted pursuant to rules, procedures, or sub-plans adopted by the Administrator designed to achieve tax, securities laws, or other objectives for Eligible Employees and the Company. Except as otherwise provided herein or by the Administrator, the Non-423 Component will operate and be administered in the same manner as the 423 Component.</w:t>
      </w:r>
    </w:p>
    <w:p>
      <w:pPr>
        <w:spacing w:after="0" w:line="299"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means the Board or any Committee designated by the Board to administer the Plan pursuant to Section 14.</w:t>
      </w:r>
    </w:p>
    <w:p>
      <w:pPr>
        <w:spacing w:after="0" w:line="22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entity, other than a Subsidiary, in which the Company has an equity or other ownership interest.</w:t>
      </w:r>
    </w:p>
    <w:p>
      <w:pPr>
        <w:spacing w:after="0" w:line="225" w:lineRule="exact"/>
        <w:rPr>
          <w:rFonts w:ascii="Times New Roman" w:cs="Times New Roman" w:eastAsia="Times New Roman" w:hAnsi="Times New Roman"/>
          <w:sz w:val="18"/>
          <w:szCs w:val="18"/>
          <w:color w:val="auto"/>
        </w:rPr>
      </w:pPr>
    </w:p>
    <w:p>
      <w:pPr>
        <w:ind w:right="40" w:firstLine="987"/>
        <w:spacing w:after="0" w:line="261" w:lineRule="auto"/>
        <w:tabs>
          <w:tab w:leader="none" w:pos="1371"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options are, or will be, granted under the Plan.</w:t>
      </w:r>
    </w:p>
    <w:p>
      <w:pPr>
        <w:spacing w:after="0" w:line="179"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occurrence of any of the following events:</w:t>
      </w:r>
    </w:p>
    <w:p>
      <w:pPr>
        <w:spacing w:after="0" w:line="225" w:lineRule="exact"/>
        <w:rPr>
          <w:rFonts w:ascii="Times New Roman" w:cs="Times New Roman" w:eastAsia="Times New Roman" w:hAnsi="Times New Roman"/>
          <w:sz w:val="18"/>
          <w:szCs w:val="18"/>
          <w:color w:val="auto"/>
        </w:rPr>
      </w:pPr>
    </w:p>
    <w:p>
      <w:pPr>
        <w:ind w:right="20" w:firstLine="1428"/>
        <w:spacing w:after="0" w:line="258" w:lineRule="auto"/>
        <w:tabs>
          <w:tab w:leader="none" w:pos="1772" w:val="left"/>
        </w:tabs>
        <w:numPr>
          <w:ilvl w:val="2"/>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the Company which occurs on the date that any one person, or more than one person acting as a group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Further, if the stockholders of the Company immediately before</w:t>
      </w:r>
    </w:p>
    <w:p>
      <w:pPr>
        <w:sectPr>
          <w:pgSz w:w="11900" w:h="16838" w:orient="portrait"/>
          <w:cols w:equalWidth="0" w:num="1">
            <w:col w:w="11020"/>
          </w:cols>
          <w:pgMar w:left="440" w:top="117" w:right="439" w:bottom="1440" w:gutter="0" w:footer="0" w:header="0"/>
        </w:sectPr>
      </w:pPr>
    </w:p>
    <w:bookmarkStart w:id="490" w:name="page491"/>
    <w:bookmarkEnd w:id="490"/>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shall not be considered a Change in Control under this subsection (i).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87" w:lineRule="exact"/>
        <w:rPr>
          <w:sz w:val="20"/>
          <w:szCs w:val="20"/>
          <w:color w:val="auto"/>
        </w:rPr>
      </w:pPr>
    </w:p>
    <w:p>
      <w:pPr>
        <w:jc w:val="both"/>
        <w:ind w:right="20" w:firstLine="1428"/>
        <w:spacing w:after="0" w:line="261" w:lineRule="auto"/>
        <w:tabs>
          <w:tab w:leader="none" w:pos="1822"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Change in Control; or</w:t>
      </w:r>
    </w:p>
    <w:p>
      <w:pPr>
        <w:spacing w:after="0" w:line="179" w:lineRule="exact"/>
        <w:rPr>
          <w:rFonts w:ascii="Times New Roman" w:cs="Times New Roman" w:eastAsia="Times New Roman" w:hAnsi="Times New Roman"/>
          <w:sz w:val="18"/>
          <w:szCs w:val="18"/>
          <w:color w:val="auto"/>
        </w:rPr>
      </w:pPr>
    </w:p>
    <w:p>
      <w:pPr>
        <w:ind w:right="20" w:firstLine="1428"/>
        <w:spacing w:after="0" w:line="253" w:lineRule="auto"/>
        <w:tabs>
          <w:tab w:leader="none" w:pos="1872"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a substantial portion of the Company’s assets which occurs on the date that any Person acquires (or has acquired during the twelve (12)-month period ending on the date of the most recent acquisition by such Person)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92" w:lineRule="exact"/>
        <w:rPr>
          <w:sz w:val="20"/>
          <w:szCs w:val="20"/>
          <w:color w:val="auto"/>
        </w:rPr>
      </w:pPr>
    </w:p>
    <w:p>
      <w:pPr>
        <w:ind w:right="380" w:firstLine="991"/>
        <w:spacing w:after="0" w:line="282" w:lineRule="auto"/>
        <w:rPr>
          <w:sz w:val="20"/>
          <w:szCs w:val="20"/>
          <w:color w:val="auto"/>
        </w:rPr>
      </w:pPr>
      <w:r>
        <w:rPr>
          <w:rFonts w:ascii="Times New Roman" w:cs="Times New Roman" w:eastAsia="Times New Roman" w:hAnsi="Times New Roman"/>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in Control unless the transaction qualifies as a change in control event within the meaning of Section 409A.</w:t>
      </w:r>
    </w:p>
    <w:p>
      <w:pPr>
        <w:spacing w:after="0" w:line="162" w:lineRule="exact"/>
        <w:rPr>
          <w:sz w:val="20"/>
          <w:szCs w:val="20"/>
          <w:color w:val="auto"/>
        </w:rPr>
      </w:pPr>
    </w:p>
    <w:p>
      <w:pPr>
        <w:ind w:right="640" w:firstLine="991"/>
        <w:spacing w:after="0" w:line="266" w:lineRule="auto"/>
        <w:rPr>
          <w:sz w:val="20"/>
          <w:szCs w:val="20"/>
          <w:color w:val="auto"/>
        </w:rPr>
      </w:pPr>
      <w:r>
        <w:rPr>
          <w:rFonts w:ascii="Times New Roman" w:cs="Times New Roman" w:eastAsia="Times New Roman" w:hAnsi="Times New Roman"/>
          <w:sz w:val="18"/>
          <w:szCs w:val="18"/>
          <w:color w:val="auto"/>
        </w:rPr>
        <w:t>Further and for the avoidance of doubt, a transaction will not constitute a Change in Control if: (i) its sole purpose is to change the jurisdiction of the Company’s incorporation, or (ii) its sole purpose is to create a holding company that will be owned in substantially the same proportions by the persons who held the Company’s securities immediately before such transaction.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9" w:right="459" w:bottom="1440" w:gutter="0" w:footer="0" w:header="0"/>
        </w:sectPr>
      </w:pPr>
    </w:p>
    <w:bookmarkStart w:id="491" w:name="page492"/>
    <w:bookmarkEnd w:id="491"/>
    <w:p>
      <w:pPr>
        <w:ind w:left="-20" w:right="20" w:firstLine="987"/>
        <w:spacing w:after="0" w:line="266" w:lineRule="auto"/>
        <w:tabs>
          <w:tab w:leader="none" w:pos="1331"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 Reference to a specific section of the Code or U.S. Treasury Regulation thereunder will include such section or regulation, any valid regulation or other official applicable guidance promulgated under such section, and any comparable provision of any future legislation or regulation amending, supplementing or superseding such section or regulation.</w:t>
      </w:r>
    </w:p>
    <w:p>
      <w:pPr>
        <w:spacing w:after="0" w:line="175" w:lineRule="exact"/>
        <w:rPr>
          <w:rFonts w:ascii="Times New Roman" w:cs="Times New Roman" w:eastAsia="Times New Roman" w:hAnsi="Times New Roman"/>
          <w:sz w:val="18"/>
          <w:szCs w:val="18"/>
          <w:color w:val="auto"/>
        </w:rPr>
      </w:pPr>
    </w:p>
    <w:p>
      <w:pPr>
        <w:ind w:left="1360" w:hanging="393"/>
        <w:spacing w:after="0"/>
        <w:tabs>
          <w:tab w:leader="none" w:pos="136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 committee of the Board appointed in accordance with Section 14 hereof.</w:t>
      </w:r>
    </w:p>
    <w:p>
      <w:pPr>
        <w:spacing w:after="0" w:line="225" w:lineRule="exact"/>
        <w:rPr>
          <w:rFonts w:ascii="Times New Roman" w:cs="Times New Roman" w:eastAsia="Times New Roman" w:hAnsi="Times New Roman"/>
          <w:sz w:val="18"/>
          <w:szCs w:val="18"/>
          <w:color w:val="auto"/>
        </w:rPr>
      </w:pPr>
    </w:p>
    <w:p>
      <w:pPr>
        <w:ind w:left="1360" w:hanging="393"/>
        <w:spacing w:after="0"/>
        <w:tabs>
          <w:tab w:leader="none" w:pos="136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w:t>
      </w:r>
    </w:p>
    <w:p>
      <w:pPr>
        <w:spacing w:after="0" w:line="225" w:lineRule="exact"/>
        <w:rPr>
          <w:rFonts w:ascii="Times New Roman" w:cs="Times New Roman" w:eastAsia="Times New Roman" w:hAnsi="Times New Roman"/>
          <w:sz w:val="18"/>
          <w:szCs w:val="18"/>
          <w:color w:val="auto"/>
        </w:rPr>
      </w:pPr>
    </w:p>
    <w:p>
      <w:pPr>
        <w:ind w:left="1320" w:hanging="353"/>
        <w:spacing w:after="0"/>
        <w:tabs>
          <w:tab w:leader="none" w:pos="132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PMV Pharmaceuticals, Inc., a Delaware corporation, or any successor thereto.</w:t>
      </w:r>
    </w:p>
    <w:p>
      <w:pPr>
        <w:spacing w:after="0" w:line="225" w:lineRule="exact"/>
        <w:rPr>
          <w:rFonts w:ascii="Times New Roman" w:cs="Times New Roman" w:eastAsia="Times New Roman" w:hAnsi="Times New Roman"/>
          <w:sz w:val="18"/>
          <w:szCs w:val="18"/>
          <w:color w:val="auto"/>
        </w:rPr>
      </w:pPr>
    </w:p>
    <w:p>
      <w:pPr>
        <w:ind w:left="-20" w:firstLine="987"/>
        <w:spacing w:after="0" w:line="261" w:lineRule="auto"/>
        <w:tabs>
          <w:tab w:leader="none" w:pos="1321"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includes an Eligible Employee’s base straight time gross earnings but excludes payments for commissions, incentive compensation, bonuses, payments for overtime and shift premium, equity compensation income and other similar compensation. The Administrator, in its discretion, may, on a uniform and nondiscriminatory basis, establish a different definition of Compensation for a subsequent Offering Period. Further, the Administrator shall have discretion to determine the application of this definition to Participants outside the United States.</w:t>
      </w:r>
    </w:p>
    <w:p>
      <w:pPr>
        <w:spacing w:after="0" w:line="179" w:lineRule="exact"/>
        <w:rPr>
          <w:rFonts w:ascii="Times New Roman" w:cs="Times New Roman" w:eastAsia="Times New Roman" w:hAnsi="Times New Roman"/>
          <w:sz w:val="18"/>
          <w:szCs w:val="18"/>
          <w:color w:val="auto"/>
        </w:rPr>
      </w:pPr>
    </w:p>
    <w:p>
      <w:pPr>
        <w:ind w:left="-20" w:right="700" w:firstLine="987"/>
        <w:spacing w:after="0" w:line="282" w:lineRule="auto"/>
        <w:tabs>
          <w:tab w:leader="none" w:pos="1361"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Contributions</w:t>
      </w:r>
      <w:r>
        <w:rPr>
          <w:rFonts w:ascii="Times New Roman" w:cs="Times New Roman" w:eastAsia="Times New Roman" w:hAnsi="Times New Roman"/>
          <w:sz w:val="18"/>
          <w:szCs w:val="18"/>
          <w:color w:val="auto"/>
        </w:rPr>
        <w:t>” means the payroll deductions and other additional payments that the Company may permit to be made by a Participant to fund the exercise of options granted pursuant to the Plan.</w:t>
      </w:r>
    </w:p>
    <w:p>
      <w:pPr>
        <w:spacing w:after="0" w:line="161" w:lineRule="exact"/>
        <w:rPr>
          <w:rFonts w:ascii="Times New Roman" w:cs="Times New Roman" w:eastAsia="Times New Roman" w:hAnsi="Times New Roman"/>
          <w:sz w:val="18"/>
          <w:szCs w:val="18"/>
          <w:color w:val="auto"/>
        </w:rPr>
      </w:pPr>
    </w:p>
    <w:p>
      <w:pPr>
        <w:ind w:left="-20" w:right="80" w:firstLine="987"/>
        <w:spacing w:after="0" w:line="261" w:lineRule="auto"/>
        <w:tabs>
          <w:tab w:leader="none" w:pos="1321"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Company</w:t>
      </w:r>
      <w:r>
        <w:rPr>
          <w:rFonts w:ascii="Times New Roman" w:cs="Times New Roman" w:eastAsia="Times New Roman" w:hAnsi="Times New Roman"/>
          <w:sz w:val="18"/>
          <w:szCs w:val="18"/>
          <w:color w:val="auto"/>
        </w:rPr>
        <w:t>” means any Subsidiary or Affiliate that has been designated by the Administrator from time to time in its sole discretion as eligible to participate in the Plan. For purposes of the 423 Component, only the Company and its Subsidiaries may be Designated Companies, provided, however that at any given time, a Subsidiary that is a Designated Company under the 423 Component will not be a Designated Company under the Non-423 Component.</w:t>
      </w:r>
    </w:p>
    <w:p>
      <w:pPr>
        <w:spacing w:after="0" w:line="179" w:lineRule="exact"/>
        <w:rPr>
          <w:rFonts w:ascii="Times New Roman" w:cs="Times New Roman" w:eastAsia="Times New Roman" w:hAnsi="Times New Roman"/>
          <w:sz w:val="18"/>
          <w:szCs w:val="18"/>
          <w:color w:val="auto"/>
        </w:rPr>
      </w:pPr>
    </w:p>
    <w:p>
      <w:pPr>
        <w:ind w:left="1400" w:hanging="433"/>
        <w:spacing w:after="0"/>
        <w:tabs>
          <w:tab w:leader="none" w:pos="1400"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color w:val="auto"/>
        </w:rPr>
      </w:pPr>
    </w:p>
    <w:p>
      <w:pPr>
        <w:ind w:left="-20" w:right="120" w:firstLine="987"/>
        <w:spacing w:after="0" w:line="274" w:lineRule="auto"/>
        <w:tabs>
          <w:tab w:leader="none" w:pos="1361" w:val="left"/>
        </w:tabs>
        <w:numPr>
          <w:ilvl w:val="0"/>
          <w:numId w:val="3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Eligible Employee</w:t>
      </w:r>
      <w:r>
        <w:rPr>
          <w:rFonts w:ascii="Times New Roman" w:cs="Times New Roman" w:eastAsia="Times New Roman" w:hAnsi="Times New Roman"/>
          <w:sz w:val="17"/>
          <w:szCs w:val="17"/>
          <w:color w:val="auto"/>
        </w:rPr>
        <w:t>” means any individual who is a common law employee providing services to the Company or a Designated Company and is customarily employed for at least twenty (20) hours per week and more than five (5) months in any calendar year by the Employer, or any lesser number of hours per week and/or number of months in any calendar year established by the Administrator (if required under Applicable Laws) for purposes of any separate Offering or for Participants in the Non-423 Component. For purposes of the Plan, the employment relationship will be treated as continuing intact while the individual is on sick leave or other leave of absence that the Employer approves or is legally protected under Applicable Laws with respect to the Participant’s participation in the Plan. Where the period of leave exceeds three (3) months and the individual’s</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60" w:top="269" w:right="479" w:bottom="1440" w:gutter="0" w:footer="0" w:header="0"/>
        </w:sectPr>
      </w:pPr>
    </w:p>
    <w:bookmarkStart w:id="492" w:name="page493"/>
    <w:bookmarkEnd w:id="49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right to reemployment is not guaranteed either by statute or by contract, the employment relationship will be deemed to have terminated three</w:t>
      </w:r>
    </w:p>
    <w:p>
      <w:pPr>
        <w:spacing w:after="0" w:line="27" w:lineRule="exact"/>
        <w:rPr>
          <w:sz w:val="20"/>
          <w:szCs w:val="20"/>
          <w:color w:val="auto"/>
        </w:rPr>
      </w:pPr>
    </w:p>
    <w:p>
      <w:pPr>
        <w:ind w:left="4" w:right="40" w:hanging="4"/>
        <w:spacing w:after="0" w:line="251" w:lineRule="auto"/>
        <w:tabs>
          <w:tab w:leader="none" w:pos="259"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and one (1) day following the commencement of such leave. The Administrator, in its discretion, from time to time may, prior to an Enrollment Date for all options to be granted on such Enrollment Date in an Offering, determine (for each Offering under the 423 Component, on a uniform and nondiscriminatory basis or as otherwise permitted by U.S. Treasury Regulation Section 1.423-2) that the definition of Eligible Employee will or will not include an individual if he or she: (i) has not completed at least two (2) years of service since his or her last hire date (or such lesser period of time as may be determined by the Administrator in its discretion), (ii) customarily works not more than twenty (20) hours per week (or such lesser period of time as may be determined by the Administrator in its discretion), (iii) customarily works not more than five (5) months per calendar year (or such lesser period of time as may be determined by the Administrator in its discretion), (iv) is a highly compensated employee within the meaning of Section 414(q) of the Code, or (v) is a highly compensated employee within the meaning of Section 414(q) of the Code with compensation above a certain level or is an officer or subject to the disclosure requirements of Section 16(a) of the Exchange Act, provided the exclusion is applied with respect to each Offering under the 423 Component in an identical manner to all highly compensated individuals of the Employer whose employees are participating in that Offering. Each exclusion will be applied with respect to an Offering under the 423 Component in a manner complying with U.S. Treasury Regulation Section 1.423-2(e)(2)(ii). Such exclusions may be applied with respect to an Offering under the Non- 423 Component without regard to the limitations of U.S. Treasury Regulation Section 1.423-2.</w:t>
      </w:r>
    </w:p>
    <w:p>
      <w:pPr>
        <w:spacing w:after="0" w:line="191" w:lineRule="exact"/>
        <w:rPr>
          <w:rFonts w:ascii="Times New Roman" w:cs="Times New Roman" w:eastAsia="Times New Roman" w:hAnsi="Times New Roman"/>
          <w:sz w:val="18"/>
          <w:szCs w:val="18"/>
          <w:color w:val="auto"/>
        </w:rPr>
      </w:pPr>
    </w:p>
    <w:p>
      <w:pPr>
        <w:ind w:left="1384" w:hanging="393"/>
        <w:spacing w:after="0"/>
        <w:tabs>
          <w:tab w:leader="none" w:pos="1384"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Employer</w:t>
      </w:r>
      <w:r>
        <w:rPr>
          <w:rFonts w:ascii="Times New Roman" w:cs="Times New Roman" w:eastAsia="Times New Roman" w:hAnsi="Times New Roman"/>
          <w:sz w:val="18"/>
          <w:szCs w:val="18"/>
          <w:color w:val="auto"/>
        </w:rPr>
        <w:t>” means the employer of the applicable Eligible Employee(s).</w:t>
      </w:r>
    </w:p>
    <w:p>
      <w:pPr>
        <w:spacing w:after="0" w:line="225" w:lineRule="exact"/>
        <w:rPr>
          <w:rFonts w:ascii="Times New Roman" w:cs="Times New Roman" w:eastAsia="Times New Roman" w:hAnsi="Times New Roman"/>
          <w:sz w:val="18"/>
          <w:szCs w:val="18"/>
          <w:color w:val="auto"/>
        </w:rPr>
      </w:pPr>
    </w:p>
    <w:p>
      <w:pPr>
        <w:ind w:left="1384" w:hanging="393"/>
        <w:spacing w:after="0"/>
        <w:tabs>
          <w:tab w:leader="none" w:pos="1384"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Enrollment Date</w:t>
      </w:r>
      <w:r>
        <w:rPr>
          <w:rFonts w:ascii="Times New Roman" w:cs="Times New Roman" w:eastAsia="Times New Roman" w:hAnsi="Times New Roman"/>
          <w:sz w:val="18"/>
          <w:szCs w:val="18"/>
          <w:color w:val="auto"/>
        </w:rPr>
        <w:t>” means the first Trading Day of each Offering Period.</w:t>
      </w:r>
    </w:p>
    <w:p>
      <w:pPr>
        <w:spacing w:after="0" w:line="225" w:lineRule="exact"/>
        <w:rPr>
          <w:rFonts w:ascii="Times New Roman" w:cs="Times New Roman" w:eastAsia="Times New Roman" w:hAnsi="Times New Roman"/>
          <w:sz w:val="18"/>
          <w:szCs w:val="18"/>
          <w:color w:val="auto"/>
        </w:rPr>
      </w:pPr>
    </w:p>
    <w:p>
      <w:pPr>
        <w:ind w:left="1384" w:hanging="393"/>
        <w:spacing w:after="0"/>
        <w:tabs>
          <w:tab w:leader="none" w:pos="1384"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U.S. Securities Exchange Act of 1934, as amended, including the rules and regulations promulgated</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thereunder.</w:t>
      </w:r>
    </w:p>
    <w:p>
      <w:pPr>
        <w:spacing w:after="0" w:line="206" w:lineRule="exact"/>
        <w:rPr>
          <w:rFonts w:ascii="Times New Roman" w:cs="Times New Roman" w:eastAsia="Times New Roman" w:hAnsi="Times New Roman"/>
          <w:sz w:val="18"/>
          <w:szCs w:val="18"/>
          <w:color w:val="auto"/>
        </w:rPr>
      </w:pPr>
    </w:p>
    <w:p>
      <w:pPr>
        <w:ind w:left="4" w:firstLine="987"/>
        <w:spacing w:after="0" w:line="258" w:lineRule="auto"/>
        <w:tabs>
          <w:tab w:leader="none" w:pos="1355"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Date</w:t>
      </w:r>
      <w:r>
        <w:rPr>
          <w:rFonts w:ascii="Times New Roman" w:cs="Times New Roman" w:eastAsia="Times New Roman" w:hAnsi="Times New Roman"/>
          <w:sz w:val="18"/>
          <w:szCs w:val="18"/>
          <w:color w:val="auto"/>
        </w:rPr>
        <w:t>” means the first Trading Day on or after May 20 and November 20 of each Purchase Period. Notwithstanding the foregoing, the first Exercise Date under the Plan will be the first Trading Day on or after May 20, 2021. Notwithstanding the foregoing, in the event that an Offering Period is terminated prior to its expiration pursuant to Section 19, the Administrator, in its sole discretion, may determine that such Offering Period will terminate without options being exercised on the Exercise Date that otherwise would have occurred on the last Trading Day of such Purchase Period.</w:t>
      </w:r>
    </w:p>
    <w:p>
      <w:pPr>
        <w:spacing w:after="0" w:line="183" w:lineRule="exact"/>
        <w:rPr>
          <w:rFonts w:ascii="Times New Roman" w:cs="Times New Roman" w:eastAsia="Times New Roman" w:hAnsi="Times New Roman"/>
          <w:sz w:val="18"/>
          <w:szCs w:val="18"/>
          <w:color w:val="auto"/>
        </w:rPr>
      </w:pPr>
    </w:p>
    <w:p>
      <w:pPr>
        <w:ind w:left="4" w:right="40" w:firstLine="987"/>
        <w:spacing w:after="0" w:line="282" w:lineRule="auto"/>
        <w:tabs>
          <w:tab w:leader="none" w:pos="1365"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and unless the Administrator determines otherwise, the value of a share of Common Stock determined as follows:</w:t>
      </w:r>
    </w:p>
    <w:p>
      <w:pPr>
        <w:spacing w:after="0" w:line="161" w:lineRule="exact"/>
        <w:rPr>
          <w:rFonts w:ascii="Times New Roman" w:cs="Times New Roman" w:eastAsia="Times New Roman" w:hAnsi="Times New Roman"/>
          <w:sz w:val="18"/>
          <w:szCs w:val="18"/>
          <w:color w:val="auto"/>
        </w:rPr>
      </w:pPr>
    </w:p>
    <w:p>
      <w:pPr>
        <w:ind w:left="4" w:right="20" w:firstLine="1428"/>
        <w:spacing w:after="0" w:line="282" w:lineRule="auto"/>
        <w:tabs>
          <w:tab w:leader="none" w:pos="1786" w:val="left"/>
        </w:tabs>
        <w:numPr>
          <w:ilvl w:val="2"/>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Enrollment Date of the first Offering Period under the Plan, the Fair Market Value will be the initial price to the public as set forth in the final prospectus included within the Registration Statement.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9" w:right="459" w:bottom="1440" w:gutter="0" w:footer="0" w:header="0"/>
        </w:sectPr>
      </w:pPr>
    </w:p>
    <w:bookmarkStart w:id="493" w:name="page494"/>
    <w:bookmarkEnd w:id="493"/>
    <w:p>
      <w:pPr>
        <w:ind w:right="160" w:firstLine="1428"/>
        <w:spacing w:after="0" w:line="255" w:lineRule="auto"/>
        <w:tabs>
          <w:tab w:leader="none" w:pos="1832"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For all other purposes, the Fair Market Value will be the closing sales price for Common Stock as quoted on any established stock exchange or national market system (including without limitation the New York Stock Exchange, Nasdaq Global Select Market, the Nasdaq Global Market or the Nasdaq Capital Market of The Nasdaq Stock Market) on which the Common Stock is listed on the date of determination (or the closing bid, if no sales were reported),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 If the determination date for the Fair Market Value occurs on a non-trading day (i.e., a weekend or holiday), the Fair Market Value will be such price on the immediately preceding trading day, unless otherwise determined by the Administrator. In the absence of an established market for the Common Stock, the Fair Market Value thereof will be determined in good faith by the Administrator; or</w:t>
      </w:r>
    </w:p>
    <w:p>
      <w:pPr>
        <w:spacing w:after="0" w:line="188" w:lineRule="exact"/>
        <w:rPr>
          <w:rFonts w:ascii="Times New Roman" w:cs="Times New Roman" w:eastAsia="Times New Roman" w:hAnsi="Times New Roman"/>
          <w:sz w:val="18"/>
          <w:szCs w:val="18"/>
          <w:color w:val="auto"/>
        </w:rPr>
      </w:pPr>
    </w:p>
    <w:p>
      <w:pPr>
        <w:ind w:left="1880" w:hanging="452"/>
        <w:spacing w:after="0"/>
        <w:tabs>
          <w:tab w:leader="none" w:pos="1880" w:val="left"/>
        </w:tabs>
        <w:numPr>
          <w:ilvl w:val="0"/>
          <w:numId w:val="3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absence of an established market for the Common Stock, the Fair Market Value thereof will be determined in good faith</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by the Administrator.</w:t>
      </w:r>
    </w:p>
    <w:p>
      <w:pPr>
        <w:spacing w:after="0" w:line="207"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determination of fair market value for purposes of tax withholding may be made in the Administrator’s discretion subject to Applicable Laws and is not required to be consistent with the determination of Fair Market Value for other purposes.</w:t>
      </w:r>
    </w:p>
    <w:p>
      <w:pPr>
        <w:spacing w:after="0" w:line="162" w:lineRule="exact"/>
        <w:rPr>
          <w:sz w:val="20"/>
          <w:szCs w:val="20"/>
          <w:color w:val="auto"/>
        </w:rPr>
      </w:pPr>
    </w:p>
    <w:p>
      <w:pPr>
        <w:ind w:left="1340" w:hanging="353"/>
        <w:spacing w:after="0"/>
        <w:tabs>
          <w:tab w:leader="none" w:pos="134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the fiscal year of the Company.</w:t>
      </w:r>
    </w:p>
    <w:p>
      <w:pPr>
        <w:spacing w:after="0" w:line="225"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Exercise Date</w:t>
      </w:r>
      <w:r>
        <w:rPr>
          <w:rFonts w:ascii="Times New Roman" w:cs="Times New Roman" w:eastAsia="Times New Roman" w:hAnsi="Times New Roman"/>
          <w:sz w:val="18"/>
          <w:szCs w:val="18"/>
          <w:color w:val="auto"/>
        </w:rPr>
        <w:t>” means a new Exercise Date if the Administrator shortens any Offering Period then in progress.</w:t>
      </w:r>
    </w:p>
    <w:p>
      <w:pPr>
        <w:spacing w:after="0" w:line="225" w:lineRule="exact"/>
        <w:rPr>
          <w:rFonts w:ascii="Times New Roman" w:cs="Times New Roman" w:eastAsia="Times New Roman" w:hAnsi="Times New Roman"/>
          <w:sz w:val="18"/>
          <w:szCs w:val="18"/>
          <w:color w:val="auto"/>
        </w:rPr>
      </w:pPr>
    </w:p>
    <w:p>
      <w:pPr>
        <w:ind w:right="340" w:firstLine="987"/>
        <w:spacing w:after="0" w:line="255" w:lineRule="auto"/>
        <w:tabs>
          <w:tab w:leader="none" w:pos="1381"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means an offer under the Plan of an option that may be exercised during an Offering Period as further described in Section 4.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U.S. Treasury Regulation</w:t>
      </w:r>
    </w:p>
    <w:p>
      <w:pPr>
        <w:spacing w:after="0" w:line="2"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1.423-2(a)(1), the terms of each Offering need not be identical provided that the terms of the Plan and an Offering together satisfy U.S. Treasury Regulation Section 1.423-2(a)(2) and (a)(3).</w:t>
      </w:r>
    </w:p>
    <w:p>
      <w:pPr>
        <w:spacing w:after="0" w:line="181" w:lineRule="exact"/>
        <w:rPr>
          <w:rFonts w:ascii="Times New Roman" w:cs="Times New Roman" w:eastAsia="Times New Roman" w:hAnsi="Times New Roman"/>
          <w:sz w:val="18"/>
          <w:szCs w:val="18"/>
          <w:color w:val="auto"/>
        </w:rPr>
      </w:pPr>
    </w:p>
    <w:p>
      <w:pPr>
        <w:ind w:firstLine="987"/>
        <w:spacing w:after="0" w:line="255" w:lineRule="auto"/>
        <w:tabs>
          <w:tab w:leader="none" w:pos="1421"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 Periods</w:t>
      </w:r>
      <w:r>
        <w:rPr>
          <w:rFonts w:ascii="Times New Roman" w:cs="Times New Roman" w:eastAsia="Times New Roman" w:hAnsi="Times New Roman"/>
          <w:sz w:val="18"/>
          <w:szCs w:val="18"/>
          <w:color w:val="auto"/>
        </w:rPr>
        <w:t>” means the consecutive periods of approximately six (6) months during which an option granted pursuant to the Plan may be exercised, commencing on the first Trading Day on or after May 20 and November 20 of each year and terminating on the first Trading Day on or after November 20 and May 20, approximately six (6) months later; provided, however, that the first Offering Period under the Plan will commence with the first Trading Day on or after the date on which the Securities and Exchange Commission declares the Company’s Registration Statement effective and will end on the first Trading Day on or after May 20, 2021, and provided, further, that the second Offering Period under the Plan will commence on the first Trading Day on or after May 20, 2021. The duration and timing of Offering Periods may be changed pursuant to Sections 4, 20 and 30.</w:t>
      </w:r>
    </w:p>
    <w:p>
      <w:pPr>
        <w:spacing w:after="0" w:line="188"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whether now or hereafter existing, as defined in Section 424(e) of the Code.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69" w:right="479" w:bottom="1440" w:gutter="0" w:footer="0" w:header="0"/>
        </w:sectPr>
      </w:pPr>
    </w:p>
    <w:bookmarkStart w:id="494" w:name="page495"/>
    <w:bookmarkEnd w:id="494"/>
    <w:p>
      <w:pPr>
        <w:ind w:left="1380" w:hanging="393"/>
        <w:spacing w:after="0"/>
        <w:tabs>
          <w:tab w:leader="none" w:pos="138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an Eligible Employee who participates in the Plan.</w:t>
      </w:r>
    </w:p>
    <w:p>
      <w:pPr>
        <w:spacing w:after="0" w:line="225"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PMV Pharmaceuticals, Inc. 2020 Employee Stock Purchase Plan.</w:t>
      </w:r>
    </w:p>
    <w:p>
      <w:pPr>
        <w:spacing w:after="0" w:line="225" w:lineRule="exact"/>
        <w:rPr>
          <w:sz w:val="20"/>
          <w:szCs w:val="20"/>
          <w:color w:val="auto"/>
        </w:rPr>
      </w:pPr>
    </w:p>
    <w:p>
      <w:pPr>
        <w:ind w:right="100" w:firstLine="987"/>
        <w:spacing w:after="0" w:line="258" w:lineRule="auto"/>
        <w:tabs>
          <w:tab w:leader="none" w:pos="1496"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Period</w:t>
      </w:r>
      <w:r>
        <w:rPr>
          <w:rFonts w:ascii="Times New Roman" w:cs="Times New Roman" w:eastAsia="Times New Roman" w:hAnsi="Times New Roman"/>
          <w:sz w:val="18"/>
          <w:szCs w:val="18"/>
          <w:color w:val="auto"/>
        </w:rPr>
        <w:t>” means the period during an Offering Period during which shares of Common Stock may be purchased on a Participant’s behalf in accordance with the terms of the Plan. For the first Offering Period, the Purchase Period will commence on the first Trading Day on or after the Registration Date and terminate on the first Trading Day on or after May 20, 2021. Unless the Administrator provides otherwise, Purchase Periods for all other Offering Periods will commence on the first Trading Day of the Offering Period and terminate on the last Trading Day of the Offering Period.</w:t>
      </w:r>
    </w:p>
    <w:p>
      <w:pPr>
        <w:spacing w:after="0" w:line="183" w:lineRule="exact"/>
        <w:rPr>
          <w:rFonts w:ascii="Times New Roman" w:cs="Times New Roman" w:eastAsia="Times New Roman" w:hAnsi="Times New Roman"/>
          <w:sz w:val="18"/>
          <w:szCs w:val="18"/>
          <w:color w:val="auto"/>
        </w:rPr>
      </w:pPr>
    </w:p>
    <w:p>
      <w:pPr>
        <w:ind w:right="60" w:firstLine="987"/>
        <w:spacing w:after="0" w:line="261" w:lineRule="auto"/>
        <w:tabs>
          <w:tab w:leader="none" w:pos="1471"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means an amount equal to eighty-five percent (85%) of the Fair Market Value of a share of Common Stock on the Enrollment Date or on the Exercise Date, whichever is lower; provided however, that the Purchase Price may be determined for subsequent Offering Periods by the Administrator subject to compliance with Section 423 of the Code (or any successor rule or provision or any other Applicable Law, regulation or stock exchange rule) or pursuant to Section 20.</w:t>
      </w:r>
    </w:p>
    <w:p>
      <w:pPr>
        <w:spacing w:after="0" w:line="179" w:lineRule="exact"/>
        <w:rPr>
          <w:rFonts w:ascii="Times New Roman" w:cs="Times New Roman" w:eastAsia="Times New Roman" w:hAnsi="Times New Roman"/>
          <w:sz w:val="18"/>
          <w:szCs w:val="18"/>
          <w:color w:val="auto"/>
        </w:rPr>
      </w:pPr>
    </w:p>
    <w:p>
      <w:pPr>
        <w:ind w:right="240" w:firstLine="987"/>
        <w:spacing w:after="0" w:line="282" w:lineRule="auto"/>
        <w:tabs>
          <w:tab w:leader="none" w:pos="1451"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Date</w:t>
      </w:r>
      <w:r>
        <w:rPr>
          <w:rFonts w:ascii="Times New Roman" w:cs="Times New Roman" w:eastAsia="Times New Roman" w:hAnsi="Times New Roman"/>
          <w:sz w:val="18"/>
          <w:szCs w:val="18"/>
          <w:color w:val="auto"/>
        </w:rPr>
        <w:t>” means the effective date of the first registration statement that is filed by the Company and declared effective pursuant to Section 12(b) of the Exchange Act, with respect to any class of the Company’s securities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987"/>
        <w:spacing w:after="0" w:line="266" w:lineRule="auto"/>
        <w:tabs>
          <w:tab w:leader="none" w:pos="1471"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xml:space="preserve"> of the Code and the regulations and guidance thereunder, and formal, effective guidance of either general applicability or direct applicability thereunder, and any applicable state law equivalent, as each may be promulgated, amended or modified from time to time.</w:t>
      </w:r>
    </w:p>
    <w:p>
      <w:pPr>
        <w:spacing w:after="0" w:line="175" w:lineRule="exact"/>
        <w:rPr>
          <w:rFonts w:ascii="Times New Roman" w:cs="Times New Roman" w:eastAsia="Times New Roman" w:hAnsi="Times New Roman"/>
          <w:sz w:val="18"/>
          <w:szCs w:val="18"/>
          <w:color w:val="auto"/>
        </w:rPr>
      </w:pPr>
    </w:p>
    <w:p>
      <w:pPr>
        <w:ind w:left="1440" w:hanging="453"/>
        <w:spacing w:after="0"/>
        <w:tabs>
          <w:tab w:leader="none" w:pos="1440"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“subsidiary corporation,” whether now or hereafter existing, as defined in Section 424(f) of the Code.</w:t>
      </w:r>
    </w:p>
    <w:p>
      <w:pPr>
        <w:spacing w:after="0" w:line="225" w:lineRule="exact"/>
        <w:rPr>
          <w:rFonts w:ascii="Times New Roman" w:cs="Times New Roman" w:eastAsia="Times New Roman" w:hAnsi="Times New Roman"/>
          <w:sz w:val="18"/>
          <w:szCs w:val="18"/>
          <w:color w:val="auto"/>
        </w:rPr>
      </w:pPr>
    </w:p>
    <w:p>
      <w:pPr>
        <w:ind w:right="320" w:firstLine="987"/>
        <w:spacing w:after="0" w:line="282" w:lineRule="auto"/>
        <w:tabs>
          <w:tab w:leader="none" w:pos="1408"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that the primary stock exchange (or national market system, or other trading platform, as applicable) upon which the Common Stock is listed is open for trading.</w:t>
      </w:r>
    </w:p>
    <w:p>
      <w:pPr>
        <w:spacing w:after="0" w:line="161" w:lineRule="exact"/>
        <w:rPr>
          <w:rFonts w:ascii="Times New Roman" w:cs="Times New Roman" w:eastAsia="Times New Roman" w:hAnsi="Times New Roman"/>
          <w:sz w:val="18"/>
          <w:szCs w:val="18"/>
          <w:color w:val="auto"/>
        </w:rPr>
      </w:pPr>
    </w:p>
    <w:p>
      <w:pPr>
        <w:jc w:val="both"/>
        <w:ind w:right="20" w:firstLine="987"/>
        <w:spacing w:after="0" w:line="266" w:lineRule="auto"/>
        <w:tabs>
          <w:tab w:leader="none" w:pos="1471"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Treasury Regulations</w:t>
      </w:r>
      <w:r>
        <w:rPr>
          <w:rFonts w:ascii="Times New Roman" w:cs="Times New Roman" w:eastAsia="Times New Roman" w:hAnsi="Times New Roman"/>
          <w:sz w:val="18"/>
          <w:szCs w:val="18"/>
          <w:color w:val="auto"/>
        </w:rPr>
        <w:t>” means the Treasury Regulations of the Code. Reference to a specific Treasury Regulation or Section of the Code shall include such Treasury Regulation or Section, any valid regulation promulgated under such Section, and any comparable provision of any future legislation or regulation amending, supplementing or superseding such Section or regulation.</w:t>
      </w:r>
    </w:p>
    <w:p>
      <w:pPr>
        <w:spacing w:after="0" w:line="284" w:lineRule="exact"/>
        <w:rPr>
          <w:sz w:val="20"/>
          <w:szCs w:val="20"/>
          <w:color w:val="auto"/>
        </w:rPr>
      </w:pPr>
    </w:p>
    <w:p>
      <w:pPr>
        <w:ind w:left="760" w:hanging="324"/>
        <w:spacing w:after="0"/>
        <w:tabs>
          <w:tab w:leader="none" w:pos="760"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9" w:right="459" w:bottom="1440" w:gutter="0" w:footer="0" w:header="0"/>
        </w:sectPr>
      </w:pPr>
    </w:p>
    <w:bookmarkStart w:id="495" w:name="page496"/>
    <w:bookmarkEnd w:id="495"/>
    <w:p>
      <w:pPr>
        <w:ind w:left="-20" w:right="180" w:firstLine="987"/>
        <w:spacing w:after="0" w:line="282" w:lineRule="auto"/>
        <w:tabs>
          <w:tab w:leader="none" w:pos="1351"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First Offering Period</w:t>
      </w:r>
      <w:r>
        <w:rPr>
          <w:rFonts w:ascii="Times New Roman" w:cs="Times New Roman" w:eastAsia="Times New Roman" w:hAnsi="Times New Roman"/>
          <w:sz w:val="18"/>
          <w:szCs w:val="18"/>
          <w:color w:val="auto"/>
        </w:rPr>
        <w:t>. Any individual who is an Eligible Employee immediately prior to the first Offering Period automatically will be enrolled in the first Offering Period, subject to the requirements of Section 5.</w:t>
      </w:r>
    </w:p>
    <w:p>
      <w:pPr>
        <w:spacing w:after="0" w:line="161" w:lineRule="exact"/>
        <w:rPr>
          <w:rFonts w:ascii="Times New Roman" w:cs="Times New Roman" w:eastAsia="Times New Roman" w:hAnsi="Times New Roman"/>
          <w:sz w:val="18"/>
          <w:szCs w:val="18"/>
          <w:color w:val="auto"/>
        </w:rPr>
      </w:pPr>
    </w:p>
    <w:p>
      <w:pPr>
        <w:ind w:left="-20" w:right="380" w:firstLine="987"/>
        <w:spacing w:after="0" w:line="282" w:lineRule="auto"/>
        <w:tabs>
          <w:tab w:leader="none" w:pos="1361"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Offering Periods</w:t>
      </w:r>
      <w:r>
        <w:rPr>
          <w:rFonts w:ascii="Times New Roman" w:cs="Times New Roman" w:eastAsia="Times New Roman" w:hAnsi="Times New Roman"/>
          <w:sz w:val="18"/>
          <w:szCs w:val="18"/>
          <w:color w:val="auto"/>
        </w:rPr>
        <w:t>. Any Eligible Employee on a given Enrollment Date subsequent to the first Offering Period will be eligible to participate in the Plan, subject to the requirements of Section 5.</w:t>
      </w:r>
    </w:p>
    <w:p>
      <w:pPr>
        <w:spacing w:after="0" w:line="161" w:lineRule="exact"/>
        <w:rPr>
          <w:rFonts w:ascii="Times New Roman" w:cs="Times New Roman" w:eastAsia="Times New Roman" w:hAnsi="Times New Roman"/>
          <w:sz w:val="18"/>
          <w:szCs w:val="18"/>
          <w:color w:val="auto"/>
        </w:rPr>
      </w:pPr>
    </w:p>
    <w:p>
      <w:pPr>
        <w:ind w:left="-20" w:right="220" w:firstLine="987"/>
        <w:spacing w:after="0" w:line="256" w:lineRule="auto"/>
        <w:tabs>
          <w:tab w:leader="none" w:pos="1351"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Non-U.S. Employees</w:t>
      </w:r>
      <w:r>
        <w:rPr>
          <w:rFonts w:ascii="Times New Roman" w:cs="Times New Roman" w:eastAsia="Times New Roman" w:hAnsi="Times New Roman"/>
          <w:sz w:val="18"/>
          <w:szCs w:val="18"/>
          <w:color w:val="auto"/>
        </w:rPr>
        <w:t>. Eligible Employees who are citizens or residents of a non-U.S. jurisdiction (without regard to whether they also are citizens or residents of the United States or resident aliens (within the meaning of Section 7701(b)(1)(A) of the Code)) may be excluded from participation in the Plan or an Offering if the participation of such Eligible Employees is prohibited under the laws of the applicable jurisdiction or if complying with the laws of the applicable jurisdiction would cause the Plan or an Offering to violate Section 423 of the Code. In the case of the Non-423 Component, an Eligible Employee may be excluded from participation in the Plan or an Offering if the Administrator has determined that participation of such Eligible Employee is not advisable or practicable.</w:t>
      </w:r>
    </w:p>
    <w:p>
      <w:pPr>
        <w:spacing w:after="0" w:line="187" w:lineRule="exact"/>
        <w:rPr>
          <w:rFonts w:ascii="Times New Roman" w:cs="Times New Roman" w:eastAsia="Times New Roman" w:hAnsi="Times New Roman"/>
          <w:sz w:val="18"/>
          <w:szCs w:val="18"/>
          <w:color w:val="auto"/>
        </w:rPr>
      </w:pPr>
    </w:p>
    <w:p>
      <w:pPr>
        <w:ind w:left="-20" w:right="40" w:firstLine="987"/>
        <w:spacing w:after="0" w:line="254" w:lineRule="auto"/>
        <w:tabs>
          <w:tab w:leader="none" w:pos="1361"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w:t>
      </w:r>
      <w:r>
        <w:rPr>
          <w:rFonts w:ascii="Times New Roman" w:cs="Times New Roman" w:eastAsia="Times New Roman" w:hAnsi="Times New Roman"/>
          <w:sz w:val="18"/>
          <w:szCs w:val="18"/>
          <w:color w:val="auto"/>
        </w:rPr>
        <w:t>. Any provisions of the Plan to the contrary notwithstanding, no Eligible Employee will be granted an option under the Plan (i) to the extent that, immediately after the grant, such Eligible Employee (or any other person whose stock would be attributed to such Eligible Employee pursuant to Section 424(d) of the Code)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(ii) to the extent that his or her rights to purchase stock under all employee stock purchase plans (as defined in Section 423 of the Code) of the Company or any Parent or Subsidiary of the Company accrues at a rate, which exceeds twenty-five thousand dollars ($25,000) worth of stock (determined at the Fair Market Value of the stock at the time such option is granted) for each calendar year in which such option is outstanding at any time, as determined in accordance with Section 423 of the Code and the regulations thereunder.</w:t>
      </w:r>
    </w:p>
    <w:p>
      <w:pPr>
        <w:spacing w:after="0" w:line="296" w:lineRule="exact"/>
        <w:rPr>
          <w:rFonts w:ascii="Times New Roman" w:cs="Times New Roman" w:eastAsia="Times New Roman" w:hAnsi="Times New Roman"/>
          <w:sz w:val="18"/>
          <w:szCs w:val="18"/>
          <w:color w:val="auto"/>
        </w:rPr>
      </w:pPr>
    </w:p>
    <w:p>
      <w:pPr>
        <w:ind w:left="-20" w:firstLine="436"/>
        <w:spacing w:after="0" w:line="256" w:lineRule="auto"/>
        <w:tabs>
          <w:tab w:leader="none" w:pos="735"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Offering Periods</w:t>
      </w:r>
      <w:r>
        <w:rPr>
          <w:rFonts w:ascii="Times New Roman" w:cs="Times New Roman" w:eastAsia="Times New Roman" w:hAnsi="Times New Roman"/>
          <w:sz w:val="18"/>
          <w:szCs w:val="18"/>
          <w:color w:val="auto"/>
        </w:rPr>
        <w:t>. The Plan will be implemented by consecutive Offering Periods with a new Offering Period commencing on the first Trading Day on or after May 20 and November 20 each year, or on such other date(s) as the Administrator will determine; provided, however, that the first Offering Period under the Plan will commence with the first Trading Day on or after the Registration Date and end on the first Trading Day on or after May 20, 2021. The Administrator will have the power to change the duration of Offering Periods (including the commencement dates thereof) with respect to future Offerings without stockholder approval if such change is announced prior to the scheduled beginning of the first Offering Period to be affected thereafter; provided, however, that no Offering Period may last more than twenty-seven (27) months.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60" w:top="269" w:right="459" w:bottom="1440" w:gutter="0" w:footer="0" w:header="0"/>
        </w:sectPr>
      </w:pPr>
    </w:p>
    <w:bookmarkStart w:id="496" w:name="page497"/>
    <w:bookmarkEnd w:id="496"/>
    <w:p>
      <w:pPr>
        <w:ind w:left="764" w:hanging="324"/>
        <w:spacing w:after="0"/>
        <w:tabs>
          <w:tab w:leader="none" w:pos="764" w:val="left"/>
        </w:tabs>
        <w:numPr>
          <w:ilvl w:val="1"/>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Participation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40" w:firstLine="987"/>
        <w:spacing w:after="0" w:line="255" w:lineRule="auto"/>
        <w:tabs>
          <w:tab w:leader="none" w:pos="1375" w:val="left"/>
        </w:tabs>
        <w:numPr>
          <w:ilvl w:val="2"/>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 Offering Period</w:t>
      </w:r>
      <w:r>
        <w:rPr>
          <w:rFonts w:ascii="Times New Roman" w:cs="Times New Roman" w:eastAsia="Times New Roman" w:hAnsi="Times New Roman"/>
          <w:sz w:val="18"/>
          <w:szCs w:val="18"/>
          <w:color w:val="auto"/>
        </w:rPr>
        <w:t xml:space="preserve">. An Eligible Employee will be entitled to continue to participate in the first Offering Period pursuant to Section 3(a) only if such individual submits a subscription agreement authorizing Contributions in a form determined by the Administrator (which may be similar to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to the Company’s designated plan administrator (i) no earlier than the effective date of the Form S-8 registration statement with respect to the issuance of Common Stock under this Plan and (ii) with respect to the first Offering Period, no later than ten</w:t>
      </w:r>
    </w:p>
    <w:p>
      <w:pPr>
        <w:spacing w:after="0" w:line="2" w:lineRule="exact"/>
        <w:rPr>
          <w:rFonts w:ascii="Times New Roman" w:cs="Times New Roman" w:eastAsia="Times New Roman" w:hAnsi="Times New Roman"/>
          <w:sz w:val="18"/>
          <w:szCs w:val="18"/>
          <w:color w:val="auto"/>
        </w:rPr>
      </w:pPr>
    </w:p>
    <w:p>
      <w:pPr>
        <w:ind w:left="4" w:right="20" w:hanging="4"/>
        <w:spacing w:after="0" w:line="255" w:lineRule="auto"/>
        <w:tabs>
          <w:tab w:leader="none" w:pos="349"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days following the effective date of such Form S-8 registration statement or such other date as the Administrator may determine (the “Enrollment Window”). An Eligible Employee’s failure to submit the subscription agreement during the Enrollment Window will result in the automatic termination of such individual’s participation in the first Offering Period.</w:t>
      </w:r>
    </w:p>
    <w:p>
      <w:pPr>
        <w:spacing w:after="0" w:line="185" w:lineRule="exact"/>
        <w:rPr>
          <w:rFonts w:ascii="Times New Roman" w:cs="Times New Roman" w:eastAsia="Times New Roman" w:hAnsi="Times New Roman"/>
          <w:sz w:val="18"/>
          <w:szCs w:val="18"/>
          <w:color w:val="auto"/>
        </w:rPr>
      </w:pPr>
    </w:p>
    <w:p>
      <w:pPr>
        <w:ind w:left="4" w:right="60" w:firstLine="987"/>
        <w:spacing w:after="0" w:line="261" w:lineRule="auto"/>
        <w:tabs>
          <w:tab w:leader="none" w:pos="1385" w:val="left"/>
        </w:tabs>
        <w:numPr>
          <w:ilvl w:val="2"/>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Subsequent Offering Periods</w:t>
      </w:r>
      <w:r>
        <w:rPr>
          <w:rFonts w:ascii="Times New Roman" w:cs="Times New Roman" w:eastAsia="Times New Roman" w:hAnsi="Times New Roman"/>
          <w:sz w:val="18"/>
          <w:szCs w:val="18"/>
          <w:color w:val="auto"/>
        </w:rPr>
        <w:t>. An Eligible Employee may participate in the Plan pursuant to Section 3(b) by (i) submitting to the Company’s stock administration office (or its designee) a properly completed subscription agreement authorizing Contributions in the form provided by the Administrator for such purpose, or (ii) following an electronic or other enrollment procedure determined by the Administrator, in either case, on or before a date determined by the Administrator prior to an applicable Enrollment Date.</w:t>
      </w:r>
    </w:p>
    <w:p>
      <w:pPr>
        <w:spacing w:after="0" w:line="287" w:lineRule="exact"/>
        <w:rPr>
          <w:rFonts w:ascii="Times New Roman" w:cs="Times New Roman" w:eastAsia="Times New Roman" w:hAnsi="Times New Roman"/>
          <w:sz w:val="18"/>
          <w:szCs w:val="18"/>
          <w:color w:val="auto"/>
        </w:rPr>
      </w:pPr>
    </w:p>
    <w:p>
      <w:pPr>
        <w:ind w:left="764" w:hanging="324"/>
        <w:spacing w:after="0"/>
        <w:tabs>
          <w:tab w:leader="none" w:pos="764"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987"/>
        <w:spacing w:after="0" w:line="254" w:lineRule="auto"/>
        <w:tabs>
          <w:tab w:leader="none" w:pos="1365" w:val="left"/>
        </w:tabs>
        <w:numPr>
          <w:ilvl w:val="2"/>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a Participant enrolls in the Plan pursuant to Section 5, he or she will elect to have Contributions (in the form of payroll deductions or otherwise, to the extent permitted by the Administrator) made on each pay day during the Offering Period in an amount not exceeding fifteen percent (15%) of the Compensation, which he or she receives on each pay day during the Offering Period; provided, however, that should a pay day occur on an Exercise Date, a Participant will have any Contributions made on such day applied to his or her account under the then-current Purchase Period or Offering Period with respect to which that Exercise Date relates. The Administrator, in its sole discretion, may permit all Participants in a specified Offering to contribute amounts to the Plan through payment by cash, check or other means set forth in the subscription agreement prior to each Exercise Date of each Purchase Period. A Participant’s subscription agreement will remain in effect for successive Offering Periods unless terminated as provided in Section 10 hereof.</w:t>
      </w:r>
    </w:p>
    <w:p>
      <w:pPr>
        <w:spacing w:after="0" w:line="191" w:lineRule="exact"/>
        <w:rPr>
          <w:rFonts w:ascii="Times New Roman" w:cs="Times New Roman" w:eastAsia="Times New Roman" w:hAnsi="Times New Roman"/>
          <w:sz w:val="18"/>
          <w:szCs w:val="18"/>
          <w:color w:val="auto"/>
        </w:rPr>
      </w:pPr>
    </w:p>
    <w:p>
      <w:pPr>
        <w:jc w:val="both"/>
        <w:ind w:left="4" w:right="240" w:firstLine="987"/>
        <w:spacing w:after="0" w:line="261" w:lineRule="auto"/>
        <w:tabs>
          <w:tab w:leader="none" w:pos="1385" w:val="left"/>
        </w:tabs>
        <w:numPr>
          <w:ilvl w:val="2"/>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Contributions are made in the form of payroll deductions, such payroll deductions for a Participant will commence on the first pay day following the Enrollment Date and will end on the last pay day on or prior to the last Exercise Date of such Offering Period to which such authorization is applicable, unless sooner terminated by the Participant as provided in Section 10 hereof; provided, however, that for the first Offering Period, payroll deductions will commence on the first pay day on or following the end of the Enrollment Window.</w:t>
      </w:r>
    </w:p>
    <w:p>
      <w:pPr>
        <w:spacing w:after="0" w:line="179" w:lineRule="exact"/>
        <w:rPr>
          <w:rFonts w:ascii="Times New Roman" w:cs="Times New Roman" w:eastAsia="Times New Roman" w:hAnsi="Times New Roman"/>
          <w:sz w:val="18"/>
          <w:szCs w:val="18"/>
          <w:color w:val="auto"/>
        </w:rPr>
      </w:pPr>
    </w:p>
    <w:p>
      <w:pPr>
        <w:ind w:left="4" w:firstLine="987"/>
        <w:spacing w:after="0" w:line="282" w:lineRule="auto"/>
        <w:tabs>
          <w:tab w:leader="none" w:pos="1365" w:val="left"/>
        </w:tabs>
        <w:numPr>
          <w:ilvl w:val="2"/>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Contributions made for a Participant will be credited to his or her account under the Plan and Contributions will be made in whole percentages of his or her Compensation only. A Participant may not make any additional payments into such account.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69" w:right="459" w:bottom="1440" w:gutter="0" w:footer="0" w:header="0"/>
        </w:sectPr>
      </w:pPr>
    </w:p>
    <w:bookmarkStart w:id="497" w:name="page498"/>
    <w:bookmarkEnd w:id="497"/>
    <w:p>
      <w:pPr>
        <w:ind w:left="4" w:right="40" w:firstLine="987"/>
        <w:spacing w:after="0" w:line="272" w:lineRule="auto"/>
        <w:tabs>
          <w:tab w:leader="none" w:pos="1375" w:val="left"/>
        </w:tabs>
        <w:numPr>
          <w:ilvl w:val="1"/>
          <w:numId w:val="3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Participant may discontinue his or her participation in the Plan as provided under Section 10. Until and unless determined otherwise by the Administrator, in its sole discretion, during any Purchase Period, a Participant may not increase the rate of his or her Contributions and may only decrease the rate of his or her Contributions one (1) time. A Participant may make a Contribution rate adjustment pursuant to this subsection</w:t>
      </w:r>
    </w:p>
    <w:p>
      <w:pPr>
        <w:spacing w:after="0" w:line="1" w:lineRule="exact"/>
        <w:rPr>
          <w:rFonts w:ascii="Times New Roman" w:cs="Times New Roman" w:eastAsia="Times New Roman" w:hAnsi="Times New Roman"/>
          <w:sz w:val="17"/>
          <w:szCs w:val="17"/>
          <w:color w:val="auto"/>
        </w:rPr>
      </w:pPr>
    </w:p>
    <w:p>
      <w:pPr>
        <w:ind w:left="4" w:right="20" w:hanging="4"/>
        <w:spacing w:after="0" w:line="251" w:lineRule="auto"/>
        <w:tabs>
          <w:tab w:leader="none" w:pos="259"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 properly completing and submitting to the Company’s stock administration office (or its designee), a new subscription agreement authorizing the change in Contribution rate in the form provided by the Administrator for such purpose, or (ii) following an electronic or other procedure prescribed by the Administrator, in either case, on or before a date determined by the Administrator prior to (x) the scheduled beginning of the first Offering Period to be affected or (y) an applicable Exercise Date, as applicable. If a Participant has not followed such procedures to change the rate of Contributions, the rate of his or her Contributions will continue at the originally elected rate throughout the Purchase Period and future Offering Periods and Purchase Periods (unless the Participant’s participation is terminated as provided in Sections 10 or 11). The Administrator may, in its sole discretion, limit or amend the nature and/or number of Contribution rate changes (including to permit, prohibit and/or limit increases and/or decreases to rate changes) that may be made by Participants during any Offering Period or Purchase Period, and may establish such other conditions or limitations as it deems appropriate for Plan administration. Any change in the rate of Contributions made pursuant to this Section 6(d) will be effective as of the first full payroll period following five (5) business days after the date on which the change is made by the Participant (unless the Administrator, in its sole discretion, elects to process a given change in payroll deduction rate more quickly).</w:t>
      </w:r>
    </w:p>
    <w:p>
      <w:pPr>
        <w:spacing w:after="0" w:line="192" w:lineRule="exact"/>
        <w:rPr>
          <w:rFonts w:ascii="Times New Roman" w:cs="Times New Roman" w:eastAsia="Times New Roman" w:hAnsi="Times New Roman"/>
          <w:sz w:val="18"/>
          <w:szCs w:val="18"/>
          <w:color w:val="auto"/>
        </w:rPr>
      </w:pPr>
    </w:p>
    <w:p>
      <w:pPr>
        <w:ind w:left="4" w:firstLine="987"/>
        <w:spacing w:after="0" w:line="261" w:lineRule="auto"/>
        <w:tabs>
          <w:tab w:leader="none" w:pos="1375"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to the extent necessary to comply with Section 423(b)(8) of the Code and Section 3(d), a Participant’s Contributions may be decreased to zero percent (0%) by the Administrator at any time during a Purchase Period. Subject to Section 423(b)(8) of the Code and Section 3(d) hereof, Contributions will recommence at the rate originally elected by the Participant effective as of the beginning of the first Purchase Period scheduled to end in the following calendar year, unless terminated by the Participant as provided in Section 10.</w:t>
      </w:r>
    </w:p>
    <w:p>
      <w:pPr>
        <w:spacing w:after="0" w:line="179" w:lineRule="exact"/>
        <w:rPr>
          <w:rFonts w:ascii="Times New Roman" w:cs="Times New Roman" w:eastAsia="Times New Roman" w:hAnsi="Times New Roman"/>
          <w:sz w:val="18"/>
          <w:szCs w:val="18"/>
          <w:color w:val="auto"/>
        </w:rPr>
      </w:pPr>
    </w:p>
    <w:p>
      <w:pPr>
        <w:jc w:val="both"/>
        <w:ind w:left="4" w:right="140" w:firstLine="987"/>
        <w:spacing w:after="0" w:line="289" w:lineRule="auto"/>
        <w:tabs>
          <w:tab w:leader="none" w:pos="1400" w:val="left"/>
        </w:tabs>
        <w:numPr>
          <w:ilvl w:val="1"/>
          <w:numId w:val="3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provisions to the contrary in the Plan, the Administrator may allow Participants to participate in the Plan via cash contributions instead of payroll deductions if (i) payroll deductions are not permitted or advisable under Applicable Laws, (ii) the Administrator determines that cash contributions are permissible under Section 423 of the Code; or (iii) the Participants are participating in the Non-423 Component.</w:t>
      </w:r>
    </w:p>
    <w:p>
      <w:pPr>
        <w:spacing w:after="0" w:line="157" w:lineRule="exact"/>
        <w:rPr>
          <w:rFonts w:ascii="Times New Roman" w:cs="Times New Roman" w:eastAsia="Times New Roman" w:hAnsi="Times New Roman"/>
          <w:sz w:val="17"/>
          <w:szCs w:val="17"/>
          <w:color w:val="auto"/>
        </w:rPr>
      </w:pPr>
    </w:p>
    <w:p>
      <w:pPr>
        <w:ind w:left="4" w:firstLine="987"/>
        <w:spacing w:after="0" w:line="256" w:lineRule="auto"/>
        <w:tabs>
          <w:tab w:leader="none" w:pos="1375"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the option is exercised, in whole or in part, or at the time some or all of the Common Stock issued under the Plan is disposed of (or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or payment on account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4"/>
          </w:cols>
          <w:pgMar w:left="436" w:top="269" w:right="479" w:bottom="1440" w:gutter="0" w:footer="0" w:header="0"/>
        </w:sectPr>
      </w:pPr>
    </w:p>
    <w:bookmarkStart w:id="498" w:name="page499"/>
    <w:bookmarkEnd w:id="498"/>
    <w:p>
      <w:pPr>
        <w:ind w:right="3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withholding obligations, including any withholding required to make available to the Company or the Employer any tax deductions or benefits attributable to sale or early disposition of Common Stock by the Eligible Employee. In addition, the Company or the Employer may, but will not be obligated to, withhold from the proceeds of the sale of Common Stock or any other method of withholding the Company or the Employer deems appropriate to the extent permitted by U.S. Treasury Regulation Section 1.423-2(f).</w:t>
      </w:r>
    </w:p>
    <w:p>
      <w:pPr>
        <w:spacing w:after="0" w:line="288" w:lineRule="exact"/>
        <w:rPr>
          <w:sz w:val="20"/>
          <w:szCs w:val="20"/>
          <w:color w:val="auto"/>
        </w:rPr>
      </w:pPr>
    </w:p>
    <w:p>
      <w:pPr>
        <w:ind w:firstLine="436"/>
        <w:spacing w:after="0" w:line="253" w:lineRule="auto"/>
        <w:tabs>
          <w:tab w:leader="none" w:pos="755"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 On the Enrollment Date of each Offering Period, each Eligible Employee participating in such Offering Period will be granted 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 provided that in no event will an Eligible Employee be permitted to purchase during each Purchase Period more than 4,000 shares of Common Stock (subject to any adjustment pursuant to Section 18) and provided further that such purchase will be subject to the limitations set forth in Sections 3(d) and 13 and in the subscription agreement. The Eligible Employee may accept the grant of such option (i) with respect to the first Offering Period by submitting a properly completed subscription agreement in accordance with the requirements of Section 5 on or before the last day of the Enrollment Window, and (ii) with respect to any subsequent Offering Period under the Plan, by electing to participate in the Plan in accordance with the requirements of Section 5. The Administrator may, for future Offering Periods, increase or decrease, in its absolute discretion, the maximum number of shares of Common Stock that an Eligible Employee may purchase during each Purchase Period and/or Offering Period, as applicable. Exercise of the option will occur as provided in Section 8, unless the Participant has withdrawn pursuant to Section 10 (or Participant’s participation is terminated as provided in Section 11). The option will expire on the last day of the Offering Period.</w:t>
      </w:r>
    </w:p>
    <w:p>
      <w:pPr>
        <w:spacing w:after="0" w:line="295"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60" w:firstLine="987"/>
        <w:spacing w:after="0" w:line="254" w:lineRule="auto"/>
        <w:tabs>
          <w:tab w:leader="none" w:pos="1371"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 Participant withdraws from the Plan as provided in Section 10 (or Participant’s participation is terminated as provided in Section 11), his or her option for the purchase of shares of Common Stock will be exercised automatically on each Exercise Date, and the maximum number of full shares of Common Stock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retained in the Participant’s account for the subsequent Purchase Period or Offering Period, as applicable, subject to earlier withdrawal by the Participant as provided in Section 10 (or the earlier termination of Participant’s participation as provided in Section 11). Any other funds left over in a Participant’s account after the Exercise Date will be returned to the Participant. During a Participant’s lifetime, a Participant’s option to purchase shares of Common Stock hereunder is exercisable only by him or her.</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9" w:right="459" w:bottom="1440" w:gutter="0" w:footer="0" w:header="0"/>
        </w:sectPr>
      </w:pPr>
    </w:p>
    <w:bookmarkStart w:id="499" w:name="page500"/>
    <w:bookmarkEnd w:id="499"/>
    <w:p>
      <w:pPr>
        <w:ind w:left="-20" w:firstLine="987"/>
        <w:spacing w:after="0" w:line="253" w:lineRule="auto"/>
        <w:tabs>
          <w:tab w:leader="none" w:pos="1361"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the Administrator determines that, on a given Exercise Date, the number of shares of Common Stock with respect to which options are to be exercised may exceed (i) the number of shares of Common Stock that were available for sale under the Plan on the Enrollment Date of the applicable Offering Period, or (ii) the number of shares of Common Stock available for sale under the Plan on such Exercise Date, the Administrator 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20. The Company may make a pro rata allocation of the shares of Common Stock available on the Enrollment Date of any applicable Offering Period pursuant to the preceding sentence, notwithstanding any authorization of additional shares of Common Stock for issuance under the Plan by the Company’s stockholders subsequent to such Enrollment Date.</w:t>
      </w:r>
    </w:p>
    <w:p>
      <w:pPr>
        <w:spacing w:after="0" w:line="189" w:lineRule="exact"/>
        <w:rPr>
          <w:rFonts w:ascii="Times New Roman" w:cs="Times New Roman" w:eastAsia="Times New Roman" w:hAnsi="Times New Roman"/>
          <w:sz w:val="18"/>
          <w:szCs w:val="18"/>
          <w:color w:val="auto"/>
        </w:rPr>
      </w:pPr>
    </w:p>
    <w:p>
      <w:pPr>
        <w:ind w:left="-20" w:right="20" w:firstLine="436"/>
        <w:spacing w:after="0" w:line="254" w:lineRule="auto"/>
        <w:tabs>
          <w:tab w:leader="none" w:pos="735"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w:t>
      </w:r>
      <w:r>
        <w:rPr>
          <w:rFonts w:ascii="Times New Roman" w:cs="Times New Roman" w:eastAsia="Times New Roman" w:hAnsi="Times New Roman"/>
          <w:sz w:val="18"/>
          <w:szCs w:val="18"/>
          <w:color w:val="auto"/>
        </w:rPr>
        <w:t>. As soon as reasonably practicable after each Exercise Date on which a purchase of shares of Common Stock occurs, the Company will arrange the delivery to each Participant of the shares purchased upon exercise of his or her option in a form determined by the Administrator (in its sole discretion) and pursuant to rules established by the Administrator. The Company may permit or require that shares be deposited directly with a broker designated by the Company or with a trustee or designated agent of the Company, and the Company may utilize electronic or automated methods of share transfer. The Company may require that shares be retained with such broker, trustee or agent for a designated period of time and/or may establish other procedures to permit tracking of disqualifying dispositions or other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9.</w:t>
      </w:r>
    </w:p>
    <w:p>
      <w:pPr>
        <w:spacing w:after="0" w:line="299" w:lineRule="exact"/>
        <w:rPr>
          <w:rFonts w:ascii="Times New Roman" w:cs="Times New Roman" w:eastAsia="Times New Roman" w:hAnsi="Times New Roman"/>
          <w:sz w:val="18"/>
          <w:szCs w:val="18"/>
          <w:color w:val="auto"/>
        </w:rPr>
      </w:pPr>
    </w:p>
    <w:p>
      <w:pPr>
        <w:ind w:left="820" w:hanging="404"/>
        <w:spacing w:after="0"/>
        <w:tabs>
          <w:tab w:leader="none" w:pos="820"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Withdrawal</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 w:firstLine="987"/>
        <w:spacing w:after="0" w:line="254" w:lineRule="auto"/>
        <w:tabs>
          <w:tab w:leader="none" w:pos="1341"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Participant may withdraw all but not less than all the Contributions credited to his or her account and not yet used to exercise his or her option under the Plan at any time by (i) submitting to the Company’s stock administration office (or its designee) a written notice of withdrawal in the form determined by the Administrator for such purpose (which may be similar to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or (ii) following an electronic or other withdrawal procedure determined by the Administrator. The Administrator may set forth a deadline of when a withdrawal must occur to be effective prior to a given Exercise Date in accordance with policies it may approve from time to time. All of the Participant’s Contributions credited to his or her account will be paid to such Participant as soon as administratively practicable after receipt of notice of withdrawal and such Participant’s option for the Offering Period will be automatically terminated, and no further Contributions for the purchase of shares will be made for such Offering Period. If a Participant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60" w:top="269" w:right="479" w:bottom="1440" w:gutter="0" w:footer="0" w:header="0"/>
        </w:sectPr>
      </w:pPr>
    </w:p>
    <w:bookmarkStart w:id="500" w:name="page501"/>
    <w:bookmarkEnd w:id="500"/>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withdraws from an Offering Period, Contributions will not resume at the beginning of the succeeding Offering Period, unless the Participant re-enrolls in the Plan in accordance with the provisions of Section 5.</w:t>
      </w:r>
    </w:p>
    <w:p>
      <w:pPr>
        <w:spacing w:after="0" w:line="162" w:lineRule="exact"/>
        <w:rPr>
          <w:sz w:val="20"/>
          <w:szCs w:val="20"/>
          <w:color w:val="auto"/>
        </w:rPr>
      </w:pPr>
    </w:p>
    <w:p>
      <w:pPr>
        <w:ind w:right="120" w:firstLine="987"/>
        <w:spacing w:after="0" w:line="266" w:lineRule="auto"/>
        <w:tabs>
          <w:tab w:leader="none" w:pos="1371" w:val="left"/>
        </w:tabs>
        <w:numPr>
          <w:ilvl w:val="1"/>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spacing w:after="0" w:line="283" w:lineRule="exact"/>
        <w:rPr>
          <w:rFonts w:ascii="Times New Roman" w:cs="Times New Roman" w:eastAsia="Times New Roman" w:hAnsi="Times New Roman"/>
          <w:sz w:val="18"/>
          <w:szCs w:val="18"/>
          <w:color w:val="auto"/>
        </w:rPr>
      </w:pPr>
    </w:p>
    <w:p>
      <w:pPr>
        <w:ind w:right="60" w:firstLine="436"/>
        <w:spacing w:after="0" w:line="253" w:lineRule="auto"/>
        <w:tabs>
          <w:tab w:leader="none" w:pos="838"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Upon a Participant’s ceasing to be an Eligible Employee, for any reason, he or she will be deemed to have elected 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and such Participant’s option will be automatically terminated. Unless otherwise provided by the Administrator, a Participant whose employment transfers between entities through a termination with an immediate rehire (with no break in service) by the Company or a Designated Company will not be treated as terminated under the Plan. The Administrator may establish rules to govern transfers of employment among the Company and any Designated Company, consistent with any applicable requirements of Section 423 of the Code and the terms of the Plan. In addition, the Administrator may establish rules to govern transfers of employment among the Company and any Designated Company where such companies are participating in separate Offerings under the Plan. However, if a Participant transfers from an Offering under the 423 Component to the Non-423 Component, the exercise of the option will be qualified under the 423 Component only to the extent it complies with Section 423 of the Code, unless otherwise provided by the Administrator.</w:t>
      </w:r>
    </w:p>
    <w:p>
      <w:pPr>
        <w:spacing w:after="0" w:line="299" w:lineRule="exact"/>
        <w:rPr>
          <w:rFonts w:ascii="Times New Roman" w:cs="Times New Roman" w:eastAsia="Times New Roman" w:hAnsi="Times New Roman"/>
          <w:sz w:val="18"/>
          <w:szCs w:val="18"/>
          <w:color w:val="auto"/>
        </w:rPr>
      </w:pPr>
    </w:p>
    <w:p>
      <w:pPr>
        <w:ind w:right="260" w:firstLine="436"/>
        <w:spacing w:after="0" w:line="266" w:lineRule="auto"/>
        <w:tabs>
          <w:tab w:leader="none" w:pos="845"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No interest will accrue on the Contributions of a participant in the Plan, except as may be required by Applicable Law, as determined by the Company, and if so required by the laws of a particular jurisdiction, will apply to all Participants in the relevant Offering under the 423 Component, except to the extent otherwise permitted by U.S. Treasury Regulation Section 1.423-2(f).</w:t>
      </w:r>
    </w:p>
    <w:p>
      <w:pPr>
        <w:spacing w:after="0" w:line="283" w:lineRule="exact"/>
        <w:rPr>
          <w:rFonts w:ascii="Times New Roman" w:cs="Times New Roman" w:eastAsia="Times New Roman" w:hAnsi="Times New Roman"/>
          <w:sz w:val="18"/>
          <w:szCs w:val="18"/>
          <w:color w:val="auto"/>
        </w:rPr>
      </w:pPr>
    </w:p>
    <w:p>
      <w:pPr>
        <w:ind w:left="840" w:hanging="404"/>
        <w:spacing w:after="0"/>
        <w:tabs>
          <w:tab w:leader="none" w:pos="840"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100" w:firstLine="987"/>
        <w:spacing w:after="0" w:line="261" w:lineRule="auto"/>
        <w:tabs>
          <w:tab w:leader="none" w:pos="1371"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adjustment upon changes in capitalization of the Company as provided in Section 19 hereof, the maximum number of shares of Common Stock that will be made available for sale under the Plan will be 2,110,000 shares of Common Stock. The number of shares of Common Stock available for issuance under the Plan will be increased on the first day of each Fiscal Year beginning with the 2021 Fiscal Year equal to the least of (i) 4,220,000 shares of Common Stock,</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9" w:right="459" w:bottom="1440" w:gutter="0" w:footer="0" w:header="0"/>
        </w:sectPr>
      </w:pPr>
    </w:p>
    <w:bookmarkStart w:id="501" w:name="page502"/>
    <w:bookmarkEnd w:id="501"/>
    <w:p>
      <w:pPr>
        <w:jc w:val="both"/>
        <w:ind w:left="4" w:hanging="4"/>
        <w:spacing w:after="0" w:line="266" w:lineRule="auto"/>
        <w:tabs>
          <w:tab w:leader="none" w:pos="269"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one percent (1%) of the outstanding shares of Common Stock on the last day of the immediately preceding Fiscal Year, or (iii) an amount determined by the Administrator no later than the last day of the immediately preceding Fiscal Year. The shares of Common Stock may be authorized, but unissued, or reacquired Common Stock.</w:t>
      </w:r>
    </w:p>
    <w:p>
      <w:pPr>
        <w:spacing w:after="0" w:line="175" w:lineRule="exact"/>
        <w:rPr>
          <w:rFonts w:ascii="Times New Roman" w:cs="Times New Roman" w:eastAsia="Times New Roman" w:hAnsi="Times New Roman"/>
          <w:sz w:val="18"/>
          <w:szCs w:val="18"/>
          <w:color w:val="auto"/>
        </w:rPr>
      </w:pPr>
    </w:p>
    <w:p>
      <w:pPr>
        <w:ind w:left="4" w:right="260" w:firstLine="987"/>
        <w:spacing w:after="0" w:line="266" w:lineRule="auto"/>
        <w:tabs>
          <w:tab w:leader="none" w:pos="1385" w:val="left"/>
        </w:tabs>
        <w:numPr>
          <w:ilvl w:val="2"/>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shares of Common Stock are issued (as evidenced by the appropriate entry on the books of the Company or of a duly authorized transfer agent of the Company), a Participant will have only the rights of an unsecured creditor with respect to such shares, and no right to vote or receive dividends or any other rights as a stockholder will exist with respect to such shares.</w:t>
      </w:r>
    </w:p>
    <w:p>
      <w:pPr>
        <w:spacing w:after="0" w:line="175" w:lineRule="exact"/>
        <w:rPr>
          <w:rFonts w:ascii="Times New Roman" w:cs="Times New Roman" w:eastAsia="Times New Roman" w:hAnsi="Times New Roman"/>
          <w:sz w:val="18"/>
          <w:szCs w:val="18"/>
          <w:color w:val="auto"/>
        </w:rPr>
      </w:pPr>
    </w:p>
    <w:p>
      <w:pPr>
        <w:ind w:left="4" w:right="400" w:firstLine="987"/>
        <w:spacing w:after="0" w:line="282" w:lineRule="auto"/>
        <w:tabs>
          <w:tab w:leader="none" w:pos="1375" w:val="left"/>
        </w:tabs>
        <w:numPr>
          <w:ilvl w:val="2"/>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to be delivered to a Participant under the Plan will be registered in the name of the Participant or, if so required under Applicable Laws, in the name of the Participant and his or her spouse.</w:t>
      </w:r>
    </w:p>
    <w:p>
      <w:pPr>
        <w:spacing w:after="0" w:line="269" w:lineRule="exact"/>
        <w:rPr>
          <w:rFonts w:ascii="Times New Roman" w:cs="Times New Roman" w:eastAsia="Times New Roman" w:hAnsi="Times New Roman"/>
          <w:sz w:val="18"/>
          <w:szCs w:val="18"/>
          <w:color w:val="auto"/>
        </w:rPr>
      </w:pPr>
    </w:p>
    <w:p>
      <w:pPr>
        <w:ind w:left="4" w:firstLine="436"/>
        <w:spacing w:after="0" w:line="252" w:lineRule="auto"/>
        <w:tabs>
          <w:tab w:leader="none" w:pos="849" w:val="left"/>
        </w:tabs>
        <w:numPr>
          <w:ilvl w:val="1"/>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 The Plan will be administered by the Board or a Committee appointed by the Board, which Committee will be constituted to comply with Applicable Laws. The Administrator will have full and exclusive discretionary authority to construe, interpret and apply the terms of the Plan, to delegate ministerial duties to any of the Company’s employees, to designate separate Offerings under the Plan, to designate Subsidiaries and Affiliates as participating in the 423 Component or Non-423 Component, to determine eligibility, to adjudicate all disputed claims filed under the Plan and to establish such procedures that it deems necessary or advisable for the administration of the Plan (including, without limitation, to adopt such procedures, sub-plans, and appendices to the enrollment agreement as are necessary or appropriate to permit the participation in the Plan by employees who are foreign nationals or employed outside the U.S., the terms of which rules, procedures, sub-plans and appendices may take precedence over other provisions of this Plan, with the exception of Section 13(a) hereof, but unless otherwise superseded by the terms of such rules, procedures, sub-plan or appendix, the provisions of this Plan will govern the operation of such rules, procedure, sub-plan or appendix). Unless otherwise determined by the Administrator, the Eligible Employees eligible to participate in each sub-plan will participate in a separate Offering under the 423 Component, or if the terms would not qualify under the 423 Component, in the Non-423 Component, in either case unless such designation would cause the 423 Component to violate the requirements of Section 423 of the Code. 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 Section 1.423-2(f), the terms of an option granted under the Plan or an Offering to citizens or residents of a non-U.S.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spacing w:after="0" w:line="1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69" w:right="459" w:bottom="1440" w:gutter="0" w:footer="0" w:header="0"/>
        </w:sectPr>
      </w:pPr>
    </w:p>
    <w:bookmarkStart w:id="502" w:name="page503"/>
    <w:bookmarkEnd w:id="502"/>
    <w:p>
      <w:pPr>
        <w:ind w:left="-20" w:right="60" w:firstLine="436"/>
        <w:spacing w:after="0" w:line="261" w:lineRule="auto"/>
        <w:tabs>
          <w:tab w:leader="none" w:pos="863"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Transferability</w:t>
      </w:r>
      <w:r>
        <w:rPr>
          <w:rFonts w:ascii="Times New Roman" w:cs="Times New Roman" w:eastAsia="Times New Roman" w:hAnsi="Times New Roman"/>
          <w:sz w:val="18"/>
          <w:szCs w:val="18"/>
          <w:color w:val="auto"/>
        </w:rPr>
        <w:t>. Neither Contributions credited to a Participant’s account nor any rights with regard to the exercise of an option or to receive shares of Common Stock under the Plan may be assigned, transferred, pledged or otherwise disposed of in any way (other than by will or the laws of descent and distribution) by the Participant. Any such attempt at assignment, transfer, pledge or other disposition will be without effect, except that the Company may treat such act as an election to withdraw funds from an Offering Period in accordance with Section 10 hereof.</w:t>
      </w:r>
    </w:p>
    <w:p>
      <w:pPr>
        <w:spacing w:after="0" w:line="287" w:lineRule="exact"/>
        <w:rPr>
          <w:rFonts w:ascii="Times New Roman" w:cs="Times New Roman" w:eastAsia="Times New Roman" w:hAnsi="Times New Roman"/>
          <w:sz w:val="18"/>
          <w:szCs w:val="18"/>
          <w:color w:val="auto"/>
        </w:rPr>
      </w:pPr>
    </w:p>
    <w:p>
      <w:pPr>
        <w:ind w:left="-20" w:firstLine="436"/>
        <w:spacing w:after="0" w:line="256" w:lineRule="auto"/>
        <w:tabs>
          <w:tab w:leader="none" w:pos="825"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 of Funds</w:t>
      </w:r>
      <w:r>
        <w:rPr>
          <w:rFonts w:ascii="Times New Roman" w:cs="Times New Roman" w:eastAsia="Times New Roman" w:hAnsi="Times New Roman"/>
          <w:sz w:val="18"/>
          <w:szCs w:val="18"/>
          <w:color w:val="auto"/>
        </w:rPr>
        <w:t>. The Company may use all Contributions received or held by it under the Plan for any corporate purpose, and the Company will not be obligated to segregate such Contributions except under Offerings or for Participants in the Non-423 Component for which Applicable Laws require that Contributions to the Plan by Participants be segregated from the Company’s general corporate funds and/or deposited with an independent third party, provided that, if such segregation or deposit with an independent third party is required by Applicable Laws, it will apply to all Participants in the relevant Offering under the 423 Component, except to the extent otherwise permitted by U.S. Treasury Regulation Section 1.423-2(f). Until shares of Common Stock are issued, Participants will only have the rights of an unsecured creditor with respect to such shares.</w:t>
      </w:r>
    </w:p>
    <w:p>
      <w:pPr>
        <w:spacing w:after="0" w:line="295" w:lineRule="exact"/>
        <w:rPr>
          <w:rFonts w:ascii="Times New Roman" w:cs="Times New Roman" w:eastAsia="Times New Roman" w:hAnsi="Times New Roman"/>
          <w:sz w:val="18"/>
          <w:szCs w:val="18"/>
          <w:color w:val="auto"/>
        </w:rPr>
      </w:pPr>
    </w:p>
    <w:p>
      <w:pPr>
        <w:ind w:left="-20" w:right="20" w:firstLine="436"/>
        <w:spacing w:after="0" w:line="266" w:lineRule="auto"/>
        <w:tabs>
          <w:tab w:leader="none" w:pos="825"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 Individual accounts will be maintained for each Participant in the Plan. Statements of account will be given to participating Eligible Employees at least annually, which statements will set forth the amounts of Contributions, the Purchase Price, the number of shares of Common Stock purchased and the remaining cash balance, if any.</w:t>
      </w:r>
    </w:p>
    <w:p>
      <w:pPr>
        <w:spacing w:after="0" w:line="283" w:lineRule="exact"/>
        <w:rPr>
          <w:rFonts w:ascii="Times New Roman" w:cs="Times New Roman" w:eastAsia="Times New Roman" w:hAnsi="Times New Roman"/>
          <w:sz w:val="18"/>
          <w:szCs w:val="18"/>
          <w:color w:val="auto"/>
        </w:rPr>
      </w:pPr>
    </w:p>
    <w:p>
      <w:pPr>
        <w:ind w:left="820" w:hanging="404"/>
        <w:spacing w:after="0"/>
        <w:tabs>
          <w:tab w:leader="none" w:pos="820"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Dissolution, Liquidation, Merger or Change in Control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100" w:firstLine="987"/>
        <w:spacing w:after="0" w:line="255" w:lineRule="auto"/>
        <w:tabs>
          <w:tab w:leader="none" w:pos="1351"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that any dividend or other distribution (whether in the form of cash, Common Stock, other securities, or other property), recapitalization, stock split, reverse stock split, reorganization, merger, consolidation, split-up, spin-off, combination, reclassification, repurchase, or exchange of Common Stock or other securities of the Company, or other change in the corporate structure of the Company affecting the Common Stock occurs (other than any ordinary dividends or other ordinary distributions), the Administrator, in order to prevent diminution or enlargement of the benefits or potential benefits intended to be made available under the Plan, will, in such manner as it may deem equitable, adjust the number and class of Common Stock that may be delivered under the Plan, the Purchase Price per share, the class and the number of shares of Common Stock covered by each option under the Plan that has not yet been exercised, and the numerical limits of Sections 7 and 13.</w:t>
      </w:r>
    </w:p>
    <w:p>
      <w:pPr>
        <w:spacing w:after="0" w:line="188" w:lineRule="exact"/>
        <w:rPr>
          <w:rFonts w:ascii="Times New Roman" w:cs="Times New Roman" w:eastAsia="Times New Roman" w:hAnsi="Times New Roman"/>
          <w:sz w:val="18"/>
          <w:szCs w:val="18"/>
          <w:color w:val="auto"/>
        </w:rPr>
      </w:pPr>
    </w:p>
    <w:p>
      <w:pPr>
        <w:ind w:left="-20" w:right="200" w:firstLine="987"/>
        <w:spacing w:after="0" w:line="281" w:lineRule="auto"/>
        <w:tabs>
          <w:tab w:leader="none" w:pos="1361" w:val="left"/>
        </w:tabs>
        <w:numPr>
          <w:ilvl w:val="1"/>
          <w:numId w:val="3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Dissolution or Liquidation</w:t>
      </w:r>
      <w:r>
        <w:rPr>
          <w:rFonts w:ascii="Times New Roman" w:cs="Times New Roman" w:eastAsia="Times New Roman" w:hAnsi="Times New Roman"/>
          <w:sz w:val="17"/>
          <w:szCs w:val="17"/>
          <w:color w:val="auto"/>
        </w:rPr>
        <w:t>.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-4246880</wp:posOffset>
            </wp:positionV>
            <wp:extent cx="2413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24130" cy="8255"/>
                    </a:xfrm>
                    <a:prstGeom prst="rect">
                      <a:avLst/>
                    </a:prstGeom>
                    <a:noFill/>
                  </pic:spPr>
                </pic:pic>
              </a:graphicData>
            </a:graphic>
          </wp:anchor>
        </w:drawing>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60" w:top="269" w:right="459" w:bottom="1440" w:gutter="0" w:footer="0" w:header="0"/>
        </w:sectPr>
      </w:pPr>
    </w:p>
    <w:bookmarkStart w:id="503" w:name="page504"/>
    <w:bookmarkEnd w:id="503"/>
    <w:p>
      <w:pPr>
        <w:ind w:right="2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162" w:lineRule="exact"/>
        <w:rPr>
          <w:sz w:val="20"/>
          <w:szCs w:val="20"/>
          <w:color w:val="auto"/>
        </w:rPr>
      </w:pPr>
    </w:p>
    <w:p>
      <w:pPr>
        <w:ind w:right="60" w:firstLine="987"/>
        <w:spacing w:after="0" w:line="255" w:lineRule="auto"/>
        <w:tabs>
          <w:tab w:leader="none" w:pos="1371"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or Change in Control</w:t>
      </w:r>
      <w:r>
        <w:rPr>
          <w:rFonts w:ascii="Times New Roman" w:cs="Times New Roman" w:eastAsia="Times New Roman" w:hAnsi="Times New Roman"/>
          <w:sz w:val="18"/>
          <w:szCs w:val="18"/>
          <w:color w:val="auto"/>
        </w:rPr>
        <w:t>. In the event of a merger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shall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10 hereof.</w:t>
      </w:r>
    </w:p>
    <w:p>
      <w:pPr>
        <w:spacing w:after="0" w:line="296" w:lineRule="exact"/>
        <w:rPr>
          <w:rFonts w:ascii="Times New Roman" w:cs="Times New Roman" w:eastAsia="Times New Roman" w:hAnsi="Times New Roman"/>
          <w:sz w:val="18"/>
          <w:szCs w:val="18"/>
          <w:color w:val="auto"/>
        </w:rPr>
      </w:pPr>
    </w:p>
    <w:p>
      <w:pPr>
        <w:ind w:left="840" w:hanging="404"/>
        <w:spacing w:after="0"/>
        <w:tabs>
          <w:tab w:leader="none" w:pos="840"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or Termination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20" w:firstLine="987"/>
        <w:spacing w:after="0" w:line="255" w:lineRule="auto"/>
        <w:tabs>
          <w:tab w:leader="none" w:pos="1368"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Administrator, in its sole discretion, may amend,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18).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12 hereof) as soon as administratively practicable.</w:t>
      </w:r>
    </w:p>
    <w:p>
      <w:pPr>
        <w:spacing w:after="0" w:line="188" w:lineRule="exact"/>
        <w:rPr>
          <w:rFonts w:ascii="Times New Roman" w:cs="Times New Roman" w:eastAsia="Times New Roman" w:hAnsi="Times New Roman"/>
          <w:sz w:val="18"/>
          <w:szCs w:val="18"/>
          <w:color w:val="auto"/>
        </w:rPr>
      </w:pPr>
    </w:p>
    <w:p>
      <w:pPr>
        <w:ind w:firstLine="987"/>
        <w:spacing w:after="0" w:line="255" w:lineRule="auto"/>
        <w:tabs>
          <w:tab w:leader="none" w:pos="1378"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stockholder consent and without limiting Section 19(a), the Administrator will be entitled to change the Offering Periods or Purchase Periods, designate separate Offerings, limit the frequency and/or number of changes in the amount withheld during an Offering Period, establish the exchange rate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188" w:lineRule="exact"/>
        <w:rPr>
          <w:rFonts w:ascii="Times New Roman" w:cs="Times New Roman" w:eastAsia="Times New Roman" w:hAnsi="Times New Roman"/>
          <w:sz w:val="18"/>
          <w:szCs w:val="18"/>
          <w:color w:val="auto"/>
        </w:rPr>
      </w:pPr>
    </w:p>
    <w:p>
      <w:pPr>
        <w:ind w:right="440" w:firstLine="987"/>
        <w:spacing w:after="0" w:line="266" w:lineRule="auto"/>
        <w:tabs>
          <w:tab w:leader="none" w:pos="1371"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69" w:right="479" w:bottom="1440" w:gutter="0" w:footer="0" w:header="0"/>
        </w:sectPr>
      </w:pPr>
    </w:p>
    <w:bookmarkStart w:id="504" w:name="page505"/>
    <w:bookmarkEnd w:id="504"/>
    <w:p>
      <w:pPr>
        <w:ind w:right="380" w:firstLine="1428"/>
        <w:spacing w:after="0" w:line="282" w:lineRule="auto"/>
        <w:tabs>
          <w:tab w:leader="none" w:pos="1782"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161" w:lineRule="exact"/>
        <w:rPr>
          <w:rFonts w:ascii="Times New Roman" w:cs="Times New Roman" w:eastAsia="Times New Roman" w:hAnsi="Times New Roman"/>
          <w:sz w:val="18"/>
          <w:szCs w:val="18"/>
          <w:color w:val="auto"/>
        </w:rPr>
      </w:pPr>
    </w:p>
    <w:p>
      <w:pPr>
        <w:ind w:right="580" w:firstLine="1428"/>
        <w:spacing w:after="0" w:line="282" w:lineRule="auto"/>
        <w:tabs>
          <w:tab w:leader="none" w:pos="1832"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altering the Purchase Price for any Offering Period or Purchase Period including an Offering Period or Purchase Period underway at the time of the change in Purchase Price;</w:t>
      </w:r>
    </w:p>
    <w:p>
      <w:pPr>
        <w:spacing w:after="0" w:line="161" w:lineRule="exact"/>
        <w:rPr>
          <w:rFonts w:ascii="Times New Roman" w:cs="Times New Roman" w:eastAsia="Times New Roman" w:hAnsi="Times New Roman"/>
          <w:sz w:val="18"/>
          <w:szCs w:val="18"/>
          <w:color w:val="auto"/>
        </w:rPr>
      </w:pPr>
    </w:p>
    <w:p>
      <w:pPr>
        <w:ind w:right="120" w:firstLine="1428"/>
        <w:spacing w:after="0" w:line="282" w:lineRule="auto"/>
        <w:tabs>
          <w:tab w:leader="none" w:pos="1882"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shortening any Offering Period or Purchase Period by setting a New Exercise Date, including an Offering Period or Purchase Period underway at the time of the Administrator action;</w:t>
      </w:r>
    </w:p>
    <w:p>
      <w:pPr>
        <w:spacing w:after="0" w:line="161" w:lineRule="exact"/>
        <w:rPr>
          <w:rFonts w:ascii="Times New Roman" w:cs="Times New Roman" w:eastAsia="Times New Roman" w:hAnsi="Times New Roman"/>
          <w:sz w:val="18"/>
          <w:szCs w:val="18"/>
          <w:color w:val="auto"/>
        </w:rPr>
      </w:pPr>
    </w:p>
    <w:p>
      <w:pPr>
        <w:ind w:left="1860" w:hanging="432"/>
        <w:spacing w:after="0"/>
        <w:tabs>
          <w:tab w:leader="none" w:pos="1860"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maximum percentage of Compensation a Participant may elect to set aside as Contributions; and</w:t>
      </w:r>
    </w:p>
    <w:p>
      <w:pPr>
        <w:spacing w:after="0" w:line="225" w:lineRule="exact"/>
        <w:rPr>
          <w:rFonts w:ascii="Times New Roman" w:cs="Times New Roman" w:eastAsia="Times New Roman" w:hAnsi="Times New Roman"/>
          <w:sz w:val="18"/>
          <w:szCs w:val="18"/>
          <w:color w:val="auto"/>
        </w:rPr>
      </w:pPr>
    </w:p>
    <w:p>
      <w:pPr>
        <w:ind w:left="1820" w:hanging="392"/>
        <w:spacing w:after="0"/>
        <w:tabs>
          <w:tab w:leader="none" w:pos="1820" w:val="left"/>
        </w:tabs>
        <w:numPr>
          <w:ilvl w:val="0"/>
          <w:numId w:val="3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reducing the maximum number of shares of Common Stock a Participant may purchase during any Offering Period or Purchase</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Period.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modifications or amendments will not require stockholder approval or the consent of any Participants.</w:t>
      </w:r>
    </w:p>
    <w:p>
      <w:pPr>
        <w:spacing w:after="0" w:line="225" w:lineRule="exact"/>
        <w:rPr>
          <w:sz w:val="20"/>
          <w:szCs w:val="20"/>
          <w:color w:val="auto"/>
        </w:rPr>
      </w:pPr>
    </w:p>
    <w:p>
      <w:pPr>
        <w:jc w:val="both"/>
        <w:ind w:right="140" w:firstLine="436"/>
        <w:spacing w:after="0" w:line="266" w:lineRule="auto"/>
        <w:tabs>
          <w:tab w:leader="none" w:pos="845"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or other communications by a Participant to the Company under or in connection with the Plan will be deemed to have been duly given when received in the form and manner specified by the Company at the location, or by the person, designated by the Company for the receipt thereof.</w:t>
      </w:r>
    </w:p>
    <w:p>
      <w:pPr>
        <w:spacing w:after="0" w:line="175" w:lineRule="exact"/>
        <w:rPr>
          <w:rFonts w:ascii="Times New Roman" w:cs="Times New Roman" w:eastAsia="Times New Roman" w:hAnsi="Times New Roman"/>
          <w:sz w:val="18"/>
          <w:szCs w:val="18"/>
          <w:color w:val="auto"/>
        </w:rPr>
      </w:pPr>
    </w:p>
    <w:p>
      <w:pPr>
        <w:ind w:firstLine="436"/>
        <w:spacing w:after="0" w:line="258" w:lineRule="auto"/>
        <w:tabs>
          <w:tab w:leader="none" w:pos="845"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Upon Issuance of Shares</w:t>
      </w:r>
      <w:r>
        <w:rPr>
          <w:rFonts w:ascii="Times New Roman" w:cs="Times New Roman" w:eastAsia="Times New Roman" w:hAnsi="Times New Roman"/>
          <w:sz w:val="18"/>
          <w:szCs w:val="18"/>
          <w:color w:val="auto"/>
        </w:rPr>
        <w:t>. Shares of Common Stock will not be issued with respect to an option unless the exercise of such option and the issuance and delivery of such shares pursuant thereto will comply with all applicable provisions of law, domestic or foreign, including, without limitation, the U.S. Securities Act of 1933, as amended, the Exchange Act, the rules and regulations promulgated thereunder, and the requirements of any stock exchange upon which the shares may then be listed, and will be further subject to the approval of counsel for the Company with respect to such compliance.</w:t>
      </w:r>
    </w:p>
    <w:p>
      <w:pPr>
        <w:spacing w:after="0" w:line="183"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 by any of the aforementioned applicable provisions of law.</w:t>
      </w:r>
    </w:p>
    <w:p>
      <w:pPr>
        <w:spacing w:after="0" w:line="176" w:lineRule="exact"/>
        <w:rPr>
          <w:sz w:val="20"/>
          <w:szCs w:val="20"/>
          <w:color w:val="auto"/>
        </w:rPr>
      </w:pPr>
    </w:p>
    <w:p>
      <w:pPr>
        <w:ind w:firstLine="436"/>
        <w:spacing w:after="0" w:line="261" w:lineRule="auto"/>
        <w:tabs>
          <w:tab w:leader="none" w:pos="890"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xml:space="preserve"> The 423 Component of the Plan is intended to be exempt from the application of Section 409A, and, to the extent not exempt, is intended to comply with Section 409A and any ambiguities herein will be interpreted to so be exempt from, or comply with, Section 409A. In furtherance of the foregoing and notwithstanding any provision in the Plan to the contrary, if the Administrator determines that an option granted under the Plan may be subject to Section 409A or that any provision in the Plan would cause an option under the Plan to be subject to Section 409A,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9" w:right="459" w:bottom="1440" w:gutter="0" w:footer="0" w:header="0"/>
        </w:sectPr>
      </w:pPr>
    </w:p>
    <w:bookmarkStart w:id="505" w:name="page506"/>
    <w:bookmarkEnd w:id="505"/>
    <w:p>
      <w:pPr>
        <w:ind w:right="2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Section 409A, but only to the extent any such amendments or action by the Administrator would not violate Section 409A. Notwithstanding the foregoing, the Company and any of its Parent or Subsidiaries shall have no obligation to reimburse, indemnify, or hold harmless a Participant or any other party if the option to purchase Common Stock under the Plan that is intended to be exempt from or compliant with Section 409A is not so exempt or compliant or for any action taken by the Administrator with respect thereto. The Company makes no representation that the option to purchase Common Stock under the Plan is compliant with Section 409A.</w:t>
      </w:r>
    </w:p>
    <w:p>
      <w:pPr>
        <w:spacing w:after="0" w:line="189" w:lineRule="exact"/>
        <w:rPr>
          <w:sz w:val="20"/>
          <w:szCs w:val="20"/>
          <w:color w:val="auto"/>
        </w:rPr>
      </w:pPr>
    </w:p>
    <w:p>
      <w:pPr>
        <w:ind w:right="280" w:firstLine="436"/>
        <w:spacing w:after="0" w:line="282" w:lineRule="auto"/>
        <w:tabs>
          <w:tab w:leader="none" w:pos="845"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Plan</w:t>
      </w:r>
      <w:r>
        <w:rPr>
          <w:rFonts w:ascii="Times New Roman" w:cs="Times New Roman" w:eastAsia="Times New Roman" w:hAnsi="Times New Roman"/>
          <w:sz w:val="18"/>
          <w:szCs w:val="18"/>
          <w:color w:val="auto"/>
        </w:rPr>
        <w:t>. The Plan will become effective upon the later to occur of (a) its adoption by the Board or (b) the business day immediately prior to the Registration Date. It will continue in effect for a term of twenty (20) years, unless sooner terminated under Section 19.</w:t>
      </w:r>
    </w:p>
    <w:p>
      <w:pPr>
        <w:spacing w:after="0" w:line="161" w:lineRule="exact"/>
        <w:rPr>
          <w:rFonts w:ascii="Times New Roman" w:cs="Times New Roman" w:eastAsia="Times New Roman" w:hAnsi="Times New Roman"/>
          <w:sz w:val="18"/>
          <w:szCs w:val="18"/>
          <w:color w:val="auto"/>
        </w:rPr>
      </w:pPr>
    </w:p>
    <w:p>
      <w:pPr>
        <w:ind w:firstLine="436"/>
        <w:spacing w:after="0" w:line="282" w:lineRule="auto"/>
        <w:tabs>
          <w:tab w:leader="none" w:pos="845"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Plan will be subject to approval by the stockholders of the Company within twelve (12) months after the date the Plan is adopted by the Board. Such stockholder approval will be obtained in the manner and to the degree required under Applicable Laws.</w:t>
      </w:r>
    </w:p>
    <w:p>
      <w:pPr>
        <w:spacing w:after="0" w:line="161" w:lineRule="exact"/>
        <w:rPr>
          <w:rFonts w:ascii="Times New Roman" w:cs="Times New Roman" w:eastAsia="Times New Roman" w:hAnsi="Times New Roman"/>
          <w:sz w:val="18"/>
          <w:szCs w:val="18"/>
          <w:color w:val="auto"/>
        </w:rPr>
      </w:pPr>
    </w:p>
    <w:p>
      <w:pPr>
        <w:ind w:left="840" w:hanging="404"/>
        <w:spacing w:after="0"/>
        <w:tabs>
          <w:tab w:leader="none" w:pos="840"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will be governed by, and construed in accordance with, the laws of the State of New Jersey (except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choice-of-law provisions).</w:t>
      </w:r>
    </w:p>
    <w:p>
      <w:pPr>
        <w:spacing w:after="0" w:line="207" w:lineRule="exact"/>
        <w:rPr>
          <w:sz w:val="20"/>
          <w:szCs w:val="20"/>
          <w:color w:val="auto"/>
        </w:rPr>
      </w:pPr>
    </w:p>
    <w:p>
      <w:pPr>
        <w:ind w:right="20" w:firstLine="436"/>
        <w:spacing w:after="0" w:line="266" w:lineRule="auto"/>
        <w:tabs>
          <w:tab w:leader="none" w:pos="845"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Right to Employment</w:t>
      </w:r>
      <w:r>
        <w:rPr>
          <w:rFonts w:ascii="Times New Roman" w:cs="Times New Roman" w:eastAsia="Times New Roman" w:hAnsi="Times New Roman"/>
          <w:sz w:val="18"/>
          <w:szCs w:val="18"/>
          <w:color w:val="auto"/>
        </w:rPr>
        <w:t>. Participation in the Plan by a Participant will not be construed as giving a Participant the right to be retained as an employee of the Company or a Subsidiary or Affiliate, as applicable. Furthermore, the Company or a Subsidiary or Affiliate may dismiss a Participant from employment at any time, free from any liability or any claim under the Plan.</w:t>
      </w:r>
    </w:p>
    <w:p>
      <w:pPr>
        <w:spacing w:after="0" w:line="175" w:lineRule="exact"/>
        <w:rPr>
          <w:rFonts w:ascii="Times New Roman" w:cs="Times New Roman" w:eastAsia="Times New Roman" w:hAnsi="Times New Roman"/>
          <w:sz w:val="18"/>
          <w:szCs w:val="18"/>
          <w:color w:val="auto"/>
        </w:rPr>
      </w:pPr>
    </w:p>
    <w:p>
      <w:pPr>
        <w:ind w:firstLine="436"/>
        <w:spacing w:after="0" w:line="266" w:lineRule="auto"/>
        <w:tabs>
          <w:tab w:leader="none" w:pos="845"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to such jurisdiction or Participant as if the invalid, illegal or unenforceable provision had not been included.</w:t>
      </w:r>
    </w:p>
    <w:p>
      <w:pPr>
        <w:spacing w:after="0" w:line="175" w:lineRule="exact"/>
        <w:rPr>
          <w:rFonts w:ascii="Times New Roman" w:cs="Times New Roman" w:eastAsia="Times New Roman" w:hAnsi="Times New Roman"/>
          <w:sz w:val="18"/>
          <w:szCs w:val="18"/>
          <w:color w:val="auto"/>
        </w:rPr>
      </w:pPr>
    </w:p>
    <w:p>
      <w:pPr>
        <w:ind w:right="800" w:firstLine="436"/>
        <w:spacing w:after="0" w:line="282" w:lineRule="auto"/>
        <w:tabs>
          <w:tab w:leader="none" w:pos="845"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Applicable Laws</w:t>
      </w:r>
      <w:r>
        <w:rPr>
          <w:rFonts w:ascii="Times New Roman" w:cs="Times New Roman" w:eastAsia="Times New Roman" w:hAnsi="Times New Roman"/>
          <w:sz w:val="18"/>
          <w:szCs w:val="18"/>
          <w:color w:val="auto"/>
        </w:rPr>
        <w:t>. The terms of this Plan are intended to comply with all Applicable Laws and will be construed accordingly.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69" w:right="479" w:bottom="1440" w:gutter="0" w:footer="0" w:header="0"/>
        </w:sectPr>
      </w:pPr>
    </w:p>
    <w:bookmarkStart w:id="506" w:name="page507"/>
    <w:bookmarkEnd w:id="506"/>
    <w:tbl>
      <w:tblPr>
        <w:tblLayout w:type="fixed"/>
        <w:tblInd w:w="0" w:type="dxa"/>
        <w:tblCellMar>
          <w:top w:w="0" w:type="dxa"/>
          <w:left w:w="0" w:type="dxa"/>
          <w:bottom w:w="0" w:type="dxa"/>
          <w:right w:w="0" w:type="dxa"/>
        </w:tblCellMar>
      </w:tblPr>
      <w:tr>
        <w:trPr>
          <w:trHeight w:val="207"/>
        </w:trPr>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5200" w:type="dxa"/>
            <w:vAlign w:val="bottom"/>
            <w:gridSpan w:val="6"/>
          </w:tcPr>
          <w:p>
            <w:pPr>
              <w:jc w:val="center"/>
              <w:ind w:right="4280"/>
              <w:spacing w:after="0"/>
              <w:rPr>
                <w:sz w:val="20"/>
                <w:szCs w:val="20"/>
                <w:color w:val="auto"/>
              </w:rPr>
            </w:pPr>
            <w:r>
              <w:rPr>
                <w:rFonts w:ascii="Times New Roman" w:cs="Times New Roman" w:eastAsia="Times New Roman" w:hAnsi="Times New Roman"/>
                <w:sz w:val="18"/>
                <w:szCs w:val="18"/>
                <w:b w:val="1"/>
                <w:bCs w:val="1"/>
                <w:color w:val="auto"/>
                <w:w w:val="97"/>
              </w:rPr>
              <w:t>EXHIBIT A</w:t>
            </w: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453"/>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80" w:type="dxa"/>
            <w:vAlign w:val="bottom"/>
            <w:gridSpan w:val="7"/>
          </w:tcPr>
          <w:p>
            <w:pPr>
              <w:jc w:val="center"/>
              <w:ind w:right="2580"/>
              <w:spacing w:after="0"/>
              <w:rPr>
                <w:sz w:val="20"/>
                <w:szCs w:val="20"/>
                <w:color w:val="auto"/>
              </w:rPr>
            </w:pPr>
            <w:r>
              <w:rPr>
                <w:rFonts w:ascii="Times New Roman" w:cs="Times New Roman" w:eastAsia="Times New Roman" w:hAnsi="Times New Roman"/>
                <w:sz w:val="18"/>
                <w:szCs w:val="18"/>
                <w:b w:val="1"/>
                <w:bCs w:val="1"/>
                <w:color w:val="auto"/>
                <w:w w:val="99"/>
              </w:rPr>
              <w:t>PMV PHARMACEUTICALS, INC.</w:t>
            </w:r>
          </w:p>
        </w:tc>
      </w:tr>
      <w:tr>
        <w:trPr>
          <w:trHeight w:val="43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80" w:type="dxa"/>
            <w:vAlign w:val="bottom"/>
            <w:gridSpan w:val="7"/>
          </w:tcPr>
          <w:p>
            <w:pPr>
              <w:jc w:val="center"/>
              <w:ind w:right="2600"/>
              <w:spacing w:after="0"/>
              <w:rPr>
                <w:sz w:val="20"/>
                <w:szCs w:val="20"/>
                <w:color w:val="auto"/>
              </w:rPr>
            </w:pPr>
            <w:r>
              <w:rPr>
                <w:rFonts w:ascii="Times New Roman" w:cs="Times New Roman" w:eastAsia="Times New Roman" w:hAnsi="Times New Roman"/>
                <w:sz w:val="18"/>
                <w:szCs w:val="18"/>
                <w:b w:val="1"/>
                <w:bCs w:val="1"/>
                <w:color w:val="auto"/>
                <w:w w:val="99"/>
              </w:rPr>
              <w:t>2020 EMPLOYEE STOCK PURCHASE PLAN</w:t>
            </w:r>
          </w:p>
        </w:tc>
      </w:tr>
      <w:tr>
        <w:trPr>
          <w:trHeight w:val="432"/>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80" w:type="dxa"/>
            <w:vAlign w:val="bottom"/>
            <w:gridSpan w:val="7"/>
          </w:tcPr>
          <w:p>
            <w:pPr>
              <w:jc w:val="center"/>
              <w:ind w:right="2580"/>
              <w:spacing w:after="0"/>
              <w:rPr>
                <w:sz w:val="20"/>
                <w:szCs w:val="20"/>
                <w:color w:val="auto"/>
              </w:rPr>
            </w:pPr>
            <w:r>
              <w:rPr>
                <w:rFonts w:ascii="Times New Roman" w:cs="Times New Roman" w:eastAsia="Times New Roman" w:hAnsi="Times New Roman"/>
                <w:sz w:val="18"/>
                <w:szCs w:val="18"/>
                <w:b w:val="1"/>
                <w:bCs w:val="1"/>
                <w:color w:val="auto"/>
              </w:rPr>
              <w:t>SUBSCRIPTION AGREEMENT</w:t>
            </w:r>
          </w:p>
        </w:tc>
      </w:tr>
      <w:tr>
        <w:trPr>
          <w:trHeight w:val="418"/>
        </w:trPr>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Original Application</w:t>
            </w:r>
          </w:p>
        </w:tc>
        <w:tc>
          <w:tcPr>
            <w:tcW w:w="1680" w:type="dxa"/>
            <w:vAlign w:val="bottom"/>
          </w:tcPr>
          <w:p>
            <w:pPr>
              <w:spacing w:after="0"/>
              <w:rPr>
                <w:sz w:val="24"/>
                <w:szCs w:val="24"/>
                <w:color w:val="auto"/>
              </w:rPr>
            </w:pPr>
          </w:p>
        </w:tc>
        <w:tc>
          <w:tcPr>
            <w:tcW w:w="5200" w:type="dxa"/>
            <w:vAlign w:val="bottom"/>
            <w:gridSpan w:val="6"/>
          </w:tcPr>
          <w:p>
            <w:pPr>
              <w:ind w:left="700"/>
              <w:spacing w:after="0"/>
              <w:rPr>
                <w:sz w:val="20"/>
                <w:szCs w:val="20"/>
                <w:color w:val="auto"/>
              </w:rPr>
            </w:pPr>
            <w:r>
              <w:rPr>
                <w:rFonts w:ascii="Times New Roman" w:cs="Times New Roman" w:eastAsia="Times New Roman" w:hAnsi="Times New Roman"/>
                <w:sz w:val="18"/>
                <w:szCs w:val="18"/>
                <w:color w:val="auto"/>
              </w:rPr>
              <w:t>Offering Date:</w:t>
            </w:r>
          </w:p>
        </w:tc>
      </w:tr>
      <w:tr>
        <w:trPr>
          <w:trHeight w:val="412"/>
        </w:trPr>
        <w:tc>
          <w:tcPr>
            <w:tcW w:w="540" w:type="dxa"/>
            <w:vAlign w:val="bottom"/>
            <w:tcBorders>
              <w:top w:val="single" w:sz="8" w:color="auto"/>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7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 in Payroll Deduction Rate</w:t>
            </w:r>
          </w:p>
        </w:tc>
        <w:tc>
          <w:tcPr>
            <w:tcW w:w="1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412"/>
        </w:trPr>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360" w:type="dxa"/>
            <w:vAlign w:val="bottom"/>
            <w:gridSpan w:val="8"/>
          </w:tcPr>
          <w:p>
            <w:pPr>
              <w:ind w:left="40"/>
              <w:spacing w:after="0"/>
              <w:rPr>
                <w:sz w:val="20"/>
                <w:szCs w:val="20"/>
                <w:color w:val="auto"/>
              </w:rPr>
            </w:pPr>
            <w:r>
              <w:rPr>
                <w:rFonts w:ascii="Times New Roman" w:cs="Times New Roman" w:eastAsia="Times New Roman" w:hAnsi="Times New Roman"/>
                <w:sz w:val="18"/>
                <w:szCs w:val="18"/>
                <w:color w:val="auto"/>
                <w:w w:val="99"/>
              </w:rPr>
              <w:t>hereby elects to participate in the PMV Pharmaceuticals, Inc. 2020 Employee Stock Purchase Plan (the “Plan”) and</w:t>
            </w:r>
          </w:p>
        </w:tc>
      </w:tr>
      <w:tr>
        <w:trPr>
          <w:trHeight w:val="20"/>
        </w:trPr>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both"/>
        <w:ind w:right="40"/>
        <w:spacing w:after="0" w:line="312" w:lineRule="auto"/>
        <w:rPr>
          <w:sz w:val="20"/>
          <w:szCs w:val="20"/>
          <w:color w:val="auto"/>
        </w:rPr>
      </w:pPr>
      <w:r>
        <w:rPr>
          <w:rFonts w:ascii="Times New Roman" w:cs="Times New Roman" w:eastAsia="Times New Roman" w:hAnsi="Times New Roman"/>
          <w:sz w:val="17"/>
          <w:szCs w:val="17"/>
          <w:color w:val="auto"/>
        </w:rPr>
        <w:t>subscribes to purchase shares of the Company’s Common Stock in accordance with this Subscription Agreement and the Plan. Unless otherwise defined herein, the terms defined in the 2020 Employee Stock Purchase Plan (the “Plan”) shall have the same defined meanings in this Subscription Agreement.</w:t>
      </w:r>
    </w:p>
    <w:p>
      <w:pPr>
        <w:spacing w:after="0" w:line="140"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2. I hereby authorize and consent to payroll deductions from each paycheck in the amount of % (from 0 to fifteen percent (15%)) of my Compensation on each payday during the Offering Period in accordance with the Plan. (Please note that no fractional percentages are permitted.) I understand that only my first, one election to decrease the rate of my payroll deductions may be applied with respect to an ongoing Offering Period in accordance with the terms of the Plan, and any subsequent election to decrease the rate of my payroll deductions during the same Offering Period, and any election to increase the rate of my payroll deductions during any Offering Period, will not be applied to the ongoing Offering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4629785</wp:posOffset>
            </wp:positionH>
            <wp:positionV relativeFrom="paragraph">
              <wp:posOffset>-582930</wp:posOffset>
            </wp:positionV>
            <wp:extent cx="11430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14300" cy="8890"/>
                    </a:xfrm>
                    <a:prstGeom prst="rect">
                      <a:avLst/>
                    </a:prstGeom>
                    <a:noFill/>
                  </pic:spPr>
                </pic:pic>
              </a:graphicData>
            </a:graphic>
          </wp:anchor>
        </w:drawing>
      </w:r>
    </w:p>
    <w:p>
      <w:pPr>
        <w:spacing w:after="0" w:line="163" w:lineRule="exact"/>
        <w:rPr>
          <w:sz w:val="20"/>
          <w:szCs w:val="20"/>
          <w:color w:val="auto"/>
        </w:rPr>
      </w:pPr>
    </w:p>
    <w:p>
      <w:pPr>
        <w:ind w:firstLine="436"/>
        <w:spacing w:after="0" w:line="261" w:lineRule="auto"/>
        <w:tabs>
          <w:tab w:leader="none" w:pos="755"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said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 I further understand that if I am outside of the U.S., my payroll deductions will be converted to U.S. dollars at an exchange rate selected by the Company on the purchase date.</w:t>
      </w:r>
    </w:p>
    <w:p>
      <w:pPr>
        <w:spacing w:after="0" w:line="179" w:lineRule="exact"/>
        <w:rPr>
          <w:rFonts w:ascii="Times New Roman" w:cs="Times New Roman" w:eastAsia="Times New Roman" w:hAnsi="Times New Roman"/>
          <w:sz w:val="18"/>
          <w:szCs w:val="18"/>
          <w:color w:val="auto"/>
        </w:rPr>
      </w:pPr>
    </w:p>
    <w:p>
      <w:pPr>
        <w:ind w:right="140" w:firstLine="436"/>
        <w:spacing w:after="0" w:line="282" w:lineRule="auto"/>
        <w:tabs>
          <w:tab w:leader="none" w:pos="755"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received a copy of the complete Plan and its accompanying prospectus. I understand that my participation in the Plan is in all respects subject to the terms of the Plan.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2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5.  Shares of Common Stock purchased for me under the Plan should be issued in the name(s) of</w:t>
            </w:r>
          </w:p>
        </w:tc>
        <w:tc>
          <w:tcPr>
            <w:tcW w:w="900" w:type="dxa"/>
            <w:vAlign w:val="bottom"/>
            <w:tcBorders>
              <w:bottom w:val="single" w:sz="8" w:color="auto"/>
            </w:tcBorders>
          </w:tcPr>
          <w:p>
            <w:pPr>
              <w:spacing w:after="0"/>
              <w:rPr>
                <w:sz w:val="18"/>
                <w:szCs w:val="18"/>
                <w:color w:val="auto"/>
              </w:rPr>
            </w:pPr>
          </w:p>
        </w:tc>
        <w:tc>
          <w:tcPr>
            <w:tcW w:w="226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(Eligible Employee or Eligible</w:t>
            </w:r>
          </w:p>
        </w:tc>
      </w:tr>
      <w:tr>
        <w:trPr>
          <w:trHeight w:val="237"/>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Employee and spouse only).</w:t>
            </w:r>
          </w:p>
        </w:tc>
        <w:tc>
          <w:tcPr>
            <w:tcW w:w="900" w:type="dxa"/>
            <w:vAlign w:val="bottom"/>
          </w:tcPr>
          <w:p>
            <w:pPr>
              <w:spacing w:after="0"/>
              <w:rPr>
                <w:sz w:val="20"/>
                <w:szCs w:val="20"/>
                <w:color w:val="auto"/>
              </w:rPr>
            </w:pPr>
          </w:p>
        </w:tc>
        <w:tc>
          <w:tcPr>
            <w:tcW w:w="2260" w:type="dxa"/>
            <w:vAlign w:val="bottom"/>
          </w:tcPr>
          <w:p>
            <w:pPr>
              <w:spacing w:after="0"/>
              <w:rPr>
                <w:sz w:val="20"/>
                <w:szCs w:val="20"/>
                <w:color w:val="auto"/>
              </w:rPr>
            </w:pPr>
          </w:p>
        </w:tc>
      </w:tr>
    </w:tbl>
    <w:p>
      <w:pPr>
        <w:spacing w:after="0" w:line="198" w:lineRule="exact"/>
        <w:rPr>
          <w:sz w:val="20"/>
          <w:szCs w:val="20"/>
          <w:color w:val="auto"/>
        </w:rPr>
      </w:pPr>
    </w:p>
    <w:p>
      <w:pPr>
        <w:ind w:right="140" w:firstLine="436"/>
        <w:spacing w:after="0" w:line="266" w:lineRule="auto"/>
        <w:tabs>
          <w:tab w:leader="none" w:pos="755"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am a U.S. taxpayer, I understand that if I dispose of any shares received by me pursuant to the Plan within two (2) years after the Enrollment Date (the first day of the Offering Period during which I purchased such shares) or one (1) year after the applicable Exercise Date, I will be treated for federal income tax purposes as having received ordinary income at the time of such</w:t>
      </w:r>
    </w:p>
    <w:p>
      <w:pPr>
        <w:sectPr>
          <w:pgSz w:w="11900" w:h="16838" w:orient="portrait"/>
          <w:cols w:equalWidth="0" w:num="1">
            <w:col w:w="11000"/>
          </w:cols>
          <w:pgMar w:left="440" w:top="256" w:right="459" w:bottom="1440" w:gutter="0" w:footer="0" w:header="0"/>
        </w:sectPr>
      </w:pPr>
    </w:p>
    <w:bookmarkStart w:id="507" w:name="page508"/>
    <w:bookmarkEnd w:id="50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disposition in an amount equal to the excess of the fair market value of the shares at the time such shares were purchased by me over the price that I paid for the shares. </w:t>
      </w:r>
      <w:r>
        <w:rPr>
          <w:rFonts w:ascii="Times New Roman" w:cs="Times New Roman" w:eastAsia="Times New Roman" w:hAnsi="Times New Roman"/>
          <w:sz w:val="18"/>
          <w:szCs w:val="18"/>
          <w:u w:val="single" w:color="auto"/>
          <w:color w:val="auto"/>
        </w:rPr>
        <w:t>I hereby agree to notify the Company in writing within thirty (30) days after the date of any disposition of my shares and I will make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adequate provision for federal, state or other tax withholding obligations, if any, which arise upon the disposition of such shares</w:t>
      </w:r>
      <w:r>
        <w:rPr>
          <w:rFonts w:ascii="Times New Roman" w:cs="Times New Roman" w:eastAsia="Times New Roman" w:hAnsi="Times New Roman"/>
          <w:sz w:val="18"/>
          <w:szCs w:val="18"/>
          <w:color w:val="auto"/>
        </w:rPr>
        <w:t>. The Company may, but will not be obligated to, withhold from my compensation the amount necessary to meet any applicable withholding obligation including any withholding necessary to make available to the Company any tax deductions or benefits attributable to sale or early disposition of Common Stock by me. If I dispose of such shares at any time after the expiration of the two (2)-year and one (1)-year holding periods, I understand that I will be treated for federal income tax purposes as having received income only at the time of such disposition, and that such income will be taxed as ordinary income only to the extent of an amount equal to the lesser of (a) the excess of the fair market value of the shares at the time of such disposition over the purchase price which I paid for the shares, or (b) 15% of the fair market value of the shares on the first day of the Offering Period. The remainder of the gain, if any, recognized on such disposition will be taxed as capital gain.</w:t>
      </w:r>
    </w:p>
    <w:p>
      <w:pPr>
        <w:spacing w:after="0" w:line="194" w:lineRule="exact"/>
        <w:rPr>
          <w:sz w:val="20"/>
          <w:szCs w:val="20"/>
          <w:color w:val="auto"/>
        </w:rPr>
      </w:pPr>
    </w:p>
    <w:p>
      <w:pPr>
        <w:ind w:right="360" w:firstLine="436"/>
        <w:spacing w:after="0" w:line="282" w:lineRule="auto"/>
        <w:tabs>
          <w:tab w:leader="none" w:pos="755"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hereby agree to be bound by the terms of the Plan. The effectiveness of this Subscription Agreement is dependent upon my eligibility to participate in the Plan.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3057525</wp:posOffset>
            </wp:positionH>
            <wp:positionV relativeFrom="paragraph">
              <wp:posOffset>17145</wp:posOffset>
            </wp:positionV>
            <wp:extent cx="2820035"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282003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Employee’s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3057525</wp:posOffset>
            </wp:positionH>
            <wp:positionV relativeFrom="paragraph">
              <wp:posOffset>17145</wp:posOffset>
            </wp:positionV>
            <wp:extent cx="2820035"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spacing w:after="0" w:line="232"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I UNDERSTAND THAT THIS SUBSCRIPTION AGREEMENT WILL REMAIN IN EFFECT THROUGHOUT SUCCESSIVE OFFERING PERIODS UNLESS TERMINATED BY ME.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0</wp:posOffset>
            </wp:positionV>
            <wp:extent cx="656653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7" w:lineRule="exact"/>
        <w:rPr>
          <w:sz w:val="20"/>
          <w:szCs w:val="20"/>
          <w:color w:val="auto"/>
        </w:rPr>
      </w:pPr>
    </w:p>
    <w:p>
      <w:pPr>
        <w:ind w:left="7160"/>
        <w:spacing w:after="0"/>
        <w:rPr>
          <w:sz w:val="20"/>
          <w:szCs w:val="20"/>
          <w:color w:val="auto"/>
        </w:rPr>
      </w:pPr>
      <w:r>
        <w:rPr>
          <w:rFonts w:ascii="Times New Roman" w:cs="Times New Roman" w:eastAsia="Times New Roman" w:hAnsi="Times New Roman"/>
          <w:sz w:val="18"/>
          <w:szCs w:val="18"/>
          <w:color w:val="auto"/>
        </w:rPr>
        <w:t>Signature of Employee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9" w:right="459" w:bottom="1440" w:gutter="0" w:footer="0" w:header="0"/>
        </w:sectPr>
      </w:pPr>
    </w:p>
    <w:bookmarkStart w:id="508" w:name="page509"/>
    <w:bookmarkEnd w:id="508"/>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2020 EMPLOYEE STOCK PURCHASE PLAN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NOTICE OF WITHDRAWAL</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otherwise defined herein, the terms defined in the 2020 Employee Stock Purchase Plan (the “Plan”) shall have the same defined meanings in this Notice of Withdrawal.</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Participant in the Offering Period of the PMV Pharmaceuticals, Inc. 2020 Employee Stock Purchase Plan that began on</w:t>
      </w:r>
    </w:p>
    <w:p>
      <w:pPr>
        <w:spacing w:after="0" w:line="27" w:lineRule="exact"/>
        <w:rPr>
          <w:sz w:val="20"/>
          <w:szCs w:val="20"/>
          <w:color w:val="auto"/>
        </w:rPr>
      </w:pPr>
    </w:p>
    <w:p>
      <w:pPr>
        <w:ind w:right="40" w:firstLine="896"/>
        <w:spacing w:after="0" w:line="253" w:lineRule="auto"/>
        <w:tabs>
          <w:tab w:leader="none" w:pos="1574"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“Enrollment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hereby notifies the Company that he or she hereby withdraws from the Offering Period. He or she hereby directs the Company to pay to the undersigned as promptly as practicable all the payroll deductions credited to his or her account with respect to such Offering Period. The undersigned understands and agrees that his or her option for such Offering Period will be terminated automatically.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-580390</wp:posOffset>
            </wp:positionV>
            <wp:extent cx="970915"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970915" cy="8890"/>
                    </a:xfrm>
                    <a:prstGeom prst="rect">
                      <a:avLst/>
                    </a:prstGeom>
                    <a:noFill/>
                  </pic:spPr>
                </pic:pic>
              </a:graphicData>
            </a:graphic>
          </wp:anchor>
        </w:drawing>
      </w:r>
    </w:p>
    <w:p>
      <w:pPr>
        <w:spacing w:after="0" w:line="19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and Address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154305</wp:posOffset>
            </wp:positionV>
            <wp:extent cx="279463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445770</wp:posOffset>
            </wp:positionV>
            <wp:extent cx="2794635"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737235</wp:posOffset>
            </wp:positionV>
            <wp:extent cx="2794635"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154305</wp:posOffset>
            </wp:positionV>
            <wp:extent cx="279463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17145</wp:posOffset>
            </wp:positionV>
            <wp:extent cx="245173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2451735" cy="8255"/>
                    </a:xfrm>
                    <a:prstGeom prst="rect">
                      <a:avLst/>
                    </a:prstGeom>
                    <a:noFill/>
                  </pic:spPr>
                </pic:pic>
              </a:graphicData>
            </a:graphic>
          </wp:anchor>
        </w:drawing>
      </w:r>
    </w:p>
    <w:p>
      <w:pPr>
        <w:sectPr>
          <w:pgSz w:w="11900" w:h="16838" w:orient="portrait"/>
          <w:cols w:equalWidth="0" w:num="1">
            <w:col w:w="10960"/>
          </w:cols>
          <w:pgMar w:left="440" w:top="265" w:right="499" w:bottom="1440" w:gutter="0" w:footer="0" w:header="0"/>
        </w:sectPr>
      </w:pPr>
    </w:p>
    <w:bookmarkStart w:id="509" w:name="page510"/>
    <w:bookmarkEnd w:id="509"/>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173990</wp:posOffset>
            </wp:positionV>
            <wp:extent cx="3394710" cy="65976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339471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11,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David H. Mack, Ph.D.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PMV Pharmaceuticals,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David,</w:t>
      </w:r>
    </w:p>
    <w:p>
      <w:pPr>
        <w:spacing w:after="0" w:line="115" w:lineRule="exact"/>
        <w:rPr>
          <w:sz w:val="20"/>
          <w:szCs w:val="20"/>
          <w:color w:val="auto"/>
        </w:rPr>
      </w:pPr>
    </w:p>
    <w:p>
      <w:pPr>
        <w:jc w:val="both"/>
        <w:ind w:right="60" w:firstLine="440"/>
        <w:spacing w:after="0" w:line="267" w:lineRule="auto"/>
        <w:rPr>
          <w:sz w:val="20"/>
          <w:szCs w:val="20"/>
          <w:color w:val="auto"/>
        </w:rPr>
      </w:pPr>
      <w:r>
        <w:rPr>
          <w:rFonts w:ascii="Times New Roman" w:cs="Times New Roman" w:eastAsia="Times New Roman" w:hAnsi="Times New Roman"/>
          <w:sz w:val="18"/>
          <w:szCs w:val="18"/>
          <w:color w:val="auto"/>
        </w:rPr>
        <w:t>This letter agreement (the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is entered into between you and PMV Pharmaceuticals,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PMV Pharma</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This Agreement is effective as of the date hereof (the “</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The purpose of this Agreement is to confirm the current terms and conditions of your employment.</w:t>
      </w:r>
    </w:p>
    <w:p>
      <w:pPr>
        <w:spacing w:after="0" w:line="171" w:lineRule="exact"/>
        <w:rPr>
          <w:sz w:val="20"/>
          <w:szCs w:val="20"/>
          <w:color w:val="auto"/>
        </w:rPr>
      </w:pPr>
    </w:p>
    <w:p>
      <w:pPr>
        <w:ind w:right="40" w:firstLine="436"/>
        <w:spacing w:after="0" w:line="268" w:lineRule="auto"/>
        <w:tabs>
          <w:tab w:leader="none" w:pos="62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Position</w:t>
      </w:r>
      <w:r>
        <w:rPr>
          <w:rFonts w:ascii="Times New Roman" w:cs="Times New Roman" w:eastAsia="Times New Roman" w:hAnsi="Times New Roman"/>
          <w:sz w:val="18"/>
          <w:szCs w:val="18"/>
          <w:color w:val="auto"/>
        </w:rPr>
        <w:t>. Your title will continue to be President and Chief Executive Officer, and you will continue to report to the Company’s Board. This is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full-time position. While you render services to the Company, you will not engage in any other employment, consulting or other business activity (whether full time or part-time) that would create a conflict of interest with the Company.</w:t>
      </w:r>
    </w:p>
    <w:p>
      <w:pPr>
        <w:spacing w:after="0" w:line="170" w:lineRule="exact"/>
        <w:rPr>
          <w:rFonts w:ascii="Times New Roman" w:cs="Times New Roman" w:eastAsia="Times New Roman" w:hAnsi="Times New Roman"/>
          <w:sz w:val="18"/>
          <w:szCs w:val="18"/>
          <w:color w:val="auto"/>
        </w:rPr>
      </w:pPr>
    </w:p>
    <w:p>
      <w:pPr>
        <w:ind w:right="20" w:firstLine="436"/>
        <w:spacing w:after="0" w:line="255" w:lineRule="auto"/>
        <w:tabs>
          <w:tab w:leader="none" w:pos="62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Compensation</w:t>
      </w:r>
      <w:r>
        <w:rPr>
          <w:rFonts w:ascii="Times New Roman" w:cs="Times New Roman" w:eastAsia="Times New Roman" w:hAnsi="Times New Roman"/>
          <w:sz w:val="18"/>
          <w:szCs w:val="18"/>
          <w:color w:val="auto"/>
        </w:rPr>
        <w:t>. Your current salary as of the Effective Date is $525,100 per year, payable in accordance with the Company’s standard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payroll schedule. This salary will be subject to adjustment pursuant to the Company’s employee compensation policies in effect from time to time. In addition, you will be eligible to be considered for an incentive bonus for each fiscal year of the Company under the Company’s Employee Incentive Compensation Plan (the “</w:t>
      </w:r>
      <w:r>
        <w:rPr>
          <w:rFonts w:ascii="Times New Roman" w:cs="Times New Roman" w:eastAsia="Times New Roman" w:hAnsi="Times New Roman"/>
          <w:sz w:val="18"/>
          <w:szCs w:val="18"/>
          <w:i w:val="1"/>
          <w:iCs w:val="1"/>
          <w:color w:val="auto"/>
        </w:rPr>
        <w:t>Incentive Plan</w:t>
      </w:r>
      <w:r>
        <w:rPr>
          <w:rFonts w:ascii="Times New Roman" w:cs="Times New Roman" w:eastAsia="Times New Roman" w:hAnsi="Times New Roman"/>
          <w:sz w:val="18"/>
          <w:szCs w:val="18"/>
          <w:color w:val="auto"/>
        </w:rPr>
        <w:t>”) or any successor plan. The bonus (if any) will be awarded based on objective or subjective criteria established by the Company’s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and/or the Compensation Committee of the Board (the “</w:t>
      </w:r>
      <w:r>
        <w:rPr>
          <w:rFonts w:ascii="Times New Roman" w:cs="Times New Roman" w:eastAsia="Times New Roman" w:hAnsi="Times New Roman"/>
          <w:sz w:val="18"/>
          <w:szCs w:val="18"/>
          <w:i w:val="1"/>
          <w:iCs w:val="1"/>
          <w:color w:val="auto"/>
        </w:rPr>
        <w:t>Compensation Committee</w:t>
      </w:r>
      <w:r>
        <w:rPr>
          <w:rFonts w:ascii="Times New Roman" w:cs="Times New Roman" w:eastAsia="Times New Roman" w:hAnsi="Times New Roman"/>
          <w:sz w:val="18"/>
          <w:szCs w:val="18"/>
          <w:color w:val="auto"/>
        </w:rPr>
        <w:t>”), as applicable. Your current annual target bonus as of the Effective Date is equal to 50% of your annual base salary. The terms and conditions of your bonus will be set forth in the Incentive Plan, and the Board and/or the Compensation Committee reserves authority to pay discretionary bonuses. The determinations of the Board and/or the Compensation Committee, as applicable, with respect to your bonus will be final and binding.</w:t>
      </w:r>
    </w:p>
    <w:p>
      <w:pPr>
        <w:spacing w:after="0" w:line="184" w:lineRule="exact"/>
        <w:rPr>
          <w:rFonts w:ascii="Times New Roman" w:cs="Times New Roman" w:eastAsia="Times New Roman" w:hAnsi="Times New Roman"/>
          <w:sz w:val="18"/>
          <w:szCs w:val="18"/>
          <w:color w:val="auto"/>
        </w:rPr>
      </w:pPr>
    </w:p>
    <w:p>
      <w:pPr>
        <w:jc w:val="both"/>
        <w:ind w:right="120" w:firstLine="436"/>
        <w:spacing w:after="0" w:line="317" w:lineRule="auto"/>
        <w:tabs>
          <w:tab w:leader="none" w:pos="620" w:val="left"/>
        </w:tabs>
        <w:numPr>
          <w:ilvl w:val="0"/>
          <w:numId w:val="4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Employee Benefits</w:t>
      </w:r>
      <w:r>
        <w:rPr>
          <w:rFonts w:ascii="Times New Roman" w:cs="Times New Roman" w:eastAsia="Times New Roman" w:hAnsi="Times New Roman"/>
          <w:sz w:val="17"/>
          <w:szCs w:val="17"/>
          <w:color w:val="auto"/>
        </w:rPr>
        <w:t>. As a regular employee of the Company, you will continue to be eligible to participate in a number of Company-sponsored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benefits. In addition, you will continue to be entitled to paid vacation in accordance with the Company’s vacation policy, as in effect from time to time.</w:t>
      </w:r>
    </w:p>
    <w:p>
      <w:pPr>
        <w:spacing w:after="0" w:line="131" w:lineRule="exact"/>
        <w:rPr>
          <w:rFonts w:ascii="Times New Roman" w:cs="Times New Roman" w:eastAsia="Times New Roman" w:hAnsi="Times New Roman"/>
          <w:sz w:val="17"/>
          <w:szCs w:val="17"/>
          <w:color w:val="auto"/>
        </w:rPr>
      </w:pPr>
    </w:p>
    <w:p>
      <w:pPr>
        <w:ind w:right="560" w:firstLine="436"/>
        <w:spacing w:after="0" w:line="268" w:lineRule="auto"/>
        <w:tabs>
          <w:tab w:leader="none" w:pos="62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Equity Awards</w:t>
      </w:r>
      <w:r>
        <w:rPr>
          <w:rFonts w:ascii="Times New Roman" w:cs="Times New Roman" w:eastAsia="Times New Roman" w:hAnsi="Times New Roman"/>
          <w:sz w:val="18"/>
          <w:szCs w:val="18"/>
          <w:color w:val="auto"/>
        </w:rPr>
        <w:t>. You have received equity awards from the Company and these awards shall continue to be in full force and effect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the terms set forth therein, as modified by the Company’s Change in Control and Severance Policy and your participation agreement thereunder (the “</w:t>
      </w:r>
      <w:r>
        <w:rPr>
          <w:rFonts w:ascii="Times New Roman" w:cs="Times New Roman" w:eastAsia="Times New Roman" w:hAnsi="Times New Roman"/>
          <w:sz w:val="18"/>
          <w:szCs w:val="18"/>
          <w:i w:val="1"/>
          <w:iCs w:val="1"/>
          <w:color w:val="auto"/>
        </w:rPr>
        <w:t>Severance Policy</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right="260" w:firstLine="436"/>
        <w:spacing w:after="0" w:line="317" w:lineRule="auto"/>
        <w:tabs>
          <w:tab w:leader="none" w:pos="620" w:val="left"/>
        </w:tabs>
        <w:numPr>
          <w:ilvl w:val="0"/>
          <w:numId w:val="4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Severance &amp; Change of Control Benefits</w:t>
      </w:r>
      <w:r>
        <w:rPr>
          <w:rFonts w:ascii="Times New Roman" w:cs="Times New Roman" w:eastAsia="Times New Roman" w:hAnsi="Times New Roman"/>
          <w:sz w:val="17"/>
          <w:szCs w:val="17"/>
          <w:color w:val="auto"/>
        </w:rPr>
        <w:t>. You will continue to be eligible for benefits in the Severance Policy. Accordingly, your potential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severance and change of control benefits and the terms and conditions thereof are set forth in your participation agreement to the Severance Policy.</w:t>
      </w:r>
    </w:p>
    <w:p>
      <w:pPr>
        <w:spacing w:after="0" w:line="131" w:lineRule="exact"/>
        <w:rPr>
          <w:rFonts w:ascii="Times New Roman" w:cs="Times New Roman" w:eastAsia="Times New Roman" w:hAnsi="Times New Roman"/>
          <w:sz w:val="17"/>
          <w:szCs w:val="17"/>
          <w:color w:val="auto"/>
        </w:rPr>
      </w:pPr>
    </w:p>
    <w:p>
      <w:pPr>
        <w:ind w:right="60" w:firstLine="436"/>
        <w:spacing w:after="0" w:line="268" w:lineRule="auto"/>
        <w:tabs>
          <w:tab w:leader="none" w:pos="62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Proprietary Information and Inventions Agreement</w:t>
      </w:r>
      <w:r>
        <w:rPr>
          <w:rFonts w:ascii="Times New Roman" w:cs="Times New Roman" w:eastAsia="Times New Roman" w:hAnsi="Times New Roman"/>
          <w:sz w:val="18"/>
          <w:szCs w:val="18"/>
          <w:color w:val="auto"/>
        </w:rPr>
        <w:t>. As an employee of the Company, you will continue to have access to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information of the Company and you may, during the course of your employment, develop certain information or inventions that will be the property of the Company. To protect the</w:t>
      </w:r>
    </w:p>
    <w:p>
      <w:pPr>
        <w:sectPr>
          <w:pgSz w:w="11900" w:h="16838" w:orient="portrait"/>
          <w:cols w:equalWidth="0" w:num="1">
            <w:col w:w="11020"/>
          </w:cols>
          <w:pgMar w:left="440" w:top="117" w:right="439" w:bottom="1440" w:gutter="0" w:footer="0" w:header="0"/>
        </w:sectPr>
      </w:pPr>
    </w:p>
    <w:bookmarkStart w:id="510" w:name="page511"/>
    <w:bookmarkEnd w:id="510"/>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interests of the Company, your acceptance of this Agreement reaffirms that the terms of the Company’s At-Will Employment, Confidential Information, Invention Assignment, and Arbitration Agreement that you executed in connection with your hire (the “</w:t>
      </w:r>
      <w:r>
        <w:rPr>
          <w:rFonts w:ascii="Times New Roman" w:cs="Times New Roman" w:eastAsia="Times New Roman" w:hAnsi="Times New Roman"/>
          <w:sz w:val="18"/>
          <w:szCs w:val="18"/>
          <w:i w:val="1"/>
          <w:iCs w:val="1"/>
          <w:color w:val="auto"/>
        </w:rPr>
        <w:t>PIAA</w:t>
      </w:r>
      <w:r>
        <w:rPr>
          <w:rFonts w:ascii="Times New Roman" w:cs="Times New Roman" w:eastAsia="Times New Roman" w:hAnsi="Times New Roman"/>
          <w:sz w:val="18"/>
          <w:szCs w:val="18"/>
          <w:color w:val="auto"/>
        </w:rPr>
        <w:t>”) continue to be in effect. In the event of any dispute or claim relating to or arising out of our employment relationship, you and the Company agree that (i) any and all disputes between you and the Company shall be fully and finally resolved by binding arbitration, (ii) you are waiting any and all rights to a jury trial but all court remedies will be available in arbitration, (iii) all disputes shall be resolved by a neutral arbitrator who shall issue a written opinion, and (iv) the arbitration shall provide for adequate discovery, and the Company shall pay all but the first $125 of the arbitration fees.</w:t>
      </w:r>
    </w:p>
    <w:p>
      <w:pPr>
        <w:spacing w:after="0" w:line="183" w:lineRule="exact"/>
        <w:rPr>
          <w:sz w:val="20"/>
          <w:szCs w:val="20"/>
          <w:color w:val="auto"/>
        </w:rPr>
      </w:pPr>
    </w:p>
    <w:p>
      <w:pPr>
        <w:ind w:firstLine="436"/>
        <w:spacing w:after="0" w:line="257" w:lineRule="auto"/>
        <w:tabs>
          <w:tab w:leader="none" w:pos="62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Employment Relationship</w:t>
      </w:r>
      <w:r>
        <w:rPr>
          <w:rFonts w:ascii="Times New Roman" w:cs="Times New Roman" w:eastAsia="Times New Roman" w:hAnsi="Times New Roman"/>
          <w:sz w:val="18"/>
          <w:szCs w:val="18"/>
          <w:color w:val="auto"/>
        </w:rPr>
        <w:t>. Employment with the Company is for no specific period of time. Your employment with the Company continues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“at will,” meaning that either you or the Company may terminate your employment at any time and for any reason, with or without cause. Any contrary representations that may have been made to you are superseded by this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82"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Matters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right="360" w:firstLine="987"/>
        <w:spacing w:after="0" w:line="282" w:lineRule="auto"/>
        <w:tabs>
          <w:tab w:leader="none" w:pos="1161"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All forms of compensation referred to in this Agreement are subject to reduction to reflect applicable withholding and payroll taxes and other deductions required by law.</w:t>
      </w:r>
    </w:p>
    <w:p>
      <w:pPr>
        <w:spacing w:after="0" w:line="161" w:lineRule="exact"/>
        <w:rPr>
          <w:rFonts w:ascii="Times New Roman" w:cs="Times New Roman" w:eastAsia="Times New Roman" w:hAnsi="Times New Roman"/>
          <w:sz w:val="18"/>
          <w:szCs w:val="18"/>
          <w:color w:val="auto"/>
        </w:rPr>
      </w:pPr>
    </w:p>
    <w:p>
      <w:pPr>
        <w:ind w:right="100" w:firstLine="987"/>
        <w:spacing w:after="0" w:line="255" w:lineRule="auto"/>
        <w:tabs>
          <w:tab w:leader="none" w:pos="1171"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The parties intend that the benefits and payments provided under this Agreement shall be exempt from, or comply with, the requirements of Section 409A of the Code (as it has been and may be amended from time to time) and any regulations and guidance that has been promulgated or may be promulgated from time to time thereunder (“</w:t>
      </w:r>
      <w:r>
        <w:rPr>
          <w:rFonts w:ascii="Times New Roman" w:cs="Times New Roman" w:eastAsia="Times New Roman" w:hAnsi="Times New Roman"/>
          <w:sz w:val="18"/>
          <w:szCs w:val="18"/>
          <w:i w:val="1"/>
          <w:iCs w:val="1"/>
          <w:color w:val="auto"/>
        </w:rPr>
        <w:t>Section 409A</w:t>
      </w:r>
      <w:r>
        <w:rPr>
          <w:rFonts w:ascii="Times New Roman" w:cs="Times New Roman" w:eastAsia="Times New Roman" w:hAnsi="Times New Roman"/>
          <w:sz w:val="18"/>
          <w:szCs w:val="18"/>
          <w:color w:val="auto"/>
        </w:rPr>
        <w:t>”), and any ambiguities or ambiguous terms herein will be interpreted to so comply. Each payment and benefit payable under this Agreement is intended to constitute a separate payment for purposes of</w:t>
      </w:r>
    </w:p>
    <w:p>
      <w:pPr>
        <w:spacing w:after="0" w:line="2" w:lineRule="exact"/>
        <w:rPr>
          <w:rFonts w:ascii="Times New Roman" w:cs="Times New Roman" w:eastAsia="Times New Roman" w:hAnsi="Times New Roman"/>
          <w:sz w:val="18"/>
          <w:szCs w:val="18"/>
          <w:color w:val="auto"/>
        </w:rPr>
      </w:pPr>
    </w:p>
    <w:p>
      <w:pPr>
        <w:ind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1.409A-2(b)(2) of the Treasury Regulations. The Company shall in no event be obligated to indemnify you for any taxes or interest that may be assessed under Section 409A.</w:t>
      </w:r>
    </w:p>
    <w:p>
      <w:pPr>
        <w:spacing w:after="0" w:line="177" w:lineRule="exact"/>
        <w:rPr>
          <w:rFonts w:ascii="Times New Roman" w:cs="Times New Roman" w:eastAsia="Times New Roman" w:hAnsi="Times New Roman"/>
          <w:sz w:val="18"/>
          <w:szCs w:val="18"/>
          <w:color w:val="auto"/>
        </w:rPr>
      </w:pPr>
    </w:p>
    <w:p>
      <w:pPr>
        <w:ind w:right="100" w:firstLine="436"/>
        <w:spacing w:after="0" w:line="259" w:lineRule="auto"/>
        <w:tabs>
          <w:tab w:leader="none" w:pos="620" w:val="left"/>
        </w:tabs>
        <w:numPr>
          <w:ilvl w:val="0"/>
          <w:numId w:val="4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Interpretation, Amendment and Enforcement. </w:t>
      </w:r>
      <w:r>
        <w:rPr>
          <w:rFonts w:ascii="Times New Roman" w:cs="Times New Roman" w:eastAsia="Times New Roman" w:hAnsi="Times New Roman"/>
          <w:sz w:val="18"/>
          <w:szCs w:val="18"/>
          <w:color w:val="auto"/>
        </w:rPr>
        <w:t>This Agreement, together with the PIAA, the Severance Policy and your participation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under the Severance Policy and your Equity Award agreements, supersede and replace any prior agreements, representations or understandings (whether written, oral, implied or otherwise) between you and the Company, including, but not limited to any initial offer letter with the Company, and constitute the complete agreement between you and the Company regarding the subject matter set forth herein. This Agreement may not be amended or modified, except by an express written agreement signed by both you and a duly authorized officer of the Company.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are extremely excited about your continued employment with PMV Pharma!</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9" w:right="459" w:bottom="1440" w:gutter="0" w:footer="0" w:header="0"/>
        </w:sectPr>
      </w:pPr>
    </w:p>
    <w:bookmarkStart w:id="511" w:name="page512"/>
    <w:bookmarkEnd w:id="511"/>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indicate your acceptance of the Company’s offer, please sign and date this letter in the space provided below and return it to me. A duplicate original is enclosed for your records.</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Winston Kung</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Operating Officer and Chief Financial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and accepted:</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Signature:</w:t>
        <w:tab/>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26035</wp:posOffset>
            </wp:positionV>
            <wp:extent cx="2237105" cy="825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32"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Printed Name:</w:t>
      </w:r>
      <w:r>
        <w:rPr>
          <w:sz w:val="20"/>
          <w:szCs w:val="20"/>
          <w:color w:val="auto"/>
        </w:rPr>
        <w:tab/>
      </w:r>
      <w:r>
        <w:rPr>
          <w:rFonts w:ascii="Times New Roman" w:cs="Times New Roman" w:eastAsia="Times New Roman" w:hAnsi="Times New Roman"/>
          <w:sz w:val="18"/>
          <w:szCs w:val="18"/>
          <w:color w:val="auto"/>
        </w:rPr>
        <w:t>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803275</wp:posOffset>
            </wp:positionH>
            <wp:positionV relativeFrom="paragraph">
              <wp:posOffset>26035</wp:posOffset>
            </wp:positionV>
            <wp:extent cx="1988820"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3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Date:</w:t>
        <w:tab/>
        <w:t>August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26035</wp:posOffset>
            </wp:positionV>
            <wp:extent cx="248602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40" w:top="269" w:right="519" w:bottom="1440" w:gutter="0" w:footer="0" w:header="0"/>
        </w:sectPr>
      </w:pPr>
    </w:p>
    <w:bookmarkStart w:id="512" w:name="page513"/>
    <w:bookmarkEnd w:id="512"/>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174625</wp:posOffset>
            </wp:positionV>
            <wp:extent cx="3394710" cy="65976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339471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11,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Winston Kung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PMV Pharmaceuticals,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Winston,</w:t>
      </w:r>
    </w:p>
    <w:p>
      <w:pPr>
        <w:spacing w:after="0" w:line="115" w:lineRule="exact"/>
        <w:rPr>
          <w:sz w:val="20"/>
          <w:szCs w:val="20"/>
          <w:color w:val="auto"/>
        </w:rPr>
      </w:pPr>
    </w:p>
    <w:p>
      <w:pPr>
        <w:jc w:val="both"/>
        <w:ind w:right="480" w:firstLine="440"/>
        <w:spacing w:after="0" w:line="267" w:lineRule="auto"/>
        <w:rPr>
          <w:sz w:val="20"/>
          <w:szCs w:val="20"/>
          <w:color w:val="auto"/>
        </w:rPr>
      </w:pPr>
      <w:r>
        <w:rPr>
          <w:rFonts w:ascii="Times New Roman" w:cs="Times New Roman" w:eastAsia="Times New Roman" w:hAnsi="Times New Roman"/>
          <w:sz w:val="18"/>
          <w:szCs w:val="18"/>
          <w:color w:val="auto"/>
        </w:rPr>
        <w:t>This letter agreement (the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is entered into between you and PMV Pharmaceuticals, Inc. (the “Company,” “PMV Pharma,”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This Agreement is effective as of the date hereof (the “Effective Date”). The purpose of this Agreement is to confirm the current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 of your employment.</w:t>
      </w:r>
    </w:p>
    <w:p>
      <w:pPr>
        <w:spacing w:after="0" w:line="171" w:lineRule="exact"/>
        <w:rPr>
          <w:sz w:val="20"/>
          <w:szCs w:val="20"/>
          <w:color w:val="auto"/>
        </w:rPr>
      </w:pPr>
    </w:p>
    <w:p>
      <w:pPr>
        <w:ind w:right="220" w:firstLine="436"/>
        <w:spacing w:after="0" w:line="268" w:lineRule="auto"/>
        <w:tabs>
          <w:tab w:leader="none" w:pos="62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Position</w:t>
      </w:r>
      <w:r>
        <w:rPr>
          <w:rFonts w:ascii="Times New Roman" w:cs="Times New Roman" w:eastAsia="Times New Roman" w:hAnsi="Times New Roman"/>
          <w:sz w:val="18"/>
          <w:szCs w:val="18"/>
          <w:color w:val="auto"/>
        </w:rPr>
        <w:t>. Your title will continue to be Chief Operating Officer and Chief Financial Officer, and you will continue to report to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This is a full-time position. While you render services to the Company, you will not engage in any other employment, consulting or other business activity (whether full time or part-time) that would create a conflict of interest with the Company.</w:t>
      </w:r>
    </w:p>
    <w:p>
      <w:pPr>
        <w:spacing w:after="0" w:line="170" w:lineRule="exact"/>
        <w:rPr>
          <w:rFonts w:ascii="Times New Roman" w:cs="Times New Roman" w:eastAsia="Times New Roman" w:hAnsi="Times New Roman"/>
          <w:sz w:val="18"/>
          <w:szCs w:val="18"/>
          <w:color w:val="auto"/>
        </w:rPr>
      </w:pPr>
    </w:p>
    <w:p>
      <w:pPr>
        <w:ind w:right="20" w:firstLine="436"/>
        <w:spacing w:after="0" w:line="255" w:lineRule="auto"/>
        <w:tabs>
          <w:tab w:leader="none" w:pos="62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Compensation</w:t>
      </w:r>
      <w:r>
        <w:rPr>
          <w:rFonts w:ascii="Times New Roman" w:cs="Times New Roman" w:eastAsia="Times New Roman" w:hAnsi="Times New Roman"/>
          <w:sz w:val="18"/>
          <w:szCs w:val="18"/>
          <w:color w:val="auto"/>
        </w:rPr>
        <w:t>. Your current salary as of the Effective Date is $437,100 per year, payable in accordance with the Company’s standard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payroll schedule. This salary will be subject to adjustment pursuant to the Company’s employee compensation policies in effect from time to time. In addition, you will be eligible to be considered for an incentive bonus for each fiscal year of the Company under the Company’s Employee Incentive Compensation Plan (the “</w:t>
      </w:r>
      <w:r>
        <w:rPr>
          <w:rFonts w:ascii="Times New Roman" w:cs="Times New Roman" w:eastAsia="Times New Roman" w:hAnsi="Times New Roman"/>
          <w:sz w:val="18"/>
          <w:szCs w:val="18"/>
          <w:i w:val="1"/>
          <w:iCs w:val="1"/>
          <w:color w:val="auto"/>
        </w:rPr>
        <w:t>Incentive Plan</w:t>
      </w:r>
      <w:r>
        <w:rPr>
          <w:rFonts w:ascii="Times New Roman" w:cs="Times New Roman" w:eastAsia="Times New Roman" w:hAnsi="Times New Roman"/>
          <w:sz w:val="18"/>
          <w:szCs w:val="18"/>
          <w:color w:val="auto"/>
        </w:rPr>
        <w:t>”) or any successor plan. The bonus (if any) will be awarded based on objective or subjective criteria established by the Company’s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and/or the Compensation Committee of the Board (the “</w:t>
      </w:r>
      <w:r>
        <w:rPr>
          <w:rFonts w:ascii="Times New Roman" w:cs="Times New Roman" w:eastAsia="Times New Roman" w:hAnsi="Times New Roman"/>
          <w:sz w:val="18"/>
          <w:szCs w:val="18"/>
          <w:i w:val="1"/>
          <w:iCs w:val="1"/>
          <w:color w:val="auto"/>
        </w:rPr>
        <w:t>Compensation Committee</w:t>
      </w:r>
      <w:r>
        <w:rPr>
          <w:rFonts w:ascii="Times New Roman" w:cs="Times New Roman" w:eastAsia="Times New Roman" w:hAnsi="Times New Roman"/>
          <w:sz w:val="18"/>
          <w:szCs w:val="18"/>
          <w:color w:val="auto"/>
        </w:rPr>
        <w:t>”), as applicable. Your current annual target bonus as of the Effective Date is equal to 40% of your annual base salary. The terms and conditions of your bonus will be set forth in the Incentive Plan, and the Board and/or the Compensation Committee reserves authority to pay discretionary bonuses. The determinations of the Board and/or the Compensation Committee, as applicable, with respect to your bonus will be final and binding.</w:t>
      </w:r>
    </w:p>
    <w:p>
      <w:pPr>
        <w:spacing w:after="0" w:line="184" w:lineRule="exact"/>
        <w:rPr>
          <w:rFonts w:ascii="Times New Roman" w:cs="Times New Roman" w:eastAsia="Times New Roman" w:hAnsi="Times New Roman"/>
          <w:sz w:val="18"/>
          <w:szCs w:val="18"/>
          <w:color w:val="auto"/>
        </w:rPr>
      </w:pPr>
    </w:p>
    <w:p>
      <w:pPr>
        <w:jc w:val="both"/>
        <w:ind w:right="120" w:firstLine="436"/>
        <w:spacing w:after="0" w:line="317" w:lineRule="auto"/>
        <w:tabs>
          <w:tab w:leader="none" w:pos="620" w:val="left"/>
        </w:tabs>
        <w:numPr>
          <w:ilvl w:val="0"/>
          <w:numId w:val="4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Employee Benefits</w:t>
      </w:r>
      <w:r>
        <w:rPr>
          <w:rFonts w:ascii="Times New Roman" w:cs="Times New Roman" w:eastAsia="Times New Roman" w:hAnsi="Times New Roman"/>
          <w:sz w:val="17"/>
          <w:szCs w:val="17"/>
          <w:color w:val="auto"/>
        </w:rPr>
        <w:t>. As a regular employee of the Company, you will continue to be eligible to participate in a number of Company-sponsored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benefits. In addition, you will continue to be entitled to paid vacation in accordance with the Company’s vacation policy, as in effect from time to time.</w:t>
      </w:r>
    </w:p>
    <w:p>
      <w:pPr>
        <w:spacing w:after="0" w:line="131" w:lineRule="exact"/>
        <w:rPr>
          <w:rFonts w:ascii="Times New Roman" w:cs="Times New Roman" w:eastAsia="Times New Roman" w:hAnsi="Times New Roman"/>
          <w:sz w:val="17"/>
          <w:szCs w:val="17"/>
          <w:color w:val="auto"/>
        </w:rPr>
      </w:pPr>
    </w:p>
    <w:p>
      <w:pPr>
        <w:ind w:right="560" w:firstLine="436"/>
        <w:spacing w:after="0" w:line="268" w:lineRule="auto"/>
        <w:tabs>
          <w:tab w:leader="none" w:pos="62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Equity Awards</w:t>
      </w:r>
      <w:r>
        <w:rPr>
          <w:rFonts w:ascii="Times New Roman" w:cs="Times New Roman" w:eastAsia="Times New Roman" w:hAnsi="Times New Roman"/>
          <w:sz w:val="18"/>
          <w:szCs w:val="18"/>
          <w:color w:val="auto"/>
        </w:rPr>
        <w:t>. You have received equity awards from the Company and these awards shall continue to be in full force and effect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the terms set forth therein, as modified by the Company’s Change in Control and Severance Policy and your participation agreement thereunder (the “</w:t>
      </w:r>
      <w:r>
        <w:rPr>
          <w:rFonts w:ascii="Times New Roman" w:cs="Times New Roman" w:eastAsia="Times New Roman" w:hAnsi="Times New Roman"/>
          <w:sz w:val="18"/>
          <w:szCs w:val="18"/>
          <w:i w:val="1"/>
          <w:iCs w:val="1"/>
          <w:color w:val="auto"/>
        </w:rPr>
        <w:t>Severance Policy</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right="260" w:firstLine="436"/>
        <w:spacing w:after="0" w:line="317" w:lineRule="auto"/>
        <w:tabs>
          <w:tab w:leader="none" w:pos="620" w:val="left"/>
        </w:tabs>
        <w:numPr>
          <w:ilvl w:val="0"/>
          <w:numId w:val="4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Severance &amp; Change of Control Benefits</w:t>
      </w:r>
      <w:r>
        <w:rPr>
          <w:rFonts w:ascii="Times New Roman" w:cs="Times New Roman" w:eastAsia="Times New Roman" w:hAnsi="Times New Roman"/>
          <w:sz w:val="17"/>
          <w:szCs w:val="17"/>
          <w:color w:val="auto"/>
        </w:rPr>
        <w:t>. You will continue to be eligible for benefits in the Severance Policy. Accordingly, your potential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severance and change of control benefits and the terms and conditions thereof are set forth in your participation agreement to the Severance Policy.</w:t>
      </w:r>
    </w:p>
    <w:p>
      <w:pPr>
        <w:spacing w:after="0" w:line="131" w:lineRule="exact"/>
        <w:rPr>
          <w:rFonts w:ascii="Times New Roman" w:cs="Times New Roman" w:eastAsia="Times New Roman" w:hAnsi="Times New Roman"/>
          <w:sz w:val="17"/>
          <w:szCs w:val="17"/>
          <w:color w:val="auto"/>
        </w:rPr>
      </w:pPr>
    </w:p>
    <w:p>
      <w:pPr>
        <w:ind w:right="60" w:firstLine="436"/>
        <w:spacing w:after="0" w:line="268" w:lineRule="auto"/>
        <w:tabs>
          <w:tab w:leader="none" w:pos="62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Proprietary Information and Inventions Agreement</w:t>
      </w:r>
      <w:r>
        <w:rPr>
          <w:rFonts w:ascii="Times New Roman" w:cs="Times New Roman" w:eastAsia="Times New Roman" w:hAnsi="Times New Roman"/>
          <w:sz w:val="18"/>
          <w:szCs w:val="18"/>
          <w:color w:val="auto"/>
        </w:rPr>
        <w:t>. As an employee of the Company, you will continue to have access to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information of the Company and you may, during the course of your employment, develop certain information or inventions that will be the property of the Company. To protect the</w:t>
      </w:r>
    </w:p>
    <w:p>
      <w:pPr>
        <w:sectPr>
          <w:pgSz w:w="11900" w:h="16838" w:orient="portrait"/>
          <w:cols w:equalWidth="0" w:num="1">
            <w:col w:w="11020"/>
          </w:cols>
          <w:pgMar w:left="440" w:top="117" w:right="439" w:bottom="1440" w:gutter="0" w:footer="0" w:header="0"/>
        </w:sectPr>
      </w:pPr>
    </w:p>
    <w:bookmarkStart w:id="513" w:name="page514"/>
    <w:bookmarkEnd w:id="513"/>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interests of the Company, your acceptance of this Agreement reaffirms that the terms of the Company’s At-Will Employment, Confidential Information, Invention Assignment, and Arbitration Agreement that you executed in connection with your hire (the “</w:t>
      </w:r>
      <w:r>
        <w:rPr>
          <w:rFonts w:ascii="Times New Roman" w:cs="Times New Roman" w:eastAsia="Times New Roman" w:hAnsi="Times New Roman"/>
          <w:sz w:val="18"/>
          <w:szCs w:val="18"/>
          <w:i w:val="1"/>
          <w:iCs w:val="1"/>
          <w:color w:val="auto"/>
        </w:rPr>
        <w:t>PIAA</w:t>
      </w:r>
      <w:r>
        <w:rPr>
          <w:rFonts w:ascii="Times New Roman" w:cs="Times New Roman" w:eastAsia="Times New Roman" w:hAnsi="Times New Roman"/>
          <w:sz w:val="18"/>
          <w:szCs w:val="18"/>
          <w:color w:val="auto"/>
        </w:rPr>
        <w:t>”) continue to be in effect. In the event of any dispute or claim relating to or arising out of our employment relationship, you and the Company agree that (i) any and all disputes between you and the Company shall be fully and finally resolved by binding arbitration, (ii) you are waiting any and all rights to a jury trial but all court remedies will be available in arbitration, (iii) all disputes shall be resolved by a neutral arbitrator who shall issue a written opinion, and (iv) the arbitration shall provide for adequate discovery, and the Company shall pay all but the first $125 of the arbitration fees.</w:t>
      </w:r>
    </w:p>
    <w:p>
      <w:pPr>
        <w:spacing w:after="0" w:line="183" w:lineRule="exact"/>
        <w:rPr>
          <w:sz w:val="20"/>
          <w:szCs w:val="20"/>
          <w:color w:val="auto"/>
        </w:rPr>
      </w:pPr>
    </w:p>
    <w:p>
      <w:pPr>
        <w:ind w:firstLine="436"/>
        <w:spacing w:after="0" w:line="257" w:lineRule="auto"/>
        <w:tabs>
          <w:tab w:leader="none" w:pos="620"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Employment Relationship</w:t>
      </w:r>
      <w:r>
        <w:rPr>
          <w:rFonts w:ascii="Times New Roman" w:cs="Times New Roman" w:eastAsia="Times New Roman" w:hAnsi="Times New Roman"/>
          <w:sz w:val="18"/>
          <w:szCs w:val="18"/>
          <w:color w:val="auto"/>
        </w:rPr>
        <w:t>. Employment with the Company is for no specific period of time. Your employment with the Company continues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“at will,” meaning that either you or the Company may terminate your employment at any time and for any reason, with or without cause. Any contrary representations that may have been made to you are superseded by this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82"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Matters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right="360" w:firstLine="987"/>
        <w:spacing w:after="0" w:line="282" w:lineRule="auto"/>
        <w:tabs>
          <w:tab w:leader="none" w:pos="1161"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All forms of compensation referred to in this Agreement are subject to reduction to reflect applicable withholding and payroll taxes and other deductions required by law.</w:t>
      </w:r>
    </w:p>
    <w:p>
      <w:pPr>
        <w:spacing w:after="0" w:line="161" w:lineRule="exact"/>
        <w:rPr>
          <w:rFonts w:ascii="Times New Roman" w:cs="Times New Roman" w:eastAsia="Times New Roman" w:hAnsi="Times New Roman"/>
          <w:sz w:val="18"/>
          <w:szCs w:val="18"/>
          <w:color w:val="auto"/>
        </w:rPr>
      </w:pPr>
    </w:p>
    <w:p>
      <w:pPr>
        <w:ind w:right="100" w:firstLine="987"/>
        <w:spacing w:after="0" w:line="255" w:lineRule="auto"/>
        <w:tabs>
          <w:tab w:leader="none" w:pos="1171"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The parties intend that the benefits and payments provided under this Agreement shall be exempt from, or comply with, the requirements of Section 409A of the Code (as it has been and may be amended from time to time) and any regulations and guidance that has been promulgated or may be promulgated from time to time thereunder (“</w:t>
      </w:r>
      <w:r>
        <w:rPr>
          <w:rFonts w:ascii="Times New Roman" w:cs="Times New Roman" w:eastAsia="Times New Roman" w:hAnsi="Times New Roman"/>
          <w:sz w:val="18"/>
          <w:szCs w:val="18"/>
          <w:i w:val="1"/>
          <w:iCs w:val="1"/>
          <w:color w:val="auto"/>
        </w:rPr>
        <w:t>Section 409A</w:t>
      </w:r>
      <w:r>
        <w:rPr>
          <w:rFonts w:ascii="Times New Roman" w:cs="Times New Roman" w:eastAsia="Times New Roman" w:hAnsi="Times New Roman"/>
          <w:sz w:val="18"/>
          <w:szCs w:val="18"/>
          <w:color w:val="auto"/>
        </w:rPr>
        <w:t>”), and any ambiguities or ambiguous terms herein will be interpreted to so comply. Each payment and benefit payable under this Agreement is intended to constitute a separate payment for purposes of</w:t>
      </w:r>
    </w:p>
    <w:p>
      <w:pPr>
        <w:spacing w:after="0" w:line="2" w:lineRule="exact"/>
        <w:rPr>
          <w:rFonts w:ascii="Times New Roman" w:cs="Times New Roman" w:eastAsia="Times New Roman" w:hAnsi="Times New Roman"/>
          <w:sz w:val="18"/>
          <w:szCs w:val="18"/>
          <w:color w:val="auto"/>
        </w:rPr>
      </w:pPr>
    </w:p>
    <w:p>
      <w:pPr>
        <w:ind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1.409A-2(b)(2) of the Treasury Regulations. The Company shall in no event be obligated to indemnify you for any taxes or interest that may be assessed under Section 409A.</w:t>
      </w:r>
    </w:p>
    <w:p>
      <w:pPr>
        <w:spacing w:after="0" w:line="177" w:lineRule="exact"/>
        <w:rPr>
          <w:rFonts w:ascii="Times New Roman" w:cs="Times New Roman" w:eastAsia="Times New Roman" w:hAnsi="Times New Roman"/>
          <w:sz w:val="18"/>
          <w:szCs w:val="18"/>
          <w:color w:val="auto"/>
        </w:rPr>
      </w:pPr>
    </w:p>
    <w:p>
      <w:pPr>
        <w:ind w:right="100" w:firstLine="436"/>
        <w:spacing w:after="0" w:line="259" w:lineRule="auto"/>
        <w:tabs>
          <w:tab w:leader="none" w:pos="620" w:val="left"/>
        </w:tabs>
        <w:numPr>
          <w:ilvl w:val="0"/>
          <w:numId w:val="4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Interpretation, Amendment and Enforcement. </w:t>
      </w:r>
      <w:r>
        <w:rPr>
          <w:rFonts w:ascii="Times New Roman" w:cs="Times New Roman" w:eastAsia="Times New Roman" w:hAnsi="Times New Roman"/>
          <w:sz w:val="18"/>
          <w:szCs w:val="18"/>
          <w:color w:val="auto"/>
        </w:rPr>
        <w:t>This Agreement, together with the PIAA, the Severance Policy and your participation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under the Severance Policy and your Equity Award agreements, supersede and replace any prior agreements, representations or understandings (whether written, oral, implied or otherwise) between you and the Company, including, but not limited to any initial offer letter with the Company, and constitute the complete agreement between you and the Company regarding the subject matter set forth herein. This Agreement may not be amended or modified, except by an express written agreement signed by both you and a duly authorized officer of the Company.</w:t>
      </w:r>
    </w:p>
    <w:p>
      <w:pPr>
        <w:spacing w:after="0" w:line="183" w:lineRule="exact"/>
        <w:rPr>
          <w:rFonts w:ascii="Times New Roman" w:cs="Times New Roman" w:eastAsia="Times New Roman" w:hAnsi="Times New Roman"/>
          <w:sz w:val="18"/>
          <w:szCs w:val="18"/>
          <w:b w:val="1"/>
          <w:bCs w:val="1"/>
          <w:color w:val="auto"/>
        </w:rPr>
      </w:pPr>
    </w:p>
    <w:p>
      <w:pPr>
        <w:ind w:left="51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are extremely excited about your continued employment with PMV Pharma!</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9" w:right="459" w:bottom="1440" w:gutter="0" w:footer="0" w:header="0"/>
        </w:sectPr>
      </w:pPr>
    </w:p>
    <w:bookmarkStart w:id="514" w:name="page515"/>
    <w:bookmarkEnd w:id="514"/>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indicate your acceptance of the Company’s offer, please sign and date this letter in the space provided below and return it to me. A duplicate original is enclosed for your records.</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David Mack</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and accepted:</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Signature:</w:t>
        <w:tab/>
        <w:t>/s/ 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26035</wp:posOffset>
            </wp:positionV>
            <wp:extent cx="223710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32"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Printed Name:</w:t>
      </w:r>
      <w:r>
        <w:rPr>
          <w:sz w:val="20"/>
          <w:szCs w:val="20"/>
          <w:color w:val="auto"/>
        </w:rPr>
        <w:tab/>
      </w:r>
      <w:r>
        <w:rPr>
          <w:rFonts w:ascii="Times New Roman" w:cs="Times New Roman" w:eastAsia="Times New Roman" w:hAnsi="Times New Roman"/>
          <w:sz w:val="17"/>
          <w:szCs w:val="17"/>
          <w:color w:val="auto"/>
        </w:rPr>
        <w:t>Winston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803275</wp:posOffset>
            </wp:positionH>
            <wp:positionV relativeFrom="paragraph">
              <wp:posOffset>26035</wp:posOffset>
            </wp:positionV>
            <wp:extent cx="198882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3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Date:</w:t>
        <w:tab/>
        <w:t>August 17,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26035</wp:posOffset>
            </wp:positionV>
            <wp:extent cx="2486025"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40" w:top="269" w:right="519" w:bottom="1440" w:gutter="0" w:footer="0" w:header="0"/>
        </w:sectPr>
      </w:pPr>
    </w:p>
    <w:bookmarkStart w:id="515" w:name="page516"/>
    <w:bookmarkEnd w:id="515"/>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19685</wp:posOffset>
            </wp:positionV>
            <wp:extent cx="3394710" cy="6604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339471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11,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Leila Alland, M.D.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PMV Pharmaceuticals,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Leila,</w:t>
      </w:r>
    </w:p>
    <w:p>
      <w:pPr>
        <w:spacing w:after="0" w:line="115" w:lineRule="exact"/>
        <w:rPr>
          <w:sz w:val="20"/>
          <w:szCs w:val="20"/>
          <w:color w:val="auto"/>
        </w:rPr>
      </w:pPr>
    </w:p>
    <w:p>
      <w:pPr>
        <w:jc w:val="both"/>
        <w:ind w:right="60" w:firstLine="440"/>
        <w:spacing w:after="0" w:line="267" w:lineRule="auto"/>
        <w:rPr>
          <w:sz w:val="20"/>
          <w:szCs w:val="20"/>
          <w:color w:val="auto"/>
        </w:rPr>
      </w:pPr>
      <w:r>
        <w:rPr>
          <w:rFonts w:ascii="Times New Roman" w:cs="Times New Roman" w:eastAsia="Times New Roman" w:hAnsi="Times New Roman"/>
          <w:sz w:val="18"/>
          <w:szCs w:val="18"/>
          <w:color w:val="auto"/>
        </w:rPr>
        <w:t>This letter agreement (the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is entered into between you and PMV Pharmaceuticals,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PMV Pharma</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This Agreement is effective as of the date hereof (the “</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The purpose of this Agreement is to confirm the current terms and conditions of your employment.</w:t>
      </w:r>
    </w:p>
    <w:p>
      <w:pPr>
        <w:spacing w:after="0" w:line="171" w:lineRule="exact"/>
        <w:rPr>
          <w:sz w:val="20"/>
          <w:szCs w:val="20"/>
          <w:color w:val="auto"/>
        </w:rPr>
      </w:pPr>
    </w:p>
    <w:p>
      <w:pPr>
        <w:ind w:right="40" w:firstLine="436"/>
        <w:spacing w:after="0" w:line="268" w:lineRule="auto"/>
        <w:tabs>
          <w:tab w:leader="none" w:pos="62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Position</w:t>
      </w:r>
      <w:r>
        <w:rPr>
          <w:rFonts w:ascii="Times New Roman" w:cs="Times New Roman" w:eastAsia="Times New Roman" w:hAnsi="Times New Roman"/>
          <w:sz w:val="18"/>
          <w:szCs w:val="18"/>
          <w:color w:val="auto"/>
        </w:rPr>
        <w:t>. Your title will continue to be Chief Medical Officer, and you will continue to report to the Company’s Chief Executive Officer. This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full-time position. While you render services to the Company, you will not engage in any other employment, consulting or other business activity (whether full time or part-time) that would create a conflict of interest with the Company.</w:t>
      </w:r>
    </w:p>
    <w:p>
      <w:pPr>
        <w:spacing w:after="0" w:line="170" w:lineRule="exact"/>
        <w:rPr>
          <w:rFonts w:ascii="Times New Roman" w:cs="Times New Roman" w:eastAsia="Times New Roman" w:hAnsi="Times New Roman"/>
          <w:sz w:val="18"/>
          <w:szCs w:val="18"/>
          <w:color w:val="auto"/>
        </w:rPr>
      </w:pPr>
    </w:p>
    <w:p>
      <w:pPr>
        <w:ind w:right="20" w:firstLine="436"/>
        <w:spacing w:after="0" w:line="255" w:lineRule="auto"/>
        <w:tabs>
          <w:tab w:leader="none" w:pos="62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Compensation</w:t>
      </w:r>
      <w:r>
        <w:rPr>
          <w:rFonts w:ascii="Times New Roman" w:cs="Times New Roman" w:eastAsia="Times New Roman" w:hAnsi="Times New Roman"/>
          <w:sz w:val="18"/>
          <w:szCs w:val="18"/>
          <w:color w:val="auto"/>
        </w:rPr>
        <w:t>. Your current salary as of the Effective Date is $445,000 per year, payable in accordance with the Company’s standard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payroll schedule. This salary will be subject to adjustment pursuant to the Company’s employee compensation policies in effect from time to time. In addition, you will be eligible to be considered for an incentive bonus for each fiscal year of the Company under the Company’s Employee Incentive Compensation Plan (the “</w:t>
      </w:r>
      <w:r>
        <w:rPr>
          <w:rFonts w:ascii="Times New Roman" w:cs="Times New Roman" w:eastAsia="Times New Roman" w:hAnsi="Times New Roman"/>
          <w:sz w:val="18"/>
          <w:szCs w:val="18"/>
          <w:i w:val="1"/>
          <w:iCs w:val="1"/>
          <w:color w:val="auto"/>
        </w:rPr>
        <w:t>Incentive Plan</w:t>
      </w:r>
      <w:r>
        <w:rPr>
          <w:rFonts w:ascii="Times New Roman" w:cs="Times New Roman" w:eastAsia="Times New Roman" w:hAnsi="Times New Roman"/>
          <w:sz w:val="18"/>
          <w:szCs w:val="18"/>
          <w:color w:val="auto"/>
        </w:rPr>
        <w:t>”) or any successor plan. The bonus (if any) will be awarded based on objective or subjective criteria established by the Company’s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and/or the Compensation Committee of the Board (the “</w:t>
      </w:r>
      <w:r>
        <w:rPr>
          <w:rFonts w:ascii="Times New Roman" w:cs="Times New Roman" w:eastAsia="Times New Roman" w:hAnsi="Times New Roman"/>
          <w:sz w:val="18"/>
          <w:szCs w:val="18"/>
          <w:i w:val="1"/>
          <w:iCs w:val="1"/>
          <w:color w:val="auto"/>
        </w:rPr>
        <w:t>Compensation Committee</w:t>
      </w:r>
      <w:r>
        <w:rPr>
          <w:rFonts w:ascii="Times New Roman" w:cs="Times New Roman" w:eastAsia="Times New Roman" w:hAnsi="Times New Roman"/>
          <w:sz w:val="18"/>
          <w:szCs w:val="18"/>
          <w:color w:val="auto"/>
        </w:rPr>
        <w:t>”), as applicable. Your current annual target bonus as of the Effective Date is equal to 40% of your annual base salary. The terms and conditions of your bonus will be set forth in the Incentive Plan, and the Board and/or the Compensation Committee reserves authority to pay discretionary bonuses. The determinations of the Board and/or the Compensation Committee, as applicable, with respect to your bonus will be final and binding.</w:t>
      </w:r>
    </w:p>
    <w:p>
      <w:pPr>
        <w:spacing w:after="0" w:line="184" w:lineRule="exact"/>
        <w:rPr>
          <w:rFonts w:ascii="Times New Roman" w:cs="Times New Roman" w:eastAsia="Times New Roman" w:hAnsi="Times New Roman"/>
          <w:sz w:val="18"/>
          <w:szCs w:val="18"/>
          <w:color w:val="auto"/>
        </w:rPr>
      </w:pPr>
    </w:p>
    <w:p>
      <w:pPr>
        <w:jc w:val="both"/>
        <w:ind w:right="120" w:firstLine="436"/>
        <w:spacing w:after="0" w:line="317" w:lineRule="auto"/>
        <w:tabs>
          <w:tab w:leader="none" w:pos="620" w:val="left"/>
        </w:tabs>
        <w:numPr>
          <w:ilvl w:val="0"/>
          <w:numId w:val="4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Employee Benefits</w:t>
      </w:r>
      <w:r>
        <w:rPr>
          <w:rFonts w:ascii="Times New Roman" w:cs="Times New Roman" w:eastAsia="Times New Roman" w:hAnsi="Times New Roman"/>
          <w:sz w:val="17"/>
          <w:szCs w:val="17"/>
          <w:color w:val="auto"/>
        </w:rPr>
        <w:t>. As a regular employee of the Company, you will continue to be eligible to participate in a number of Company-sponsored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benefits. In addition, you will continue to be entitled to paid vacation in accordance with the Company’s vacation policy, as in effect from time to time.</w:t>
      </w:r>
    </w:p>
    <w:p>
      <w:pPr>
        <w:spacing w:after="0" w:line="131" w:lineRule="exact"/>
        <w:rPr>
          <w:rFonts w:ascii="Times New Roman" w:cs="Times New Roman" w:eastAsia="Times New Roman" w:hAnsi="Times New Roman"/>
          <w:sz w:val="17"/>
          <w:szCs w:val="17"/>
          <w:color w:val="auto"/>
        </w:rPr>
      </w:pPr>
    </w:p>
    <w:p>
      <w:pPr>
        <w:ind w:right="560" w:firstLine="436"/>
        <w:spacing w:after="0" w:line="268" w:lineRule="auto"/>
        <w:tabs>
          <w:tab w:leader="none" w:pos="62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Equity Awards</w:t>
      </w:r>
      <w:r>
        <w:rPr>
          <w:rFonts w:ascii="Times New Roman" w:cs="Times New Roman" w:eastAsia="Times New Roman" w:hAnsi="Times New Roman"/>
          <w:sz w:val="18"/>
          <w:szCs w:val="18"/>
          <w:color w:val="auto"/>
        </w:rPr>
        <w:t>. You have received equity awards from the Company and these awards shall continue to be in full force and effect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the terms set forth therein, as modified by the Company’s Change in Control and Severance Policy and your participation agreement thereunder (the “</w:t>
      </w:r>
      <w:r>
        <w:rPr>
          <w:rFonts w:ascii="Times New Roman" w:cs="Times New Roman" w:eastAsia="Times New Roman" w:hAnsi="Times New Roman"/>
          <w:sz w:val="18"/>
          <w:szCs w:val="18"/>
          <w:i w:val="1"/>
          <w:iCs w:val="1"/>
          <w:color w:val="auto"/>
        </w:rPr>
        <w:t>Severance Policy</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right="260" w:firstLine="436"/>
        <w:spacing w:after="0" w:line="317" w:lineRule="auto"/>
        <w:tabs>
          <w:tab w:leader="none" w:pos="620" w:val="left"/>
        </w:tabs>
        <w:numPr>
          <w:ilvl w:val="0"/>
          <w:numId w:val="4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Severance &amp; Change of Control Benefits</w:t>
      </w:r>
      <w:r>
        <w:rPr>
          <w:rFonts w:ascii="Times New Roman" w:cs="Times New Roman" w:eastAsia="Times New Roman" w:hAnsi="Times New Roman"/>
          <w:sz w:val="17"/>
          <w:szCs w:val="17"/>
          <w:color w:val="auto"/>
        </w:rPr>
        <w:t>. You will continue to be eligible for benefits in the Severance Policy. Accordingly, your potential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severance and change of control benefits and the terms and conditions thereof are set forth in your participation agreement to the Severance Policy.</w:t>
      </w:r>
    </w:p>
    <w:p>
      <w:pPr>
        <w:spacing w:after="0" w:line="131" w:lineRule="exact"/>
        <w:rPr>
          <w:rFonts w:ascii="Times New Roman" w:cs="Times New Roman" w:eastAsia="Times New Roman" w:hAnsi="Times New Roman"/>
          <w:sz w:val="17"/>
          <w:szCs w:val="17"/>
          <w:color w:val="auto"/>
        </w:rPr>
      </w:pPr>
    </w:p>
    <w:p>
      <w:pPr>
        <w:ind w:right="60" w:firstLine="436"/>
        <w:spacing w:after="0" w:line="268" w:lineRule="auto"/>
        <w:tabs>
          <w:tab w:leader="none" w:pos="62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Proprietary Information and Inventions Agreement</w:t>
      </w:r>
      <w:r>
        <w:rPr>
          <w:rFonts w:ascii="Times New Roman" w:cs="Times New Roman" w:eastAsia="Times New Roman" w:hAnsi="Times New Roman"/>
          <w:sz w:val="18"/>
          <w:szCs w:val="18"/>
          <w:color w:val="auto"/>
        </w:rPr>
        <w:t>. As an employee of the Company, you will continue to have access to certain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information of the Company and you may, during the course of your employment, develop certain information or inventions that will be the property of the Company. To protect the</w:t>
      </w:r>
    </w:p>
    <w:p>
      <w:pPr>
        <w:sectPr>
          <w:pgSz w:w="11900" w:h="16838" w:orient="portrait"/>
          <w:cols w:equalWidth="0" w:num="1">
            <w:col w:w="11020"/>
          </w:cols>
          <w:pgMar w:left="440" w:top="117" w:right="439" w:bottom="1440" w:gutter="0" w:footer="0" w:header="0"/>
        </w:sectPr>
      </w:pPr>
    </w:p>
    <w:bookmarkStart w:id="516" w:name="page517"/>
    <w:bookmarkEnd w:id="516"/>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interests of the Company, your acceptance of this Agreement reaffirms that the terms of the Company’s At-Will Employment, Confidential Information, Invention Assignment, and Arbitration Agreement that you executed in connection with your hire (the “</w:t>
      </w:r>
      <w:r>
        <w:rPr>
          <w:rFonts w:ascii="Times New Roman" w:cs="Times New Roman" w:eastAsia="Times New Roman" w:hAnsi="Times New Roman"/>
          <w:sz w:val="18"/>
          <w:szCs w:val="18"/>
          <w:i w:val="1"/>
          <w:iCs w:val="1"/>
          <w:color w:val="auto"/>
        </w:rPr>
        <w:t>PIAA</w:t>
      </w:r>
      <w:r>
        <w:rPr>
          <w:rFonts w:ascii="Times New Roman" w:cs="Times New Roman" w:eastAsia="Times New Roman" w:hAnsi="Times New Roman"/>
          <w:sz w:val="18"/>
          <w:szCs w:val="18"/>
          <w:color w:val="auto"/>
        </w:rPr>
        <w:t>”) continue to be in effect. In the event of any dispute or claim relating to or arising out of our employment relationship, you and the Company agree that (i) any and all disputes between you and the Company shall be fully and finally resolved by binding arbitration, (ii) you are waiting any and all rights to a jury trial but all court remedies will be available in arbitration, (iii) all disputes shall be resolved by a neutral arbitrator who shall issue a written opinion, and (iv) the arbitration shall provide for adequate discovery, and the Company shall pay all but the first $125 of the arbitration fees.</w:t>
      </w:r>
    </w:p>
    <w:p>
      <w:pPr>
        <w:spacing w:after="0" w:line="183" w:lineRule="exact"/>
        <w:rPr>
          <w:sz w:val="20"/>
          <w:szCs w:val="20"/>
          <w:color w:val="auto"/>
        </w:rPr>
      </w:pPr>
    </w:p>
    <w:p>
      <w:pPr>
        <w:ind w:firstLine="436"/>
        <w:spacing w:after="0" w:line="257" w:lineRule="auto"/>
        <w:tabs>
          <w:tab w:leader="none" w:pos="62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Employment Relationship</w:t>
      </w:r>
      <w:r>
        <w:rPr>
          <w:rFonts w:ascii="Times New Roman" w:cs="Times New Roman" w:eastAsia="Times New Roman" w:hAnsi="Times New Roman"/>
          <w:sz w:val="18"/>
          <w:szCs w:val="18"/>
          <w:color w:val="auto"/>
        </w:rPr>
        <w:t>. Employment with the Company is for no specific period of time. Your employment with the Company continues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“at will,” meaning that either you or the Company may terminate your employment at any time and for any reason, with or without cause. Any contrary representations that may have been made to you are superseded by this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82"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Matters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right="360" w:firstLine="987"/>
        <w:spacing w:after="0" w:line="282" w:lineRule="auto"/>
        <w:tabs>
          <w:tab w:leader="none" w:pos="1161"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All forms of compensation referred to in this Agreement are subject to reduction to reflect applicable withholding and payroll taxes and other deductions required by law.</w:t>
      </w:r>
    </w:p>
    <w:p>
      <w:pPr>
        <w:spacing w:after="0" w:line="161" w:lineRule="exact"/>
        <w:rPr>
          <w:rFonts w:ascii="Times New Roman" w:cs="Times New Roman" w:eastAsia="Times New Roman" w:hAnsi="Times New Roman"/>
          <w:sz w:val="18"/>
          <w:szCs w:val="18"/>
          <w:color w:val="auto"/>
        </w:rPr>
      </w:pPr>
    </w:p>
    <w:p>
      <w:pPr>
        <w:ind w:right="100" w:firstLine="987"/>
        <w:spacing w:after="0" w:line="255" w:lineRule="auto"/>
        <w:tabs>
          <w:tab w:leader="none" w:pos="1171" w:val="left"/>
        </w:tabs>
        <w:numPr>
          <w:ilvl w:val="1"/>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The parties intend that the benefits and payments provided under this Agreement shall be exempt from, or comply with, the requirements of Section 409A of the Code (as it has been and may be amended from time to time) and any regulations and guidance that has been promulgated or may be promulgated from time to time thereunder (“</w:t>
      </w:r>
      <w:r>
        <w:rPr>
          <w:rFonts w:ascii="Times New Roman" w:cs="Times New Roman" w:eastAsia="Times New Roman" w:hAnsi="Times New Roman"/>
          <w:sz w:val="18"/>
          <w:szCs w:val="18"/>
          <w:i w:val="1"/>
          <w:iCs w:val="1"/>
          <w:color w:val="auto"/>
        </w:rPr>
        <w:t>Section 409A</w:t>
      </w:r>
      <w:r>
        <w:rPr>
          <w:rFonts w:ascii="Times New Roman" w:cs="Times New Roman" w:eastAsia="Times New Roman" w:hAnsi="Times New Roman"/>
          <w:sz w:val="18"/>
          <w:szCs w:val="18"/>
          <w:color w:val="auto"/>
        </w:rPr>
        <w:t>”), and any ambiguities or ambiguous terms herein will be interpreted to so comply. Each payment and benefit payable under this Agreement is intended to constitute a separate payment for purposes of</w:t>
      </w:r>
    </w:p>
    <w:p>
      <w:pPr>
        <w:spacing w:after="0" w:line="2" w:lineRule="exact"/>
        <w:rPr>
          <w:rFonts w:ascii="Times New Roman" w:cs="Times New Roman" w:eastAsia="Times New Roman" w:hAnsi="Times New Roman"/>
          <w:sz w:val="18"/>
          <w:szCs w:val="18"/>
          <w:color w:val="auto"/>
        </w:rPr>
      </w:pPr>
    </w:p>
    <w:p>
      <w:pPr>
        <w:ind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1.409A-2(b)(2) of the Treasury Regulations. The Company shall in no event be obligated to indemnify you for any taxes or interest that may be assessed under Section 409A.</w:t>
      </w:r>
    </w:p>
    <w:p>
      <w:pPr>
        <w:spacing w:after="0" w:line="177" w:lineRule="exact"/>
        <w:rPr>
          <w:rFonts w:ascii="Times New Roman" w:cs="Times New Roman" w:eastAsia="Times New Roman" w:hAnsi="Times New Roman"/>
          <w:sz w:val="18"/>
          <w:szCs w:val="18"/>
          <w:color w:val="auto"/>
        </w:rPr>
      </w:pPr>
    </w:p>
    <w:p>
      <w:pPr>
        <w:ind w:right="100" w:firstLine="436"/>
        <w:spacing w:after="0" w:line="259" w:lineRule="auto"/>
        <w:tabs>
          <w:tab w:leader="none" w:pos="620" w:val="left"/>
        </w:tabs>
        <w:numPr>
          <w:ilvl w:val="0"/>
          <w:numId w:val="4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Interpretation, Amendment and Enforcement. </w:t>
      </w:r>
      <w:r>
        <w:rPr>
          <w:rFonts w:ascii="Times New Roman" w:cs="Times New Roman" w:eastAsia="Times New Roman" w:hAnsi="Times New Roman"/>
          <w:sz w:val="18"/>
          <w:szCs w:val="18"/>
          <w:color w:val="auto"/>
        </w:rPr>
        <w:t>This Agreement, together with the PIAA, the Severance Policy and your participation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under the Severance Policy and your Equity Award agreements, supersede and replace any prior agreements, representations or understandings (whether written, oral, implied or otherwise) between you and the Company, including, but not limited to any initial offer letter with the Company, and constitute the complete agreement between you and the Company regarding the subject matter set forth herein. This Agreement may not be amended or modified, except by an express written agreement signed by both you and a duly authorized officer of the Company.</w:t>
      </w:r>
    </w:p>
    <w:p>
      <w:pPr>
        <w:spacing w:after="0" w:line="183" w:lineRule="exact"/>
        <w:rPr>
          <w:rFonts w:ascii="Times New Roman" w:cs="Times New Roman" w:eastAsia="Times New Roman" w:hAnsi="Times New Roman"/>
          <w:sz w:val="18"/>
          <w:szCs w:val="18"/>
          <w:b w:val="1"/>
          <w:bCs w:val="1"/>
          <w:color w:val="auto"/>
        </w:rPr>
      </w:pPr>
    </w:p>
    <w:p>
      <w:pPr>
        <w:ind w:left="51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are extremely excited about your continued employment with PMV Pharma!</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9" w:right="459" w:bottom="1440" w:gutter="0" w:footer="0" w:header="0"/>
        </w:sectPr>
      </w:pPr>
    </w:p>
    <w:bookmarkStart w:id="517" w:name="page518"/>
    <w:bookmarkEnd w:id="517"/>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indicate your acceptance of the Company’s offer, please sign and date this letter in the space provided below and return it to me. A duplicate original is enclosed for your records.</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33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David Mack</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and accepted:</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Signature:</w:t>
        <w:tab/>
        <w:t>/s/ Leila Alland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17145</wp:posOffset>
            </wp:positionV>
            <wp:extent cx="2237105"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2237105" cy="8890"/>
                    </a:xfrm>
                    <a:prstGeom prst="rect">
                      <a:avLst/>
                    </a:prstGeom>
                    <a:noFill/>
                  </pic:spPr>
                </pic:pic>
              </a:graphicData>
            </a:graphic>
          </wp:anchor>
        </w:drawing>
      </w:r>
    </w:p>
    <w:p>
      <w:pPr>
        <w:spacing w:after="0" w:line="219"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Printed Name:</w:t>
      </w:r>
      <w:r>
        <w:rPr>
          <w:sz w:val="20"/>
          <w:szCs w:val="20"/>
          <w:color w:val="auto"/>
        </w:rPr>
        <w:tab/>
      </w:r>
      <w:r>
        <w:rPr>
          <w:rFonts w:ascii="Times New Roman" w:cs="Times New Roman" w:eastAsia="Times New Roman" w:hAnsi="Times New Roman"/>
          <w:sz w:val="17"/>
          <w:szCs w:val="17"/>
          <w:color w:val="auto"/>
        </w:rPr>
        <w:t>Leila Alland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803275</wp:posOffset>
            </wp:positionH>
            <wp:positionV relativeFrom="paragraph">
              <wp:posOffset>17145</wp:posOffset>
            </wp:positionV>
            <wp:extent cx="198882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1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Date:</w:t>
        <w:tab/>
        <w:t>August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486025"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1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40" w:top="269" w:right="519" w:bottom="1440" w:gutter="0" w:footer="0" w:header="0"/>
        </w:sectPr>
      </w:pPr>
    </w:p>
    <w:bookmarkStart w:id="518" w:name="page519"/>
    <w:bookmarkEnd w:id="518"/>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20320</wp:posOffset>
            </wp:positionV>
            <wp:extent cx="3394710" cy="66040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339471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11,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Deepika Jalota, Pharm.D.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PMV Pharmaceuticals, Inc.</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Deepika,</w:t>
      </w:r>
    </w:p>
    <w:p>
      <w:pPr>
        <w:spacing w:after="0" w:line="115" w:lineRule="exact"/>
        <w:rPr>
          <w:sz w:val="20"/>
          <w:szCs w:val="20"/>
          <w:color w:val="auto"/>
        </w:rPr>
      </w:pPr>
    </w:p>
    <w:p>
      <w:pPr>
        <w:jc w:val="both"/>
        <w:ind w:right="60" w:firstLine="440"/>
        <w:spacing w:after="0" w:line="267" w:lineRule="auto"/>
        <w:rPr>
          <w:sz w:val="20"/>
          <w:szCs w:val="20"/>
          <w:color w:val="auto"/>
        </w:rPr>
      </w:pPr>
      <w:r>
        <w:rPr>
          <w:rFonts w:ascii="Times New Roman" w:cs="Times New Roman" w:eastAsia="Times New Roman" w:hAnsi="Times New Roman"/>
          <w:sz w:val="18"/>
          <w:szCs w:val="18"/>
          <w:color w:val="auto"/>
        </w:rPr>
        <w:t>This letter agreement (the “</w:t>
      </w:r>
      <w:r>
        <w:rPr>
          <w:rFonts w:ascii="Times New Roman" w:cs="Times New Roman" w:eastAsia="Times New Roman" w:hAnsi="Times New Roman"/>
          <w:sz w:val="18"/>
          <w:szCs w:val="18"/>
          <w:i w:val="1"/>
          <w:iCs w:val="1"/>
          <w:color w:val="auto"/>
        </w:rPr>
        <w:t>Agreement</w:t>
      </w:r>
      <w:r>
        <w:rPr>
          <w:rFonts w:ascii="Times New Roman" w:cs="Times New Roman" w:eastAsia="Times New Roman" w:hAnsi="Times New Roman"/>
          <w:sz w:val="18"/>
          <w:szCs w:val="18"/>
          <w:color w:val="auto"/>
        </w:rPr>
        <w:t>”) is entered into between you and PMV Pharmaceuticals, Inc.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PMV Pharma</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This Agreement is effective as of the date hereof (the “</w:t>
      </w:r>
      <w:r>
        <w:rPr>
          <w:rFonts w:ascii="Times New Roman" w:cs="Times New Roman" w:eastAsia="Times New Roman" w:hAnsi="Times New Roman"/>
          <w:sz w:val="18"/>
          <w:szCs w:val="18"/>
          <w:i w:val="1"/>
          <w:iCs w:val="1"/>
          <w:color w:val="auto"/>
        </w:rPr>
        <w:t>Effective Date</w:t>
      </w:r>
      <w:r>
        <w:rPr>
          <w:rFonts w:ascii="Times New Roman" w:cs="Times New Roman" w:eastAsia="Times New Roman" w:hAnsi="Times New Roman"/>
          <w:sz w:val="18"/>
          <w:szCs w:val="18"/>
          <w:color w:val="auto"/>
        </w:rPr>
        <w:t>”). The purpose of this Agreement is to confirm the current terms and conditions of your employment.</w:t>
      </w:r>
    </w:p>
    <w:p>
      <w:pPr>
        <w:spacing w:after="0" w:line="171" w:lineRule="exact"/>
        <w:rPr>
          <w:sz w:val="20"/>
          <w:szCs w:val="20"/>
          <w:color w:val="auto"/>
        </w:rPr>
      </w:pPr>
    </w:p>
    <w:p>
      <w:pPr>
        <w:ind w:right="80" w:firstLine="436"/>
        <w:spacing w:after="0" w:line="268" w:lineRule="auto"/>
        <w:tabs>
          <w:tab w:leader="none" w:pos="62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Position</w:t>
      </w:r>
      <w:r>
        <w:rPr>
          <w:rFonts w:ascii="Times New Roman" w:cs="Times New Roman" w:eastAsia="Times New Roman" w:hAnsi="Times New Roman"/>
          <w:sz w:val="18"/>
          <w:szCs w:val="18"/>
          <w:color w:val="auto"/>
        </w:rPr>
        <w:t>. Your title will continue to be Senior Vice President and Head of Regulatory Affairs, and you will continue to report to the Company’s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Chief Executive Officer. This is a full-time position. While you render services to the Company, you will not engage in any other employment, consulting or other business activity (whether full time or part-time) that would create a conflict of interest with the Company.</w:t>
      </w:r>
    </w:p>
    <w:p>
      <w:pPr>
        <w:spacing w:after="0" w:line="170" w:lineRule="exact"/>
        <w:rPr>
          <w:rFonts w:ascii="Times New Roman" w:cs="Times New Roman" w:eastAsia="Times New Roman" w:hAnsi="Times New Roman"/>
          <w:sz w:val="18"/>
          <w:szCs w:val="18"/>
          <w:color w:val="auto"/>
        </w:rPr>
      </w:pPr>
    </w:p>
    <w:p>
      <w:pPr>
        <w:ind w:right="20" w:firstLine="436"/>
        <w:spacing w:after="0" w:line="255" w:lineRule="auto"/>
        <w:tabs>
          <w:tab w:leader="none" w:pos="62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Cash Compensation</w:t>
      </w:r>
      <w:r>
        <w:rPr>
          <w:rFonts w:ascii="Times New Roman" w:cs="Times New Roman" w:eastAsia="Times New Roman" w:hAnsi="Times New Roman"/>
          <w:sz w:val="18"/>
          <w:szCs w:val="18"/>
          <w:color w:val="auto"/>
        </w:rPr>
        <w:t>. Your current salary as of the Effective Date is $362,300 per year, payable in accordance with the Company’s standard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payroll schedule. This salary will be subject to adjustment pursuant to the Company’s employee compensation policies in effect from time to time. In addition, you will be eligible to be considered for an incentive bonus for each fiscal year of the Company under the Company’s Employee Incentive Compensation Plan (the “</w:t>
      </w:r>
      <w:r>
        <w:rPr>
          <w:rFonts w:ascii="Times New Roman" w:cs="Times New Roman" w:eastAsia="Times New Roman" w:hAnsi="Times New Roman"/>
          <w:sz w:val="18"/>
          <w:szCs w:val="18"/>
          <w:i w:val="1"/>
          <w:iCs w:val="1"/>
          <w:color w:val="auto"/>
        </w:rPr>
        <w:t>Incentive Plan</w:t>
      </w:r>
      <w:r>
        <w:rPr>
          <w:rFonts w:ascii="Times New Roman" w:cs="Times New Roman" w:eastAsia="Times New Roman" w:hAnsi="Times New Roman"/>
          <w:sz w:val="18"/>
          <w:szCs w:val="18"/>
          <w:color w:val="auto"/>
        </w:rPr>
        <w:t>”) or any successor plan. The bonus (if any) will be awarded based on objective or subjective criteria established by the Company’s Board of Directors (the “</w:t>
      </w:r>
      <w:r>
        <w:rPr>
          <w:rFonts w:ascii="Times New Roman" w:cs="Times New Roman" w:eastAsia="Times New Roman" w:hAnsi="Times New Roman"/>
          <w:sz w:val="18"/>
          <w:szCs w:val="18"/>
          <w:i w:val="1"/>
          <w:iCs w:val="1"/>
          <w:color w:val="auto"/>
        </w:rPr>
        <w:t>Board</w:t>
      </w:r>
      <w:r>
        <w:rPr>
          <w:rFonts w:ascii="Times New Roman" w:cs="Times New Roman" w:eastAsia="Times New Roman" w:hAnsi="Times New Roman"/>
          <w:sz w:val="18"/>
          <w:szCs w:val="18"/>
          <w:color w:val="auto"/>
        </w:rPr>
        <w:t>”) and/or the Compensation Committee of the Board (the “</w:t>
      </w:r>
      <w:r>
        <w:rPr>
          <w:rFonts w:ascii="Times New Roman" w:cs="Times New Roman" w:eastAsia="Times New Roman" w:hAnsi="Times New Roman"/>
          <w:sz w:val="18"/>
          <w:szCs w:val="18"/>
          <w:i w:val="1"/>
          <w:iCs w:val="1"/>
          <w:color w:val="auto"/>
        </w:rPr>
        <w:t>Compensation Committee</w:t>
      </w:r>
      <w:r>
        <w:rPr>
          <w:rFonts w:ascii="Times New Roman" w:cs="Times New Roman" w:eastAsia="Times New Roman" w:hAnsi="Times New Roman"/>
          <w:sz w:val="18"/>
          <w:szCs w:val="18"/>
          <w:color w:val="auto"/>
        </w:rPr>
        <w:t>”), as applicable. Your current annual target bonus as of the Effective Date is equal to 35% of your annual base salary. The terms and conditions of your bonus will be set forth in the Incentive Plan, and the Board and/or the Compensation Committee reserves authority to pay discretionary bonuses. The determinations of the Board and/or the Compensation Committee, as applicable, with respect to your bonus will be final and binding.</w:t>
      </w:r>
    </w:p>
    <w:p>
      <w:pPr>
        <w:spacing w:after="0" w:line="184" w:lineRule="exact"/>
        <w:rPr>
          <w:rFonts w:ascii="Times New Roman" w:cs="Times New Roman" w:eastAsia="Times New Roman" w:hAnsi="Times New Roman"/>
          <w:sz w:val="18"/>
          <w:szCs w:val="18"/>
          <w:color w:val="auto"/>
        </w:rPr>
      </w:pPr>
    </w:p>
    <w:p>
      <w:pPr>
        <w:jc w:val="both"/>
        <w:ind w:right="120" w:firstLine="436"/>
        <w:spacing w:after="0" w:line="317" w:lineRule="auto"/>
        <w:tabs>
          <w:tab w:leader="none" w:pos="620" w:val="left"/>
        </w:tabs>
        <w:numPr>
          <w:ilvl w:val="0"/>
          <w:numId w:val="4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Employee Benefits</w:t>
      </w:r>
      <w:r>
        <w:rPr>
          <w:rFonts w:ascii="Times New Roman" w:cs="Times New Roman" w:eastAsia="Times New Roman" w:hAnsi="Times New Roman"/>
          <w:sz w:val="17"/>
          <w:szCs w:val="17"/>
          <w:color w:val="auto"/>
        </w:rPr>
        <w:t>. As a regular employee of the Company, you will continue to be eligible to participate in a number of Company-sponsored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benefits. In addition, you will continue to be entitled to paid vacation in accordance with the Company’s vacation policy, as in effect from time to time.</w:t>
      </w:r>
    </w:p>
    <w:p>
      <w:pPr>
        <w:spacing w:after="0" w:line="131" w:lineRule="exact"/>
        <w:rPr>
          <w:rFonts w:ascii="Times New Roman" w:cs="Times New Roman" w:eastAsia="Times New Roman" w:hAnsi="Times New Roman"/>
          <w:sz w:val="17"/>
          <w:szCs w:val="17"/>
          <w:color w:val="auto"/>
        </w:rPr>
      </w:pPr>
    </w:p>
    <w:p>
      <w:pPr>
        <w:ind w:right="560" w:firstLine="436"/>
        <w:spacing w:after="0" w:line="268" w:lineRule="auto"/>
        <w:tabs>
          <w:tab w:leader="none" w:pos="620"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Equity Awards</w:t>
      </w:r>
      <w:r>
        <w:rPr>
          <w:rFonts w:ascii="Times New Roman" w:cs="Times New Roman" w:eastAsia="Times New Roman" w:hAnsi="Times New Roman"/>
          <w:sz w:val="18"/>
          <w:szCs w:val="18"/>
          <w:color w:val="auto"/>
        </w:rPr>
        <w:t>. You have received equity awards from the Company and these awards shall continue to be in full force and effect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governed by the terms set forth therein, as modified by the Company’s Change in Control and Severance Policy and your participation agreement thereunder (the “</w:t>
      </w:r>
      <w:r>
        <w:rPr>
          <w:rFonts w:ascii="Times New Roman" w:cs="Times New Roman" w:eastAsia="Times New Roman" w:hAnsi="Times New Roman"/>
          <w:sz w:val="18"/>
          <w:szCs w:val="18"/>
          <w:i w:val="1"/>
          <w:iCs w:val="1"/>
          <w:color w:val="auto"/>
        </w:rPr>
        <w:t>Severance Policy</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right="260" w:firstLine="436"/>
        <w:spacing w:after="0" w:line="317" w:lineRule="auto"/>
        <w:tabs>
          <w:tab w:leader="none" w:pos="620" w:val="left"/>
        </w:tabs>
        <w:numPr>
          <w:ilvl w:val="0"/>
          <w:numId w:val="4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Severance &amp; Change of Control Benefits</w:t>
      </w:r>
      <w:r>
        <w:rPr>
          <w:rFonts w:ascii="Times New Roman" w:cs="Times New Roman" w:eastAsia="Times New Roman" w:hAnsi="Times New Roman"/>
          <w:sz w:val="17"/>
          <w:szCs w:val="17"/>
          <w:color w:val="auto"/>
        </w:rPr>
        <w:t>. You will continue to be eligible for benefits in the Severance Policy. Accordingly, your potential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severance and change of control benefits and the terms and conditions thereof are set forth in your participation agreement to the Severance Policy.</w:t>
      </w:r>
    </w:p>
    <w:p>
      <w:pPr>
        <w:spacing w:after="0" w:line="131" w:lineRule="exact"/>
        <w:rPr>
          <w:rFonts w:ascii="Times New Roman" w:cs="Times New Roman" w:eastAsia="Times New Roman" w:hAnsi="Times New Roman"/>
          <w:sz w:val="17"/>
          <w:szCs w:val="17"/>
          <w:color w:val="auto"/>
        </w:rPr>
      </w:pPr>
    </w:p>
    <w:p>
      <w:pPr>
        <w:ind w:right="60" w:firstLine="436"/>
        <w:spacing w:after="0" w:line="291" w:lineRule="auto"/>
        <w:tabs>
          <w:tab w:leader="none" w:pos="620" w:val="left"/>
        </w:tabs>
        <w:numPr>
          <w:ilvl w:val="0"/>
          <w:numId w:val="4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Proprietary Information and Inventions Agreement</w:t>
      </w:r>
      <w:r>
        <w:rPr>
          <w:rFonts w:ascii="Times New Roman" w:cs="Times New Roman" w:eastAsia="Times New Roman" w:hAnsi="Times New Roman"/>
          <w:sz w:val="17"/>
          <w:szCs w:val="17"/>
          <w:color w:val="auto"/>
        </w:rPr>
        <w:t>. As an employee of the Company, you will continue to have access to certain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confidential information of the Company and you may, during the course of your employment, develop certain information or inventions that will be the property of the Company. To protect the interests of the Company, your acceptance of this Agreement reaffirms that the terms of the Company’s At-Will</w:t>
      </w:r>
    </w:p>
    <w:p>
      <w:pPr>
        <w:sectPr>
          <w:pgSz w:w="11900" w:h="16838" w:orient="portrait"/>
          <w:cols w:equalWidth="0" w:num="1">
            <w:col w:w="11020"/>
          </w:cols>
          <w:pgMar w:left="440" w:top="117" w:right="439" w:bottom="1440" w:gutter="0" w:footer="0" w:header="0"/>
        </w:sectPr>
      </w:pPr>
    </w:p>
    <w:bookmarkStart w:id="519" w:name="page520"/>
    <w:bookmarkEnd w:id="519"/>
    <w:p>
      <w:pPr>
        <w:ind w:left="4" w:right="8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Employment, Confidential Information, Invention Assignment, and Arbitration Agreement that you executed in connection with your hire (the “</w:t>
      </w:r>
      <w:r>
        <w:rPr>
          <w:rFonts w:ascii="Times New Roman" w:cs="Times New Roman" w:eastAsia="Times New Roman" w:hAnsi="Times New Roman"/>
          <w:sz w:val="17"/>
          <w:szCs w:val="17"/>
          <w:i w:val="1"/>
          <w:iCs w:val="1"/>
          <w:color w:val="auto"/>
        </w:rPr>
        <w:t>PIAA</w:t>
      </w:r>
      <w:r>
        <w:rPr>
          <w:rFonts w:ascii="Times New Roman" w:cs="Times New Roman" w:eastAsia="Times New Roman" w:hAnsi="Times New Roman"/>
          <w:sz w:val="17"/>
          <w:szCs w:val="17"/>
          <w:color w:val="auto"/>
        </w:rPr>
        <w:t>”) continue to be in effect. In the event of any dispute or claim relating to or arising out of our employment relationship, you and the Company agree that</w:t>
      </w:r>
    </w:p>
    <w:p>
      <w:pPr>
        <w:spacing w:after="0" w:line="1" w:lineRule="exact"/>
        <w:rPr>
          <w:sz w:val="20"/>
          <w:szCs w:val="20"/>
          <w:color w:val="auto"/>
        </w:rPr>
      </w:pPr>
    </w:p>
    <w:p>
      <w:pPr>
        <w:ind w:left="4" w:right="80" w:hanging="4"/>
        <w:spacing w:after="0" w:line="255" w:lineRule="auto"/>
        <w:tabs>
          <w:tab w:leader="none" w:pos="219"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disputes between you and the Company shall be fully and finally resolved by binding arbitration, (ii) you are waiting any and all rights to a jury trial but all court remedies will be available in arbitration, (iii) all disputes shall be resolved by a neutral arbitrator who shall issue a written opinion, and (iv) the arbitration shall provide for adequate discovery, and the Company shall pay all but the first $125 of the arbitration fees.</w:t>
      </w:r>
    </w:p>
    <w:p>
      <w:pPr>
        <w:spacing w:after="0" w:line="181" w:lineRule="exact"/>
        <w:rPr>
          <w:rFonts w:ascii="Times New Roman" w:cs="Times New Roman" w:eastAsia="Times New Roman" w:hAnsi="Times New Roman"/>
          <w:sz w:val="18"/>
          <w:szCs w:val="18"/>
          <w:color w:val="auto"/>
        </w:rPr>
      </w:pPr>
    </w:p>
    <w:p>
      <w:pPr>
        <w:ind w:left="4" w:firstLine="436"/>
        <w:spacing w:after="0" w:line="257" w:lineRule="auto"/>
        <w:tabs>
          <w:tab w:leader="none" w:pos="624" w:val="left"/>
        </w:tabs>
        <w:numPr>
          <w:ilvl w:val="1"/>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Employment Relationship</w:t>
      </w:r>
      <w:r>
        <w:rPr>
          <w:rFonts w:ascii="Times New Roman" w:cs="Times New Roman" w:eastAsia="Times New Roman" w:hAnsi="Times New Roman"/>
          <w:sz w:val="18"/>
          <w:szCs w:val="18"/>
          <w:color w:val="auto"/>
        </w:rPr>
        <w:t>. Employment with the Company is for no specific period of time. Your employment with the Company continues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“at will,” meaning that either you or the Company may terminate your employment at any time and for any reason, with or without cause. Any contrary representations that may have been made to you are superseded by this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82"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 Matters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4" w:right="360" w:firstLine="987"/>
        <w:spacing w:after="0" w:line="282" w:lineRule="auto"/>
        <w:tabs>
          <w:tab w:leader="none" w:pos="1165" w:val="left"/>
        </w:tabs>
        <w:numPr>
          <w:ilvl w:val="2"/>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All forms of compensation referred to in this Agreement are subject to reduction to reflect applicable withholding and payroll taxes and other deductions required by law.</w:t>
      </w:r>
    </w:p>
    <w:p>
      <w:pPr>
        <w:spacing w:after="0" w:line="161" w:lineRule="exact"/>
        <w:rPr>
          <w:rFonts w:ascii="Times New Roman" w:cs="Times New Roman" w:eastAsia="Times New Roman" w:hAnsi="Times New Roman"/>
          <w:sz w:val="18"/>
          <w:szCs w:val="18"/>
          <w:color w:val="auto"/>
        </w:rPr>
      </w:pPr>
    </w:p>
    <w:p>
      <w:pPr>
        <w:ind w:left="4" w:right="100" w:firstLine="987"/>
        <w:spacing w:after="0" w:line="255" w:lineRule="auto"/>
        <w:tabs>
          <w:tab w:leader="none" w:pos="1175" w:val="left"/>
        </w:tabs>
        <w:numPr>
          <w:ilvl w:val="2"/>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The parties intend that the benefits and payments provided under this Agreement shall be exempt from, or comply with, the requirements of Section 409A of the Code (as it has been and may be amended from time to time) and any regulations and guidance that has been promulgated or may be promulgated from time to time thereunder (“</w:t>
      </w:r>
      <w:r>
        <w:rPr>
          <w:rFonts w:ascii="Times New Roman" w:cs="Times New Roman" w:eastAsia="Times New Roman" w:hAnsi="Times New Roman"/>
          <w:sz w:val="18"/>
          <w:szCs w:val="18"/>
          <w:i w:val="1"/>
          <w:iCs w:val="1"/>
          <w:color w:val="auto"/>
        </w:rPr>
        <w:t>Section 409A</w:t>
      </w:r>
      <w:r>
        <w:rPr>
          <w:rFonts w:ascii="Times New Roman" w:cs="Times New Roman" w:eastAsia="Times New Roman" w:hAnsi="Times New Roman"/>
          <w:sz w:val="18"/>
          <w:szCs w:val="18"/>
          <w:color w:val="auto"/>
        </w:rPr>
        <w:t>”), and any ambiguities or ambiguous terms herein will be interpreted to so comply. Each payment and benefit payable under this Agreement is intended to constitute a separate payment for purposes of</w:t>
      </w:r>
    </w:p>
    <w:p>
      <w:pPr>
        <w:spacing w:after="0" w:line="2" w:lineRule="exact"/>
        <w:rPr>
          <w:rFonts w:ascii="Times New Roman" w:cs="Times New Roman" w:eastAsia="Times New Roman" w:hAnsi="Times New Roman"/>
          <w:sz w:val="18"/>
          <w:szCs w:val="18"/>
          <w:color w:val="auto"/>
        </w:rPr>
      </w:pPr>
    </w:p>
    <w:p>
      <w:pPr>
        <w:ind w:left="4"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1.409A-2(b)(2) of the Treasury Regulations. The Company shall in no event be obligated to indemnify you for any taxes or interest that may be assessed under Section 409A.</w:t>
      </w:r>
    </w:p>
    <w:p>
      <w:pPr>
        <w:spacing w:after="0" w:line="177" w:lineRule="exact"/>
        <w:rPr>
          <w:rFonts w:ascii="Times New Roman" w:cs="Times New Roman" w:eastAsia="Times New Roman" w:hAnsi="Times New Roman"/>
          <w:sz w:val="18"/>
          <w:szCs w:val="18"/>
          <w:color w:val="auto"/>
        </w:rPr>
      </w:pPr>
    </w:p>
    <w:p>
      <w:pPr>
        <w:ind w:left="4" w:right="100" w:firstLine="436"/>
        <w:spacing w:after="0" w:line="259" w:lineRule="auto"/>
        <w:tabs>
          <w:tab w:leader="none" w:pos="624" w:val="left"/>
        </w:tabs>
        <w:numPr>
          <w:ilvl w:val="1"/>
          <w:numId w:val="4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Interpretation, Amendment and Enforcement. </w:t>
      </w:r>
      <w:r>
        <w:rPr>
          <w:rFonts w:ascii="Times New Roman" w:cs="Times New Roman" w:eastAsia="Times New Roman" w:hAnsi="Times New Roman"/>
          <w:sz w:val="18"/>
          <w:szCs w:val="18"/>
          <w:color w:val="auto"/>
        </w:rPr>
        <w:t>This Agreement, together with the PIAA, the Severance Policy and your participation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under the Severance Policy and your Equity Award agreements, supersede and replace any prior agreements, representations or understandings (whether written, oral, implied or otherwise) between you and the Company, including, but not limited to any initial offer letter with the Company, and constitute the complete agreement between you and the Company regarding the subject matter set forth herein. This Agreement may not be amended or modified, except by an express written agreement signed by both you and a duly authorized officer of the Company.</w:t>
      </w:r>
    </w:p>
    <w:p>
      <w:pPr>
        <w:spacing w:after="0" w:line="183" w:lineRule="exact"/>
        <w:rPr>
          <w:rFonts w:ascii="Times New Roman" w:cs="Times New Roman" w:eastAsia="Times New Roman" w:hAnsi="Times New Roman"/>
          <w:sz w:val="18"/>
          <w:szCs w:val="18"/>
          <w:b w:val="1"/>
          <w:bCs w:val="1"/>
          <w:color w:val="auto"/>
        </w:rPr>
      </w:pPr>
    </w:p>
    <w:p>
      <w:pPr>
        <w:ind w:left="518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We are extremely excited about your continued employment with PMV Pharma!</w:t>
      </w:r>
    </w:p>
    <w:p>
      <w:pPr>
        <w:spacing w:after="0" w:line="2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7" w:right="459" w:bottom="1440" w:gutter="0" w:footer="0" w:header="0"/>
        </w:sectPr>
      </w:pPr>
    </w:p>
    <w:bookmarkStart w:id="520" w:name="page521"/>
    <w:bookmarkEnd w:id="520"/>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indicate your acceptance of the Company’s offer, please sign and date this letter in the space provided below and return it to me. A duplicate original is enclosed for your records.</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33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wp:posOffset>
            </wp:positionV>
            <wp:extent cx="2794635"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David Mack</w:t>
      </w:r>
    </w:p>
    <w:p>
      <w:pPr>
        <w:spacing w:after="0" w:line="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Agreed to and accepted:</w:t>
      </w:r>
    </w:p>
    <w:p>
      <w:pPr>
        <w:spacing w:after="0" w:line="22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Signature:</w:t>
        <w:tab/>
        <w:t>/s/ Deepika Jalota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wp:posOffset>
            </wp:positionH>
            <wp:positionV relativeFrom="paragraph">
              <wp:posOffset>17145</wp:posOffset>
            </wp:positionV>
            <wp:extent cx="2237105"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19"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8"/>
          <w:szCs w:val="18"/>
          <w:color w:val="auto"/>
        </w:rPr>
        <w:t>Printed Name:</w:t>
      </w:r>
      <w:r>
        <w:rPr>
          <w:sz w:val="20"/>
          <w:szCs w:val="20"/>
          <w:color w:val="auto"/>
        </w:rPr>
        <w:tab/>
      </w:r>
      <w:r>
        <w:rPr>
          <w:rFonts w:ascii="Times New Roman" w:cs="Times New Roman" w:eastAsia="Times New Roman" w:hAnsi="Times New Roman"/>
          <w:sz w:val="17"/>
          <w:szCs w:val="17"/>
          <w:color w:val="auto"/>
        </w:rPr>
        <w:t>Deepika Jalota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803275</wp:posOffset>
            </wp:positionH>
            <wp:positionV relativeFrom="paragraph">
              <wp:posOffset>17145</wp:posOffset>
            </wp:positionV>
            <wp:extent cx="198882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21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Date:</w:t>
        <w:tab/>
        <w:t>August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486025"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40" w:top="269" w:right="519" w:bottom="1440" w:gutter="0" w:footer="0" w:header="0"/>
        </w:sectPr>
      </w:pPr>
    </w:p>
    <w:bookmarkStart w:id="521" w:name="page522"/>
    <w:bookmarkEnd w:id="521"/>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EMPLOYEE INCENTIVE COMPENSATION PLAN</w:t>
      </w:r>
    </w:p>
    <w:p>
      <w:pPr>
        <w:spacing w:after="0" w:line="229" w:lineRule="exact"/>
        <w:rPr>
          <w:sz w:val="20"/>
          <w:szCs w:val="20"/>
          <w:color w:val="auto"/>
        </w:rPr>
      </w:pPr>
    </w:p>
    <w:p>
      <w:pPr>
        <w:ind w:left="764" w:hanging="324"/>
        <w:spacing w:after="0"/>
        <w:tabs>
          <w:tab w:leader="none" w:pos="764"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Purposes of the Plan</w:t>
      </w:r>
      <w:r>
        <w:rPr>
          <w:rFonts w:ascii="Times New Roman" w:cs="Times New Roman" w:eastAsia="Times New Roman" w:hAnsi="Times New Roman"/>
          <w:sz w:val="18"/>
          <w:szCs w:val="18"/>
          <w:color w:val="auto"/>
        </w:rPr>
        <w:t>. The Plan is intended to increase stockholder value and the success of the Company by motivating Employees to</w:t>
      </w:r>
    </w:p>
    <w:p>
      <w:pPr>
        <w:spacing w:after="0" w:line="27"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to the best of their abilities and (ii) achieve the Company’s objectives.</w:t>
      </w:r>
    </w:p>
    <w:p>
      <w:pPr>
        <w:spacing w:after="0" w:line="314" w:lineRule="exact"/>
        <w:rPr>
          <w:rFonts w:ascii="Times New Roman" w:cs="Times New Roman" w:eastAsia="Times New Roman" w:hAnsi="Times New Roman"/>
          <w:sz w:val="18"/>
          <w:szCs w:val="18"/>
          <w:color w:val="auto"/>
        </w:rPr>
      </w:pPr>
    </w:p>
    <w:p>
      <w:pPr>
        <w:ind w:left="764" w:hanging="324"/>
        <w:spacing w:after="0"/>
        <w:tabs>
          <w:tab w:leader="none" w:pos="764"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200" w:firstLine="987"/>
        <w:spacing w:after="0" w:line="282" w:lineRule="auto"/>
        <w:tabs>
          <w:tab w:leader="none" w:pos="1375" w:val="left"/>
        </w:tabs>
        <w:numPr>
          <w:ilvl w:val="2"/>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Actual Award</w:t>
      </w:r>
      <w:r>
        <w:rPr>
          <w:rFonts w:ascii="Times New Roman" w:cs="Times New Roman" w:eastAsia="Times New Roman" w:hAnsi="Times New Roman"/>
          <w:sz w:val="18"/>
          <w:szCs w:val="18"/>
          <w:color w:val="auto"/>
        </w:rPr>
        <w:t>” means as to any Performance Period, the actual award (if any) payable to a Participant for the Performance Period, subject to the Committee’s authority under Section 3(d) to modify the award.</w:t>
      </w:r>
    </w:p>
    <w:p>
      <w:pPr>
        <w:spacing w:after="0" w:line="161" w:lineRule="exact"/>
        <w:rPr>
          <w:rFonts w:ascii="Times New Roman" w:cs="Times New Roman" w:eastAsia="Times New Roman" w:hAnsi="Times New Roman"/>
          <w:sz w:val="18"/>
          <w:szCs w:val="18"/>
          <w:color w:val="auto"/>
        </w:rPr>
      </w:pPr>
    </w:p>
    <w:p>
      <w:pPr>
        <w:ind w:left="1384" w:hanging="393"/>
        <w:spacing w:after="0"/>
        <w:tabs>
          <w:tab w:leader="none" w:pos="1384" w:val="left"/>
        </w:tabs>
        <w:numPr>
          <w:ilvl w:val="2"/>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corporation or other entity (including, but not limited to, partnerships and joint ventures) controlled by the</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6" w:lineRule="exact"/>
        <w:rPr>
          <w:rFonts w:ascii="Times New Roman" w:cs="Times New Roman" w:eastAsia="Times New Roman" w:hAnsi="Times New Roman"/>
          <w:sz w:val="18"/>
          <w:szCs w:val="18"/>
          <w:color w:val="auto"/>
        </w:rPr>
      </w:pPr>
    </w:p>
    <w:p>
      <w:pPr>
        <w:ind w:left="1364" w:hanging="373"/>
        <w:spacing w:after="0"/>
        <w:tabs>
          <w:tab w:leader="none" w:pos="1364" w:val="left"/>
        </w:tabs>
        <w:numPr>
          <w:ilvl w:val="2"/>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left="4" w:right="460" w:firstLine="987"/>
        <w:spacing w:after="0" w:line="282" w:lineRule="auto"/>
        <w:tabs>
          <w:tab w:leader="none" w:pos="1385" w:val="left"/>
        </w:tabs>
        <w:numPr>
          <w:ilvl w:val="2"/>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Bonus Pool</w:t>
      </w:r>
      <w:r>
        <w:rPr>
          <w:rFonts w:ascii="Times New Roman" w:cs="Times New Roman" w:eastAsia="Times New Roman" w:hAnsi="Times New Roman"/>
          <w:sz w:val="18"/>
          <w:szCs w:val="18"/>
          <w:color w:val="auto"/>
        </w:rPr>
        <w:t>” means the pool of funds available for distribution to Participants. Subject to the terms of the Plan, the Committee establishes the Bonus Pool for each Performance Period.</w:t>
      </w:r>
    </w:p>
    <w:p>
      <w:pPr>
        <w:spacing w:after="0" w:line="161" w:lineRule="exact"/>
        <w:rPr>
          <w:rFonts w:ascii="Times New Roman" w:cs="Times New Roman" w:eastAsia="Times New Roman" w:hAnsi="Times New Roman"/>
          <w:sz w:val="18"/>
          <w:szCs w:val="18"/>
          <w:color w:val="auto"/>
        </w:rPr>
      </w:pPr>
    </w:p>
    <w:p>
      <w:pPr>
        <w:ind w:left="4" w:right="160" w:firstLine="987"/>
        <w:spacing w:after="0" w:line="266" w:lineRule="auto"/>
        <w:tabs>
          <w:tab w:leader="none" w:pos="1375" w:val="left"/>
        </w:tabs>
        <w:numPr>
          <w:ilvl w:val="2"/>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Reference to a specific section of the Code or regulation thereunder will include such section or regulation, any valid regulation promulgated thereunder, and any comparable provision of any future legislation or regulation amending, supplementing or superseding such section or regulation.</w:t>
      </w:r>
    </w:p>
    <w:p>
      <w:pPr>
        <w:spacing w:after="0" w:line="175" w:lineRule="exact"/>
        <w:rPr>
          <w:rFonts w:ascii="Times New Roman" w:cs="Times New Roman" w:eastAsia="Times New Roman" w:hAnsi="Times New Roman"/>
          <w:sz w:val="18"/>
          <w:szCs w:val="18"/>
          <w:color w:val="auto"/>
        </w:rPr>
      </w:pPr>
    </w:p>
    <w:p>
      <w:pPr>
        <w:ind w:left="4" w:right="100" w:firstLine="987"/>
        <w:spacing w:after="0" w:line="282" w:lineRule="auto"/>
        <w:tabs>
          <w:tab w:leader="none" w:pos="1355" w:val="left"/>
        </w:tabs>
        <w:numPr>
          <w:ilvl w:val="2"/>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committee appointed by the Board (pursuant to Section 5) to administer the Plan. Unless and until the Board otherwise determines, the Board’s Compensation Committee will administer the Plan.</w:t>
      </w:r>
    </w:p>
    <w:p>
      <w:pPr>
        <w:spacing w:after="0" w:line="161" w:lineRule="exact"/>
        <w:rPr>
          <w:rFonts w:ascii="Times New Roman" w:cs="Times New Roman" w:eastAsia="Times New Roman" w:hAnsi="Times New Roman"/>
          <w:sz w:val="18"/>
          <w:szCs w:val="18"/>
          <w:color w:val="auto"/>
        </w:rPr>
      </w:pPr>
    </w:p>
    <w:p>
      <w:pPr>
        <w:ind w:left="4" w:right="120" w:firstLine="987"/>
        <w:spacing w:after="0" w:line="282" w:lineRule="auto"/>
        <w:tabs>
          <w:tab w:leader="none" w:pos="1385" w:val="left"/>
        </w:tabs>
        <w:numPr>
          <w:ilvl w:val="2"/>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PMV Pharmaceuticals, Inc., a Delaware corporation, or any successor thereto, and “Company Group” means the Company and any Parents, Subsidiaries, and Affiliates.</w:t>
      </w:r>
    </w:p>
    <w:p>
      <w:pPr>
        <w:spacing w:after="0" w:line="161" w:lineRule="exact"/>
        <w:rPr>
          <w:rFonts w:ascii="Times New Roman" w:cs="Times New Roman" w:eastAsia="Times New Roman" w:hAnsi="Times New Roman"/>
          <w:sz w:val="18"/>
          <w:szCs w:val="18"/>
          <w:color w:val="auto"/>
        </w:rPr>
      </w:pPr>
    </w:p>
    <w:p>
      <w:pPr>
        <w:ind w:left="4" w:right="60" w:firstLine="987"/>
        <w:spacing w:after="0" w:line="282" w:lineRule="auto"/>
        <w:tabs>
          <w:tab w:leader="none" w:pos="1385" w:val="left"/>
        </w:tabs>
        <w:numPr>
          <w:ilvl w:val="2"/>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a permanent and total disability determined in accordance with uniform and nondiscriminatory standards adopted by the Committee from time to time.</w:t>
      </w:r>
    </w:p>
    <w:p>
      <w:pPr>
        <w:spacing w:after="0" w:line="161" w:lineRule="exact"/>
        <w:rPr>
          <w:rFonts w:ascii="Times New Roman" w:cs="Times New Roman" w:eastAsia="Times New Roman" w:hAnsi="Times New Roman"/>
          <w:sz w:val="18"/>
          <w:szCs w:val="18"/>
          <w:color w:val="auto"/>
        </w:rPr>
      </w:pPr>
    </w:p>
    <w:p>
      <w:pPr>
        <w:ind w:left="4" w:right="640" w:firstLine="987"/>
        <w:spacing w:after="0" w:line="282" w:lineRule="auto"/>
        <w:tabs>
          <w:tab w:leader="none" w:pos="1345" w:val="left"/>
        </w:tabs>
        <w:numPr>
          <w:ilvl w:val="2"/>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executive, officer, or other employee of the Company or of an Affiliate, whether such individual is so employed at the time the Plan is adopted or becomes so employed subsequent to the adoption of the Plan.</w:t>
      </w:r>
    </w:p>
    <w:p>
      <w:pPr>
        <w:spacing w:after="0" w:line="161" w:lineRule="exact"/>
        <w:rPr>
          <w:rFonts w:ascii="Times New Roman" w:cs="Times New Roman" w:eastAsia="Times New Roman" w:hAnsi="Times New Roman"/>
          <w:sz w:val="18"/>
          <w:szCs w:val="18"/>
          <w:color w:val="auto"/>
        </w:rPr>
      </w:pPr>
    </w:p>
    <w:p>
      <w:pPr>
        <w:ind w:left="1344" w:hanging="353"/>
        <w:spacing w:after="0"/>
        <w:tabs>
          <w:tab w:leader="none" w:pos="1344" w:val="left"/>
        </w:tabs>
        <w:numPr>
          <w:ilvl w:val="2"/>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the fiscal year of the Company.</w:t>
      </w:r>
    </w:p>
    <w:p>
      <w:pPr>
        <w:sectPr>
          <w:pgSz w:w="11900" w:h="16838" w:orient="portrait"/>
          <w:cols w:equalWidth="0" w:num="1">
            <w:col w:w="11024"/>
          </w:cols>
          <w:pgMar w:left="436" w:top="117" w:right="439" w:bottom="1440" w:gutter="0" w:footer="0" w:header="0"/>
        </w:sectPr>
      </w:pPr>
    </w:p>
    <w:bookmarkStart w:id="522" w:name="page523"/>
    <w:bookmarkEnd w:id="522"/>
    <w:p>
      <w:pPr>
        <w:ind w:left="1380" w:hanging="393"/>
        <w:spacing w:after="0"/>
        <w:tabs>
          <w:tab w:leader="none" w:pos="1380"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whether now or hereafter existing, as defined in Code Section 424(e).</w:t>
      </w:r>
    </w:p>
    <w:p>
      <w:pPr>
        <w:spacing w:after="0" w:line="225" w:lineRule="exact"/>
        <w:rPr>
          <w:rFonts w:ascii="Times New Roman" w:cs="Times New Roman" w:eastAsia="Times New Roman" w:hAnsi="Times New Roman"/>
          <w:sz w:val="18"/>
          <w:szCs w:val="18"/>
          <w:color w:val="auto"/>
        </w:rPr>
      </w:pPr>
    </w:p>
    <w:p>
      <w:pPr>
        <w:ind w:right="320" w:firstLine="987"/>
        <w:spacing w:after="0" w:line="282" w:lineRule="auto"/>
        <w:tabs>
          <w:tab w:leader="none" w:pos="1386"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as to any Performance Period, an Employee who has been selected by the Committee for participation in the Plan for that Performance Period.</w:t>
      </w:r>
    </w:p>
    <w:p>
      <w:pPr>
        <w:spacing w:after="0" w:line="161" w:lineRule="exact"/>
        <w:rPr>
          <w:rFonts w:ascii="Times New Roman" w:cs="Times New Roman" w:eastAsia="Times New Roman" w:hAnsi="Times New Roman"/>
          <w:sz w:val="18"/>
          <w:szCs w:val="18"/>
          <w:color w:val="auto"/>
        </w:rPr>
      </w:pPr>
    </w:p>
    <w:p>
      <w:pPr>
        <w:jc w:val="both"/>
        <w:ind w:right="260" w:firstLine="987"/>
        <w:spacing w:after="0" w:line="289" w:lineRule="auto"/>
        <w:tabs>
          <w:tab w:leader="none" w:pos="1431" w:val="left"/>
        </w:tabs>
        <w:numPr>
          <w:ilvl w:val="1"/>
          <w:numId w:val="4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Performance Period</w:t>
      </w:r>
      <w:r>
        <w:rPr>
          <w:rFonts w:ascii="Times New Roman" w:cs="Times New Roman" w:eastAsia="Times New Roman" w:hAnsi="Times New Roman"/>
          <w:sz w:val="17"/>
          <w:szCs w:val="17"/>
          <w:color w:val="auto"/>
        </w:rPr>
        <w:t>” means the period of time for the measurement of the performance criteria that must be met to receive an Actual Award, as determined by the Committee in its sole discretion. A Performance Period may be divided into one or more shorter periods if, for example, but not by way of limitation, the Committee desires to measure some performance criteria over 12 months and other criteria over 3 months.</w:t>
      </w:r>
    </w:p>
    <w:p>
      <w:pPr>
        <w:spacing w:after="0" w:line="157" w:lineRule="exact"/>
        <w:rPr>
          <w:rFonts w:ascii="Times New Roman" w:cs="Times New Roman" w:eastAsia="Times New Roman" w:hAnsi="Times New Roman"/>
          <w:sz w:val="17"/>
          <w:szCs w:val="17"/>
          <w:color w:val="auto"/>
        </w:rPr>
      </w:pPr>
    </w:p>
    <w:p>
      <w:pPr>
        <w:ind w:right="200" w:firstLine="987"/>
        <w:spacing w:after="0" w:line="282" w:lineRule="auto"/>
        <w:tabs>
          <w:tab w:leader="none" w:pos="1381"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Executive Incentive Compensation Plan, as set forth in this instrument (including any appendix attached hereto) and as hereafter amended from time to time.</w:t>
      </w:r>
    </w:p>
    <w:p>
      <w:pPr>
        <w:spacing w:after="0" w:line="161" w:lineRule="exact"/>
        <w:rPr>
          <w:rFonts w:ascii="Times New Roman" w:cs="Times New Roman" w:eastAsia="Times New Roman" w:hAnsi="Times New Roman"/>
          <w:sz w:val="18"/>
          <w:szCs w:val="18"/>
          <w:color w:val="auto"/>
        </w:rPr>
      </w:pPr>
    </w:p>
    <w:p>
      <w:pPr>
        <w:ind w:left="1380" w:hanging="393"/>
        <w:spacing w:after="0"/>
        <w:tabs>
          <w:tab w:leader="none" w:pos="1380"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“subsidiary corporation,” whether now or hereafter existing, as defined in Code Section 424(f), in relation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w:t>
      </w:r>
    </w:p>
    <w:p>
      <w:pPr>
        <w:spacing w:after="0" w:line="206" w:lineRule="exact"/>
        <w:rPr>
          <w:rFonts w:ascii="Times New Roman" w:cs="Times New Roman" w:eastAsia="Times New Roman" w:hAnsi="Times New Roman"/>
          <w:sz w:val="18"/>
          <w:szCs w:val="18"/>
          <w:color w:val="auto"/>
        </w:rPr>
      </w:pPr>
    </w:p>
    <w:p>
      <w:pPr>
        <w:ind w:right="220" w:firstLine="987"/>
        <w:spacing w:after="0" w:line="282" w:lineRule="auto"/>
        <w:tabs>
          <w:tab w:leader="none" w:pos="1426"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Award</w:t>
      </w:r>
      <w:r>
        <w:rPr>
          <w:rFonts w:ascii="Times New Roman" w:cs="Times New Roman" w:eastAsia="Times New Roman" w:hAnsi="Times New Roman"/>
          <w:sz w:val="18"/>
          <w:szCs w:val="18"/>
          <w:color w:val="auto"/>
        </w:rPr>
        <w:t>” means the target award, at 100% of target level performance achievement, payable under the Plan to a Participant for the Performance Period, as determined by the Committee in accordance with Section 3(b).</w:t>
      </w:r>
    </w:p>
    <w:p>
      <w:pPr>
        <w:spacing w:after="0" w:line="269"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Selection of Participants and Determination of Awards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100" w:firstLine="987"/>
        <w:spacing w:after="0" w:line="261" w:lineRule="auto"/>
        <w:tabs>
          <w:tab w:leader="none" w:pos="1371"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Selection of Participants</w:t>
      </w:r>
      <w:r>
        <w:rPr>
          <w:rFonts w:ascii="Times New Roman" w:cs="Times New Roman" w:eastAsia="Times New Roman" w:hAnsi="Times New Roman"/>
          <w:sz w:val="18"/>
          <w:szCs w:val="18"/>
          <w:color w:val="auto"/>
        </w:rPr>
        <w:t>. The Committee, in its sole discretion, will select the Employees who will be Participants for any Performance Period. Participation in the Plan is in the sole discretion of the Committee, on a Performance Period by Performance Period basis. Accordingly, an Employee who is a Participant for a given Performance Period in no way is guaranteed or assured of being selected for participation in any subsequent Performance Period or Performance Periods.</w:t>
      </w:r>
    </w:p>
    <w:p>
      <w:pPr>
        <w:spacing w:after="0" w:line="179" w:lineRule="exact"/>
        <w:rPr>
          <w:rFonts w:ascii="Times New Roman" w:cs="Times New Roman" w:eastAsia="Times New Roman" w:hAnsi="Times New Roman"/>
          <w:sz w:val="18"/>
          <w:szCs w:val="18"/>
          <w:color w:val="auto"/>
        </w:rPr>
      </w:pPr>
    </w:p>
    <w:p>
      <w:pPr>
        <w:ind w:firstLine="987"/>
        <w:spacing w:after="0" w:line="266" w:lineRule="auto"/>
        <w:tabs>
          <w:tab w:leader="none" w:pos="1381"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Determination of Target Awards</w:t>
      </w:r>
      <w:r>
        <w:rPr>
          <w:rFonts w:ascii="Times New Roman" w:cs="Times New Roman" w:eastAsia="Times New Roman" w:hAnsi="Times New Roman"/>
          <w:sz w:val="18"/>
          <w:szCs w:val="18"/>
          <w:color w:val="auto"/>
        </w:rPr>
        <w:t>. The Committee, in its sole discretion, will establish a Target Award for each Participant (which may be expressed as a percentage of a Participant’s average annual base salary for the Performance Period or a fixed dollar amount or such other amount or based on such other formula as the Committee determines).</w:t>
      </w:r>
    </w:p>
    <w:p>
      <w:pPr>
        <w:spacing w:after="0" w:line="175" w:lineRule="exact"/>
        <w:rPr>
          <w:rFonts w:ascii="Times New Roman" w:cs="Times New Roman" w:eastAsia="Times New Roman" w:hAnsi="Times New Roman"/>
          <w:sz w:val="18"/>
          <w:szCs w:val="18"/>
          <w:color w:val="auto"/>
        </w:rPr>
      </w:pPr>
    </w:p>
    <w:p>
      <w:pPr>
        <w:ind w:right="640" w:firstLine="987"/>
        <w:spacing w:after="0" w:line="282" w:lineRule="auto"/>
        <w:tabs>
          <w:tab w:leader="none" w:pos="1371"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Bonus Pool</w:t>
      </w:r>
      <w:r>
        <w:rPr>
          <w:rFonts w:ascii="Times New Roman" w:cs="Times New Roman" w:eastAsia="Times New Roman" w:hAnsi="Times New Roman"/>
          <w:sz w:val="18"/>
          <w:szCs w:val="18"/>
          <w:color w:val="auto"/>
        </w:rPr>
        <w:t>. Each Performance Period, the Committee, in its sole discretion, will establish a Bonus Pool, which pool may be established before, during or after the applicable Performance Period. Actual Awards will be paid from the Bonus Pool.</w:t>
      </w:r>
    </w:p>
    <w:p>
      <w:pPr>
        <w:spacing w:after="0" w:line="161" w:lineRule="exact"/>
        <w:rPr>
          <w:rFonts w:ascii="Times New Roman" w:cs="Times New Roman" w:eastAsia="Times New Roman" w:hAnsi="Times New Roman"/>
          <w:sz w:val="18"/>
          <w:szCs w:val="18"/>
          <w:color w:val="auto"/>
        </w:rPr>
      </w:pPr>
    </w:p>
    <w:p>
      <w:pPr>
        <w:ind w:right="20" w:firstLine="987"/>
        <w:spacing w:after="0" w:line="258" w:lineRule="auto"/>
        <w:tabs>
          <w:tab w:leader="none" w:pos="1381"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Discretion to Modify Awards</w:t>
      </w:r>
      <w:r>
        <w:rPr>
          <w:rFonts w:ascii="Times New Roman" w:cs="Times New Roman" w:eastAsia="Times New Roman" w:hAnsi="Times New Roman"/>
          <w:sz w:val="18"/>
          <w:szCs w:val="18"/>
          <w:color w:val="auto"/>
        </w:rPr>
        <w:t>. Notwithstanding any contrary provision of the Plan, the Committee may, in its sole discretion and at any time, (i) increase, reduce or eliminate a Participant’s Actual Award, and/or (ii) increase, reduce or eliminate the amount allocated to the Bonus Pool. The Actual Award may be below, at or above the Target Award, in the Committee’s discretion. The Committee may determine the amount of any increase, reduction or elimination on the basis of such factors as it deems relevant, and will not be required to establish any allocation or weighting with respect to the factors it considers.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9" w:right="479" w:bottom="1440" w:gutter="0" w:footer="0" w:header="0"/>
        </w:sectPr>
      </w:pPr>
    </w:p>
    <w:bookmarkStart w:id="523" w:name="page524"/>
    <w:bookmarkEnd w:id="523"/>
    <w:p>
      <w:pPr>
        <w:ind w:left="4" w:right="460" w:firstLine="987"/>
        <w:spacing w:after="0" w:line="272" w:lineRule="auto"/>
        <w:tabs>
          <w:tab w:leader="none" w:pos="1375" w:val="left"/>
        </w:tabs>
        <w:numPr>
          <w:ilvl w:val="1"/>
          <w:numId w:val="4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Discretion to Determine Criteria</w:t>
      </w:r>
      <w:r>
        <w:rPr>
          <w:rFonts w:ascii="Times New Roman" w:cs="Times New Roman" w:eastAsia="Times New Roman" w:hAnsi="Times New Roman"/>
          <w:sz w:val="17"/>
          <w:szCs w:val="17"/>
          <w:color w:val="auto"/>
        </w:rPr>
        <w:t>. Notwithstanding any contrary provision of the Plan, the Committee, in its sole discretion, will determine the performance goals (if any) applicable to any Target Award (or portion thereof) which may include: (i) attainment of research and development and/or clinical development milestones, (ii) bookings, (iii) business divestitures and acquisitions, (iv) capital raising, (v) cash flow,</w:t>
      </w:r>
    </w:p>
    <w:p>
      <w:pPr>
        <w:spacing w:after="0" w:line="1" w:lineRule="exact"/>
        <w:rPr>
          <w:rFonts w:ascii="Times New Roman" w:cs="Times New Roman" w:eastAsia="Times New Roman" w:hAnsi="Times New Roman"/>
          <w:sz w:val="17"/>
          <w:szCs w:val="17"/>
          <w:color w:val="auto"/>
        </w:rPr>
      </w:pPr>
    </w:p>
    <w:p>
      <w:pPr>
        <w:ind w:left="4" w:right="100" w:hanging="4"/>
        <w:spacing w:after="0" w:line="265" w:lineRule="auto"/>
        <w:tabs>
          <w:tab w:leader="none" w:pos="309" w:val="left"/>
        </w:tabs>
        <w:numPr>
          <w:ilvl w:val="0"/>
          <w:numId w:val="4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position, (vii) contract awards or backlog, (viii) customer renewals, (vix) customer retention rates from an acquired company, subsidiary, business unit or division, (x) earnings (which may include earnings before interest and taxes, earnings before taxes, and net taxes), (xi) earnings per share, (xii) expenses, (xiii) financial milestones, (xiv) gross margin, (xv) growth in stockholder value relative to the moving average of the S&amp;P 500 Index or another index, (xvi) internal rate of return, (xvii) internal structure, (xviii) leadership development, (xix) license or research collaboration agreements, (xx) market share, (xxi) net income, (xxii) net profit, (xxiii) net sales, (xxiv) new product development, (xxv) new product or business invention or innovation, (xxvi) number of customers, (xxvii) operating cash flow, (xxviii) operating expenses, (xxix) operating income, (xxx) operating margin, (xxxi) overhead or other expense reduction, (xxxii) patentability, (xxxiii) publications, (xxxiv) procurement, (xxxv) product defect measures,</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579"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release timelines or other product release milestones, (xxxvii) productivity, (xxxviii) profit, (xxxix) project, function or portfolio-specific milestones, (xxxx) regulatory milestones or regulatory-related goals, (xxxxi) retained earnings, (xxxxii) return on assets, (xxxxiii) return on capital, (xxxxiv) return on equity, (xxxxv) return on investment, (xxxxvi) return on sales, (xxxxvii) revenue, (xxxxviii) revenue growth, (xlix) sales results, (l) sales growth, (li) savings (lii) stock price, (liii) time to market, (liv) total stockholder return, (lv) working capital, and (lvi) individual objectives such as peer reviews or other subjective or objective criteria. As determined by the Committee, the performance goals may be based on generally accepted accounting principles (“GAAP”) or non-GAAP results and any actual results may be adjusted by the Committee for one-time items or unbudgeted or unexpected items and/or payments of Actual Awards under the Plan when determining whether the performance goals have been met. The goals may be on the basis of any factors the Committee determines relevant, and may be on an individual, divisional, business unit, segment or Company-wide basis. Any criteria used may be measured on such basis as the Committee determines, including but not limited to, as applicable, (A) in absolute terms, (B) in combination with another performance goal or goals (for example, but not by way of limitation, as a ratio or matrix), (C) in relative terms (including, but not limited to, results for other periods, passage of time and/or against another company or companies or an index or indices), (D) on a per-share basis, (E) against the performance of the Company as a whole or a segment of the Company and/or (F) on a pre-tax or after-tax basis. The performance goals may differ from Participant to Participant and from award to award. Failure to meet the goals will result in a failure to earn the Target Award, except as provided in Section 3(d). The Committee also may determine that a Target Award (or portion thereof) will not have a performance goal associated with it but instead will be granted (if at all) in the sole discretion of the Committee.</w:t>
      </w:r>
    </w:p>
    <w:p>
      <w:pPr>
        <w:spacing w:after="0" w:line="12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9" w:right="459" w:bottom="1440" w:gutter="0" w:footer="0" w:header="0"/>
        </w:sectPr>
      </w:pPr>
    </w:p>
    <w:bookmarkStart w:id="524" w:name="page525"/>
    <w:bookmarkEnd w:id="524"/>
    <w:p>
      <w:pPr>
        <w:ind w:left="760" w:hanging="324"/>
        <w:spacing w:after="0"/>
        <w:tabs>
          <w:tab w:leader="none" w:pos="76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 of Awards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right="140" w:firstLine="987"/>
        <w:spacing w:after="0" w:line="266" w:lineRule="auto"/>
        <w:tabs>
          <w:tab w:leader="none" w:pos="1371"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Receive Payment</w:t>
      </w:r>
      <w:r>
        <w:rPr>
          <w:rFonts w:ascii="Times New Roman" w:cs="Times New Roman" w:eastAsia="Times New Roman" w:hAnsi="Times New Roman"/>
          <w:sz w:val="18"/>
          <w:szCs w:val="18"/>
          <w:color w:val="auto"/>
        </w:rPr>
        <w:t>. Each Actual Award will be paid solely from the general assets of the Company. Nothing in this Plan will be construed to create a trust or to establish or evidence any Participant’s claim of any right other than as an unsecured general creditor with respect to any payment to which he or she may be entitled.</w:t>
      </w:r>
    </w:p>
    <w:p>
      <w:pPr>
        <w:spacing w:after="0" w:line="175" w:lineRule="exact"/>
        <w:rPr>
          <w:rFonts w:ascii="Times New Roman" w:cs="Times New Roman" w:eastAsia="Times New Roman" w:hAnsi="Times New Roman"/>
          <w:sz w:val="18"/>
          <w:szCs w:val="18"/>
          <w:color w:val="auto"/>
        </w:rPr>
      </w:pPr>
    </w:p>
    <w:p>
      <w:pPr>
        <w:ind w:right="180" w:firstLine="987"/>
        <w:spacing w:after="0" w:line="256" w:lineRule="auto"/>
        <w:tabs>
          <w:tab w:leader="none" w:pos="1381"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Timing of Payment</w:t>
      </w:r>
      <w:r>
        <w:rPr>
          <w:rFonts w:ascii="Times New Roman" w:cs="Times New Roman" w:eastAsia="Times New Roman" w:hAnsi="Times New Roman"/>
          <w:sz w:val="18"/>
          <w:szCs w:val="18"/>
          <w:color w:val="auto"/>
        </w:rPr>
        <w:t>. Payment of each Actual Award shall be made as soon as practicable after the end of the Performance Period to which the Actual Award relates and after the Actual Award is approved by the Committee, but in no event later than the later of (i) the 15th day of the third month of the Fiscal Year immediately following the Fiscal Year in which the Participant’s Actual Award is first no longer subject to a substantial risk of forfeiture, and (ii) March 15 of the calendar year immediately following the calendar year in which the Participant’s Actual Award is first no longer subject to a substantial risk of forfeiture. Unless otherwise determined by the Committee, to earn an Actual Award a Participant must be employed by the Company or any Affiliate on the date the Actual Award is paid.</w:t>
      </w:r>
    </w:p>
    <w:p>
      <w:pPr>
        <w:spacing w:after="0" w:line="187" w:lineRule="exact"/>
        <w:rPr>
          <w:sz w:val="20"/>
          <w:szCs w:val="20"/>
          <w:color w:val="auto"/>
        </w:rPr>
      </w:pPr>
    </w:p>
    <w:p>
      <w:pPr>
        <w:jc w:val="both"/>
        <w:ind w:right="60" w:firstLine="1612"/>
        <w:spacing w:after="0" w:line="261" w:lineRule="auto"/>
        <w:rPr>
          <w:sz w:val="20"/>
          <w:szCs w:val="20"/>
          <w:color w:val="auto"/>
        </w:rPr>
      </w:pPr>
      <w:r>
        <w:rPr>
          <w:rFonts w:ascii="Times New Roman" w:cs="Times New Roman" w:eastAsia="Times New Roman" w:hAnsi="Times New Roman"/>
          <w:sz w:val="18"/>
          <w:szCs w:val="18"/>
          <w:color w:val="auto"/>
        </w:rPr>
        <w:t>It is the intent that this Plan be exempt from or comply with the requirements of Code Section 409A so that none of the payments to be provided hereunder will be subject to the additional tax imposed under Code Section 409A, and any ambiguities herein will be interpreted to be so exempt or so comply. Each payment under this Plan is intended to constitute a separate payment for purposes of Treasury Regulation Section 1.409A-2(b)(2).</w:t>
      </w:r>
    </w:p>
    <w:p>
      <w:pPr>
        <w:spacing w:after="0" w:line="180" w:lineRule="exact"/>
        <w:rPr>
          <w:sz w:val="20"/>
          <w:szCs w:val="20"/>
          <w:color w:val="auto"/>
        </w:rPr>
      </w:pPr>
    </w:p>
    <w:p>
      <w:pPr>
        <w:ind w:firstLine="987"/>
        <w:spacing w:after="0" w:line="266" w:lineRule="auto"/>
        <w:tabs>
          <w:tab w:leader="none" w:pos="1371"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Payment</w:t>
      </w:r>
      <w:r>
        <w:rPr>
          <w:rFonts w:ascii="Times New Roman" w:cs="Times New Roman" w:eastAsia="Times New Roman" w:hAnsi="Times New Roman"/>
          <w:sz w:val="18"/>
          <w:szCs w:val="18"/>
          <w:color w:val="auto"/>
        </w:rPr>
        <w:t>. Each Actual Award generally will be paid in cash (or its equivalent) in a single lump sum. The Committee reserves the right, in its sole discretion, to settle an Actual Award with a grant of an equity award under the Company’s then-current equity compensation plan, which equity award may have such terms and conditions, including vesting, as the Committee determines in its sole discretion.</w:t>
      </w:r>
    </w:p>
    <w:p>
      <w:pPr>
        <w:spacing w:after="0" w:line="175" w:lineRule="exact"/>
        <w:rPr>
          <w:rFonts w:ascii="Times New Roman" w:cs="Times New Roman" w:eastAsia="Times New Roman" w:hAnsi="Times New Roman"/>
          <w:sz w:val="18"/>
          <w:szCs w:val="18"/>
          <w:color w:val="auto"/>
        </w:rPr>
      </w:pPr>
    </w:p>
    <w:p>
      <w:pPr>
        <w:jc w:val="both"/>
        <w:ind w:right="120" w:firstLine="987"/>
        <w:spacing w:after="0" w:line="266" w:lineRule="auto"/>
        <w:tabs>
          <w:tab w:leader="none" w:pos="1381"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in the Event of Death or Disability</w:t>
      </w:r>
      <w:r>
        <w:rPr>
          <w:rFonts w:ascii="Times New Roman" w:cs="Times New Roman" w:eastAsia="Times New Roman" w:hAnsi="Times New Roman"/>
          <w:sz w:val="18"/>
          <w:szCs w:val="18"/>
          <w:color w:val="auto"/>
        </w:rPr>
        <w:t>. If a Participant dies or is terminated due to his or her Disability prior to the payment of an Actual Award the Committee has determined will be paid for a prior Performance Period, the Actual Award will be paid to his or her estate or to the Participant, as the case may be, subject to the Committee’s discretion to reduce or eliminate any Actual Award otherwise payable.</w:t>
      </w:r>
    </w:p>
    <w:p>
      <w:pPr>
        <w:spacing w:after="0" w:line="283"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Plan Administration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400" w:firstLine="987"/>
        <w:spacing w:after="0" w:line="282" w:lineRule="auto"/>
        <w:tabs>
          <w:tab w:leader="none" w:pos="1371"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 is the Administrator</w:t>
      </w:r>
      <w:r>
        <w:rPr>
          <w:rFonts w:ascii="Times New Roman" w:cs="Times New Roman" w:eastAsia="Times New Roman" w:hAnsi="Times New Roman"/>
          <w:sz w:val="18"/>
          <w:szCs w:val="18"/>
          <w:color w:val="auto"/>
        </w:rPr>
        <w:t>. The Plan will be administered by the Committee. The Committee will consist of not less than 2 members of the Board. The members of the Committee will be appointed from time to time by, and serve at the pleasure of, the Board.</w:t>
      </w:r>
    </w:p>
    <w:p>
      <w:pPr>
        <w:spacing w:after="0" w:line="161" w:lineRule="exact"/>
        <w:rPr>
          <w:rFonts w:ascii="Times New Roman" w:cs="Times New Roman" w:eastAsia="Times New Roman" w:hAnsi="Times New Roman"/>
          <w:sz w:val="18"/>
          <w:szCs w:val="18"/>
          <w:color w:val="auto"/>
        </w:rPr>
      </w:pPr>
    </w:p>
    <w:p>
      <w:pPr>
        <w:ind w:right="100" w:firstLine="987"/>
        <w:spacing w:after="0" w:line="266" w:lineRule="auto"/>
        <w:tabs>
          <w:tab w:leader="none" w:pos="1381"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Committee Authority</w:t>
      </w:r>
      <w:r>
        <w:rPr>
          <w:rFonts w:ascii="Times New Roman" w:cs="Times New Roman" w:eastAsia="Times New Roman" w:hAnsi="Times New Roman"/>
          <w:sz w:val="18"/>
          <w:szCs w:val="18"/>
          <w:color w:val="auto"/>
        </w:rPr>
        <w:t>. It will be the duty of the Committee to administer the Plan in accordance with the Plan’s provisions. The Committee will have all powers and discretion necessary or appropriate to administer the Plan and to control its operation, including, but not limited to, the power to (i) determine which Employees will be granted awards, (ii) prescribe the terms and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9" w:right="459" w:bottom="1440" w:gutter="0" w:footer="0" w:header="0"/>
        </w:sectPr>
      </w:pPr>
    </w:p>
    <w:bookmarkStart w:id="525" w:name="page526"/>
    <w:bookmarkEnd w:id="525"/>
    <w:p>
      <w:pPr>
        <w:ind w:right="5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conditions of awards, (iii) interpret the Plan and the awards, (iv) adopt such procedures and sub-plans as are necessary or appropriate to permit participation in the Plan by Employees who are foreign nationals or employed outside of the United States, (v) adopt rules for the administration, interpretation and application of the Plan as are consistent therewith, and (vi) interpret, amend or revoke any such rules.</w:t>
      </w:r>
    </w:p>
    <w:p>
      <w:pPr>
        <w:spacing w:after="0" w:line="176" w:lineRule="exact"/>
        <w:rPr>
          <w:sz w:val="20"/>
          <w:szCs w:val="20"/>
          <w:color w:val="auto"/>
        </w:rPr>
      </w:pPr>
    </w:p>
    <w:p>
      <w:pPr>
        <w:ind w:right="140" w:firstLine="987"/>
        <w:spacing w:after="0" w:line="312" w:lineRule="auto"/>
        <w:tabs>
          <w:tab w:leader="none" w:pos="1371" w:val="left"/>
        </w:tabs>
        <w:numPr>
          <w:ilvl w:val="1"/>
          <w:numId w:val="4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Decisions Binding</w:t>
      </w:r>
      <w:r>
        <w:rPr>
          <w:rFonts w:ascii="Times New Roman" w:cs="Times New Roman" w:eastAsia="Times New Roman" w:hAnsi="Times New Roman"/>
          <w:sz w:val="17"/>
          <w:szCs w:val="17"/>
          <w:color w:val="auto"/>
        </w:rPr>
        <w:t>. All determinations and decisions made by the Committee, the Board, and/or any delegate of the Committee pursuant to the provisions of the Plan will be final, conclusive, and binding on all persons, and will be given the maximum deference permitted by law.</w:t>
      </w:r>
    </w:p>
    <w:p>
      <w:pPr>
        <w:spacing w:after="0" w:line="139" w:lineRule="exact"/>
        <w:rPr>
          <w:rFonts w:ascii="Times New Roman" w:cs="Times New Roman" w:eastAsia="Times New Roman" w:hAnsi="Times New Roman"/>
          <w:sz w:val="17"/>
          <w:szCs w:val="17"/>
          <w:color w:val="auto"/>
        </w:rPr>
      </w:pPr>
    </w:p>
    <w:p>
      <w:pPr>
        <w:ind w:firstLine="987"/>
        <w:spacing w:after="0" w:line="282" w:lineRule="auto"/>
        <w:tabs>
          <w:tab w:leader="none" w:pos="1381"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Delegation by Committee</w:t>
      </w:r>
      <w:r>
        <w:rPr>
          <w:rFonts w:ascii="Times New Roman" w:cs="Times New Roman" w:eastAsia="Times New Roman" w:hAnsi="Times New Roman"/>
          <w:sz w:val="18"/>
          <w:szCs w:val="18"/>
          <w:color w:val="auto"/>
        </w:rPr>
        <w:t>. The Committee, in its sole discretion and on such terms and conditions as it may provide, may delegate all or part of its authority and powers under the Plan to one or more directors and/or officers of the Company.</w:t>
      </w:r>
    </w:p>
    <w:p>
      <w:pPr>
        <w:spacing w:after="0" w:line="161" w:lineRule="exact"/>
        <w:rPr>
          <w:rFonts w:ascii="Times New Roman" w:cs="Times New Roman" w:eastAsia="Times New Roman" w:hAnsi="Times New Roman"/>
          <w:sz w:val="18"/>
          <w:szCs w:val="18"/>
          <w:color w:val="auto"/>
        </w:rPr>
      </w:pPr>
    </w:p>
    <w:p>
      <w:pPr>
        <w:ind w:right="120" w:firstLine="987"/>
        <w:spacing w:after="0" w:line="254" w:lineRule="auto"/>
        <w:tabs>
          <w:tab w:leader="none" w:pos="1371"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Each person who is or will have been a member of the Committee will be indemnified and held harmless by the Company against and from (i)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or any award, and (ii) from any and all amounts paid by him or her in settlement thereof, with the Company’s approval, or paid by him or her in satisfaction of any judgment in any such claim, action, suit, or proceeding against him or her, provided he or she will give the Company an opportunity, at its own expense, to handle and defend the same before he or she undertakes to handle and defend it on his or her own behalf. The foregoing right of indemnification will not be exclusive of any other rights of indemnification to which such persons may be entitled under the Company’s Certificate of Incorporation or Bylaws, by contract, as a matter of law, or otherwise, or under any power that the Company may have to indemnify them or hold them harmless.</w:t>
      </w:r>
    </w:p>
    <w:p>
      <w:pPr>
        <w:spacing w:after="0" w:line="296"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300" w:firstLine="987"/>
        <w:spacing w:after="0" w:line="282" w:lineRule="auto"/>
        <w:tabs>
          <w:tab w:leader="none" w:pos="1371"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The Company (or the Affiliate employing the applicable Employee) will withhold all applicable taxes from any Actual Award, including any federal, state and local taxes (including, but not limited to, the Participant’s FICA and SDI obligations).</w:t>
      </w:r>
    </w:p>
    <w:p>
      <w:pPr>
        <w:spacing w:after="0" w:line="161" w:lineRule="exact"/>
        <w:rPr>
          <w:rFonts w:ascii="Times New Roman" w:cs="Times New Roman" w:eastAsia="Times New Roman" w:hAnsi="Times New Roman"/>
          <w:sz w:val="18"/>
          <w:szCs w:val="18"/>
          <w:color w:val="auto"/>
        </w:rPr>
      </w:pPr>
    </w:p>
    <w:p>
      <w:pPr>
        <w:ind w:right="140" w:firstLine="987"/>
        <w:spacing w:after="0" w:line="256" w:lineRule="auto"/>
        <w:tabs>
          <w:tab w:leader="none" w:pos="1381"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Employment or Service</w:t>
      </w:r>
      <w:r>
        <w:rPr>
          <w:rFonts w:ascii="Times New Roman" w:cs="Times New Roman" w:eastAsia="Times New Roman" w:hAnsi="Times New Roman"/>
          <w:sz w:val="18"/>
          <w:szCs w:val="18"/>
          <w:color w:val="auto"/>
        </w:rPr>
        <w:t>. Nothing in the Plan will interfere with or limit in any way the right of the Company (or the Affiliate employing the applicable Employee) to terminate any Participant’s employment or service at any time, with or without cause. For purposes of the Plan, transfer of employment of a Participant between the Company and any one of its Affiliates (or between Affiliates) will not be deemed a termination of employment. Employment with the Company and its Affiliates is on an at-will basis only. The Company expressly reserves the right, which may be exercised at any time and without regard to when during a Performance Period such exercise occurs, to terminate any individual’s employment with or without cause, and to treat him or her without regard to the effect that such treatment might have upon him or her as a Participant.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9" w:right="459" w:bottom="1440" w:gutter="0" w:footer="0" w:header="0"/>
        </w:sectPr>
      </w:pPr>
    </w:p>
    <w:bookmarkStart w:id="526" w:name="page527"/>
    <w:bookmarkEnd w:id="526"/>
    <w:p>
      <w:pPr>
        <w:ind w:left="1300" w:hanging="373"/>
        <w:spacing w:after="0"/>
        <w:tabs>
          <w:tab w:leader="none" w:pos="1300"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Forfeiture Events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60" w:right="60" w:firstLine="1608"/>
        <w:spacing w:after="0" w:line="254" w:lineRule="auto"/>
        <w:tabs>
          <w:tab w:leader="none" w:pos="1902" w:val="left"/>
        </w:tabs>
        <w:numPr>
          <w:ilvl w:val="3"/>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Clawback Policy; Applicable Laws</w:t>
      </w:r>
      <w:r>
        <w:rPr>
          <w:rFonts w:ascii="Times New Roman" w:cs="Times New Roman" w:eastAsia="Times New Roman" w:hAnsi="Times New Roman"/>
          <w:sz w:val="18"/>
          <w:szCs w:val="18"/>
          <w:color w:val="auto"/>
        </w:rPr>
        <w:t>. All awards under the Plan will be subject to reduction, cancellation, forfeiture, or recoupment in accordance with any clawback policy that the Company Group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Committee may impose such other clawback, recovery or recoupment provisions with respect to an award under the Plan as the Committee determines necessary or appropriate, including without limitation a reacquisition right in respect of previously acquired cash, stock, or other property provided with respect to an award. Unless this Section 6(c) is specifically mentioned and waived in a written agreement between a Participant and a member of the Company Group or other document, no recovery of compensation under a clawback policy will give the Participant the right to resign for “good reason” or “constructive termination” (or similar term) under any agreement with a member of the Company Group.</w:t>
      </w:r>
    </w:p>
    <w:p>
      <w:pPr>
        <w:spacing w:after="0" w:line="188" w:lineRule="exact"/>
        <w:rPr>
          <w:rFonts w:ascii="Times New Roman" w:cs="Times New Roman" w:eastAsia="Times New Roman" w:hAnsi="Times New Roman"/>
          <w:sz w:val="18"/>
          <w:szCs w:val="18"/>
          <w:color w:val="auto"/>
        </w:rPr>
      </w:pPr>
    </w:p>
    <w:p>
      <w:pPr>
        <w:ind w:left="-60" w:right="140" w:firstLine="1518"/>
        <w:spacing w:after="0" w:line="258" w:lineRule="auto"/>
        <w:tabs>
          <w:tab w:leader="none" w:pos="1862" w:val="left"/>
        </w:tabs>
        <w:numPr>
          <w:ilvl w:val="2"/>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Forfeiture Terms</w:t>
      </w:r>
      <w:r>
        <w:rPr>
          <w:rFonts w:ascii="Times New Roman" w:cs="Times New Roman" w:eastAsia="Times New Roman" w:hAnsi="Times New Roman"/>
          <w:sz w:val="18"/>
          <w:szCs w:val="18"/>
          <w:color w:val="auto"/>
        </w:rPr>
        <w:t>. The Committee may specify when providing for an award under the Plan that the Participant’s rights, payments, and benefits with respect to the award will be subject to reduction, cancellation, forfeiture, or recoupment upon the occurrence of specified events, in addition to any otherwise applicable vesting or performance conditions of the award. Such events may include, without limitation, termination of the Participant’s status as an Employee for “cause” or any act by a Participant, whether before or after the Participant’s status as an Employee terminates, that would constitute “cause.”</w:t>
      </w:r>
    </w:p>
    <w:p>
      <w:pPr>
        <w:spacing w:after="0" w:line="183" w:lineRule="exact"/>
        <w:rPr>
          <w:rFonts w:ascii="Times New Roman" w:cs="Times New Roman" w:eastAsia="Times New Roman" w:hAnsi="Times New Roman"/>
          <w:sz w:val="18"/>
          <w:szCs w:val="18"/>
          <w:color w:val="auto"/>
        </w:rPr>
      </w:pPr>
    </w:p>
    <w:p>
      <w:pPr>
        <w:ind w:left="-60" w:firstLine="1518"/>
        <w:spacing w:after="0" w:line="255" w:lineRule="auto"/>
        <w:tabs>
          <w:tab w:leader="none" w:pos="1912" w:val="left"/>
        </w:tabs>
        <w:numPr>
          <w:ilvl w:val="2"/>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Accounting Restatements</w:t>
      </w:r>
      <w:r>
        <w:rPr>
          <w:rFonts w:ascii="Times New Roman" w:cs="Times New Roman" w:eastAsia="Times New Roman" w:hAnsi="Times New Roman"/>
          <w:sz w:val="18"/>
          <w:szCs w:val="18"/>
          <w:color w:val="auto"/>
        </w:rPr>
        <w:t>. If the Company is required to prepare an accounting restatement due to the material noncompliance of the Company, as a result of misconduct, with any financial reporting requirement under the securities laws, then any Participant who knowingly or through gross negligence engaged in the misconduct, or who knowingly or through gross negligence failed to prevent the misconduct, and any Participant who is one of the individuals subject to automatic forfeiture under Section 304 of the Sarbanes-Oxley Act of 2002, will reimburse the Company Group the amount of any payment with respect to an award earned or accrued during the twelve (12) month period following the first public issuance or filing with the U.S. Securities and Exchange Commission (whichever first occurred) of the financial document embodying such financial reporting requirement.</w:t>
      </w:r>
    </w:p>
    <w:p>
      <w:pPr>
        <w:spacing w:after="0" w:line="188" w:lineRule="exact"/>
        <w:rPr>
          <w:rFonts w:ascii="Times New Roman" w:cs="Times New Roman" w:eastAsia="Times New Roman" w:hAnsi="Times New Roman"/>
          <w:sz w:val="18"/>
          <w:szCs w:val="18"/>
          <w:color w:val="auto"/>
        </w:rPr>
      </w:pPr>
    </w:p>
    <w:p>
      <w:pPr>
        <w:ind w:left="-60" w:right="120" w:firstLine="1428"/>
        <w:spacing w:after="0" w:line="282" w:lineRule="auto"/>
        <w:tabs>
          <w:tab w:leader="none" w:pos="1762"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w:t>
      </w:r>
      <w:r>
        <w:rPr>
          <w:rFonts w:ascii="Times New Roman" w:cs="Times New Roman" w:eastAsia="Times New Roman" w:hAnsi="Times New Roman"/>
          <w:sz w:val="18"/>
          <w:szCs w:val="18"/>
          <w:color w:val="auto"/>
        </w:rPr>
        <w:t>. No Employee will have the right to be selected to receive an award under this Plan, or, having been so selected, to be selected to receive a future award.</w:t>
      </w:r>
    </w:p>
    <w:p>
      <w:pPr>
        <w:spacing w:after="0" w:line="161" w:lineRule="exact"/>
        <w:rPr>
          <w:rFonts w:ascii="Times New Roman" w:cs="Times New Roman" w:eastAsia="Times New Roman" w:hAnsi="Times New Roman"/>
          <w:sz w:val="18"/>
          <w:szCs w:val="18"/>
          <w:color w:val="auto"/>
        </w:rPr>
      </w:pPr>
    </w:p>
    <w:p>
      <w:pPr>
        <w:jc w:val="both"/>
        <w:ind w:left="-60" w:right="140" w:firstLine="1428"/>
        <w:spacing w:after="0" w:line="266" w:lineRule="auto"/>
        <w:tabs>
          <w:tab w:leader="none" w:pos="1752"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obligations of the Company under the Plan, with respect to awards granted hereunder, will be binding on any successor to the Company, whether the existence of such successor is the result of a direct or indirect purchase, merger, consolidation, or otherwise, of all or substantially all of the business or assets of the Company.</w:t>
      </w:r>
    </w:p>
    <w:p>
      <w:pPr>
        <w:spacing w:after="0" w:line="175" w:lineRule="exact"/>
        <w:rPr>
          <w:rFonts w:ascii="Times New Roman" w:cs="Times New Roman" w:eastAsia="Times New Roman" w:hAnsi="Times New Roman"/>
          <w:sz w:val="18"/>
          <w:szCs w:val="18"/>
          <w:color w:val="auto"/>
        </w:rPr>
      </w:pPr>
    </w:p>
    <w:p>
      <w:pPr>
        <w:ind w:left="-60" w:right="460" w:firstLine="1428"/>
        <w:spacing w:after="0" w:line="282" w:lineRule="auto"/>
        <w:tabs>
          <w:tab w:leader="none" w:pos="1732"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 of Awards</w:t>
      </w:r>
      <w:r>
        <w:rPr>
          <w:rFonts w:ascii="Times New Roman" w:cs="Times New Roman" w:eastAsia="Times New Roman" w:hAnsi="Times New Roman"/>
          <w:sz w:val="18"/>
          <w:szCs w:val="18"/>
          <w:color w:val="auto"/>
        </w:rPr>
        <w:t>. No award granted under the Plan may be sold, transferred, pledged, assigned, or otherwise alienated or hypothecated, other than by will or by the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500" w:top="269" w:right="499" w:bottom="1440" w:gutter="0" w:footer="0" w:header="0"/>
        </w:sectPr>
      </w:pPr>
    </w:p>
    <w:bookmarkStart w:id="527" w:name="page528"/>
    <w:bookmarkEnd w:id="527"/>
    <w:p>
      <w:pPr>
        <w:ind w:right="3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laws of descent and distribution, or to the limited extent provided in Section 6(e). All rights with respect to an award granted to a Participant will be available during his or her lifetime only to the Participant.</w:t>
      </w:r>
    </w:p>
    <w:p>
      <w:pPr>
        <w:spacing w:after="0" w:line="270" w:lineRule="exact"/>
        <w:rPr>
          <w:sz w:val="20"/>
          <w:szCs w:val="20"/>
          <w:color w:val="auto"/>
        </w:rPr>
      </w:pPr>
    </w:p>
    <w:p>
      <w:pPr>
        <w:ind w:left="760" w:hanging="324"/>
        <w:spacing w:after="0"/>
        <w:tabs>
          <w:tab w:leader="none" w:pos="760"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Termination, and Duration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60" w:firstLine="987"/>
        <w:spacing w:after="0" w:line="261" w:lineRule="auto"/>
        <w:tabs>
          <w:tab w:leader="none" w:pos="1371"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Suspension, or Termination</w:t>
      </w:r>
      <w:r>
        <w:rPr>
          <w:rFonts w:ascii="Times New Roman" w:cs="Times New Roman" w:eastAsia="Times New Roman" w:hAnsi="Times New Roman"/>
          <w:sz w:val="18"/>
          <w:szCs w:val="18"/>
          <w:color w:val="auto"/>
        </w:rPr>
        <w:t>. The Board or the Committee, in its sole discretion, may amend or terminate the Plan, or any part thereof, at any time and for any reason. The amendment, suspension or termination of the Plan will not, without the consent of the Participant, alter or impair any rights or obligations under any Actual Award theretofore earned by such Participant. No award may be granted during any period of suspension or after termination of the Plan.</w:t>
      </w:r>
    </w:p>
    <w:p>
      <w:pPr>
        <w:spacing w:after="0" w:line="179" w:lineRule="exact"/>
        <w:rPr>
          <w:rFonts w:ascii="Times New Roman" w:cs="Times New Roman" w:eastAsia="Times New Roman" w:hAnsi="Times New Roman"/>
          <w:sz w:val="18"/>
          <w:szCs w:val="18"/>
          <w:color w:val="auto"/>
        </w:rPr>
      </w:pPr>
    </w:p>
    <w:p>
      <w:pPr>
        <w:ind w:right="400" w:firstLine="987"/>
        <w:spacing w:after="0" w:line="282" w:lineRule="auto"/>
        <w:tabs>
          <w:tab w:leader="none" w:pos="1381"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Duration of Plan</w:t>
      </w:r>
      <w:r>
        <w:rPr>
          <w:rFonts w:ascii="Times New Roman" w:cs="Times New Roman" w:eastAsia="Times New Roman" w:hAnsi="Times New Roman"/>
          <w:sz w:val="18"/>
          <w:szCs w:val="18"/>
          <w:color w:val="auto"/>
        </w:rPr>
        <w:t>. The Plan will commence on the date first adopted by the Board or the Committee, and subject to Section 7(a) (regarding the Board’s and/or the Committee’s right to amend or terminate the Plan), will remain in effect thereafter until terminated.</w:t>
      </w:r>
    </w:p>
    <w:p>
      <w:pPr>
        <w:spacing w:after="0" w:line="269"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Construction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640" w:firstLine="987"/>
        <w:spacing w:after="0" w:line="282" w:lineRule="auto"/>
        <w:tabs>
          <w:tab w:leader="none" w:pos="1371"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Gender and Number</w:t>
      </w:r>
      <w:r>
        <w:rPr>
          <w:rFonts w:ascii="Times New Roman" w:cs="Times New Roman" w:eastAsia="Times New Roman" w:hAnsi="Times New Roman"/>
          <w:sz w:val="18"/>
          <w:szCs w:val="18"/>
          <w:color w:val="auto"/>
        </w:rPr>
        <w:t>. Except where otherwise indicated by the context, any masculine term used herein also will include the feminine; the plural will include the singular and the singular will include the plural.</w:t>
      </w:r>
    </w:p>
    <w:p>
      <w:pPr>
        <w:spacing w:after="0" w:line="161" w:lineRule="exact"/>
        <w:rPr>
          <w:rFonts w:ascii="Times New Roman" w:cs="Times New Roman" w:eastAsia="Times New Roman" w:hAnsi="Times New Roman"/>
          <w:sz w:val="18"/>
          <w:szCs w:val="18"/>
          <w:color w:val="auto"/>
        </w:rPr>
      </w:pPr>
    </w:p>
    <w:p>
      <w:pPr>
        <w:ind w:right="180" w:firstLine="987"/>
        <w:spacing w:after="0" w:line="282" w:lineRule="auto"/>
        <w:tabs>
          <w:tab w:leader="none" w:pos="1381"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any provision of the Plan will be held illegal or invalid for any reason, the illegality or invalidity will not affect the remaining parts of the Plan, and the Plan will be construed and enforced as if the illegal or invalid provision had not been included.</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371"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Requirements of Law</w:t>
      </w:r>
      <w:r>
        <w:rPr>
          <w:rFonts w:ascii="Times New Roman" w:cs="Times New Roman" w:eastAsia="Times New Roman" w:hAnsi="Times New Roman"/>
          <w:sz w:val="18"/>
          <w:szCs w:val="18"/>
          <w:color w:val="auto"/>
        </w:rPr>
        <w:t>. The granting of awards under the Plan will be subject to all applicable laws, rules and regulations, and to such approvals by any governmental agencies or national securities exchanges as may be required.</w:t>
      </w:r>
    </w:p>
    <w:p>
      <w:pPr>
        <w:spacing w:after="0" w:line="161" w:lineRule="exact"/>
        <w:rPr>
          <w:rFonts w:ascii="Times New Roman" w:cs="Times New Roman" w:eastAsia="Times New Roman" w:hAnsi="Times New Roman"/>
          <w:sz w:val="18"/>
          <w:szCs w:val="18"/>
          <w:color w:val="auto"/>
        </w:rPr>
      </w:pPr>
    </w:p>
    <w:p>
      <w:pPr>
        <w:ind w:right="60" w:firstLine="987"/>
        <w:spacing w:after="0" w:line="282" w:lineRule="auto"/>
        <w:tabs>
          <w:tab w:leader="none" w:pos="1381"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and all awards will be construed in accordance with and governed by the laws of the State of New Jersey, but without regard to its conflict of law provisions.</w:t>
      </w:r>
    </w:p>
    <w:p>
      <w:pPr>
        <w:spacing w:after="0" w:line="161" w:lineRule="exact"/>
        <w:rPr>
          <w:rFonts w:ascii="Times New Roman" w:cs="Times New Roman" w:eastAsia="Times New Roman" w:hAnsi="Times New Roman"/>
          <w:sz w:val="18"/>
          <w:szCs w:val="18"/>
          <w:color w:val="auto"/>
        </w:rPr>
      </w:pPr>
    </w:p>
    <w:p>
      <w:pPr>
        <w:ind w:right="240" w:firstLine="987"/>
        <w:spacing w:after="0" w:line="282" w:lineRule="auto"/>
        <w:tabs>
          <w:tab w:leader="none" w:pos="1371"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Bonus Plan</w:t>
      </w:r>
      <w:r>
        <w:rPr>
          <w:rFonts w:ascii="Times New Roman" w:cs="Times New Roman" w:eastAsia="Times New Roman" w:hAnsi="Times New Roman"/>
          <w:sz w:val="18"/>
          <w:szCs w:val="18"/>
          <w:color w:val="auto"/>
        </w:rPr>
        <w:t>. The Plan is intended to be a “bonus program” as defined under U.S. Department of Labor regulation 2510.3-2(c) and will be construed and administered in accordance with such intention.</w:t>
      </w:r>
    </w:p>
    <w:p>
      <w:pPr>
        <w:spacing w:after="0" w:line="161"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are provided herein for convenience only, and will not serve as a basis for interpretation or construction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440" w:top="269" w:right="519" w:bottom="1440" w:gutter="0" w:footer="0" w:header="0"/>
        </w:sectPr>
      </w:pPr>
    </w:p>
    <w:bookmarkStart w:id="528" w:name="page529"/>
    <w:bookmarkEnd w:id="528"/>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 in Control and Severance Policy</w:t>
      </w:r>
    </w:p>
    <w:p>
      <w:pPr>
        <w:spacing w:after="0" w:line="225"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color w:val="auto"/>
        </w:rPr>
        <w:t xml:space="preserve">This Change in Control and Severance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is designed to provide certain protections to a select group of key employees of PMV Pharmaceuticals, Inc. (</w:t>
      </w:r>
      <w:r>
        <w:rPr>
          <w:rFonts w:ascii="Times New Roman" w:cs="Times New Roman" w:eastAsia="Times New Roman" w:hAnsi="Times New Roman"/>
          <w:sz w:val="18"/>
          <w:szCs w:val="18"/>
          <w:b w:val="1"/>
          <w:bCs w:val="1"/>
          <w:color w:val="auto"/>
        </w:rPr>
        <w:t>“PMV Pharmaceuticals”</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or any of its subsidiaries if their employment is involuntary terminated under the circumstances described in this Policy. The Policy is designed to be an “employee welfare benefit plan” (as defined in Section 3(1) of the Employee Retirement Income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xml:space="preserve"> and this document is both the formal plan document and the required summary plan description for the Policy.</w:t>
      </w:r>
    </w:p>
    <w:p>
      <w:pPr>
        <w:spacing w:after="0" w:line="179"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Eligible Employee: </w:t>
      </w:r>
      <w:r>
        <w:rPr>
          <w:rFonts w:ascii="Times New Roman" w:cs="Times New Roman" w:eastAsia="Times New Roman" w:hAnsi="Times New Roman"/>
          <w:sz w:val="18"/>
          <w:szCs w:val="18"/>
          <w:color w:val="auto"/>
        </w:rPr>
        <w:t>An individual is only eligible for protection under this Policy if he or she is an Eligible Employee and complies with its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(including any terms in the Eligible Employee’s Participation Agreement (as defined below)). An </w:t>
      </w:r>
      <w:r>
        <w:rPr>
          <w:rFonts w:ascii="Times New Roman" w:cs="Times New Roman" w:eastAsia="Times New Roman" w:hAnsi="Times New Roman"/>
          <w:sz w:val="18"/>
          <w:szCs w:val="18"/>
          <w:b w:val="1"/>
          <w:bCs w:val="1"/>
          <w:color w:val="auto"/>
        </w:rPr>
        <w:t>“Eligible Employee,”</w:t>
      </w:r>
      <w:r>
        <w:rPr>
          <w:rFonts w:ascii="Times New Roman" w:cs="Times New Roman" w:eastAsia="Times New Roman" w:hAnsi="Times New Roman"/>
          <w:sz w:val="18"/>
          <w:szCs w:val="18"/>
          <w:color w:val="auto"/>
        </w:rPr>
        <w:t xml:space="preserve"> is an employee of the Company or any subsidiary of the Company who has (a) been designated by the Board or an authorized committee of the Board (in either case,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xml:space="preserve">) as eligible to participate in the Policy, whether individually or by position or category of position and (b) executed a participation agreement in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“Participation Agreement”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20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Policy Benefits: </w:t>
      </w:r>
      <w:r>
        <w:rPr>
          <w:rFonts w:ascii="Times New Roman" w:cs="Times New Roman" w:eastAsia="Times New Roman" w:hAnsi="Times New Roman"/>
          <w:sz w:val="18"/>
          <w:szCs w:val="18"/>
          <w:color w:val="auto"/>
        </w:rPr>
        <w:t>An Eligible Employee will be eligible to receive the payments and benefits under this Policy and his or her Participation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his or her Qualified Termination. The amount and terms of any Equity Vesting, Salary Severance, Bonus Severance, and COBRA Benefit that an Eligible Employee may receive upon his or her Qualified Termination will be set forth in his or her Participation Agreement. All benefits under this Policy payable upon a Qualified Termination will be subject to the Eligible Employee’s compliance with the Release Requirement and any timing modifications required to avoid adverse taxation under Section 409A.</w:t>
      </w:r>
    </w:p>
    <w:p>
      <w:pPr>
        <w:spacing w:after="0" w:line="179"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Equity Vesting: </w:t>
      </w:r>
      <w:r>
        <w:rPr>
          <w:rFonts w:ascii="Times New Roman" w:cs="Times New Roman" w:eastAsia="Times New Roman" w:hAnsi="Times New Roman"/>
          <w:sz w:val="18"/>
          <w:szCs w:val="18"/>
          <w:color w:val="auto"/>
        </w:rPr>
        <w:t>On a Qualified Termination, the then-unvested shares subject to each then-outstanding equity award held by an Eligible Employee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vest and, in the case of options and stock appreciation rights, will become exercisable to the extent set forth in the Eligible Employee’s Participation Agreement (for avoidance of doubt, no more than 100% of the shares subject to the outstanding portion of an equity award may vest and become exercisable under this provision). Any restricted stock units, performance shares, performance units, or similar full value awards that vest under this provision will be settled on the 61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day following the Eligible Employee’s Qualified Termination (the </w:t>
      </w:r>
      <w:r>
        <w:rPr>
          <w:rFonts w:ascii="Times New Roman" w:cs="Times New Roman" w:eastAsia="Times New Roman" w:hAnsi="Times New Roman"/>
          <w:sz w:val="18"/>
          <w:szCs w:val="18"/>
          <w:b w:val="1"/>
          <w:bCs w:val="1"/>
          <w:color w:val="auto"/>
        </w:rPr>
        <w:t>“Equity Vesting”</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Salary Severance: </w:t>
      </w:r>
      <w:r>
        <w:rPr>
          <w:rFonts w:ascii="Times New Roman" w:cs="Times New Roman" w:eastAsia="Times New Roman" w:hAnsi="Times New Roman"/>
          <w:sz w:val="18"/>
          <w:szCs w:val="18"/>
          <w:color w:val="auto"/>
        </w:rPr>
        <w:t>Upon a Qualified Termination, an Eligible Employee will be eligible to receive salary severance payment(s) in the amount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his or her Participation Agreement (the </w:t>
      </w:r>
      <w:r>
        <w:rPr>
          <w:rFonts w:ascii="Times New Roman" w:cs="Times New Roman" w:eastAsia="Times New Roman" w:hAnsi="Times New Roman"/>
          <w:sz w:val="18"/>
          <w:szCs w:val="18"/>
          <w:b w:val="1"/>
          <w:bCs w:val="1"/>
          <w:color w:val="auto"/>
        </w:rPr>
        <w:t>“Salary Severance”</w:t>
      </w:r>
      <w:r>
        <w:rPr>
          <w:rFonts w:ascii="Times New Roman" w:cs="Times New Roman" w:eastAsia="Times New Roman" w:hAnsi="Times New Roman"/>
          <w:sz w:val="18"/>
          <w:szCs w:val="18"/>
          <w:color w:val="auto"/>
        </w:rPr>
        <w:t>). The Eligible Employee’s Salary Severance payment(s) will be paid in cash at the time(s) specified in his or her Participation Agreement.</w:t>
      </w:r>
    </w:p>
    <w:p>
      <w:pPr>
        <w:spacing w:after="0" w:line="17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Bonus Severance: </w:t>
      </w:r>
      <w:r>
        <w:rPr>
          <w:rFonts w:ascii="Times New Roman" w:cs="Times New Roman" w:eastAsia="Times New Roman" w:hAnsi="Times New Roman"/>
          <w:sz w:val="18"/>
          <w:szCs w:val="18"/>
          <w:color w:val="auto"/>
        </w:rPr>
        <w:t>Upon a Qualified Termination, an Eligible Employee will be eligible to receive bonus severance payment(s) in the amount set forth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 his or her Participation Agreement (the </w:t>
      </w:r>
      <w:r>
        <w:rPr>
          <w:rFonts w:ascii="Times New Roman" w:cs="Times New Roman" w:eastAsia="Times New Roman" w:hAnsi="Times New Roman"/>
          <w:sz w:val="18"/>
          <w:szCs w:val="18"/>
          <w:b w:val="1"/>
          <w:bCs w:val="1"/>
          <w:color w:val="auto"/>
        </w:rPr>
        <w:t>“Bonus Severance”</w:t>
      </w:r>
      <w:r>
        <w:rPr>
          <w:rFonts w:ascii="Times New Roman" w:cs="Times New Roman" w:eastAsia="Times New Roman" w:hAnsi="Times New Roman"/>
          <w:sz w:val="18"/>
          <w:szCs w:val="18"/>
          <w:color w:val="auto"/>
        </w:rPr>
        <w:t>). The Eligible Employee’s Bonus Severance payment(s) will be paid in cash at the time(s) specified in his or her Participation Agreement.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529" w:name="page530"/>
    <w:bookmarkEnd w:id="529"/>
    <w:p>
      <w:pPr>
        <w:ind w:right="20"/>
        <w:spacing w:after="0" w:line="253"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COBRA Benefit: </w:t>
      </w:r>
      <w:r>
        <w:rPr>
          <w:rFonts w:ascii="Times New Roman" w:cs="Times New Roman" w:eastAsia="Times New Roman" w:hAnsi="Times New Roman"/>
          <w:sz w:val="18"/>
          <w:szCs w:val="18"/>
          <w:color w:val="auto"/>
        </w:rPr>
        <w:t>Upon a Qualified Termination, if an Eligible Employee makes a valid election under COBRA to continue his or her health coverage,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Company will pay or reimburse the Eligible Employee for the cost of such continuation coverage for the Eligible Employee and any eligible dependents that were covered under the Company’s health care plans immediately prior to the date of his or her Qualified Termination until the earliest of (a) the end of the applicable period set forth in the Eligible Employee’s Participation Agreement, (b) the date upon which the Eligible Employee and/or the Eligible Employee’s eligible dependents become covered under similar plans or (c) the date upon which the Eligible Employee ceases to be eligible for coverage under COBRA (the </w:t>
      </w:r>
      <w:r>
        <w:rPr>
          <w:rFonts w:ascii="Times New Roman" w:cs="Times New Roman" w:eastAsia="Times New Roman" w:hAnsi="Times New Roman"/>
          <w:sz w:val="18"/>
          <w:szCs w:val="18"/>
          <w:b w:val="1"/>
          <w:bCs w:val="1"/>
          <w:color w:val="auto"/>
        </w:rPr>
        <w:t>“COBRA Coverage”</w:t>
      </w:r>
      <w:r>
        <w:rPr>
          <w:rFonts w:ascii="Times New Roman" w:cs="Times New Roman" w:eastAsia="Times New Roman" w:hAnsi="Times New Roman"/>
          <w:sz w:val="18"/>
          <w:szCs w:val="18"/>
          <w:color w:val="auto"/>
        </w:rPr>
        <w:t xml:space="preserve">). Notwithstanding the preceding, if the Company determines in its sole discretion that it cannot provide the COBRA Coverage without potentially violating applicable law (including, without limitation, Section 2716 of the Public Health Service Act), the Company will instead provide the Eligible Employee a taxable lump-sum payment in an amount equal to the applicable number of months of COBRA Coverage specified in the Eligible Employee’s Participation Agreement multiplied by the monthly COBRA premium that the Eligible Employee would be required to pay to continue his or her group health coverage in effect on the date of his or her Qualified Termination, based on the premium for the first month of COBRA Coverage (whichever of such taxable payments or the COBRA Coverage, the </w:t>
      </w:r>
      <w:r>
        <w:rPr>
          <w:rFonts w:ascii="Times New Roman" w:cs="Times New Roman" w:eastAsia="Times New Roman" w:hAnsi="Times New Roman"/>
          <w:sz w:val="18"/>
          <w:szCs w:val="18"/>
          <w:b w:val="1"/>
          <w:bCs w:val="1"/>
          <w:color w:val="auto"/>
        </w:rPr>
        <w:t>“COBRA Benefit”</w:t>
      </w:r>
      <w:r>
        <w:rPr>
          <w:rFonts w:ascii="Times New Roman" w:cs="Times New Roman" w:eastAsia="Times New Roman" w:hAnsi="Times New Roman"/>
          <w:sz w:val="18"/>
          <w:szCs w:val="18"/>
          <w:color w:val="auto"/>
        </w:rPr>
        <w:t xml:space="preserve">). If the Company provides for a taxable cash payment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lieu of the COBRA Coverage, then such cash payment will be made regardless of whether the Eligible Employee elects COBRA continuation coverage and such payment will be made in full on the 61st day following the Eligible Employee’s Qualified Termination.</w:t>
      </w:r>
    </w:p>
    <w:p>
      <w:pPr>
        <w:spacing w:after="0" w:line="18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Non-Duplication of Payment or Benefits: </w:t>
      </w:r>
      <w:r>
        <w:rPr>
          <w:rFonts w:ascii="Times New Roman" w:cs="Times New Roman" w:eastAsia="Times New Roman" w:hAnsi="Times New Roman"/>
          <w:sz w:val="18"/>
          <w:szCs w:val="18"/>
          <w:color w:val="auto"/>
        </w:rPr>
        <w:t>If (a) an Eligible Employee’s Qualified Termination occurs prior to a Change in Control that qualifies him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 for severance payments and benefits payable on a Non-CIC Qualified Termination and (b) a Change in Control occurs within the 3-month period following his or her Qualified Termination that qualifies him or her for the superior severance payments and benefits payable on a CIC Qualified Termination under this Policy, then (i) the Eligible Employee will cease receiving any further payments or benefits under this Policy in connection with his or her Non-CIC Qualified Termination and (ii) the Equity Vesting, Salary Severance, Bonus Severance, and COBRA Benefit, as applicable, otherwise payable upon a CIC Qualified Termination under this Policy each will be offset by the corresponding payments or benefits he or she already received under this Policy in connection with his or her Non-CIC Qualified Termination.</w:t>
      </w:r>
    </w:p>
    <w:p>
      <w:pPr>
        <w:spacing w:after="0" w:line="183" w:lineRule="exact"/>
        <w:rPr>
          <w:sz w:val="20"/>
          <w:szCs w:val="20"/>
          <w:color w:val="auto"/>
        </w:rPr>
      </w:pPr>
    </w:p>
    <w:p>
      <w:pPr>
        <w:jc w:val="both"/>
        <w:ind w:right="1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Death of Eligible Employee: </w:t>
      </w:r>
      <w:r>
        <w:rPr>
          <w:rFonts w:ascii="Times New Roman" w:cs="Times New Roman" w:eastAsia="Times New Roman" w:hAnsi="Times New Roman"/>
          <w:sz w:val="18"/>
          <w:szCs w:val="18"/>
          <w:color w:val="auto"/>
        </w:rPr>
        <w:t>If an Eligible Employee dies before all payments or benefits he or she is entitled to receive have been paid, such unpaid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will be paid to his or her designated beneficiary, if living, or otherwise to his or her personal representative in a lump-sum payment as soon as possible following his or her death.</w:t>
      </w:r>
    </w:p>
    <w:p>
      <w:pPr>
        <w:spacing w:after="0" w:line="17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Release: </w:t>
      </w:r>
      <w:r>
        <w:rPr>
          <w:rFonts w:ascii="Times New Roman" w:cs="Times New Roman" w:eastAsia="Times New Roman" w:hAnsi="Times New Roman"/>
          <w:sz w:val="18"/>
          <w:szCs w:val="18"/>
          <w:color w:val="auto"/>
        </w:rPr>
        <w:t>An Eligible Employee’s receipt of any severance payments or benefits upon his or her Qualified Termination under this Policy is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Eligible Employee signing and not revoking the Company’s then-standard separation agreement and release of claims (which may include an agreement not to disparage the Company, non-solicit provisions, and other standard terms and conditions) (the </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xml:space="preserve"> and such requirement, the </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Requirement”</w:t>
      </w:r>
      <w:r>
        <w:rPr>
          <w:rFonts w:ascii="Times New Roman" w:cs="Times New Roman" w:eastAsia="Times New Roman" w:hAnsi="Times New Roman"/>
          <w:sz w:val="18"/>
          <w:szCs w:val="18"/>
          <w:color w:val="auto"/>
        </w:rPr>
        <w:t>), which must become effective and irrevocable no later than the 60th day following the Eligible Employee’s Qualified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5" w:right="459" w:bottom="1440" w:gutter="0" w:footer="0" w:header="0"/>
        </w:sectPr>
      </w:pPr>
    </w:p>
    <w:bookmarkStart w:id="530" w:name="page531"/>
    <w:bookmarkEnd w:id="530"/>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Termination (the </w:t>
      </w:r>
      <w:r>
        <w:rPr>
          <w:rFonts w:ascii="Times New Roman" w:cs="Times New Roman" w:eastAsia="Times New Roman" w:hAnsi="Times New Roman"/>
          <w:sz w:val="18"/>
          <w:szCs w:val="18"/>
          <w:b w:val="1"/>
          <w:bCs w:val="1"/>
          <w:color w:val="auto"/>
        </w:rPr>
        <w:t>“Release Deadline”</w:t>
      </w:r>
      <w:r>
        <w:rPr>
          <w:rFonts w:ascii="Times New Roman" w:cs="Times New Roman" w:eastAsia="Times New Roman" w:hAnsi="Times New Roman"/>
          <w:sz w:val="18"/>
          <w:szCs w:val="18"/>
          <w:color w:val="auto"/>
        </w:rPr>
        <w:t>). If the Release does not become effective and irrevocable by the Release Deadline, the Eligible Employee will forfeit any right to severance payments or benefits under this Policy. In no event will severance payments or benefits under the Policy be paid or provided until the Release actually becomes effective and irrevocable. Notwithstanding any other payment schedule set forth in this Policy or the Eligible Employee’s Participation Agreement, none of the severance payments and benefits payable upon such Eligible Employee’s Qualified Termination under this Policy will be paid or otherwise provided prior to the 60th day following the Eligible Employee’s Qualified Termination. Except as otherwise set forth in an Eligible Employee’s Participation Agreement or to the extent that payments are delayed under the paragraph below entitled “Section 409A,” on the first regular payroll pay day following the 60th day following the Eligible Employee’s Qualified Termination, the Company will pay or provide the Eligible Employee the severance payments and benefits that the Eligible Employee would otherwise have received under this Policy on or prior to such date, with the balance of such severance payments and benefits being paid or provided as originally scheduled.</w:t>
      </w:r>
    </w:p>
    <w:p>
      <w:pPr>
        <w:spacing w:after="0" w:line="18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Section 409A: </w:t>
      </w:r>
      <w:r>
        <w:rPr>
          <w:rFonts w:ascii="Times New Roman" w:cs="Times New Roman" w:eastAsia="Times New Roman" w:hAnsi="Times New Roman"/>
          <w:sz w:val="18"/>
          <w:szCs w:val="18"/>
          <w:color w:val="auto"/>
        </w:rPr>
        <w:t>The Company intends that all payments and benefits provided under this Policy or otherwise are exempt from, or comply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requirements of Section 409A of the Code and any guidance promulgated thereunder (collectively,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xml:space="preserve">) so that none of the payments or benefits will be subject to the additional tax imposed under Section 409A, and any ambiguities herein will be interpreted in accordance with this intent. No payment or benefits to be paid to an Eligible Employee, if any, under this Policy or otherwise, when considered together with any other severance payments or separation benefits that are considered deferred compensation under Section 409A (together, the </w:t>
      </w:r>
      <w:r>
        <w:rPr>
          <w:rFonts w:ascii="Times New Roman" w:cs="Times New Roman" w:eastAsia="Times New Roman" w:hAnsi="Times New Roman"/>
          <w:sz w:val="18"/>
          <w:szCs w:val="18"/>
          <w:b w:val="1"/>
          <w:bCs w:val="1"/>
          <w:color w:val="auto"/>
        </w:rPr>
        <w:t>“Deferred Payments”</w:t>
      </w:r>
      <w:r>
        <w:rPr>
          <w:rFonts w:ascii="Times New Roman" w:cs="Times New Roman" w:eastAsia="Times New Roman" w:hAnsi="Times New Roman"/>
          <w:sz w:val="18"/>
          <w:szCs w:val="18"/>
          <w:color w:val="auto"/>
        </w:rPr>
        <w:t>), will be paid or otherwise provided until such Eligible Employee has a “separation from service” within the meaning of Section 409A. If, at the time of the Eligible Employee’s termination of employment, the Eligible Employee is a “specified employee” within the meaning of Section 409A, then the payment of the Deferred Payments will be delayed to the extent necessary to avoid the imposition of the additional tax imposed under Section 409A, which generally means that the Eligible Employee will receive payment on the first payroll date that occurs on or after the date that is 6 months and 1 day following his or her termination of employment. The Company reserves the right to amend the Policy as it deems necessary or advisable, in its sole discretion and without the consent of any Eligible Employee or any other individual, to comply with any provision required to avoid the imposition of the additional tax imposed under Section 409A or to otherwise avoid income recognition under Section 409A prior to the actual payment of any benefits or imposition of any additional tax. Each payment, installment, and benefit payable under this Policy is intended to constitute a separate payment for purposes of U.S. Treasury Regulation Section 1.409A-2(b)(2). In no event will the Company reimburse any Eligible Employee for any taxes that may be imposed on him or her as a result of Section 409A.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Parachute Payments:</w:t>
      </w:r>
    </w:p>
    <w:p>
      <w:pPr>
        <w:spacing w:after="0" w:line="117" w:lineRule="exact"/>
        <w:rPr>
          <w:sz w:val="20"/>
          <w:szCs w:val="20"/>
          <w:color w:val="auto"/>
        </w:rPr>
      </w:pPr>
    </w:p>
    <w:p>
      <w:pPr>
        <w:ind w:left="440" w:right="40"/>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Reduction of Severance Benefits. </w:t>
      </w:r>
      <w:r>
        <w:rPr>
          <w:rFonts w:ascii="Times New Roman" w:cs="Times New Roman" w:eastAsia="Times New Roman" w:hAnsi="Times New Roman"/>
          <w:sz w:val="17"/>
          <w:szCs w:val="17"/>
          <w:color w:val="auto"/>
        </w:rPr>
        <w:t>Notwithstanding anything set forth herein to the contrary, if any payment or benefit that an Eligible Employee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would receive from the Company or any other party whether in connection with the provisions herein or otherwise (the </w:t>
      </w:r>
      <w:r>
        <w:rPr>
          <w:rFonts w:ascii="Times New Roman" w:cs="Times New Roman" w:eastAsia="Times New Roman" w:hAnsi="Times New Roman"/>
          <w:sz w:val="17"/>
          <w:szCs w:val="17"/>
          <w:b w:val="1"/>
          <w:bCs w:val="1"/>
          <w:color w:val="auto"/>
        </w:rPr>
        <w:t>“Payment”</w:t>
      </w:r>
      <w:r>
        <w:rPr>
          <w:rFonts w:ascii="Times New Roman" w:cs="Times New Roman" w:eastAsia="Times New Roman" w:hAnsi="Times New Roman"/>
          <w:sz w:val="17"/>
          <w:szCs w:val="17"/>
          <w:color w:val="auto"/>
        </w:rPr>
        <w:t>) would</w:t>
      </w:r>
    </w:p>
    <w:p>
      <w:pPr>
        <w:spacing w:after="0" w:line="1" w:lineRule="exact"/>
        <w:rPr>
          <w:sz w:val="20"/>
          <w:szCs w:val="20"/>
          <w:color w:val="auto"/>
        </w:rPr>
      </w:pPr>
    </w:p>
    <w:p>
      <w:pPr>
        <w:ind w:left="440" w:right="220" w:hanging="4"/>
        <w:spacing w:after="0" w:line="260" w:lineRule="auto"/>
        <w:tabs>
          <w:tab w:leader="none" w:pos="685"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constitute a “parachute payment” within the meaning of Section 280G of the Code, and (b) but for this sentence, be subject to the excise tax imposed by Section 4999 of the Code (the </w:t>
      </w:r>
      <w:r>
        <w:rPr>
          <w:rFonts w:ascii="Times New Roman" w:cs="Times New Roman" w:eastAsia="Times New Roman" w:hAnsi="Times New Roman"/>
          <w:sz w:val="18"/>
          <w:szCs w:val="18"/>
          <w:b w:val="1"/>
          <w:bCs w:val="1"/>
          <w:color w:val="auto"/>
        </w:rPr>
        <w:t>“Excise Tax”</w:t>
      </w:r>
      <w:r>
        <w:rPr>
          <w:rFonts w:ascii="Times New Roman" w:cs="Times New Roman" w:eastAsia="Times New Roman" w:hAnsi="Times New Roman"/>
          <w:sz w:val="18"/>
          <w:szCs w:val="18"/>
          <w:color w:val="auto"/>
        </w:rPr>
        <w:t xml:space="preserve">), then such Payment will be equal to the Best Results Amount. The </w:t>
      </w:r>
      <w:r>
        <w:rPr>
          <w:rFonts w:ascii="Times New Roman" w:cs="Times New Roman" w:eastAsia="Times New Roman" w:hAnsi="Times New Roman"/>
          <w:sz w:val="18"/>
          <w:szCs w:val="18"/>
          <w:b w:val="1"/>
          <w:bCs w:val="1"/>
          <w:color w:val="auto"/>
        </w:rPr>
        <w:t>“Best</w:t>
      </w:r>
    </w:p>
    <w:p>
      <w:pPr>
        <w:spacing w:after="0" w:line="11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65" w:right="499" w:bottom="1440" w:gutter="0" w:footer="0" w:header="0"/>
        </w:sectPr>
      </w:pPr>
    </w:p>
    <w:bookmarkStart w:id="531" w:name="page532"/>
    <w:bookmarkEnd w:id="531"/>
    <w:p>
      <w:pPr>
        <w:ind w:left="440"/>
        <w:spacing w:after="0" w:line="273"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Results Amount” </w:t>
      </w:r>
      <w:r>
        <w:rPr>
          <w:rFonts w:ascii="Times New Roman" w:cs="Times New Roman" w:eastAsia="Times New Roman" w:hAnsi="Times New Roman"/>
          <w:sz w:val="17"/>
          <w:szCs w:val="17"/>
          <w:color w:val="auto"/>
        </w:rPr>
        <w:t>will be either (x) the full amount of such Payment or (y) such lesser amount as would result in no portion of the Payment being</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subject to the Excise Tax, whichever of the foregoing amounts, taking into account the applicable federal, state and local employment taxes, income taxes and the Excise Tax, results in the Eligible Employee’s receipt on an after-tax basis of the greater amount, notwithstanding that all or some portion of the Payment may be subject to the Excise Tax. If a reduction in payments or benefits constituting parachute payments is necessary so that the Payment equals the Best Results Amount, reduction will occur in the following order: reduction of cash payments; cancellation of accelerated vesting of stock awards; and reduction of employee benefits. In the event that acceleration of vesting of stock award compensation is to be reduced, such acceleration of vesting will be cancelled in the reverse order of the date of grant of the Eligible Employee’s equity awards.</w:t>
      </w:r>
    </w:p>
    <w:p>
      <w:pPr>
        <w:spacing w:after="0" w:line="63" w:lineRule="exact"/>
        <w:rPr>
          <w:sz w:val="20"/>
          <w:szCs w:val="20"/>
          <w:color w:val="auto"/>
        </w:rPr>
      </w:pPr>
    </w:p>
    <w:p>
      <w:pPr>
        <w:ind w:left="440" w:right="6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Determination of Excise Tax Liability. </w:t>
      </w:r>
      <w:r>
        <w:rPr>
          <w:rFonts w:ascii="Times New Roman" w:cs="Times New Roman" w:eastAsia="Times New Roman" w:hAnsi="Times New Roman"/>
          <w:sz w:val="18"/>
          <w:szCs w:val="18"/>
          <w:color w:val="auto"/>
        </w:rPr>
        <w:t>The Company will select a professional services firm to make all of the determinations required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made under these paragraphs relating to parachute payments. The Company will request that firm provide detailed supporting calculations both to the Company and the Eligible Employee prior to the date on which the event that triggers the Payment occurs if administratively feasible, or subsequent to such date if events occur that result in parachute payments to the Eligible Employee at that time. For purposes of making the calculations required under these paragraphs relating to parachute payments, the firm may make reasonable assumptions and approximations concerning applicable taxes and may rely on reasonable, good faith determinations concerning the application of the Code. The Company and the Eligible Employee will furnish to the firm such information and documents as the firm may reasonably request in order to make a determination under these paragraphs relating to parachute payments. The Company will bear all costs the firm may reasonably incur in connection with any calculations contemplated by these paragraphs relating to parachute payments. Any such determination by the firm will be binding upon the Company and the Eligible Employee, and the Company will have no liability to the Eligible Employee for the determinations of the firm.</w:t>
      </w:r>
    </w:p>
    <w:p>
      <w:pPr>
        <w:spacing w:after="0" w:line="185"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Administration: </w:t>
      </w:r>
      <w:r>
        <w:rPr>
          <w:rFonts w:ascii="Times New Roman" w:cs="Times New Roman" w:eastAsia="Times New Roman" w:hAnsi="Times New Roman"/>
          <w:sz w:val="18"/>
          <w:szCs w:val="18"/>
          <w:color w:val="auto"/>
        </w:rPr>
        <w:t>The Policy will be administered by the Committee or its delegate (in each case, the</w:t>
      </w:r>
      <w:r>
        <w:rPr>
          <w:rFonts w:ascii="Times New Roman" w:cs="Times New Roman" w:eastAsia="Times New Roman" w:hAnsi="Times New Roman"/>
          <w:sz w:val="18"/>
          <w:szCs w:val="18"/>
          <w:b w:val="1"/>
          <w:bCs w:val="1"/>
          <w:color w:val="auto"/>
        </w:rPr>
        <w:t xml:space="preserve"> “Administrator”). </w:t>
      </w:r>
      <w:r>
        <w:rPr>
          <w:rFonts w:ascii="Times New Roman" w:cs="Times New Roman" w:eastAsia="Times New Roman" w:hAnsi="Times New Roman"/>
          <w:sz w:val="18"/>
          <w:szCs w:val="18"/>
          <w:color w:val="auto"/>
        </w:rPr>
        <w:t>The Administrator will have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full discretion to administer and interpret the Policy. Any decision made or other action taken by the Administrator with respect to the Policy and any interpretation by the Administrator of any term or condition of the Policy or any related document will be conclusive and binding on all persons and be given the maximum possible deference allowed by applicable laws. The Administrator is the “plan administrator” of the Policy for purposes of ERISA and will be subject to the fiduciary standards of ERISA when acting in such capacity.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Attorneys Fees: </w:t>
      </w:r>
      <w:r>
        <w:rPr>
          <w:rFonts w:ascii="Times New Roman" w:cs="Times New Roman" w:eastAsia="Times New Roman" w:hAnsi="Times New Roman"/>
          <w:sz w:val="18"/>
          <w:szCs w:val="18"/>
          <w:color w:val="auto"/>
        </w:rPr>
        <w:t>The Company and each Eligible Employee will bear their own attorneys’ fees incurred in connection with any disputes between them.</w:t>
      </w:r>
    </w:p>
    <w:p>
      <w:pPr>
        <w:spacing w:after="0" w:line="225"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Exclusive Benefits: </w:t>
      </w:r>
      <w:r>
        <w:rPr>
          <w:rFonts w:ascii="Times New Roman" w:cs="Times New Roman" w:eastAsia="Times New Roman" w:hAnsi="Times New Roman"/>
          <w:sz w:val="18"/>
          <w:szCs w:val="18"/>
          <w:color w:val="auto"/>
        </w:rPr>
        <w:t>Except as may be set forth in an Eligible Employee’s Participation Agreement, this Policy is intended to be the only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between the Eligible Employee and the Company regarding any change of control or severance payments or benefits to be paid to the Eligible Employee on account of a termination of employment, whether unrelated to, concurrent with, or following, a Change in Control. Accordingly, by executing a Participation Agreement, an Eligible Employee hereby forfeits and waives any rights to any severance or change of control benefits set forth in any employment agreement, offer letter, and/or equity award agreement, except as set forth in this Policy and in the Eligible Employee’s Participation Agreement.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5" w:right="459" w:bottom="1440" w:gutter="0" w:footer="0" w:header="0"/>
        </w:sectPr>
      </w:pPr>
    </w:p>
    <w:bookmarkStart w:id="532" w:name="page533"/>
    <w:bookmarkEnd w:id="532"/>
    <w:p>
      <w:pPr>
        <w:ind w:right="40"/>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Tax Withholding: </w:t>
      </w:r>
      <w:r>
        <w:rPr>
          <w:rFonts w:ascii="Times New Roman" w:cs="Times New Roman" w:eastAsia="Times New Roman" w:hAnsi="Times New Roman"/>
          <w:sz w:val="18"/>
          <w:szCs w:val="18"/>
          <w:color w:val="auto"/>
        </w:rPr>
        <w:t>All payments and benefits under this Policy will be paid less applicable withholding taxes. The Company or the subsidiary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employing the Eligible Employee, as applicable, is authorized to withhold from any payments or benefits all federal, state, local and/or foreign taxes required to be withheld therefrom and any other required payroll deductions. The Company or the subsidiary employing the Eligible Employee, as applicable, will not pay, reimburse Eligible Employee for, or be liable or responsible for any of Eligible Employee’s taxes arising from or relating to any payments or benefits under this Policy; instead, any such taxes will be solely the responsibility of Eligible Employee.</w:t>
      </w:r>
    </w:p>
    <w:p>
      <w:pPr>
        <w:spacing w:after="0" w:line="1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Amendment or Termination: </w:t>
      </w:r>
      <w:r>
        <w:rPr>
          <w:rFonts w:ascii="Times New Roman" w:cs="Times New Roman" w:eastAsia="Times New Roman" w:hAnsi="Times New Roman"/>
          <w:sz w:val="18"/>
          <w:szCs w:val="18"/>
          <w:color w:val="auto"/>
        </w:rPr>
        <w:t>The Committee may amend or terminate the Policy at any time without advance notice to any Eligible Employee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individual and without regard to the effect of the amendment or termination on any Eligible Employee or on any other individual, except that any amendment or termination of the Policy that is adverse to an Eligible Employee who was designated by the Committee as eligible to participate in the Policy on a date prior to such amendment or termination of the Policy will not be effective with respect to such Eligible Employee without such Eligible Employee’s prior written consent. Notwithstanding the preceding, (a) any amendment to the Policy that causes an individual to cease to be an Eligible Employee will not be effective with respect to a Qualified Termination unless it is both approved by the Administrator and communicated to the affected Eligible Employee in writing at least 6 months prior to the effective date of the amendment or termination, and (b) no amendment or termination of the Policy will be made within 12 months following a Change in Control if such amendment or termination would reduce the benefits provided hereunder or impair an Eligible Employee’s eligibility under the Policy (unless the affected Eligible Employee consents to such amendment or termination). Any action in amending or terminating the Policy will be taken in a non-fiduciary capacity.</w:t>
      </w:r>
    </w:p>
    <w:p>
      <w:pPr>
        <w:spacing w:after="0" w:line="18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Claims Procedure: </w:t>
      </w:r>
      <w:r>
        <w:rPr>
          <w:rFonts w:ascii="Times New Roman" w:cs="Times New Roman" w:eastAsia="Times New Roman" w:hAnsi="Times New Roman"/>
          <w:sz w:val="18"/>
          <w:szCs w:val="18"/>
          <w:color w:val="auto"/>
        </w:rPr>
        <w:t>Any Eligible Employee who believes he or she is entitled to any payment under the Policy may submit a claim in writing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If the claim is denied (in full or in part), the claimant will be provided a written notice explaining the specific reasons for the denial and referring to the provisions of the Policy on which the denial is based. The notice will also describe any additional information needed to support the claim and the Policy’s procedures for appealing the denial. The denial notice will be provided within 90 days after the claim is received. If special circumstances require an extension of time (up to 90 days), written notice of the extension will be given within the initial 90-day period. This notice of extension will indicate the special circumstances requiring the extension of time and the date by which the Administrator expects to render its decision on the claim.</w:t>
      </w:r>
    </w:p>
    <w:p>
      <w:pPr>
        <w:spacing w:after="0" w:line="18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Appeal Procedure: </w:t>
      </w:r>
      <w:r>
        <w:rPr>
          <w:rFonts w:ascii="Times New Roman" w:cs="Times New Roman" w:eastAsia="Times New Roman" w:hAnsi="Times New Roman"/>
          <w:sz w:val="18"/>
          <w:szCs w:val="18"/>
          <w:color w:val="auto"/>
        </w:rPr>
        <w:t>If the claimant’s claim is denied, the claimant (or his or her authorized representative) may apply in writing to the Administrator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review of the decision denying the claim. Review must be requested within 60 days following the date the claimant received the written notice of their claim denial or else the claimant loses the right to review. The claimant (or representative) then has the right to review and obtain copies of all documents and other information relevant to the claim, upon request and at no charge, and to submit issues and comments in writing. The Administrator will provide written notice of the decision on review within 60 days after it receives a review request. If additional time (up to 60 days) is needed to review the request, the claimant (or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5" w:right="459" w:bottom="1440" w:gutter="0" w:footer="0" w:header="0"/>
        </w:sectPr>
      </w:pPr>
    </w:p>
    <w:bookmarkStart w:id="533" w:name="page534"/>
    <w:bookmarkEnd w:id="533"/>
    <w:p>
      <w:pPr>
        <w:ind w:right="10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representative) will be given written notice of the reason for the delay. This notice of extension will indicate the special circumstances requiring the extension of time and the date by which the Administrator expects to render its decision. If the claim is denied (in full or in part), the claimant will be provided a written notice explaining the specific reasons for the denial and referring to the provisions of the Policy on which the denial is based. The notice will also include a statement that the claimant will be provided, upon request and free of charge, reasonable access to, and copies of, all documents and other information relevant to the claim and a statement regarding the claimant’s right to bring an action under Section 502(a) of ERISA.</w:t>
      </w:r>
    </w:p>
    <w:p>
      <w:pPr>
        <w:spacing w:after="0" w:line="16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Successors: </w:t>
      </w:r>
      <w:r>
        <w:rPr>
          <w:rFonts w:ascii="Times New Roman" w:cs="Times New Roman" w:eastAsia="Times New Roman" w:hAnsi="Times New Roman"/>
          <w:sz w:val="18"/>
          <w:szCs w:val="18"/>
          <w:color w:val="auto"/>
        </w:rPr>
        <w:t>Any successor to the Company of all or substantially all of the Company’s business and/or assets (whether direct or indirect and whether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purchase, merger, consolidation, liquidation or other transaction) will assume the obligations under the Policy and agree expressly to perform the obligations under the Policy in the same manner and to the same extent as the Company would be required to perform such obligations in the absence of a succession. For all purposes under the Policy, the term “Company” will include any successor to the Company’s business and/or assets which becomes bound by the terms of the Policy by operation of law, or otherwise.</w:t>
      </w:r>
    </w:p>
    <w:p>
      <w:pPr>
        <w:spacing w:after="0" w:line="179"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Applicable Law: </w:t>
      </w:r>
      <w:r>
        <w:rPr>
          <w:rFonts w:ascii="Times New Roman" w:cs="Times New Roman" w:eastAsia="Times New Roman" w:hAnsi="Times New Roman"/>
          <w:sz w:val="18"/>
          <w:szCs w:val="18"/>
          <w:color w:val="auto"/>
        </w:rPr>
        <w:t>The provisions of the Policy will be construed, administered, and enforced in accordance with ERISA and, to the extent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internal substantive laws of the state of California (but not its conflict of laws provisions).</w:t>
      </w:r>
    </w:p>
    <w:p>
      <w:pPr>
        <w:spacing w:after="0" w:line="15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Unless otherwise defined in an Eligible Employee’s Participation Agreement, the following terms will have the following meanings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purposes of this Policy and the Eligible Employee’s Participation Agreement:</w:t>
      </w:r>
    </w:p>
    <w:p>
      <w:pPr>
        <w:spacing w:after="0" w:line="47" w:lineRule="exact"/>
        <w:rPr>
          <w:sz w:val="20"/>
          <w:szCs w:val="20"/>
          <w:color w:val="auto"/>
        </w:rPr>
      </w:pPr>
    </w:p>
    <w:p>
      <w:pPr>
        <w:ind w:left="440" w:right="2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“Base Salary” </w:t>
      </w:r>
      <w:r>
        <w:rPr>
          <w:rFonts w:ascii="Times New Roman" w:cs="Times New Roman" w:eastAsia="Times New Roman" w:hAnsi="Times New Roman"/>
          <w:sz w:val="18"/>
          <w:szCs w:val="18"/>
          <w:color w:val="auto"/>
        </w:rPr>
        <w:t>means the Eligible Employee’s annual base salary as in effect immediately prior to his or her Qualified Termination (if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Qualified Termination is due to a resignation for Good Reason based on a material reduction in base salary, then the Eligible Employee’s annual base salary in effect immediately prior to such reduction) or, if such Qualified Termination occurs following a Change in Control, and such amount is greater, at the level in effect immediately prior to the Change in Control.</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“Board” </w:t>
      </w:r>
      <w:r>
        <w:rPr>
          <w:rFonts w:ascii="Times New Roman" w:cs="Times New Roman" w:eastAsia="Times New Roman" w:hAnsi="Times New Roman"/>
          <w:sz w:val="18"/>
          <w:szCs w:val="18"/>
          <w:color w:val="auto"/>
        </w:rPr>
        <w:t>means the Board of Directors of the Company.</w:t>
      </w:r>
    </w:p>
    <w:p>
      <w:pPr>
        <w:spacing w:after="0" w:line="117" w:lineRule="exact"/>
        <w:rPr>
          <w:sz w:val="20"/>
          <w:szCs w:val="20"/>
          <w:color w:val="auto"/>
        </w:rPr>
      </w:pPr>
    </w:p>
    <w:p>
      <w:pPr>
        <w:ind w:left="44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“Cause” </w:t>
      </w:r>
      <w:r>
        <w:rPr>
          <w:rFonts w:ascii="Times New Roman" w:cs="Times New Roman" w:eastAsia="Times New Roman" w:hAnsi="Times New Roman"/>
          <w:sz w:val="18"/>
          <w:szCs w:val="18"/>
          <w:color w:val="auto"/>
        </w:rPr>
        <w:t>means the occurrence of any of the following: (a) the Eligible Employee’s engaging in illegal conduct that is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Committee to be materially injurious to the Company or any of its subsidiaries; (b) the Eligible Employee’s violation of a U.S. federal or state law or regulation or a law or regulation of any other jurisdiction applicable to the Company’s business which violation was or is reasonably likely to be injurious to the Company or any of its subsidiaries; (c) the Eligible Employee’s material breach of the terms of any confidentiality agreement or invention assignment agreement between the Eligible Employee and the Company or any of its subsidiaries, as determined in good faith by the Committee; (d) the Eligible Employee’s conviction for, or entry of a plea of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to, a felony involving any act of moral turpitude, dishonesty, fraud against, or the misappropriation of material property belonging to, the Company or any of its subsidiaries; (e) the Eligible Employee’s gross negligence or willful misconduct in the performance of his or her duties to</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9" w:right="459" w:bottom="1440" w:gutter="0" w:footer="0" w:header="0"/>
        </w:sectPr>
      </w:pPr>
    </w:p>
    <w:bookmarkStart w:id="534" w:name="page535"/>
    <w:bookmarkEnd w:id="53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Company that has resulted or is likely to result in material damage to the Company, or continued and willful violations of his or her obligations to the Company as an employee of the Company or any of its subsidiaries, as determined in good faith by the Committee, and the Eligible Employee’s failure to cure such violations within the thirty (30)-day period following written notice from the Committee; (f) any breach by the Eligible Employee of any material provision of the terms of his or her employment or engagement by the Company or any of its subsidiaries that is determined by the Committee to be materially injurious to the Company or any of its subsidiaries.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“Change in Control” </w:t>
      </w:r>
      <w:r>
        <w:rPr>
          <w:rFonts w:ascii="Times New Roman" w:cs="Times New Roman" w:eastAsia="Times New Roman" w:hAnsi="Times New Roman"/>
          <w:sz w:val="18"/>
          <w:szCs w:val="18"/>
          <w:color w:val="auto"/>
        </w:rPr>
        <w:t>has the meaning set forth in the Company’s 2013 Equity Incentive Plan, as hereinafter may be amended.</w:t>
      </w:r>
    </w:p>
    <w:p>
      <w:pPr>
        <w:spacing w:after="0" w:line="11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“Change in Control Period” </w:t>
      </w:r>
      <w:r>
        <w:rPr>
          <w:rFonts w:ascii="Times New Roman" w:cs="Times New Roman" w:eastAsia="Times New Roman" w:hAnsi="Times New Roman"/>
          <w:sz w:val="18"/>
          <w:szCs w:val="18"/>
          <w:color w:val="auto"/>
        </w:rPr>
        <w:t>will mean the period beginning 3 months prior to a Change in Control and ending 12 months following the Change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Control.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“COBRA” </w:t>
      </w:r>
      <w:r>
        <w:rPr>
          <w:rFonts w:ascii="Times New Roman" w:cs="Times New Roman" w:eastAsia="Times New Roman" w:hAnsi="Times New Roman"/>
          <w:sz w:val="18"/>
          <w:szCs w:val="18"/>
          <w:color w:val="auto"/>
        </w:rPr>
        <w:t>means the Consolidated Omnibus Budget Reconciliation Act of 1985, as amended.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“Code” </w:t>
      </w:r>
      <w:r>
        <w:rPr>
          <w:rFonts w:ascii="Times New Roman" w:cs="Times New Roman" w:eastAsia="Times New Roman" w:hAnsi="Times New Roman"/>
          <w:sz w:val="18"/>
          <w:szCs w:val="18"/>
          <w:color w:val="auto"/>
        </w:rPr>
        <w:t>means the Internal Revenue Code of 1986, as amended.</w:t>
      </w:r>
    </w:p>
    <w:p>
      <w:pPr>
        <w:spacing w:after="0" w:line="117"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“Disability” </w:t>
      </w:r>
      <w:r>
        <w:rPr>
          <w:rFonts w:ascii="Times New Roman" w:cs="Times New Roman" w:eastAsia="Times New Roman" w:hAnsi="Times New Roman"/>
          <w:sz w:val="18"/>
          <w:szCs w:val="18"/>
          <w:color w:val="auto"/>
        </w:rPr>
        <w:t>means the total and permanent disability as defined in Section 22(e)(3) of the Code unless the Company maintains a long-term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disability plan at the time of the Eligible Employee’s Qualified Termination, in which case, the determination of disability under such plan also will be considered “Disability” for purposes of this Policy.</w:t>
      </w:r>
    </w:p>
    <w:p>
      <w:pPr>
        <w:spacing w:after="0" w:line="63" w:lineRule="exact"/>
        <w:rPr>
          <w:sz w:val="20"/>
          <w:szCs w:val="20"/>
          <w:color w:val="auto"/>
        </w:rPr>
      </w:pPr>
    </w:p>
    <w:p>
      <w:pPr>
        <w:jc w:val="both"/>
        <w:ind w:right="4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“Qualified Termination” </w:t>
      </w:r>
      <w:r>
        <w:rPr>
          <w:rFonts w:ascii="Times New Roman" w:cs="Times New Roman" w:eastAsia="Times New Roman" w:hAnsi="Times New Roman"/>
          <w:sz w:val="18"/>
          <w:szCs w:val="18"/>
          <w:color w:val="auto"/>
        </w:rPr>
        <w:t>has the following meaning unless otherwise defined in the Participation Agreement: either (i) a termination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Eligible Employee’s employment by the Company (or any of its subsidiaries) other than for Cause, death, or Disability during the Change in Control Period (a </w:t>
      </w:r>
      <w:r>
        <w:rPr>
          <w:rFonts w:ascii="Times New Roman" w:cs="Times New Roman" w:eastAsia="Times New Roman" w:hAnsi="Times New Roman"/>
          <w:sz w:val="18"/>
          <w:szCs w:val="18"/>
          <w:b w:val="1"/>
          <w:bCs w:val="1"/>
          <w:color w:val="auto"/>
        </w:rPr>
        <w:t>“CIC Qualified Termination”)</w:t>
      </w:r>
      <w:r>
        <w:rPr>
          <w:rFonts w:ascii="Times New Roman" w:cs="Times New Roman" w:eastAsia="Times New Roman" w:hAnsi="Times New Roman"/>
          <w:sz w:val="18"/>
          <w:szCs w:val="18"/>
          <w:color w:val="auto"/>
        </w:rPr>
        <w:t xml:space="preserve"> or (ii) a termination of an Eligible Employee’s employment by the Company (or any of its subsidiaries) other than for Cause, death, or Disability outside the Change in Control Period (a </w:t>
      </w:r>
      <w:r>
        <w:rPr>
          <w:rFonts w:ascii="Times New Roman" w:cs="Times New Roman" w:eastAsia="Times New Roman" w:hAnsi="Times New Roman"/>
          <w:sz w:val="18"/>
          <w:szCs w:val="18"/>
          <w:b w:val="1"/>
          <w:bCs w:val="1"/>
          <w:color w:val="auto"/>
        </w:rPr>
        <w:t>“Non-CIC Qualified Termination”)</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60"/>
          </w:cols>
          <w:pgMar w:left="880" w:top="269" w:right="459" w:bottom="1440" w:gutter="0" w:footer="0" w:header="0"/>
        </w:sectPr>
      </w:pPr>
    </w:p>
    <w:bookmarkStart w:id="535" w:name="page536"/>
    <w:bookmarkEnd w:id="535"/>
    <w:p>
      <w:pPr>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Additional Information:</w:t>
      </w:r>
    </w:p>
    <w:p>
      <w:pPr>
        <w:sectPr>
          <w:pgSz w:w="11900" w:h="16838" w:orient="portrait"/>
          <w:cols w:equalWidth="0" w:num="1">
            <w:col w:w="10960"/>
          </w:cols>
          <w:pgMar w:left="440" w:top="265" w:right="499" w:bottom="1440" w:gutter="0" w:footer="0" w:header="0"/>
        </w:sectPr>
      </w:pPr>
    </w:p>
    <w:p>
      <w:pPr>
        <w:spacing w:after="0" w:line="26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Plan Name:</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PMV Pharmaceuticals, Inc. Change in Control and Severance Policy</w:t>
      </w:r>
    </w:p>
    <w:p>
      <w:pPr>
        <w:spacing w:after="0" w:line="125" w:lineRule="exact"/>
        <w:rPr>
          <w:sz w:val="20"/>
          <w:szCs w:val="20"/>
          <w:color w:val="auto"/>
        </w:rPr>
      </w:pPr>
    </w:p>
    <w:p>
      <w:pPr>
        <w:sectPr>
          <w:pgSz w:w="11900" w:h="16838" w:orient="portrait"/>
          <w:cols w:equalWidth="0" w:num="2">
            <w:col w:w="3480" w:space="720"/>
            <w:col w:w="6760"/>
          </w:cols>
          <w:pgMar w:left="440" w:top="265" w:right="49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b w:val="1"/>
          <w:bCs w:val="1"/>
          <w:color w:val="auto"/>
        </w:rPr>
        <w:t>Plan Sponsor: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PMV Pharmaceuticals, Inc.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Clarke Drive, Suite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Cranbury, NJ 08512</w:t>
      </w:r>
    </w:p>
    <w:p>
      <w:pPr>
        <w:spacing w:after="0" w:line="95" w:lineRule="exact"/>
        <w:rPr>
          <w:sz w:val="20"/>
          <w:szCs w:val="20"/>
          <w:color w:val="auto"/>
        </w:rPr>
      </w:pPr>
    </w:p>
    <w:p>
      <w:pPr>
        <w:sectPr>
          <w:pgSz w:w="11900" w:h="16838" w:orient="portrait"/>
          <w:cols w:equalWidth="0" w:num="2">
            <w:col w:w="3480" w:space="720"/>
            <w:col w:w="6760"/>
          </w:cols>
          <w:pgMar w:left="440" w:top="265" w:right="49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b w:val="1"/>
          <w:bCs w:val="1"/>
          <w:color w:val="auto"/>
        </w:rPr>
        <w:t>Identification Numbers: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EIN: 46-3218129</w:t>
      </w:r>
    </w:p>
    <w:p>
      <w:pPr>
        <w:spacing w:after="0" w:line="124" w:lineRule="exact"/>
        <w:rPr>
          <w:sz w:val="20"/>
          <w:szCs w:val="20"/>
          <w:color w:val="auto"/>
        </w:rPr>
      </w:pPr>
    </w:p>
    <w:p>
      <w:pPr>
        <w:sectPr>
          <w:pgSz w:w="11900" w:h="16838" w:orient="portrait"/>
          <w:cols w:equalWidth="0" w:num="2">
            <w:col w:w="3480" w:space="720"/>
            <w:col w:w="6760"/>
          </w:cols>
          <w:pgMar w:left="440" w:top="265" w:right="49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b w:val="1"/>
          <w:bCs w:val="1"/>
          <w:color w:val="auto"/>
        </w:rPr>
        <w:t>Plan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Company’s Fiscal Year</w:t>
      </w:r>
    </w:p>
    <w:p>
      <w:pPr>
        <w:spacing w:after="0" w:line="125" w:lineRule="exact"/>
        <w:rPr>
          <w:sz w:val="20"/>
          <w:szCs w:val="20"/>
          <w:color w:val="auto"/>
        </w:rPr>
      </w:pPr>
    </w:p>
    <w:p>
      <w:pPr>
        <w:sectPr>
          <w:pgSz w:w="11900" w:h="16838" w:orient="portrait"/>
          <w:cols w:equalWidth="0" w:num="2">
            <w:col w:w="3480" w:space="720"/>
            <w:col w:w="6760"/>
          </w:cols>
          <w:pgMar w:left="440" w:top="265" w:right="49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b w:val="1"/>
          <w:bCs w:val="1"/>
          <w:color w:val="auto"/>
        </w:rPr>
        <w:t>Plan Administrator: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Attention: </w:t>
      </w:r>
      <w:r>
        <w:rPr>
          <w:rFonts w:ascii="Times New Roman" w:cs="Times New Roman" w:eastAsia="Times New Roman" w:hAnsi="Times New Roman"/>
          <w:sz w:val="17"/>
          <w:szCs w:val="17"/>
          <w:color w:val="auto"/>
        </w:rPr>
        <w:t>Chief Executive Officer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Clarke Drive, Suite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Cranbury, NJ 08512</w:t>
      </w:r>
    </w:p>
    <w:p>
      <w:pPr>
        <w:spacing w:after="0" w:line="95" w:lineRule="exact"/>
        <w:rPr>
          <w:sz w:val="20"/>
          <w:szCs w:val="20"/>
          <w:color w:val="auto"/>
        </w:rPr>
      </w:pPr>
    </w:p>
    <w:p>
      <w:pPr>
        <w:sectPr>
          <w:pgSz w:w="11900" w:h="16838" w:orient="portrait"/>
          <w:cols w:equalWidth="0" w:num="2">
            <w:col w:w="3480" w:space="720"/>
            <w:col w:w="6760"/>
          </w:cols>
          <w:pgMar w:left="440" w:top="265" w:right="49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b w:val="1"/>
          <w:bCs w:val="1"/>
          <w:color w:val="auto"/>
        </w:rPr>
        <w:t>Agent for Service of</w:t>
      </w:r>
    </w:p>
    <w:p>
      <w:pPr>
        <w:spacing w:after="0" w:line="4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b w:val="1"/>
          <w:bCs w:val="1"/>
          <w:color w:val="auto"/>
        </w:rPr>
        <w:t>Legal Process: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Attention: </w:t>
      </w:r>
      <w:r>
        <w:rPr>
          <w:rFonts w:ascii="Times New Roman" w:cs="Times New Roman" w:eastAsia="Times New Roman" w:hAnsi="Times New Roman"/>
          <w:sz w:val="17"/>
          <w:szCs w:val="17"/>
          <w:color w:val="auto"/>
        </w:rPr>
        <w:t>Chief Executive Officer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 Clarke Drive, Suite 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Cranbury, NJ 08512</w:t>
      </w:r>
    </w:p>
    <w:p>
      <w:pPr>
        <w:spacing w:after="0" w:line="95" w:lineRule="exact"/>
        <w:rPr>
          <w:sz w:val="20"/>
          <w:szCs w:val="20"/>
          <w:color w:val="auto"/>
        </w:rPr>
      </w:pPr>
    </w:p>
    <w:p>
      <w:pPr>
        <w:sectPr>
          <w:pgSz w:w="11900" w:h="16838" w:orient="portrait"/>
          <w:cols w:equalWidth="0" w:num="2">
            <w:col w:w="3480" w:space="720"/>
            <w:col w:w="6760"/>
          </w:cols>
          <w:pgMar w:left="440" w:top="265" w:right="49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b w:val="1"/>
          <w:bCs w:val="1"/>
          <w:color w:val="auto"/>
        </w:rPr>
        <w:t>Type of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Severance Plan/Employee Welfare Benefit Plan</w:t>
      </w:r>
    </w:p>
    <w:p>
      <w:pPr>
        <w:spacing w:after="0" w:line="125" w:lineRule="exact"/>
        <w:rPr>
          <w:sz w:val="20"/>
          <w:szCs w:val="20"/>
          <w:color w:val="auto"/>
        </w:rPr>
      </w:pPr>
    </w:p>
    <w:p>
      <w:pPr>
        <w:sectPr>
          <w:pgSz w:w="11900" w:h="16838" w:orient="portrait"/>
          <w:cols w:equalWidth="0" w:num="2">
            <w:col w:w="3480" w:space="720"/>
            <w:col w:w="6760"/>
          </w:cols>
          <w:pgMar w:left="440" w:top="265" w:right="49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b w:val="1"/>
          <w:bCs w:val="1"/>
          <w:color w:val="auto"/>
        </w:rPr>
        <w:t>Plan Costs: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The cost of the Policy is paid by the Company.</w:t>
      </w:r>
    </w:p>
    <w:p>
      <w:pPr>
        <w:spacing w:after="0" w:line="207" w:lineRule="exact"/>
        <w:rPr>
          <w:sz w:val="20"/>
          <w:szCs w:val="20"/>
          <w:color w:val="auto"/>
        </w:rPr>
      </w:pPr>
    </w:p>
    <w:p>
      <w:pPr>
        <w:sectPr>
          <w:pgSz w:w="11900" w:h="16838" w:orient="portrait"/>
          <w:cols w:equalWidth="0" w:num="2">
            <w:col w:w="3480" w:space="720"/>
            <w:col w:w="6760"/>
          </w:cols>
          <w:pgMar w:left="440" w:top="265" w:right="499" w:bottom="1440" w:gutter="0" w:footer="0" w:header="0"/>
          <w:type w:val="continuous"/>
        </w:sectPr>
      </w:pP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Statement of ERISA Rights: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Eligible Employees have certain rights and protections under ERISA:</w:t>
      </w:r>
    </w:p>
    <w:p>
      <w:pPr>
        <w:spacing w:after="0" w:line="117" w:lineRule="exact"/>
        <w:rPr>
          <w:sz w:val="20"/>
          <w:szCs w:val="20"/>
          <w:color w:val="auto"/>
        </w:rPr>
      </w:pPr>
    </w:p>
    <w:p>
      <w:pPr>
        <w:ind w:left="440"/>
        <w:spacing w:after="0" w:line="266" w:lineRule="auto"/>
        <w:rPr>
          <w:sz w:val="20"/>
          <w:szCs w:val="20"/>
          <w:color w:val="auto"/>
        </w:rPr>
      </w:pPr>
      <w:r>
        <w:rPr>
          <w:rFonts w:ascii="Times New Roman" w:cs="Times New Roman" w:eastAsia="Times New Roman" w:hAnsi="Times New Roman"/>
          <w:sz w:val="18"/>
          <w:szCs w:val="18"/>
          <w:color w:val="auto"/>
        </w:rPr>
        <w:t>They may examine (without charge) all Policy documents, including any amendments and copies of all documents filed with the U.S. Department of Labor, such as the Policy’s annual report (Internal Revenue Service Form 5500). These documents are available for review in the Company’s Human Resources Department.</w:t>
      </w:r>
    </w:p>
    <w:p>
      <w:pPr>
        <w:spacing w:after="0" w:line="68" w:lineRule="exact"/>
        <w:rPr>
          <w:sz w:val="20"/>
          <w:szCs w:val="20"/>
          <w:color w:val="auto"/>
        </w:rPr>
      </w:pPr>
    </w:p>
    <w:p>
      <w:pPr>
        <w:ind w:left="440"/>
        <w:spacing w:after="0" w:line="282" w:lineRule="auto"/>
        <w:rPr>
          <w:sz w:val="20"/>
          <w:szCs w:val="20"/>
          <w:color w:val="auto"/>
        </w:rPr>
      </w:pPr>
      <w:r>
        <w:rPr>
          <w:rFonts w:ascii="Times New Roman" w:cs="Times New Roman" w:eastAsia="Times New Roman" w:hAnsi="Times New Roman"/>
          <w:sz w:val="18"/>
          <w:szCs w:val="18"/>
          <w:color w:val="auto"/>
        </w:rPr>
        <w:t>They may obtain copies of all Policy documents and other Policy information upon written request to the Plan Administrator. A reasonable charge may be made for such copies.</w:t>
      </w:r>
    </w:p>
    <w:p>
      <w:pPr>
        <w:spacing w:after="0" w:line="54" w:lineRule="exact"/>
        <w:rPr>
          <w:sz w:val="20"/>
          <w:szCs w:val="20"/>
          <w:color w:val="auto"/>
        </w:rPr>
      </w:pPr>
    </w:p>
    <w:p>
      <w:pPr>
        <w:ind w:left="440" w:right="40"/>
        <w:spacing w:after="0" w:line="258" w:lineRule="auto"/>
        <w:rPr>
          <w:sz w:val="20"/>
          <w:szCs w:val="20"/>
          <w:color w:val="auto"/>
        </w:rPr>
      </w:pPr>
      <w:r>
        <w:rPr>
          <w:rFonts w:ascii="Times New Roman" w:cs="Times New Roman" w:eastAsia="Times New Roman" w:hAnsi="Times New Roman"/>
          <w:sz w:val="18"/>
          <w:szCs w:val="18"/>
          <w:color w:val="auto"/>
        </w:rPr>
        <w:t>In addition to creating rights for Eligible Employees, ERISA imposes duties upon the people who are responsible for the operation of the Policy. The people who operate the Policy (called “fiduciaries”) have a duty to do so prudently and in the interests of Eligible Employees. No one, including the Company or any other person, may fire or otherwise discriminate against an Eligible Employee in any way to prevent them from obtaining a benefit under the Policy or exercising rights under ERISA. If an Eligible Employee’s claim for a severance benefit is denied, in whole or in part, they must receive a written explanation of the reason for the denial.</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65" w:right="499" w:bottom="1440" w:gutter="0" w:footer="0" w:header="0"/>
          <w:type w:val="continuous"/>
        </w:sectPr>
      </w:pPr>
    </w:p>
    <w:bookmarkStart w:id="536" w:name="page537"/>
    <w:bookmarkEnd w:id="53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 Eligible Employee has the right to have the denial of their claim reviewed. (The claim review procedure is explained above.)</w:t>
      </w:r>
    </w:p>
    <w:p>
      <w:pPr>
        <w:spacing w:after="0" w:line="117"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Under ERISA, there are steps Eligible Employees can take to enforce the above rights. For instance, if an Eligible Employee requests materials and does not receive them within 30 days, they may file suit in a federal court. In such a case, the court may require the Plan Administrator to provide the materials and to pay the Eligible Employee up to $147 a day until they receive the materials, unless the materials were not sent because of reasons beyond the control of the Plan Administrator. If an Eligible Employee has a claim which is denied or ignored, in whole or in part, he or she may file suit in a state or federal court. If it should happen that an Eligible Employee is discriminated against for asserting their rights, he or she may seek assistance from the U.S. Department of Labor, or may file suit in a federal court.</w:t>
      </w:r>
    </w:p>
    <w:p>
      <w:pPr>
        <w:spacing w:after="0" w:line="7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In any case, the court will decide who will pay court costs and legal fees. If the Eligible Employee is successful, the court may order the person sued to pay these costs and fees. If the Eligible Employee loses, the court may order the Eligible Employee to pay these costs and fees, for example, if it finds that the claim is frivolous.</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an Eligible Employee has any questions regarding the Policy, please contact the Plan Administrator. If an Eligible Employee has any questions about this statement or about their rights under ERISA, they may contact the nearest area office of the Employee Benefits Security Administration (formerly the Pension and Welfare Benefits Administration), U.S. Department of Labor, listed in the telephone directory, or the Division of Technical Assistance and Inquiries, Employee Benefits Security Administration, U.S. Department of Labor, 200 Constitution Avenue, N.W. Washington, D.C. 20210. An Eligible Employee may also obtain certain publications about their rights and responsibilities under ERISA by calling the publications hotline of the Employee Benefits Security Administration.</w:t>
      </w:r>
    </w:p>
    <w:p>
      <w:pPr>
        <w:spacing w:after="0" w:line="12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20"/>
          </w:cols>
          <w:pgMar w:left="880" w:top="269" w:right="499" w:bottom="1440" w:gutter="0" w:footer="0" w:header="0"/>
        </w:sectPr>
      </w:pPr>
    </w:p>
    <w:bookmarkStart w:id="537" w:name="page538"/>
    <w:bookmarkEnd w:id="53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 in Control and Severance Policy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Participation Agreement</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xml:space="preserve">This Participation Agreement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xml:space="preserve"> is made and entered into by and between </w:t>
      </w:r>
      <w:r>
        <w:rPr>
          <w:rFonts w:ascii="Times New Roman" w:cs="Times New Roman" w:eastAsia="Times New Roman" w:hAnsi="Times New Roman"/>
          <w:sz w:val="17"/>
          <w:szCs w:val="17"/>
          <w:b w:val="1"/>
          <w:bCs w:val="1"/>
          <w:color w:val="auto"/>
        </w:rPr>
        <w:t>[NAME]</w:t>
      </w:r>
      <w:r>
        <w:rPr>
          <w:rFonts w:ascii="Times New Roman" w:cs="Times New Roman" w:eastAsia="Times New Roman" w:hAnsi="Times New Roman"/>
          <w:sz w:val="17"/>
          <w:szCs w:val="17"/>
          <w:color w:val="auto"/>
        </w:rPr>
        <w:t xml:space="preserve"> on the one hand, and PMV Pharmaceuticals, Inc.</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on the other.</w:t>
      </w:r>
    </w:p>
    <w:p>
      <w:pPr>
        <w:spacing w:after="0" w:line="207"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You have been designated as eligible to participate in the Policy, a copy of which is attached hereto, under which you are eligible to receive the following severance payments and benefits upon a Qualified Termination, subject to the terms and conditions of the Policy.</w:t>
      </w:r>
    </w:p>
    <w:p>
      <w:pPr>
        <w:spacing w:after="0" w:line="158" w:lineRule="exact"/>
        <w:rPr>
          <w:sz w:val="20"/>
          <w:szCs w:val="20"/>
          <w:color w:val="auto"/>
        </w:rPr>
      </w:pPr>
    </w:p>
    <w:p>
      <w:pPr>
        <w:ind w:right="6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CIC Qualified Termination. </w:t>
      </w:r>
      <w:r>
        <w:rPr>
          <w:rFonts w:ascii="Times New Roman" w:cs="Times New Roman" w:eastAsia="Times New Roman" w:hAnsi="Times New Roman"/>
          <w:sz w:val="18"/>
          <w:szCs w:val="18"/>
          <w:color w:val="auto"/>
        </w:rPr>
        <w:t>Upon your CIC Qualified Termination, you will be entitled to the following benefits, subject to the terms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conditions of the Policy:</w:t>
      </w:r>
    </w:p>
    <w:p>
      <w:pPr>
        <w:spacing w:after="0" w:line="60" w:lineRule="exact"/>
        <w:rPr>
          <w:sz w:val="20"/>
          <w:szCs w:val="20"/>
          <w:color w:val="auto"/>
        </w:rPr>
      </w:pPr>
    </w:p>
    <w:p>
      <w:pPr>
        <w:ind w:left="1420" w:right="60" w:hanging="439"/>
        <w:spacing w:after="0" w:line="259" w:lineRule="auto"/>
        <w:tabs>
          <w:tab w:leader="none" w:pos="142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Equity Vesting: </w:t>
      </w:r>
      <w:r>
        <w:rPr>
          <w:rFonts w:ascii="Times New Roman" w:cs="Times New Roman" w:eastAsia="Times New Roman" w:hAnsi="Times New Roman"/>
          <w:sz w:val="18"/>
          <w:szCs w:val="18"/>
          <w:color w:val="auto"/>
        </w:rPr>
        <w:t>100% of the then-unvested shares subject to each of your then-outstanding equity awards will immediately vest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 the case of options and stock appreciation rights, will become exercisable (for avoidance of doubt, no more than 100% of the shares subject to the outstanding portion of an equity award may vest and become exercisable under this provision). In the case of equity awards with performance-based vesting, unless otherwise determined by the Company and set forth in your equity award agreement, all performance goals and other vesting criteria will be deemed achieved at 100% of target levels.</w:t>
      </w:r>
    </w:p>
    <w:p>
      <w:pPr>
        <w:spacing w:after="0" w:line="84" w:lineRule="exact"/>
        <w:rPr>
          <w:rFonts w:ascii="Times New Roman" w:cs="Times New Roman" w:eastAsia="Times New Roman" w:hAnsi="Times New Roman"/>
          <w:sz w:val="18"/>
          <w:szCs w:val="18"/>
          <w:color w:val="auto"/>
        </w:rPr>
      </w:pPr>
    </w:p>
    <w:p>
      <w:pPr>
        <w:ind w:left="1420" w:right="200" w:hanging="439"/>
        <w:spacing w:after="0" w:line="286" w:lineRule="auto"/>
        <w:tabs>
          <w:tab w:leader="none" w:pos="142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Salary Severance: [CEO: </w:t>
      </w:r>
      <w:r>
        <w:rPr>
          <w:rFonts w:ascii="Times New Roman" w:cs="Times New Roman" w:eastAsia="Times New Roman" w:hAnsi="Times New Roman"/>
          <w:sz w:val="18"/>
          <w:szCs w:val="18"/>
          <w:color w:val="auto"/>
        </w:rPr>
        <w:t>18 months;</w:t>
      </w:r>
      <w:r>
        <w:rPr>
          <w:rFonts w:ascii="Times New Roman" w:cs="Times New Roman" w:eastAsia="Times New Roman" w:hAnsi="Times New Roman"/>
          <w:sz w:val="18"/>
          <w:szCs w:val="18"/>
          <w:b w:val="1"/>
          <w:bCs w:val="1"/>
          <w:color w:val="auto"/>
        </w:rPr>
        <w:t xml:space="preserve"> Other C-suite: </w:t>
      </w:r>
      <w:r>
        <w:rPr>
          <w:rFonts w:ascii="Times New Roman" w:cs="Times New Roman" w:eastAsia="Times New Roman" w:hAnsi="Times New Roman"/>
          <w:sz w:val="18"/>
          <w:szCs w:val="18"/>
          <w:color w:val="auto"/>
        </w:rPr>
        <w:t>12 months;</w:t>
      </w:r>
      <w:r>
        <w:rPr>
          <w:rFonts w:ascii="Times New Roman" w:cs="Times New Roman" w:eastAsia="Times New Roman" w:hAnsi="Times New Roman"/>
          <w:sz w:val="18"/>
          <w:szCs w:val="18"/>
          <w:b w:val="1"/>
          <w:bCs w:val="1"/>
          <w:color w:val="auto"/>
        </w:rPr>
        <w:t xml:space="preserve"> VPs: </w:t>
      </w:r>
      <w:r>
        <w:rPr>
          <w:rFonts w:ascii="Times New Roman" w:cs="Times New Roman" w:eastAsia="Times New Roman" w:hAnsi="Times New Roman"/>
          <w:sz w:val="18"/>
          <w:szCs w:val="18"/>
          <w:color w:val="auto"/>
        </w:rPr>
        <w:t>9 months] of your Base Salary, payable in a lump sum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61st day following your CIC Qualified Termination.</w:t>
      </w:r>
    </w:p>
    <w:p>
      <w:pPr>
        <w:spacing w:after="0" w:line="60" w:lineRule="exact"/>
        <w:rPr>
          <w:rFonts w:ascii="Times New Roman" w:cs="Times New Roman" w:eastAsia="Times New Roman" w:hAnsi="Times New Roman"/>
          <w:sz w:val="18"/>
          <w:szCs w:val="18"/>
          <w:color w:val="auto"/>
        </w:rPr>
      </w:pPr>
    </w:p>
    <w:p>
      <w:pPr>
        <w:ind w:left="1420" w:right="80" w:hanging="439"/>
        <w:spacing w:after="0" w:line="286" w:lineRule="auto"/>
        <w:tabs>
          <w:tab w:leader="none" w:pos="142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Bonus Severance: [CEO: </w:t>
      </w:r>
      <w:r>
        <w:rPr>
          <w:rFonts w:ascii="Times New Roman" w:cs="Times New Roman" w:eastAsia="Times New Roman" w:hAnsi="Times New Roman"/>
          <w:sz w:val="18"/>
          <w:szCs w:val="18"/>
          <w:color w:val="auto"/>
        </w:rPr>
        <w:t>150%;</w:t>
      </w:r>
      <w:r>
        <w:rPr>
          <w:rFonts w:ascii="Times New Roman" w:cs="Times New Roman" w:eastAsia="Times New Roman" w:hAnsi="Times New Roman"/>
          <w:sz w:val="18"/>
          <w:szCs w:val="18"/>
          <w:b w:val="1"/>
          <w:bCs w:val="1"/>
          <w:color w:val="auto"/>
        </w:rPr>
        <w:t xml:space="preserve"> Other C-suite: </w:t>
      </w:r>
      <w:r>
        <w:rPr>
          <w:rFonts w:ascii="Times New Roman" w:cs="Times New Roman" w:eastAsia="Times New Roman" w:hAnsi="Times New Roman"/>
          <w:sz w:val="18"/>
          <w:szCs w:val="18"/>
          <w:color w:val="auto"/>
        </w:rPr>
        <w:t>100%;</w:t>
      </w:r>
      <w:r>
        <w:rPr>
          <w:rFonts w:ascii="Times New Roman" w:cs="Times New Roman" w:eastAsia="Times New Roman" w:hAnsi="Times New Roman"/>
          <w:sz w:val="18"/>
          <w:szCs w:val="18"/>
          <w:b w:val="1"/>
          <w:bCs w:val="1"/>
          <w:color w:val="auto"/>
        </w:rPr>
        <w:t xml:space="preserve"> VPs</w:t>
      </w:r>
      <w:r>
        <w:rPr>
          <w:rFonts w:ascii="Times New Roman" w:cs="Times New Roman" w:eastAsia="Times New Roman" w:hAnsi="Times New Roman"/>
          <w:sz w:val="18"/>
          <w:szCs w:val="18"/>
          <w:color w:val="auto"/>
        </w:rPr>
        <w:t>: greater of pro-rata portion or 75%] of your target bonus, payable in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lump sum on the 61st day following your CIC Qualified Termination.</w:t>
      </w:r>
    </w:p>
    <w:p>
      <w:pPr>
        <w:spacing w:after="0" w:line="6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COBRA Coverage: </w:t>
      </w:r>
      <w:r>
        <w:rPr>
          <w:rFonts w:ascii="Times New Roman" w:cs="Times New Roman" w:eastAsia="Times New Roman" w:hAnsi="Times New Roman"/>
          <w:sz w:val="18"/>
          <w:szCs w:val="18"/>
          <w:color w:val="auto"/>
        </w:rPr>
        <w:t>Payment or reimbursement of the COBRA Coverage or COBRA Benefit, as applicable, for up to</w:t>
      </w:r>
      <w:r>
        <w:rPr>
          <w:rFonts w:ascii="Times New Roman" w:cs="Times New Roman" w:eastAsia="Times New Roman" w:hAnsi="Times New Roman"/>
          <w:sz w:val="18"/>
          <w:szCs w:val="18"/>
          <w:b w:val="1"/>
          <w:bCs w:val="1"/>
          <w:color w:val="auto"/>
        </w:rPr>
        <w:t xml:space="preserve"> [CEO: </w:t>
      </w:r>
      <w:r>
        <w:rPr>
          <w:rFonts w:ascii="Times New Roman" w:cs="Times New Roman" w:eastAsia="Times New Roman" w:hAnsi="Times New Roman"/>
          <w:sz w:val="18"/>
          <w:szCs w:val="18"/>
          <w:color w:val="auto"/>
        </w:rPr>
        <w:t>18</w:t>
      </w:r>
    </w:p>
    <w:p>
      <w:pPr>
        <w:spacing w:after="0" w:line="31"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months; </w:t>
      </w:r>
      <w:r>
        <w:rPr>
          <w:rFonts w:ascii="Times New Roman" w:cs="Times New Roman" w:eastAsia="Times New Roman" w:hAnsi="Times New Roman"/>
          <w:sz w:val="18"/>
          <w:szCs w:val="18"/>
          <w:b w:val="1"/>
          <w:bCs w:val="1"/>
          <w:color w:val="auto"/>
        </w:rPr>
        <w:t>Other C-suite:</w:t>
      </w:r>
      <w:r>
        <w:rPr>
          <w:rFonts w:ascii="Times New Roman" w:cs="Times New Roman" w:eastAsia="Times New Roman" w:hAnsi="Times New Roman"/>
          <w:sz w:val="18"/>
          <w:szCs w:val="18"/>
          <w:color w:val="auto"/>
        </w:rPr>
        <w:t xml:space="preserve"> 12 months; </w:t>
      </w:r>
      <w:r>
        <w:rPr>
          <w:rFonts w:ascii="Times New Roman" w:cs="Times New Roman" w:eastAsia="Times New Roman" w:hAnsi="Times New Roman"/>
          <w:sz w:val="18"/>
          <w:szCs w:val="18"/>
          <w:b w:val="1"/>
          <w:bCs w:val="1"/>
          <w:color w:val="auto"/>
        </w:rPr>
        <w:t>VPs:</w:t>
      </w:r>
      <w:r>
        <w:rPr>
          <w:rFonts w:ascii="Times New Roman" w:cs="Times New Roman" w:eastAsia="Times New Roman" w:hAnsi="Times New Roman"/>
          <w:sz w:val="18"/>
          <w:szCs w:val="18"/>
          <w:color w:val="auto"/>
        </w:rPr>
        <w:t xml:space="preserve"> 9 months] following your CIC Qualified Termination.</w:t>
      </w:r>
    </w:p>
    <w:p>
      <w:pPr>
        <w:spacing w:after="0" w:line="20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Non-CIC Qualified Termination. </w:t>
      </w:r>
      <w:r>
        <w:rPr>
          <w:rFonts w:ascii="Times New Roman" w:cs="Times New Roman" w:eastAsia="Times New Roman" w:hAnsi="Times New Roman"/>
          <w:sz w:val="18"/>
          <w:szCs w:val="18"/>
          <w:color w:val="auto"/>
        </w:rPr>
        <w:t>Upon your Non-CIC Qualified Termination, you will be entitled to the following benefits, subject to the terms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conditions of the Policy:</w:t>
      </w:r>
    </w:p>
    <w:p>
      <w:pPr>
        <w:spacing w:after="0" w:line="60" w:lineRule="exact"/>
        <w:rPr>
          <w:sz w:val="20"/>
          <w:szCs w:val="20"/>
          <w:color w:val="auto"/>
        </w:rPr>
      </w:pPr>
    </w:p>
    <w:p>
      <w:pPr>
        <w:ind w:left="1420" w:right="20" w:hanging="439"/>
        <w:spacing w:after="0" w:line="259" w:lineRule="auto"/>
        <w:tabs>
          <w:tab w:leader="none" w:pos="1420"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Equity Vesting: </w:t>
      </w:r>
      <w:r>
        <w:rPr>
          <w:rFonts w:ascii="Times New Roman" w:cs="Times New Roman" w:eastAsia="Times New Roman" w:hAnsi="Times New Roman"/>
          <w:sz w:val="18"/>
          <w:szCs w:val="18"/>
          <w:color w:val="auto"/>
        </w:rPr>
        <w:t>A number of then-unvested shares subject to each of your then-outstanding equity awards (excluding equity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with performance-based vesting and excluding any equity awards granted on or after the IPO date) equal to the number of such shares otherwise scheduled to vest during the </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xml:space="preserve"> 12 month; </w:t>
      </w:r>
      <w:r>
        <w:rPr>
          <w:rFonts w:ascii="Times New Roman" w:cs="Times New Roman" w:eastAsia="Times New Roman" w:hAnsi="Times New Roman"/>
          <w:sz w:val="18"/>
          <w:szCs w:val="18"/>
          <w:b w:val="1"/>
          <w:bCs w:val="1"/>
          <w:color w:val="auto"/>
        </w:rPr>
        <w:t>Other C-suite and VPs:</w:t>
      </w:r>
      <w:r>
        <w:rPr>
          <w:rFonts w:ascii="Times New Roman" w:cs="Times New Roman" w:eastAsia="Times New Roman" w:hAnsi="Times New Roman"/>
          <w:sz w:val="18"/>
          <w:szCs w:val="18"/>
          <w:color w:val="auto"/>
        </w:rPr>
        <w:t xml:space="preserve"> 6 month] period following the date of your Non-CIC Qualified Termination had you remained employed with the Company (or any of its subsidiaries) through such date will immediately vest and, in the case of options and stock appreciation rights, will become exercisable.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5" w:right="459" w:bottom="1440" w:gutter="0" w:footer="0" w:header="0"/>
        </w:sectPr>
      </w:pPr>
    </w:p>
    <w:bookmarkStart w:id="538" w:name="page539"/>
    <w:bookmarkEnd w:id="538"/>
    <w:p>
      <w:pPr>
        <w:ind w:left="1424" w:right="100" w:hanging="439"/>
        <w:spacing w:after="0" w:line="286" w:lineRule="auto"/>
        <w:tabs>
          <w:tab w:leader="none" w:pos="1424"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Salary Severance: [CEO: </w:t>
      </w:r>
      <w:r>
        <w:rPr>
          <w:rFonts w:ascii="Times New Roman" w:cs="Times New Roman" w:eastAsia="Times New Roman" w:hAnsi="Times New Roman"/>
          <w:sz w:val="18"/>
          <w:szCs w:val="18"/>
          <w:color w:val="auto"/>
        </w:rPr>
        <w:t>12 months;</w:t>
      </w:r>
      <w:r>
        <w:rPr>
          <w:rFonts w:ascii="Times New Roman" w:cs="Times New Roman" w:eastAsia="Times New Roman" w:hAnsi="Times New Roman"/>
          <w:sz w:val="18"/>
          <w:szCs w:val="18"/>
          <w:b w:val="1"/>
          <w:bCs w:val="1"/>
          <w:color w:val="auto"/>
        </w:rPr>
        <w:t xml:space="preserve"> Other C-suite: 9 months; and VPs: </w:t>
      </w:r>
      <w:r>
        <w:rPr>
          <w:rFonts w:ascii="Times New Roman" w:cs="Times New Roman" w:eastAsia="Times New Roman" w:hAnsi="Times New Roman"/>
          <w:sz w:val="18"/>
          <w:szCs w:val="18"/>
          <w:color w:val="auto"/>
        </w:rPr>
        <w:t>6 months] of your Base Salary, payable in a lump sum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the 6lst day following your Non-CIC Qualified Termination.</w:t>
      </w:r>
    </w:p>
    <w:p>
      <w:pPr>
        <w:spacing w:after="0" w:line="6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Bonus Severance: </w:t>
      </w:r>
      <w:r>
        <w:rPr>
          <w:rFonts w:ascii="Times New Roman" w:cs="Times New Roman" w:eastAsia="Times New Roman" w:hAnsi="Times New Roman"/>
          <w:sz w:val="18"/>
          <w:szCs w:val="18"/>
          <w:color w:val="auto"/>
        </w:rPr>
        <w:t>None.</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COBRA Coverage: </w:t>
      </w:r>
      <w:r>
        <w:rPr>
          <w:rFonts w:ascii="Times New Roman" w:cs="Times New Roman" w:eastAsia="Times New Roman" w:hAnsi="Times New Roman"/>
          <w:sz w:val="18"/>
          <w:szCs w:val="18"/>
          <w:color w:val="auto"/>
        </w:rPr>
        <w:t>Payment or reimbursement of the COBRA Coverage or COBRA Benefit, as applicable, for up to</w:t>
      </w:r>
      <w:r>
        <w:rPr>
          <w:rFonts w:ascii="Times New Roman" w:cs="Times New Roman" w:eastAsia="Times New Roman" w:hAnsi="Times New Roman"/>
          <w:sz w:val="18"/>
          <w:szCs w:val="18"/>
          <w:b w:val="1"/>
          <w:bCs w:val="1"/>
          <w:color w:val="auto"/>
        </w:rPr>
        <w:t xml:space="preserve"> [CEO: </w:t>
      </w:r>
      <w:r>
        <w:rPr>
          <w:rFonts w:ascii="Times New Roman" w:cs="Times New Roman" w:eastAsia="Times New Roman" w:hAnsi="Times New Roman"/>
          <w:sz w:val="18"/>
          <w:szCs w:val="18"/>
          <w:color w:val="auto"/>
        </w:rPr>
        <w:t>12</w:t>
      </w:r>
    </w:p>
    <w:p>
      <w:pPr>
        <w:spacing w:after="0" w:line="31" w:lineRule="exact"/>
        <w:rPr>
          <w:rFonts w:ascii="Times New Roman" w:cs="Times New Roman" w:eastAsia="Times New Roman" w:hAnsi="Times New Roman"/>
          <w:sz w:val="18"/>
          <w:szCs w:val="18"/>
          <w:color w:val="auto"/>
        </w:rPr>
      </w:pPr>
    </w:p>
    <w:p>
      <w:pPr>
        <w:ind w:left="1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months; </w:t>
      </w:r>
      <w:r>
        <w:rPr>
          <w:rFonts w:ascii="Times New Roman" w:cs="Times New Roman" w:eastAsia="Times New Roman" w:hAnsi="Times New Roman"/>
          <w:sz w:val="18"/>
          <w:szCs w:val="18"/>
          <w:b w:val="1"/>
          <w:bCs w:val="1"/>
          <w:color w:val="auto"/>
        </w:rPr>
        <w:t>Other C-suite:</w:t>
      </w:r>
      <w:r>
        <w:rPr>
          <w:rFonts w:ascii="Times New Roman" w:cs="Times New Roman" w:eastAsia="Times New Roman" w:hAnsi="Times New Roman"/>
          <w:sz w:val="18"/>
          <w:szCs w:val="18"/>
          <w:color w:val="auto"/>
        </w:rPr>
        <w:t xml:space="preserve"> 9 months; and </w:t>
      </w:r>
      <w:r>
        <w:rPr>
          <w:rFonts w:ascii="Times New Roman" w:cs="Times New Roman" w:eastAsia="Times New Roman" w:hAnsi="Times New Roman"/>
          <w:sz w:val="18"/>
          <w:szCs w:val="18"/>
          <w:b w:val="1"/>
          <w:bCs w:val="1"/>
          <w:color w:val="auto"/>
        </w:rPr>
        <w:t>VPs:</w:t>
      </w:r>
      <w:r>
        <w:rPr>
          <w:rFonts w:ascii="Times New Roman" w:cs="Times New Roman" w:eastAsia="Times New Roman" w:hAnsi="Times New Roman"/>
          <w:sz w:val="18"/>
          <w:szCs w:val="18"/>
          <w:color w:val="auto"/>
        </w:rPr>
        <w:t xml:space="preserve"> 6 months] following your Non-CIC Qualified Termination.</w:t>
      </w:r>
    </w:p>
    <w:p>
      <w:pPr>
        <w:spacing w:after="0" w:line="203"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[“Good Reason” </w:t>
      </w:r>
      <w:r>
        <w:rPr>
          <w:rFonts w:ascii="Times New Roman" w:cs="Times New Roman" w:eastAsia="Times New Roman" w:hAnsi="Times New Roman"/>
          <w:sz w:val="18"/>
          <w:szCs w:val="18"/>
          <w:color w:val="auto"/>
        </w:rPr>
        <w:t>means the termination of your employment with the Company (or any of its subsidiaries) in accordance with the next sentence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after the occurrence of one or more of the following events without your consent: (a) a material reduction in your authority, duties, or responsibilities with the Company or a subsidiary of the Company in effect immediately prior to such reduction, unless you are is provided with reasonably comparable authority, duties, or responsibilities; (b) a material change in the geographic location at which you must be principally located for employment, provided that a change in office location of greater than forty (40) miles from your home will be such a material change in geographic location; (c) a material reduction by the Company or a subsidiary of the Company in your base compensation as in effect immediately prior to such reduction other than in connection with a general reduction of base compensation at the Company or its subsidiaries of individuals having a similar position or title; or (d) any material breach by the Company or a subsidiary of the Company of the agreement under which you provide services to the Company or such subsidiary. In order for the Eligible Employee’s termination of his or her employment to be for Good Reason, you must not terminate employment with the Company without first providing the Company with written notice of the acts or omissions constituting the grounds for “Good Reason” within 90 days of the initial existence of the grounds for “Good Reason” and a cure period of 30 days following the date of written notice (the </w:t>
      </w:r>
      <w:r>
        <w:rPr>
          <w:rFonts w:ascii="Times New Roman" w:cs="Times New Roman" w:eastAsia="Times New Roman" w:hAnsi="Times New Roman"/>
          <w:sz w:val="18"/>
          <w:szCs w:val="18"/>
          <w:b w:val="1"/>
          <w:bCs w:val="1"/>
          <w:color w:val="auto"/>
        </w:rPr>
        <w:t>“Cure Period”),</w:t>
      </w:r>
      <w:r>
        <w:rPr>
          <w:rFonts w:ascii="Times New Roman" w:cs="Times New Roman" w:eastAsia="Times New Roman" w:hAnsi="Times New Roman"/>
          <w:sz w:val="18"/>
          <w:szCs w:val="18"/>
          <w:color w:val="auto"/>
        </w:rPr>
        <w:t xml:space="preserve"> such grounds must not have been cured during such time, and you must terminate your employment within 60 days following the Cure Period.</w:t>
      </w:r>
    </w:p>
    <w:p>
      <w:pPr>
        <w:spacing w:after="0" w:line="190" w:lineRule="exact"/>
        <w:rPr>
          <w:sz w:val="20"/>
          <w:szCs w:val="20"/>
          <w:color w:val="auto"/>
        </w:rPr>
      </w:pPr>
    </w:p>
    <w:p>
      <w:pPr>
        <w:ind w:left="4" w:right="2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“Qualified Termination” </w:t>
      </w:r>
      <w:r>
        <w:rPr>
          <w:rFonts w:ascii="Times New Roman" w:cs="Times New Roman" w:eastAsia="Times New Roman" w:hAnsi="Times New Roman"/>
          <w:sz w:val="18"/>
          <w:szCs w:val="18"/>
          <w:color w:val="auto"/>
        </w:rPr>
        <w:t>means either (i) a termination of your employment by the Company (or any of its subsidiaries) other than for Cause,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death, or Disability or by you for Good Reason, in either case, during the Change in Control Period (a </w:t>
      </w:r>
      <w:r>
        <w:rPr>
          <w:rFonts w:ascii="Times New Roman" w:cs="Times New Roman" w:eastAsia="Times New Roman" w:hAnsi="Times New Roman"/>
          <w:sz w:val="18"/>
          <w:szCs w:val="18"/>
          <w:b w:val="1"/>
          <w:bCs w:val="1"/>
          <w:color w:val="auto"/>
        </w:rPr>
        <w:t>“CIC Qualified Termination”) or</w:t>
      </w:r>
      <w:r>
        <w:rPr>
          <w:rFonts w:ascii="Times New Roman" w:cs="Times New Roman" w:eastAsia="Times New Roman" w:hAnsi="Times New Roman"/>
          <w:sz w:val="18"/>
          <w:szCs w:val="18"/>
          <w:color w:val="auto"/>
        </w:rPr>
        <w:t xml:space="preserve"> (ii) a termination of your employment by the Company (or any of its subsidiaries) other than for Cause, death, or Disability outside the Change in Control Period (a </w:t>
      </w:r>
      <w:r>
        <w:rPr>
          <w:rFonts w:ascii="Times New Roman" w:cs="Times New Roman" w:eastAsia="Times New Roman" w:hAnsi="Times New Roman"/>
          <w:sz w:val="18"/>
          <w:szCs w:val="18"/>
          <w:b w:val="1"/>
          <w:bCs w:val="1"/>
          <w:color w:val="auto"/>
        </w:rPr>
        <w:t>“Non-CIC Qualified Termination”).]</w:t>
      </w:r>
      <w:r>
        <w:rPr>
          <w:rFonts w:ascii="Times New Roman" w:cs="Times New Roman" w:eastAsia="Times New Roman" w:hAnsi="Times New Roman"/>
          <w:sz w:val="15"/>
          <w:szCs w:val="15"/>
          <w:color w:val="auto"/>
        </w:rPr>
        <w:t>1</w:t>
      </w:r>
    </w:p>
    <w:p>
      <w:pPr>
        <w:spacing w:after="0" w:line="176" w:lineRule="exact"/>
        <w:rPr>
          <w:sz w:val="20"/>
          <w:szCs w:val="20"/>
          <w:color w:val="auto"/>
        </w:rPr>
      </w:pPr>
    </w:p>
    <w:p>
      <w:pPr>
        <w:ind w:left="4" w:right="8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“IPO Date” </w:t>
      </w:r>
      <w:r>
        <w:rPr>
          <w:rFonts w:ascii="Times New Roman" w:cs="Times New Roman" w:eastAsia="Times New Roman" w:hAnsi="Times New Roman"/>
          <w:sz w:val="18"/>
          <w:szCs w:val="18"/>
          <w:color w:val="auto"/>
        </w:rPr>
        <w:t>means the effective date of the first registration statement that is filed by the Company and declared effective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12(b) of the Exchange Act of 1934, with respect to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215265</wp:posOffset>
            </wp:positionV>
            <wp:extent cx="77152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55" w:lineRule="exact"/>
        <w:rPr>
          <w:sz w:val="20"/>
          <w:szCs w:val="20"/>
          <w:color w:val="auto"/>
        </w:rPr>
      </w:pPr>
    </w:p>
    <w:p>
      <w:pPr>
        <w:ind w:left="424" w:hanging="424"/>
        <w:spacing w:after="0"/>
        <w:tabs>
          <w:tab w:leader="none" w:pos="424" w:val="left"/>
        </w:tabs>
        <w:numPr>
          <w:ilvl w:val="0"/>
          <w:numId w:val="43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NTD: FOR CEO/C-SUITE.</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4"/>
          </w:cols>
          <w:pgMar w:left="436" w:top="265" w:right="499" w:bottom="1440" w:gutter="0" w:footer="0" w:header="0"/>
        </w:sectPr>
      </w:pPr>
    </w:p>
    <w:bookmarkStart w:id="539" w:name="page540"/>
    <w:bookmarkEnd w:id="53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 Provisions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You agree that the Policy and the Agreement constitute the entire agreement of the parties hereto and supersede in their entirety all prior representations, understandings, undertakings or agreements (whether oral or written and whether expressed or implied) of the parties, and will specifically supersede any severance and/or change of control provisions of any offer letter, employment agreement, or equity award agreement entered into between you and the Company and/or any of its subsidiaries.</w:t>
      </w:r>
    </w:p>
    <w:p>
      <w:pPr>
        <w:spacing w:after="0" w:line="18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counterparts, each of which will be deemed an original, but all of which together will constitute one and the same instrument.</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20"/>
          </w:cols>
          <w:pgMar w:left="440" w:top="265" w:right="539" w:bottom="1440" w:gutter="0" w:footer="0" w:header="0"/>
        </w:sectPr>
      </w:pPr>
    </w:p>
    <w:bookmarkStart w:id="540" w:name="page541"/>
    <w:bookmarkEnd w:id="540"/>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signing below, each of the parties signifies his, her, or its acceptance of the terms of this Agreement, in the case of the Company by its duly authorized officer, effective as of the last date set forth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PMV PHARMACEUTICALS, INC.</w:t>
            </w:r>
          </w:p>
        </w:tc>
        <w:tc>
          <w:tcPr>
            <w:tcW w:w="1700" w:type="dxa"/>
            <w:vAlign w:val="bottom"/>
          </w:tcPr>
          <w:p>
            <w:pPr>
              <w:spacing w:after="0"/>
              <w:rPr>
                <w:sz w:val="20"/>
                <w:szCs w:val="20"/>
                <w:color w:val="auto"/>
              </w:rPr>
            </w:pPr>
          </w:p>
        </w:tc>
        <w:tc>
          <w:tcPr>
            <w:tcW w:w="6080" w:type="dxa"/>
            <w:vAlign w:val="bottom"/>
            <w:gridSpan w:val="2"/>
          </w:tcPr>
          <w:p>
            <w:pPr>
              <w:ind w:left="680"/>
              <w:spacing w:after="0"/>
              <w:rPr>
                <w:sz w:val="20"/>
                <w:szCs w:val="20"/>
                <w:color w:val="auto"/>
              </w:rPr>
            </w:pPr>
            <w:r>
              <w:rPr>
                <w:rFonts w:ascii="Times New Roman" w:cs="Times New Roman" w:eastAsia="Times New Roman" w:hAnsi="Times New Roman"/>
                <w:sz w:val="18"/>
                <w:szCs w:val="18"/>
                <w:b w:val="1"/>
                <w:bCs w:val="1"/>
                <w:color w:val="auto"/>
              </w:rPr>
              <w:t>ELIGIBLE EMPLOYEE</w:t>
            </w:r>
          </w:p>
        </w:tc>
      </w:tr>
      <w:tr>
        <w:trPr>
          <w:trHeight w:val="432"/>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7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Signature:</w:t>
            </w:r>
          </w:p>
        </w:tc>
        <w:tc>
          <w:tcPr>
            <w:tcW w:w="4400" w:type="dxa"/>
            <w:vAlign w:val="bottom"/>
            <w:tcBorders>
              <w:bottom w:val="single" w:sz="8" w:color="auto"/>
            </w:tcBorders>
          </w:tcPr>
          <w:p>
            <w:pPr>
              <w:spacing w:after="0"/>
              <w:rPr>
                <w:sz w:val="24"/>
                <w:szCs w:val="24"/>
                <w:color w:val="auto"/>
              </w:rPr>
            </w:pPr>
          </w:p>
        </w:tc>
      </w:tr>
      <w:tr>
        <w:trPr>
          <w:trHeight w:val="439"/>
        </w:trPr>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7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6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Date:</w:t>
            </w:r>
          </w:p>
        </w:tc>
        <w:tc>
          <w:tcPr>
            <w:tcW w:w="4400" w:type="dxa"/>
            <w:vAlign w:val="bottom"/>
            <w:tcBorders>
              <w:bottom w:val="single" w:sz="8" w:color="auto"/>
            </w:tcBorders>
          </w:tcPr>
          <w:p>
            <w:pPr>
              <w:spacing w:after="0"/>
              <w:rPr>
                <w:sz w:val="24"/>
                <w:szCs w:val="24"/>
                <w:color w:val="auto"/>
              </w:rPr>
            </w:pPr>
          </w:p>
        </w:tc>
      </w:tr>
      <w:tr>
        <w:trPr>
          <w:trHeight w:val="439"/>
        </w:trPr>
        <w:tc>
          <w:tcPr>
            <w:tcW w:w="5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7780" w:type="dxa"/>
            <w:vAlign w:val="bottom"/>
            <w:gridSpan w:val="3"/>
          </w:tcPr>
          <w:p>
            <w:pPr>
              <w:jc w:val="center"/>
              <w:ind w:right="3260"/>
              <w:spacing w:after="0"/>
              <w:rPr>
                <w:sz w:val="20"/>
                <w:szCs w:val="20"/>
                <w:color w:val="auto"/>
              </w:rPr>
            </w:pPr>
            <w:r>
              <w:rPr>
                <w:rFonts w:ascii="Times New Roman" w:cs="Times New Roman" w:eastAsia="Times New Roman" w:hAnsi="Times New Roman"/>
                <w:sz w:val="18"/>
                <w:szCs w:val="18"/>
                <w:b w:val="1"/>
                <w:bCs w:val="1"/>
                <w:i w:val="1"/>
                <w:iCs w:val="1"/>
                <w:color w:val="auto"/>
                <w:w w:val="99"/>
              </w:rPr>
              <w:t>[Signature Page of the Participation Agreement]</w:t>
            </w:r>
          </w:p>
        </w:tc>
      </w:tr>
      <w:tr>
        <w:trPr>
          <w:trHeight w:val="364"/>
        </w:trPr>
        <w:tc>
          <w:tcPr>
            <w:tcW w:w="5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38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13</w:t>
            </w:r>
          </w:p>
        </w:tc>
        <w:tc>
          <w:tcPr>
            <w:tcW w:w="4400" w:type="dxa"/>
            <w:vAlign w:val="bottom"/>
          </w:tcPr>
          <w:p>
            <w:pPr>
              <w:spacing w:after="0"/>
              <w:rPr>
                <w:sz w:val="24"/>
                <w:szCs w:val="24"/>
                <w:color w:val="auto"/>
              </w:rPr>
            </w:pPr>
          </w:p>
        </w:tc>
      </w:tr>
    </w:tbl>
    <w:p>
      <w:pPr>
        <w:sectPr>
          <w:pgSz w:w="11900" w:h="16838" w:orient="portrait"/>
          <w:cols w:equalWidth="0" w:num="1">
            <w:col w:w="11020"/>
          </w:cols>
          <w:pgMar w:left="440" w:top="269" w:right="439" w:bottom="1440" w:gutter="0" w:footer="0" w:header="0"/>
        </w:sectPr>
      </w:pPr>
    </w:p>
    <w:bookmarkStart w:id="541" w:name="page542"/>
    <w:bookmarkEnd w:id="541"/>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 in Control and Severance Policy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Participation Agreement</w:t>
      </w:r>
    </w:p>
    <w:p>
      <w:pPr>
        <w:spacing w:after="0" w:line="203"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This Amended and Restated Participation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by and between David Mack on the one hand, and PMV Pharmaceuticals,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the other.</w:t>
      </w:r>
    </w:p>
    <w:p>
      <w:pPr>
        <w:spacing w:after="0" w:line="159"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Company’s anticipated initial public offering, the Compensation Committee of the Board has reviewed and updated the Policy for you as set forth herein. You will continue to be eligible to receive the following severance payments and benefits upon a Qualified Termination, subject to the terms and conditions of the Policy.</w:t>
      </w:r>
    </w:p>
    <w:p>
      <w:pPr>
        <w:spacing w:after="0" w:line="172" w:lineRule="exact"/>
        <w:rPr>
          <w:sz w:val="20"/>
          <w:szCs w:val="20"/>
          <w:color w:val="auto"/>
        </w:rPr>
      </w:pPr>
    </w:p>
    <w:p>
      <w:pPr>
        <w:ind w:right="6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CIC Qualified Termination</w:t>
      </w:r>
      <w:r>
        <w:rPr>
          <w:rFonts w:ascii="Times New Roman" w:cs="Times New Roman" w:eastAsia="Times New Roman" w:hAnsi="Times New Roman"/>
          <w:sz w:val="18"/>
          <w:szCs w:val="18"/>
          <w:color w:val="auto"/>
        </w:rPr>
        <w:t>. Upon your CIC Qualified Termination, you will be entitled to the following benefits, subject to the terms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conditions of the Policy:</w:t>
      </w:r>
    </w:p>
    <w:p>
      <w:pPr>
        <w:spacing w:after="0" w:line="60" w:lineRule="exact"/>
        <w:rPr>
          <w:sz w:val="20"/>
          <w:szCs w:val="20"/>
          <w:color w:val="auto"/>
        </w:rPr>
      </w:pPr>
    </w:p>
    <w:p>
      <w:pPr>
        <w:ind w:left="1420" w:right="20" w:hanging="331"/>
        <w:spacing w:after="0" w:line="259" w:lineRule="auto"/>
        <w:tabs>
          <w:tab w:leader="none" w:pos="1420"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Equity Vesting</w:t>
      </w:r>
      <w:r>
        <w:rPr>
          <w:rFonts w:ascii="Times New Roman" w:cs="Times New Roman" w:eastAsia="Times New Roman" w:hAnsi="Times New Roman"/>
          <w:sz w:val="18"/>
          <w:szCs w:val="18"/>
          <w:color w:val="auto"/>
        </w:rPr>
        <w:t>: 100% of the then-unvested shares subject to each of your then-outstanding equity awards will immediately vest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case of options and stock appreciation rights, will become exercisable (for avoidance of doubt, no more than 100% of the shares subject to the outstanding portion of an equity award may vest and become exercisable under this provision). In the case of equity awards with performance-based vesting, unless otherwise determined by the Company and set forth in your equity award agreement, all performance goals and other vesting criteria will be deemed achieved at 100% of target levels.</w:t>
      </w:r>
    </w:p>
    <w:p>
      <w:pPr>
        <w:spacing w:after="0" w:line="84" w:lineRule="exact"/>
        <w:rPr>
          <w:rFonts w:ascii="Times New Roman" w:cs="Times New Roman" w:eastAsia="Times New Roman" w:hAnsi="Times New Roman"/>
          <w:sz w:val="18"/>
          <w:szCs w:val="18"/>
          <w:color w:val="auto"/>
        </w:rPr>
      </w:pPr>
    </w:p>
    <w:p>
      <w:pPr>
        <w:ind w:left="1420" w:right="920" w:hanging="331"/>
        <w:spacing w:after="0" w:line="286" w:lineRule="auto"/>
        <w:tabs>
          <w:tab w:leader="none" w:pos="1420"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Salary Severance</w:t>
      </w:r>
      <w:r>
        <w:rPr>
          <w:rFonts w:ascii="Times New Roman" w:cs="Times New Roman" w:eastAsia="Times New Roman" w:hAnsi="Times New Roman"/>
          <w:sz w:val="18"/>
          <w:szCs w:val="18"/>
          <w:color w:val="auto"/>
        </w:rPr>
        <w:t>: 18 months of your Base Salary, payable in a lump sum on the 61st day following your CIC Qualified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w:t>
      </w:r>
    </w:p>
    <w:p>
      <w:pPr>
        <w:spacing w:after="0" w:line="60" w:lineRule="exact"/>
        <w:rPr>
          <w:rFonts w:ascii="Times New Roman" w:cs="Times New Roman" w:eastAsia="Times New Roman" w:hAnsi="Times New Roman"/>
          <w:sz w:val="18"/>
          <w:szCs w:val="18"/>
          <w:color w:val="auto"/>
        </w:rPr>
      </w:pPr>
    </w:p>
    <w:p>
      <w:pPr>
        <w:ind w:left="1420" w:right="80" w:hanging="331"/>
        <w:spacing w:after="0" w:line="286" w:lineRule="auto"/>
        <w:tabs>
          <w:tab w:leader="none" w:pos="1420"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Bonus Severance: </w:t>
      </w:r>
      <w:r>
        <w:rPr>
          <w:rFonts w:ascii="Times New Roman" w:cs="Times New Roman" w:eastAsia="Times New Roman" w:hAnsi="Times New Roman"/>
          <w:sz w:val="18"/>
          <w:szCs w:val="18"/>
          <w:color w:val="auto"/>
        </w:rPr>
        <w:t>150% of your target bonus for the performance year in which your CIC Qualified Termination occurs, payable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lump sum on the 61st day following your CIC Qualified Termination.</w:t>
      </w:r>
    </w:p>
    <w:p>
      <w:pPr>
        <w:spacing w:after="0" w:line="60" w:lineRule="exact"/>
        <w:rPr>
          <w:rFonts w:ascii="Times New Roman" w:cs="Times New Roman" w:eastAsia="Times New Roman" w:hAnsi="Times New Roman"/>
          <w:sz w:val="18"/>
          <w:szCs w:val="18"/>
          <w:color w:val="auto"/>
        </w:rPr>
      </w:pPr>
    </w:p>
    <w:p>
      <w:pPr>
        <w:ind w:left="1420" w:right="320" w:hanging="331"/>
        <w:spacing w:after="0" w:line="286" w:lineRule="auto"/>
        <w:tabs>
          <w:tab w:leader="none" w:pos="1420"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COBRA Coverage</w:t>
      </w:r>
      <w:r>
        <w:rPr>
          <w:rFonts w:ascii="Times New Roman" w:cs="Times New Roman" w:eastAsia="Times New Roman" w:hAnsi="Times New Roman"/>
          <w:sz w:val="18"/>
          <w:szCs w:val="18"/>
          <w:color w:val="auto"/>
        </w:rPr>
        <w:t>: Payment or reimbursement of the COBRA Coverage or COBRA Benefit, as applicable, for up to 18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your CIC Qualified Termination.</w:t>
      </w:r>
    </w:p>
    <w:p>
      <w:pPr>
        <w:spacing w:after="0" w:line="15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Non-CIC Qualified Termination</w:t>
      </w:r>
      <w:r>
        <w:rPr>
          <w:rFonts w:ascii="Times New Roman" w:cs="Times New Roman" w:eastAsia="Times New Roman" w:hAnsi="Times New Roman"/>
          <w:sz w:val="18"/>
          <w:szCs w:val="18"/>
          <w:color w:val="auto"/>
        </w:rPr>
        <w:t>. Upon your Non-CIC Qualified Termination, you will be entitled to the following benefits, subject to the terms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conditions of the Policy:</w:t>
      </w:r>
    </w:p>
    <w:p>
      <w:pPr>
        <w:spacing w:after="0" w:line="60" w:lineRule="exact"/>
        <w:rPr>
          <w:sz w:val="20"/>
          <w:szCs w:val="20"/>
          <w:color w:val="auto"/>
        </w:rPr>
      </w:pPr>
    </w:p>
    <w:p>
      <w:pPr>
        <w:ind w:left="1420" w:right="40" w:hanging="331"/>
        <w:spacing w:after="0" w:line="259" w:lineRule="auto"/>
        <w:tabs>
          <w:tab w:leader="none" w:pos="142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Equity Vesting</w:t>
      </w:r>
      <w:r>
        <w:rPr>
          <w:rFonts w:ascii="Times New Roman" w:cs="Times New Roman" w:eastAsia="Times New Roman" w:hAnsi="Times New Roman"/>
          <w:sz w:val="18"/>
          <w:szCs w:val="18"/>
          <w:color w:val="auto"/>
        </w:rPr>
        <w:t>: A number of then-unvested shares subject to each of your then-outstanding equity awards (excluding equity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performance-based vesting and excluding any equity awards granted on or after the IPO Date) equal to the number of such shares otherwise scheduled to vest during the 12 month period following the date of your Non-CIC Qualified Termination had you remained employed with the Company (or any of its subsidiaries) through such date will immediately vest and, in the case of options and stock appreciation rights, will become exercisable.</w:t>
      </w:r>
    </w:p>
    <w:p>
      <w:pPr>
        <w:spacing w:after="0" w:line="84" w:lineRule="exact"/>
        <w:rPr>
          <w:rFonts w:ascii="Times New Roman" w:cs="Times New Roman" w:eastAsia="Times New Roman" w:hAnsi="Times New Roman"/>
          <w:sz w:val="18"/>
          <w:szCs w:val="18"/>
          <w:color w:val="auto"/>
        </w:rPr>
      </w:pPr>
    </w:p>
    <w:p>
      <w:pPr>
        <w:ind w:left="1420" w:right="560" w:hanging="331"/>
        <w:spacing w:after="0" w:line="286" w:lineRule="auto"/>
        <w:tabs>
          <w:tab w:leader="none" w:pos="142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Salary Severance</w:t>
      </w:r>
      <w:r>
        <w:rPr>
          <w:rFonts w:ascii="Times New Roman" w:cs="Times New Roman" w:eastAsia="Times New Roman" w:hAnsi="Times New Roman"/>
          <w:sz w:val="18"/>
          <w:szCs w:val="18"/>
          <w:color w:val="auto"/>
        </w:rPr>
        <w:t>: 12 months of your Base Salary, payable in a lump sum on the 61st day following your Non-CIC Qualified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w:t>
      </w:r>
    </w:p>
    <w:p>
      <w:pPr>
        <w:spacing w:after="0" w:line="6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Bonus Severance: </w:t>
      </w: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-982345</wp:posOffset>
            </wp:positionV>
            <wp:extent cx="2857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542" w:name="page543"/>
    <w:bookmarkEnd w:id="542"/>
    <w:p>
      <w:pPr>
        <w:ind w:left="1420" w:right="260" w:hanging="331"/>
        <w:spacing w:after="0" w:line="286" w:lineRule="auto"/>
        <w:tabs>
          <w:tab w:leader="none" w:pos="142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COBRA Coverage</w:t>
      </w:r>
      <w:r>
        <w:rPr>
          <w:rFonts w:ascii="Times New Roman" w:cs="Times New Roman" w:eastAsia="Times New Roman" w:hAnsi="Times New Roman"/>
          <w:sz w:val="18"/>
          <w:szCs w:val="18"/>
          <w:color w:val="auto"/>
        </w:rPr>
        <w:t>: Payment or reimbursement of the COBRA Coverage or COBRA Benefit, as applicable, for up to 12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your Non-CIC Qualified Termination.</w:t>
      </w:r>
    </w:p>
    <w:p>
      <w:pPr>
        <w:spacing w:after="0" w:line="15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means the termination of your employment with the Company (or any of its subsidiaries) in accordance with the next sentence after the occurrence of one or more of the following events without your consent: (a) a material reduction in your authority, duties, or responsibilities with the Company or a subsidiary of the Company in effect immediately prior to such reduction, unless you are is provided with reasonably comparable authority, duties, or responsibilities; (b) a material change in the geographic location at which you must be principally located for employment, provided that a change in office location of greater than forty (40) miles from your home will be such a material change in geographic location; (c) a material reduction by the Company or a subsidiary of the Company in your base compensation as in effect immediately prior to such reduction other than in connection with a general reduction of base compensation at the Company or its subsidiaries of individuals having a similar position or title; or (d) any material breach by the Company or a subsidiary of the Company of the agreement under which you provide services to the Company or such subsidiary. In order for the Eligible Employee’s termination of his or her employment to be for Good Reason, you must not terminate employment with the Company without first providing the Company with written notice of the acts or omissions constituting the grounds for “Good Reason” within 90 days of the initial existence of the grounds for “Good Reason” and a cure period of 30 days following the date of written notice (the “</w:t>
      </w:r>
      <w:r>
        <w:rPr>
          <w:rFonts w:ascii="Times New Roman" w:cs="Times New Roman" w:eastAsia="Times New Roman" w:hAnsi="Times New Roman"/>
          <w:sz w:val="18"/>
          <w:szCs w:val="18"/>
          <w:b w:val="1"/>
          <w:bCs w:val="1"/>
          <w:color w:val="auto"/>
        </w:rPr>
        <w:t>Cure Period</w:t>
      </w:r>
      <w:r>
        <w:rPr>
          <w:rFonts w:ascii="Times New Roman" w:cs="Times New Roman" w:eastAsia="Times New Roman" w:hAnsi="Times New Roman"/>
          <w:sz w:val="18"/>
          <w:szCs w:val="18"/>
          <w:color w:val="auto"/>
        </w:rPr>
        <w:t>”), such grounds must not have been cured during such time, and you must terminate your employment within 60 days following the Cure Period.</w:t>
      </w:r>
    </w:p>
    <w:p>
      <w:pPr>
        <w:spacing w:after="0" w:line="190" w:lineRule="exact"/>
        <w:rPr>
          <w:sz w:val="20"/>
          <w:szCs w:val="20"/>
          <w:color w:val="auto"/>
        </w:rPr>
      </w:pPr>
    </w:p>
    <w:p>
      <w:pPr>
        <w:ind w:right="9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IPO Date</w:t>
      </w:r>
      <w:r>
        <w:rPr>
          <w:rFonts w:ascii="Times New Roman" w:cs="Times New Roman" w:eastAsia="Times New Roman" w:hAnsi="Times New Roman"/>
          <w:sz w:val="18"/>
          <w:szCs w:val="18"/>
          <w:color w:val="auto"/>
        </w:rPr>
        <w:t>” means the effective date of the first registration statement that is filed by the Company and declared effective pursuant to Section 12(b) of the Exchange Act of 1934, with respect to the Company’s common stock.</w:t>
      </w:r>
    </w:p>
    <w:p>
      <w:pPr>
        <w:spacing w:after="0" w:line="155" w:lineRule="exact"/>
        <w:rPr>
          <w:sz w:val="20"/>
          <w:szCs w:val="20"/>
          <w:color w:val="auto"/>
        </w:rPr>
      </w:pPr>
    </w:p>
    <w:p>
      <w:pPr>
        <w:ind w:right="2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Termination”</w:t>
      </w:r>
      <w:r>
        <w:rPr>
          <w:rFonts w:ascii="Times New Roman" w:cs="Times New Roman" w:eastAsia="Times New Roman" w:hAnsi="Times New Roman"/>
          <w:sz w:val="18"/>
          <w:szCs w:val="18"/>
          <w:color w:val="auto"/>
        </w:rPr>
        <w:t xml:space="preserve"> means either (i) a termination of your employment by the Company (or any of its subsidiaries) other than for Cause, death, or Disability or by you for Good Reason, in either case, during the Change in Control Period (a “</w:t>
      </w:r>
      <w:r>
        <w:rPr>
          <w:rFonts w:ascii="Times New Roman" w:cs="Times New Roman" w:eastAsia="Times New Roman" w:hAnsi="Times New Roman"/>
          <w:sz w:val="18"/>
          <w:szCs w:val="18"/>
          <w:b w:val="1"/>
          <w:bCs w:val="1"/>
          <w:color w:val="auto"/>
        </w:rPr>
        <w:t>CIC Qualified Termination</w:t>
      </w:r>
      <w:r>
        <w:rPr>
          <w:rFonts w:ascii="Times New Roman" w:cs="Times New Roman" w:eastAsia="Times New Roman" w:hAnsi="Times New Roman"/>
          <w:sz w:val="18"/>
          <w:szCs w:val="18"/>
          <w:color w:val="auto"/>
        </w:rPr>
        <w:t>”) or (ii) a termination of your employment by the Company (or any of its subsidiaries) other than for Cause, death, or Disability outside the Change in Control Period (a “</w:t>
      </w:r>
      <w:r>
        <w:rPr>
          <w:rFonts w:ascii="Times New Roman" w:cs="Times New Roman" w:eastAsia="Times New Roman" w:hAnsi="Times New Roman"/>
          <w:sz w:val="18"/>
          <w:szCs w:val="18"/>
          <w:b w:val="1"/>
          <w:bCs w:val="1"/>
          <w:color w:val="auto"/>
        </w:rPr>
        <w:t>Non-CIC Qualified Termination</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You agree that the Policy and the Agreement constitute the entire agreement of the parties hereto and supersede in their entirety all prior representations, understandings, undertakings or agreements (whether oral or written and whether expressed or implied) of the parties, and will specifically supersede any severance and/or change of control provisions of any offer letter, employment agreement, or equity award agreement entered into between you and the Company and/or any of its subsidiaries.</w:t>
      </w:r>
    </w:p>
    <w:p>
      <w:pPr>
        <w:spacing w:after="0" w:line="18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counterparts, each of which will be deemed an original, but all of which together will constitute one and the same instrument.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5" w:right="499" w:bottom="1440" w:gutter="0" w:footer="0" w:header="0"/>
        </w:sectPr>
      </w:pPr>
    </w:p>
    <w:bookmarkStart w:id="543" w:name="page544"/>
    <w:bookmarkEnd w:id="543"/>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signing below, each of the parties signifies his, her, or its acceptance of the terms of this Agreement, in the case of the Company by its duly authorized officer, effective as of the last date set forth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PMV PHARMACEUTICALS, INC.</w:t>
            </w:r>
          </w:p>
        </w:tc>
        <w:tc>
          <w:tcPr>
            <w:tcW w:w="1840" w:type="dxa"/>
            <w:vAlign w:val="bottom"/>
          </w:tcPr>
          <w:p>
            <w:pPr>
              <w:spacing w:after="0"/>
              <w:rPr>
                <w:sz w:val="20"/>
                <w:szCs w:val="20"/>
                <w:color w:val="auto"/>
              </w:rPr>
            </w:pPr>
          </w:p>
        </w:tc>
        <w:tc>
          <w:tcPr>
            <w:tcW w:w="616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ELIGIBLE EMPLOYEE</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Winston Kung</w:t>
            </w:r>
          </w:p>
        </w:tc>
        <w:tc>
          <w:tcPr>
            <w:tcW w:w="1840" w:type="dxa"/>
            <w:vAlign w:val="bottom"/>
            <w:tcBorders>
              <w:bottom w:val="single" w:sz="8" w:color="auto"/>
            </w:tcBorders>
          </w:tcPr>
          <w:p>
            <w:pPr>
              <w:spacing w:after="0"/>
              <w:rPr>
                <w:sz w:val="24"/>
                <w:szCs w:val="24"/>
                <w:color w:val="auto"/>
              </w:rPr>
            </w:pPr>
          </w:p>
        </w:tc>
        <w:tc>
          <w:tcPr>
            <w:tcW w:w="18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Signature:</w:t>
            </w: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H. Mack</w:t>
            </w:r>
          </w:p>
        </w:tc>
      </w:tr>
      <w:tr>
        <w:trPr>
          <w:trHeight w:val="43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August 17, 2020</w:t>
            </w:r>
          </w:p>
        </w:tc>
        <w:tc>
          <w:tcPr>
            <w:tcW w:w="1840" w:type="dxa"/>
            <w:vAlign w:val="bottom"/>
            <w:tcBorders>
              <w:bottom w:val="single" w:sz="8" w:color="auto"/>
            </w:tcBorders>
          </w:tcPr>
          <w:p>
            <w:pPr>
              <w:spacing w:after="0"/>
              <w:rPr>
                <w:sz w:val="24"/>
                <w:szCs w:val="24"/>
                <w:color w:val="auto"/>
              </w:rPr>
            </w:pPr>
          </w:p>
        </w:tc>
        <w:tc>
          <w:tcPr>
            <w:tcW w:w="18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Date:</w:t>
            </w: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August 17, 2020</w:t>
            </w:r>
          </w:p>
        </w:tc>
      </w:tr>
      <w:tr>
        <w:trPr>
          <w:trHeight w:val="439"/>
        </w:trPr>
        <w:tc>
          <w:tcPr>
            <w:tcW w:w="5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000" w:type="dxa"/>
            <w:vAlign w:val="bottom"/>
            <w:gridSpan w:val="3"/>
          </w:tcPr>
          <w:p>
            <w:pPr>
              <w:ind w:left="240"/>
              <w:spacing w:after="0"/>
              <w:rPr>
                <w:sz w:val="20"/>
                <w:szCs w:val="20"/>
                <w:color w:val="auto"/>
              </w:rPr>
            </w:pPr>
            <w:r>
              <w:rPr>
                <w:rFonts w:ascii="Times New Roman" w:cs="Times New Roman" w:eastAsia="Times New Roman" w:hAnsi="Times New Roman"/>
                <w:sz w:val="18"/>
                <w:szCs w:val="18"/>
                <w:i w:val="1"/>
                <w:iCs w:val="1"/>
                <w:color w:val="auto"/>
              </w:rPr>
              <w:t>[Signature Page of the A&amp;R Participation Agreement (Mack)]</w:t>
            </w:r>
          </w:p>
        </w:tc>
      </w:tr>
    </w:tbl>
    <w:p>
      <w:pPr>
        <w:sectPr>
          <w:pgSz w:w="11900" w:h="16838" w:orient="portrait"/>
          <w:cols w:equalWidth="0" w:num="1">
            <w:col w:w="11020"/>
          </w:cols>
          <w:pgMar w:left="440" w:top="269" w:right="439" w:bottom="1440" w:gutter="0" w:footer="0" w:header="0"/>
        </w:sectPr>
      </w:pPr>
    </w:p>
    <w:bookmarkStart w:id="544" w:name="page545"/>
    <w:bookmarkEnd w:id="544"/>
    <w:p>
      <w:pPr>
        <w:jc w:val="right"/>
        <w:spacing w:after="0"/>
        <w:rPr>
          <w:sz w:val="20"/>
          <w:szCs w:val="20"/>
          <w:color w:val="auto"/>
        </w:rPr>
      </w:pPr>
      <w:r>
        <w:rPr>
          <w:rFonts w:ascii="Times New Roman" w:cs="Times New Roman" w:eastAsia="Times New Roman" w:hAnsi="Times New Roman"/>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 in Control and Severance Policy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Participation Agreement</w:t>
      </w:r>
    </w:p>
    <w:p>
      <w:pPr>
        <w:spacing w:after="0" w:line="203"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This Amended and Restated Participation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by and between Winston Kung on the one hand, and PMV Pharmaceuticals,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the other.</w:t>
      </w:r>
    </w:p>
    <w:p>
      <w:pPr>
        <w:spacing w:after="0" w:line="159"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Company’s anticipated initial public offering, the Compensation Committee of the Board has reviewed and updated the Policy for you as set forth herein. You will continue to be eligible to receive the following severance payments and benefits upon a Qualified Termination, subject to the terms and conditions of the Policy.</w:t>
      </w:r>
    </w:p>
    <w:p>
      <w:pPr>
        <w:spacing w:after="0" w:line="172" w:lineRule="exact"/>
        <w:rPr>
          <w:sz w:val="20"/>
          <w:szCs w:val="20"/>
          <w:color w:val="auto"/>
        </w:rPr>
      </w:pPr>
    </w:p>
    <w:p>
      <w:pPr>
        <w:ind w:right="6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CIC Qualified Termination</w:t>
      </w:r>
      <w:r>
        <w:rPr>
          <w:rFonts w:ascii="Times New Roman" w:cs="Times New Roman" w:eastAsia="Times New Roman" w:hAnsi="Times New Roman"/>
          <w:sz w:val="18"/>
          <w:szCs w:val="18"/>
          <w:color w:val="auto"/>
        </w:rPr>
        <w:t>. Upon your CIC Qualified Termination, you will be entitled to the following benefits, subject to the terms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conditions of the Policy:</w:t>
      </w:r>
    </w:p>
    <w:p>
      <w:pPr>
        <w:spacing w:after="0" w:line="60" w:lineRule="exact"/>
        <w:rPr>
          <w:sz w:val="20"/>
          <w:szCs w:val="20"/>
          <w:color w:val="auto"/>
        </w:rPr>
      </w:pPr>
    </w:p>
    <w:p>
      <w:pPr>
        <w:ind w:left="1420" w:right="20" w:hanging="331"/>
        <w:spacing w:after="0" w:line="259" w:lineRule="auto"/>
        <w:tabs>
          <w:tab w:leader="none" w:pos="142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Equity Vesting</w:t>
      </w:r>
      <w:r>
        <w:rPr>
          <w:rFonts w:ascii="Times New Roman" w:cs="Times New Roman" w:eastAsia="Times New Roman" w:hAnsi="Times New Roman"/>
          <w:sz w:val="18"/>
          <w:szCs w:val="18"/>
          <w:color w:val="auto"/>
        </w:rPr>
        <w:t>: 100% of the then-unvested shares subject to each of your then-outstanding equity awards will immediately vest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case of options and stock appreciation rights, will become exercisable (for avoidance of doubt, no more than 100% of the shares subject to the outstanding portion of an equity award may vest and become exercisable under this provision). In the case of equity awards with performance-based vesting, unless otherwise determined by the Company and set forth in your equity award agreement, all performance goals and other vesting criteria will be deemed achieved at 100% of target levels.</w:t>
      </w:r>
    </w:p>
    <w:p>
      <w:pPr>
        <w:spacing w:after="0" w:line="84" w:lineRule="exact"/>
        <w:rPr>
          <w:rFonts w:ascii="Times New Roman" w:cs="Times New Roman" w:eastAsia="Times New Roman" w:hAnsi="Times New Roman"/>
          <w:sz w:val="18"/>
          <w:szCs w:val="18"/>
          <w:color w:val="auto"/>
        </w:rPr>
      </w:pPr>
    </w:p>
    <w:p>
      <w:pPr>
        <w:ind w:left="1420" w:right="920" w:hanging="331"/>
        <w:spacing w:after="0" w:line="286" w:lineRule="auto"/>
        <w:tabs>
          <w:tab w:leader="none" w:pos="142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Salary Severance</w:t>
      </w:r>
      <w:r>
        <w:rPr>
          <w:rFonts w:ascii="Times New Roman" w:cs="Times New Roman" w:eastAsia="Times New Roman" w:hAnsi="Times New Roman"/>
          <w:sz w:val="18"/>
          <w:szCs w:val="18"/>
          <w:color w:val="auto"/>
        </w:rPr>
        <w:t>: 12 months of your Base Salary, payable in a lump sum on the 61st day following your CIC Qualified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w:t>
      </w:r>
    </w:p>
    <w:p>
      <w:pPr>
        <w:spacing w:after="0" w:line="60" w:lineRule="exact"/>
        <w:rPr>
          <w:rFonts w:ascii="Times New Roman" w:cs="Times New Roman" w:eastAsia="Times New Roman" w:hAnsi="Times New Roman"/>
          <w:sz w:val="18"/>
          <w:szCs w:val="18"/>
          <w:color w:val="auto"/>
        </w:rPr>
      </w:pPr>
    </w:p>
    <w:p>
      <w:pPr>
        <w:ind w:left="1420" w:right="80" w:hanging="331"/>
        <w:spacing w:after="0" w:line="286" w:lineRule="auto"/>
        <w:tabs>
          <w:tab w:leader="none" w:pos="142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Bonus Severance: </w:t>
      </w:r>
      <w:r>
        <w:rPr>
          <w:rFonts w:ascii="Times New Roman" w:cs="Times New Roman" w:eastAsia="Times New Roman" w:hAnsi="Times New Roman"/>
          <w:sz w:val="18"/>
          <w:szCs w:val="18"/>
          <w:color w:val="auto"/>
        </w:rPr>
        <w:t>100% of your target bonus for the performance year in which your CIC Qualified Termination occurs, payable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lump sum on the 61st day following your CIC Qualified Termination.</w:t>
      </w:r>
    </w:p>
    <w:p>
      <w:pPr>
        <w:spacing w:after="0" w:line="60" w:lineRule="exact"/>
        <w:rPr>
          <w:rFonts w:ascii="Times New Roman" w:cs="Times New Roman" w:eastAsia="Times New Roman" w:hAnsi="Times New Roman"/>
          <w:sz w:val="18"/>
          <w:szCs w:val="18"/>
          <w:color w:val="auto"/>
        </w:rPr>
      </w:pPr>
    </w:p>
    <w:p>
      <w:pPr>
        <w:ind w:left="1420" w:right="320" w:hanging="331"/>
        <w:spacing w:after="0" w:line="286" w:lineRule="auto"/>
        <w:tabs>
          <w:tab w:leader="none" w:pos="1420"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COBRA Coverage</w:t>
      </w:r>
      <w:r>
        <w:rPr>
          <w:rFonts w:ascii="Times New Roman" w:cs="Times New Roman" w:eastAsia="Times New Roman" w:hAnsi="Times New Roman"/>
          <w:sz w:val="18"/>
          <w:szCs w:val="18"/>
          <w:color w:val="auto"/>
        </w:rPr>
        <w:t>: Payment or reimbursement of the COBRA Coverage or COBRA Benefit, as applicable, for up to 12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your CIC Qualified Termination.</w:t>
      </w:r>
    </w:p>
    <w:p>
      <w:pPr>
        <w:spacing w:after="0" w:line="15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Non-CIC Qualified Termination</w:t>
      </w:r>
      <w:r>
        <w:rPr>
          <w:rFonts w:ascii="Times New Roman" w:cs="Times New Roman" w:eastAsia="Times New Roman" w:hAnsi="Times New Roman"/>
          <w:sz w:val="18"/>
          <w:szCs w:val="18"/>
          <w:color w:val="auto"/>
        </w:rPr>
        <w:t>. Upon your Non-CIC Qualified Termination, you will be entitled to the following benefits, subject to the terms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conditions of the Policy:</w:t>
      </w:r>
    </w:p>
    <w:p>
      <w:pPr>
        <w:spacing w:after="0" w:line="60" w:lineRule="exact"/>
        <w:rPr>
          <w:sz w:val="20"/>
          <w:szCs w:val="20"/>
          <w:color w:val="auto"/>
        </w:rPr>
      </w:pPr>
    </w:p>
    <w:p>
      <w:pPr>
        <w:ind w:left="1420" w:right="40" w:hanging="331"/>
        <w:spacing w:after="0" w:line="259" w:lineRule="auto"/>
        <w:tabs>
          <w:tab w:leader="none" w:pos="142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Equity Vesting</w:t>
      </w:r>
      <w:r>
        <w:rPr>
          <w:rFonts w:ascii="Times New Roman" w:cs="Times New Roman" w:eastAsia="Times New Roman" w:hAnsi="Times New Roman"/>
          <w:sz w:val="18"/>
          <w:szCs w:val="18"/>
          <w:color w:val="auto"/>
        </w:rPr>
        <w:t>: A number of then-unvested shares subject to each of your then-outstanding equity awards (excluding equity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performance-based vesting and excluding any equity awards granted on or after the IPO Date) equal to the number of such shares otherwise scheduled to vest during the 6 month period following the date of your Non-CIC Qualified Termination had you remained employed with the Company (or any of its subsidiaries) through such date will immediately vest and, in the case of options and stock appreciation rights, will become exercisable.</w:t>
      </w:r>
    </w:p>
    <w:p>
      <w:pPr>
        <w:spacing w:after="0" w:line="84" w:lineRule="exact"/>
        <w:rPr>
          <w:rFonts w:ascii="Times New Roman" w:cs="Times New Roman" w:eastAsia="Times New Roman" w:hAnsi="Times New Roman"/>
          <w:sz w:val="18"/>
          <w:szCs w:val="18"/>
          <w:color w:val="auto"/>
        </w:rPr>
      </w:pPr>
    </w:p>
    <w:p>
      <w:pPr>
        <w:ind w:left="1420" w:right="640" w:hanging="331"/>
        <w:spacing w:after="0" w:line="286" w:lineRule="auto"/>
        <w:tabs>
          <w:tab w:leader="none" w:pos="142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Salary Severance</w:t>
      </w:r>
      <w:r>
        <w:rPr>
          <w:rFonts w:ascii="Times New Roman" w:cs="Times New Roman" w:eastAsia="Times New Roman" w:hAnsi="Times New Roman"/>
          <w:sz w:val="18"/>
          <w:szCs w:val="18"/>
          <w:color w:val="auto"/>
        </w:rPr>
        <w:t>: 9 months of your Base Salary, payable in a lump sum on the 61st day following your Non-CIC Qualified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w:t>
      </w:r>
    </w:p>
    <w:p>
      <w:pPr>
        <w:spacing w:after="0" w:line="6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Bonus Severance: </w:t>
      </w:r>
      <w:r>
        <w:rPr>
          <w:rFonts w:ascii="Times New Roman" w:cs="Times New Roman" w:eastAsia="Times New Roman" w:hAnsi="Times New Roman"/>
          <w:sz w:val="18"/>
          <w:szCs w:val="18"/>
          <w:color w:val="auto"/>
        </w:rPr>
        <w:t>None.</w:t>
      </w:r>
    </w:p>
    <w:p>
      <w:pPr>
        <w:spacing w:after="0" w:line="130" w:lineRule="exact"/>
        <w:rPr>
          <w:rFonts w:ascii="Times New Roman" w:cs="Times New Roman" w:eastAsia="Times New Roman" w:hAnsi="Times New Roman"/>
          <w:sz w:val="18"/>
          <w:szCs w:val="18"/>
          <w:color w:val="auto"/>
        </w:rPr>
      </w:pPr>
    </w:p>
    <w:p>
      <w:pPr>
        <w:ind w:left="1420" w:right="400" w:hanging="331"/>
        <w:spacing w:after="0" w:line="286" w:lineRule="auto"/>
        <w:tabs>
          <w:tab w:leader="none" w:pos="142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COBRA Coverage</w:t>
      </w:r>
      <w:r>
        <w:rPr>
          <w:rFonts w:ascii="Times New Roman" w:cs="Times New Roman" w:eastAsia="Times New Roman" w:hAnsi="Times New Roman"/>
          <w:sz w:val="18"/>
          <w:szCs w:val="18"/>
          <w:color w:val="auto"/>
        </w:rPr>
        <w:t>: Payment or reimbursement of the COBRA Coverage or COBRA Benefit, as applicable, for up to 9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your Non-CIC Qualified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-1378585</wp:posOffset>
            </wp:positionV>
            <wp:extent cx="2857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545" w:name="page546"/>
    <w:bookmarkEnd w:id="545"/>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means the termination of your employment with the Company (or any of its subsidiaries) in accordance with the next sentence after the occurrence of one or more of the following events without your consent: (a) a material reduction in your authority, duties, or responsibilities with the Company or a subsidiary of the Company in effect immediately prior to such reduction, unless you are is provided with reasonably comparable authority, duties, or responsibilities; (b) a material change in the geographic location at which you must be principally located for employment, provided that a change in office location of greater than forty (40) miles from your home will be such a material change in geographic location; (c) a material reduction by the Company or a subsidiary of the Company in your base compensation as in effect immediately prior to such reduction other than in connection with a general reduction of base compensation at the Company or its subsidiaries of individuals having a similar position or title; or (d) any material breach by the Company or a subsidiary of the Company of the agreement under which you provide services to the Company or such subsidiary. In order for the Eligible Employee’s termination of his or her employment to be for Good Reason, you must not terminate employment with the Company without first providing the Company with written notice of the acts or omissions constituting the grounds for “Good Reason” within 90 days of the initial existence of the grounds for “Good Reason” and a cure period of 30 days following the date of written notice (the “</w:t>
      </w:r>
      <w:r>
        <w:rPr>
          <w:rFonts w:ascii="Times New Roman" w:cs="Times New Roman" w:eastAsia="Times New Roman" w:hAnsi="Times New Roman"/>
          <w:sz w:val="18"/>
          <w:szCs w:val="18"/>
          <w:b w:val="1"/>
          <w:bCs w:val="1"/>
          <w:color w:val="auto"/>
        </w:rPr>
        <w:t>Cure Period</w:t>
      </w:r>
      <w:r>
        <w:rPr>
          <w:rFonts w:ascii="Times New Roman" w:cs="Times New Roman" w:eastAsia="Times New Roman" w:hAnsi="Times New Roman"/>
          <w:sz w:val="18"/>
          <w:szCs w:val="18"/>
          <w:color w:val="auto"/>
        </w:rPr>
        <w:t>”), such grounds must not have been cured during such time, and you must terminate your employment within 60 days following the Cure Period.</w:t>
      </w:r>
    </w:p>
    <w:p>
      <w:pPr>
        <w:spacing w:after="0" w:line="190" w:lineRule="exact"/>
        <w:rPr>
          <w:sz w:val="20"/>
          <w:szCs w:val="20"/>
          <w:color w:val="auto"/>
        </w:rPr>
      </w:pPr>
    </w:p>
    <w:p>
      <w:pPr>
        <w:ind w:right="9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IPO Date</w:t>
      </w:r>
      <w:r>
        <w:rPr>
          <w:rFonts w:ascii="Times New Roman" w:cs="Times New Roman" w:eastAsia="Times New Roman" w:hAnsi="Times New Roman"/>
          <w:sz w:val="18"/>
          <w:szCs w:val="18"/>
          <w:color w:val="auto"/>
        </w:rPr>
        <w:t>” means the effective date of the first registration statement that is filed by the Company and declared effective pursuant to Section 12(b) of the Exchange Act of 1934, with respect to the Company’s common stock.</w:t>
      </w:r>
    </w:p>
    <w:p>
      <w:pPr>
        <w:spacing w:after="0" w:line="155" w:lineRule="exact"/>
        <w:rPr>
          <w:sz w:val="20"/>
          <w:szCs w:val="20"/>
          <w:color w:val="auto"/>
        </w:rPr>
      </w:pPr>
    </w:p>
    <w:p>
      <w:pPr>
        <w:ind w:right="2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Termination”</w:t>
      </w:r>
      <w:r>
        <w:rPr>
          <w:rFonts w:ascii="Times New Roman" w:cs="Times New Roman" w:eastAsia="Times New Roman" w:hAnsi="Times New Roman"/>
          <w:sz w:val="18"/>
          <w:szCs w:val="18"/>
          <w:color w:val="auto"/>
        </w:rPr>
        <w:t xml:space="preserve"> means either (i) a termination of your employment by the Company (or any of its subsidiaries) other than for Cause, death, or Disability or by you for Good Reason, in either case, during the Change in Control Period (a “</w:t>
      </w:r>
      <w:r>
        <w:rPr>
          <w:rFonts w:ascii="Times New Roman" w:cs="Times New Roman" w:eastAsia="Times New Roman" w:hAnsi="Times New Roman"/>
          <w:sz w:val="18"/>
          <w:szCs w:val="18"/>
          <w:b w:val="1"/>
          <w:bCs w:val="1"/>
          <w:color w:val="auto"/>
        </w:rPr>
        <w:t>CIC Qualified Termination</w:t>
      </w:r>
      <w:r>
        <w:rPr>
          <w:rFonts w:ascii="Times New Roman" w:cs="Times New Roman" w:eastAsia="Times New Roman" w:hAnsi="Times New Roman"/>
          <w:sz w:val="18"/>
          <w:szCs w:val="18"/>
          <w:color w:val="auto"/>
        </w:rPr>
        <w:t>”) or (ii) a termination of your employment by the Company (or any of its subsidiaries) other than for Cause, death, or Disability outside the Change in Control Period (a “</w:t>
      </w:r>
      <w:r>
        <w:rPr>
          <w:rFonts w:ascii="Times New Roman" w:cs="Times New Roman" w:eastAsia="Times New Roman" w:hAnsi="Times New Roman"/>
          <w:sz w:val="18"/>
          <w:szCs w:val="18"/>
          <w:b w:val="1"/>
          <w:bCs w:val="1"/>
          <w:color w:val="auto"/>
        </w:rPr>
        <w:t>Non-CIC Qualified Termination</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You agree that the Policy and the Agreement constitute the entire agreement of the parties hereto and supersede in their entirety all prior representations, understandings, undertakings or agreements (whether oral or written and whether expressed or implied) of the parties, and will specifically supersede any severance and/or change of control provisions of any offer letter, employment agreement, or equity award agreement entered into between you and the Company and/or any of its subsidiaries.</w:t>
      </w:r>
    </w:p>
    <w:p>
      <w:pPr>
        <w:spacing w:after="0" w:line="18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counterparts, each of which will be deemed an original, but all of which together will constitute one and the same instrument.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5" w:right="499" w:bottom="1440" w:gutter="0" w:footer="0" w:header="0"/>
        </w:sectPr>
      </w:pPr>
    </w:p>
    <w:bookmarkStart w:id="546" w:name="page547"/>
    <w:bookmarkEnd w:id="546"/>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signing below, each of the parties signifies his, her, or its acceptance of the terms of this Agreement, in the case of the Company by its duly authorized officer, effective as of the last date set forth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PMV PHARMACEUTICALS, INC.</w:t>
            </w:r>
          </w:p>
        </w:tc>
        <w:tc>
          <w:tcPr>
            <w:tcW w:w="1840" w:type="dxa"/>
            <w:vAlign w:val="bottom"/>
          </w:tcPr>
          <w:p>
            <w:pPr>
              <w:spacing w:after="0"/>
              <w:rPr>
                <w:sz w:val="20"/>
                <w:szCs w:val="20"/>
                <w:color w:val="auto"/>
              </w:rPr>
            </w:pPr>
          </w:p>
        </w:tc>
        <w:tc>
          <w:tcPr>
            <w:tcW w:w="616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ELIGIBLE EMPLOYEE</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David H. Mack</w:t>
            </w:r>
          </w:p>
        </w:tc>
        <w:tc>
          <w:tcPr>
            <w:tcW w:w="1840" w:type="dxa"/>
            <w:vAlign w:val="bottom"/>
            <w:tcBorders>
              <w:bottom w:val="single" w:sz="8" w:color="auto"/>
            </w:tcBorders>
          </w:tcPr>
          <w:p>
            <w:pPr>
              <w:spacing w:after="0"/>
              <w:rPr>
                <w:sz w:val="24"/>
                <w:szCs w:val="24"/>
                <w:color w:val="auto"/>
              </w:rPr>
            </w:pPr>
          </w:p>
        </w:tc>
        <w:tc>
          <w:tcPr>
            <w:tcW w:w="18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Signature:</w:t>
            </w: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Winston Kung</w:t>
            </w:r>
          </w:p>
        </w:tc>
      </w:tr>
      <w:tr>
        <w:trPr>
          <w:trHeight w:val="43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August 17, 2020</w:t>
            </w:r>
          </w:p>
        </w:tc>
        <w:tc>
          <w:tcPr>
            <w:tcW w:w="1840" w:type="dxa"/>
            <w:vAlign w:val="bottom"/>
            <w:tcBorders>
              <w:bottom w:val="single" w:sz="8" w:color="auto"/>
            </w:tcBorders>
          </w:tcPr>
          <w:p>
            <w:pPr>
              <w:spacing w:after="0"/>
              <w:rPr>
                <w:sz w:val="24"/>
                <w:szCs w:val="24"/>
                <w:color w:val="auto"/>
              </w:rPr>
            </w:pPr>
          </w:p>
        </w:tc>
        <w:tc>
          <w:tcPr>
            <w:tcW w:w="18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Date:</w:t>
            </w: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August 17, 2020</w:t>
            </w:r>
          </w:p>
        </w:tc>
      </w:tr>
      <w:tr>
        <w:trPr>
          <w:trHeight w:val="439"/>
        </w:trPr>
        <w:tc>
          <w:tcPr>
            <w:tcW w:w="5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8000" w:type="dxa"/>
            <w:vAlign w:val="bottom"/>
            <w:gridSpan w:val="3"/>
          </w:tcPr>
          <w:p>
            <w:pPr>
              <w:ind w:left="240"/>
              <w:spacing w:after="0"/>
              <w:rPr>
                <w:sz w:val="20"/>
                <w:szCs w:val="20"/>
                <w:color w:val="auto"/>
              </w:rPr>
            </w:pPr>
            <w:r>
              <w:rPr>
                <w:rFonts w:ascii="Times New Roman" w:cs="Times New Roman" w:eastAsia="Times New Roman" w:hAnsi="Times New Roman"/>
                <w:sz w:val="18"/>
                <w:szCs w:val="18"/>
                <w:i w:val="1"/>
                <w:iCs w:val="1"/>
                <w:color w:val="auto"/>
              </w:rPr>
              <w:t>[Signature Page of the A&amp;R Participation Agreement (Kung)]</w:t>
            </w:r>
          </w:p>
        </w:tc>
      </w:tr>
    </w:tbl>
    <w:p>
      <w:pPr>
        <w:sectPr>
          <w:pgSz w:w="11900" w:h="16838" w:orient="portrait"/>
          <w:cols w:equalWidth="0" w:num="1">
            <w:col w:w="11020"/>
          </w:cols>
          <w:pgMar w:left="440" w:top="269" w:right="439" w:bottom="1440" w:gutter="0" w:footer="0" w:header="0"/>
        </w:sectPr>
      </w:pPr>
    </w:p>
    <w:bookmarkStart w:id="547" w:name="page548"/>
    <w:bookmarkEnd w:id="547"/>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 in Control and Severance Policy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Participation Agreement</w:t>
      </w:r>
    </w:p>
    <w:p>
      <w:pPr>
        <w:spacing w:after="0" w:line="203"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This Amended and Restated Participation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by and between Leila Alland on the one hand, and PMV Pharmaceuticals,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the other.</w:t>
      </w:r>
    </w:p>
    <w:p>
      <w:pPr>
        <w:spacing w:after="0" w:line="159"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Company’s anticipated initial public offering, the Compensation Committee of the Board has reviewed and updated the Policy for you as set forth herein. You will continue to be eligible to receive the following severance payments and benefits upon a Qualified Termination, subject to the terms and conditions of the Policy.</w:t>
      </w:r>
    </w:p>
    <w:p>
      <w:pPr>
        <w:spacing w:after="0" w:line="172" w:lineRule="exact"/>
        <w:rPr>
          <w:sz w:val="20"/>
          <w:szCs w:val="20"/>
          <w:color w:val="auto"/>
        </w:rPr>
      </w:pPr>
    </w:p>
    <w:p>
      <w:pPr>
        <w:ind w:right="6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CIC Qualified Termination</w:t>
      </w:r>
      <w:r>
        <w:rPr>
          <w:rFonts w:ascii="Times New Roman" w:cs="Times New Roman" w:eastAsia="Times New Roman" w:hAnsi="Times New Roman"/>
          <w:sz w:val="18"/>
          <w:szCs w:val="18"/>
          <w:color w:val="auto"/>
        </w:rPr>
        <w:t>. Upon your CIC Qualified Termination, you will be entitled to the following benefits, subject to the terms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conditions of the Policy:</w:t>
      </w:r>
    </w:p>
    <w:p>
      <w:pPr>
        <w:spacing w:after="0" w:line="60" w:lineRule="exact"/>
        <w:rPr>
          <w:sz w:val="20"/>
          <w:szCs w:val="20"/>
          <w:color w:val="auto"/>
        </w:rPr>
      </w:pPr>
    </w:p>
    <w:p>
      <w:pPr>
        <w:ind w:left="1420" w:right="20" w:hanging="331"/>
        <w:spacing w:after="0" w:line="259" w:lineRule="auto"/>
        <w:tabs>
          <w:tab w:leader="none" w:pos="1420"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Equity Vesting</w:t>
      </w:r>
      <w:r>
        <w:rPr>
          <w:rFonts w:ascii="Times New Roman" w:cs="Times New Roman" w:eastAsia="Times New Roman" w:hAnsi="Times New Roman"/>
          <w:sz w:val="18"/>
          <w:szCs w:val="18"/>
          <w:color w:val="auto"/>
        </w:rPr>
        <w:t>: 100% of the then-unvested shares subject to each of your then-outstanding equity awards will immediately vest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case of options and stock appreciation rights, will become exercisable (for avoidance of doubt, no more than 100% of the shares subject to the outstanding portion of an equity award may vest and become exercisable under this provision). In the case of equity awards with performance-based vesting, unless otherwise determined by the Company and set forth in your equity award agreement, all performance goals and other vesting criteria will be deemed achieved at 100% of target levels.</w:t>
      </w:r>
    </w:p>
    <w:p>
      <w:pPr>
        <w:spacing w:after="0" w:line="84" w:lineRule="exact"/>
        <w:rPr>
          <w:rFonts w:ascii="Times New Roman" w:cs="Times New Roman" w:eastAsia="Times New Roman" w:hAnsi="Times New Roman"/>
          <w:sz w:val="18"/>
          <w:szCs w:val="18"/>
          <w:color w:val="auto"/>
        </w:rPr>
      </w:pPr>
    </w:p>
    <w:p>
      <w:pPr>
        <w:ind w:left="1420" w:right="920" w:hanging="331"/>
        <w:spacing w:after="0" w:line="286" w:lineRule="auto"/>
        <w:tabs>
          <w:tab w:leader="none" w:pos="1420"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Salary Severance</w:t>
      </w:r>
      <w:r>
        <w:rPr>
          <w:rFonts w:ascii="Times New Roman" w:cs="Times New Roman" w:eastAsia="Times New Roman" w:hAnsi="Times New Roman"/>
          <w:sz w:val="18"/>
          <w:szCs w:val="18"/>
          <w:color w:val="auto"/>
        </w:rPr>
        <w:t>: 12 months of your Base Salary, payable in a lump sum on the 61st day following your CIC Qualified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w:t>
      </w:r>
    </w:p>
    <w:p>
      <w:pPr>
        <w:spacing w:after="0" w:line="60" w:lineRule="exact"/>
        <w:rPr>
          <w:rFonts w:ascii="Times New Roman" w:cs="Times New Roman" w:eastAsia="Times New Roman" w:hAnsi="Times New Roman"/>
          <w:sz w:val="18"/>
          <w:szCs w:val="18"/>
          <w:color w:val="auto"/>
        </w:rPr>
      </w:pPr>
    </w:p>
    <w:p>
      <w:pPr>
        <w:ind w:left="1420" w:right="80" w:hanging="331"/>
        <w:spacing w:after="0" w:line="286" w:lineRule="auto"/>
        <w:tabs>
          <w:tab w:leader="none" w:pos="1420"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Bonus Severance: </w:t>
      </w:r>
      <w:r>
        <w:rPr>
          <w:rFonts w:ascii="Times New Roman" w:cs="Times New Roman" w:eastAsia="Times New Roman" w:hAnsi="Times New Roman"/>
          <w:sz w:val="18"/>
          <w:szCs w:val="18"/>
          <w:color w:val="auto"/>
        </w:rPr>
        <w:t>100% of your target bonus for the performance year in which your CIC Qualified Termination occurs, payable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lump sum on the 61st day following your CIC Qualified Termination.</w:t>
      </w:r>
    </w:p>
    <w:p>
      <w:pPr>
        <w:spacing w:after="0" w:line="60" w:lineRule="exact"/>
        <w:rPr>
          <w:rFonts w:ascii="Times New Roman" w:cs="Times New Roman" w:eastAsia="Times New Roman" w:hAnsi="Times New Roman"/>
          <w:sz w:val="18"/>
          <w:szCs w:val="18"/>
          <w:color w:val="auto"/>
        </w:rPr>
      </w:pPr>
    </w:p>
    <w:p>
      <w:pPr>
        <w:ind w:left="1420" w:right="320" w:hanging="331"/>
        <w:spacing w:after="0" w:line="286" w:lineRule="auto"/>
        <w:tabs>
          <w:tab w:leader="none" w:pos="1420"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COBRA Coverage</w:t>
      </w:r>
      <w:r>
        <w:rPr>
          <w:rFonts w:ascii="Times New Roman" w:cs="Times New Roman" w:eastAsia="Times New Roman" w:hAnsi="Times New Roman"/>
          <w:sz w:val="18"/>
          <w:szCs w:val="18"/>
          <w:color w:val="auto"/>
        </w:rPr>
        <w:t>: Payment or reimbursement of the COBRA Coverage or COBRA Benefit, as applicable, for up to 12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your CIC Qualified Termination.</w:t>
      </w:r>
    </w:p>
    <w:p>
      <w:pPr>
        <w:spacing w:after="0" w:line="15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Non-CIC Qualified Termination</w:t>
      </w:r>
      <w:r>
        <w:rPr>
          <w:rFonts w:ascii="Times New Roman" w:cs="Times New Roman" w:eastAsia="Times New Roman" w:hAnsi="Times New Roman"/>
          <w:sz w:val="18"/>
          <w:szCs w:val="18"/>
          <w:color w:val="auto"/>
        </w:rPr>
        <w:t>. Upon your Non-CIC Qualified Termination, you will be entitled to the following benefits, subject to the terms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conditions of the Policy:</w:t>
      </w:r>
    </w:p>
    <w:p>
      <w:pPr>
        <w:spacing w:after="0" w:line="60" w:lineRule="exact"/>
        <w:rPr>
          <w:sz w:val="20"/>
          <w:szCs w:val="20"/>
          <w:color w:val="auto"/>
        </w:rPr>
      </w:pPr>
    </w:p>
    <w:p>
      <w:pPr>
        <w:ind w:left="1420" w:right="40" w:hanging="331"/>
        <w:spacing w:after="0" w:line="259" w:lineRule="auto"/>
        <w:tabs>
          <w:tab w:leader="none" w:pos="142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Equity Vesting</w:t>
      </w:r>
      <w:r>
        <w:rPr>
          <w:rFonts w:ascii="Times New Roman" w:cs="Times New Roman" w:eastAsia="Times New Roman" w:hAnsi="Times New Roman"/>
          <w:sz w:val="18"/>
          <w:szCs w:val="18"/>
          <w:color w:val="auto"/>
        </w:rPr>
        <w:t>: A number of then-unvested shares subject to each of your then-outstanding equity awards (excluding equity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performance-based vesting and excluding any equity awards granted on or after the IPO Date) equal to the number of such shares otherwise scheduled to vest during the 6 month period following the date of your Non-CIC Qualified Termination had you remained employed with the Company (or any of its subsidiaries) through such date will immediately vest and, in the case of options and stock appreciation rights, will become exercisable.</w:t>
      </w:r>
    </w:p>
    <w:p>
      <w:pPr>
        <w:spacing w:after="0" w:line="84" w:lineRule="exact"/>
        <w:rPr>
          <w:rFonts w:ascii="Times New Roman" w:cs="Times New Roman" w:eastAsia="Times New Roman" w:hAnsi="Times New Roman"/>
          <w:sz w:val="18"/>
          <w:szCs w:val="18"/>
          <w:color w:val="auto"/>
        </w:rPr>
      </w:pPr>
    </w:p>
    <w:p>
      <w:pPr>
        <w:ind w:left="1420" w:right="640" w:hanging="331"/>
        <w:spacing w:after="0" w:line="286" w:lineRule="auto"/>
        <w:tabs>
          <w:tab w:leader="none" w:pos="142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Salary Severance</w:t>
      </w:r>
      <w:r>
        <w:rPr>
          <w:rFonts w:ascii="Times New Roman" w:cs="Times New Roman" w:eastAsia="Times New Roman" w:hAnsi="Times New Roman"/>
          <w:sz w:val="18"/>
          <w:szCs w:val="18"/>
          <w:color w:val="auto"/>
        </w:rPr>
        <w:t>: 9 months of your Base Salary, payable in a lump sum on the 61st day following your Non-CIC Qualified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w:t>
      </w:r>
    </w:p>
    <w:p>
      <w:pPr>
        <w:spacing w:after="0" w:line="6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Bonus Severance: </w:t>
      </w:r>
      <w:r>
        <w:rPr>
          <w:rFonts w:ascii="Times New Roman" w:cs="Times New Roman" w:eastAsia="Times New Roman" w:hAnsi="Times New Roman"/>
          <w:sz w:val="18"/>
          <w:szCs w:val="18"/>
          <w:color w:val="auto"/>
        </w:rPr>
        <w:t>None.</w:t>
      </w:r>
    </w:p>
    <w:p>
      <w:pPr>
        <w:spacing w:after="0" w:line="130" w:lineRule="exact"/>
        <w:rPr>
          <w:rFonts w:ascii="Times New Roman" w:cs="Times New Roman" w:eastAsia="Times New Roman" w:hAnsi="Times New Roman"/>
          <w:sz w:val="18"/>
          <w:szCs w:val="18"/>
          <w:color w:val="auto"/>
        </w:rPr>
      </w:pPr>
    </w:p>
    <w:p>
      <w:pPr>
        <w:ind w:left="1420" w:right="400" w:hanging="331"/>
        <w:spacing w:after="0" w:line="286" w:lineRule="auto"/>
        <w:tabs>
          <w:tab w:leader="none" w:pos="142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COBRA Coverage</w:t>
      </w:r>
      <w:r>
        <w:rPr>
          <w:rFonts w:ascii="Times New Roman" w:cs="Times New Roman" w:eastAsia="Times New Roman" w:hAnsi="Times New Roman"/>
          <w:sz w:val="18"/>
          <w:szCs w:val="18"/>
          <w:color w:val="auto"/>
        </w:rPr>
        <w:t>: Payment or reimbursement of the COBRA Coverage or COBRA Benefit, as applicable, for up to 9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your Non-CIC Qualified Termination.</w:t>
      </w:r>
    </w:p>
    <w:p>
      <w:pPr>
        <w:sectPr>
          <w:pgSz w:w="11900" w:h="16838" w:orient="portrait"/>
          <w:cols w:equalWidth="0" w:num="1">
            <w:col w:w="11020"/>
          </w:cols>
          <w:pgMar w:left="440" w:top="117" w:right="439" w:bottom="1440" w:gutter="0" w:footer="0" w:header="0"/>
        </w:sectPr>
      </w:pPr>
    </w:p>
    <w:bookmarkStart w:id="548" w:name="page549"/>
    <w:bookmarkEnd w:id="548"/>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means the termination of your employment with the Company (or any of its subsidiaries) in accordance with the next sentence after the occurrence of one or more of the following events without your consent: (a) a material reduction in your authority, duties, or responsibilities with the Company or a subsidiary of the Company in effect immediately prior to such reduction, unless you are is provided with reasonably comparable authority, duties, or responsibilities; (b) a material change in the geographic location at which you must be principally located for employment, provided that a change in office location of greater than forty (40) miles from your home will be such a material change in geographic location; (c) a material reduction by the Company or a subsidiary of the Company in your base compensation as in effect immediately prior to such reduction other than in connection with a general reduction of base compensation at the Company or its subsidiaries of individuals having a similar position or title; or (d) any material breach by the Company or a subsidiary of the Company of the agreement under which you provide services to the Company or such subsidiary. In order for the Eligible Employee’s termination of his or her employment to be for Good Reason, you must not terminate employment with the Company without first providing the Company with written notice of the acts or omissions constituting the grounds for “Good Reason” within 90 days of the initial existence of the grounds for “Good Reason” and a cure period of 30 days following the date of written notice (the “</w:t>
      </w:r>
      <w:r>
        <w:rPr>
          <w:rFonts w:ascii="Times New Roman" w:cs="Times New Roman" w:eastAsia="Times New Roman" w:hAnsi="Times New Roman"/>
          <w:sz w:val="18"/>
          <w:szCs w:val="18"/>
          <w:b w:val="1"/>
          <w:bCs w:val="1"/>
          <w:color w:val="auto"/>
        </w:rPr>
        <w:t>Cure Period</w:t>
      </w:r>
      <w:r>
        <w:rPr>
          <w:rFonts w:ascii="Times New Roman" w:cs="Times New Roman" w:eastAsia="Times New Roman" w:hAnsi="Times New Roman"/>
          <w:sz w:val="18"/>
          <w:szCs w:val="18"/>
          <w:color w:val="auto"/>
        </w:rPr>
        <w:t>”), such grounds must not have been cured during such time, and you must terminate your employment within 60 days following the Cure Period.</w:t>
      </w:r>
    </w:p>
    <w:p>
      <w:pPr>
        <w:spacing w:after="0" w:line="190" w:lineRule="exact"/>
        <w:rPr>
          <w:sz w:val="20"/>
          <w:szCs w:val="20"/>
          <w:color w:val="auto"/>
        </w:rPr>
      </w:pPr>
    </w:p>
    <w:p>
      <w:pPr>
        <w:ind w:right="9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IPO Date</w:t>
      </w:r>
      <w:r>
        <w:rPr>
          <w:rFonts w:ascii="Times New Roman" w:cs="Times New Roman" w:eastAsia="Times New Roman" w:hAnsi="Times New Roman"/>
          <w:sz w:val="18"/>
          <w:szCs w:val="18"/>
          <w:color w:val="auto"/>
        </w:rPr>
        <w:t>” means the effective date of the first registration statement that is filed by the Company and declared effective pursuant to Section 12(b) of the Exchange Act of 1934, with respect to the Company’s common stock.</w:t>
      </w:r>
    </w:p>
    <w:p>
      <w:pPr>
        <w:spacing w:after="0" w:line="155" w:lineRule="exact"/>
        <w:rPr>
          <w:sz w:val="20"/>
          <w:szCs w:val="20"/>
          <w:color w:val="auto"/>
        </w:rPr>
      </w:pPr>
    </w:p>
    <w:p>
      <w:pPr>
        <w:ind w:right="2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Termination”</w:t>
      </w:r>
      <w:r>
        <w:rPr>
          <w:rFonts w:ascii="Times New Roman" w:cs="Times New Roman" w:eastAsia="Times New Roman" w:hAnsi="Times New Roman"/>
          <w:sz w:val="18"/>
          <w:szCs w:val="18"/>
          <w:color w:val="auto"/>
        </w:rPr>
        <w:t xml:space="preserve"> means either (i) a termination of your employment by the Company (or any of its subsidiaries) other than for Cause, death, or Disability or by you for Good Reason, in either case, during the Change in Control Period (a “</w:t>
      </w:r>
      <w:r>
        <w:rPr>
          <w:rFonts w:ascii="Times New Roman" w:cs="Times New Roman" w:eastAsia="Times New Roman" w:hAnsi="Times New Roman"/>
          <w:sz w:val="18"/>
          <w:szCs w:val="18"/>
          <w:b w:val="1"/>
          <w:bCs w:val="1"/>
          <w:color w:val="auto"/>
        </w:rPr>
        <w:t>CIC Qualified Termination</w:t>
      </w:r>
      <w:r>
        <w:rPr>
          <w:rFonts w:ascii="Times New Roman" w:cs="Times New Roman" w:eastAsia="Times New Roman" w:hAnsi="Times New Roman"/>
          <w:sz w:val="18"/>
          <w:szCs w:val="18"/>
          <w:color w:val="auto"/>
        </w:rPr>
        <w:t>”) or (ii) a termination of your employment by the Company (or any of its subsidiaries) other than for Cause, death, or Disability outside the Change in Control Period (a “</w:t>
      </w:r>
      <w:r>
        <w:rPr>
          <w:rFonts w:ascii="Times New Roman" w:cs="Times New Roman" w:eastAsia="Times New Roman" w:hAnsi="Times New Roman"/>
          <w:sz w:val="18"/>
          <w:szCs w:val="18"/>
          <w:b w:val="1"/>
          <w:bCs w:val="1"/>
          <w:color w:val="auto"/>
        </w:rPr>
        <w:t>Non-CIC Qualified Termination</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121"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You agree that the Policy and the Agreement constitute the entire agreement of the parties hereto and supersede in their entirety all prior representations, understandings, undertakings or agreements (whether oral or written and whether expressed or implied) of the parties, and will specifically supersede any severance and/or change of control provisions of any offer letter, employment agreement, or equity award agreement entered into between you and the Company and/or any of its subsidiaries.</w:t>
      </w:r>
    </w:p>
    <w:p>
      <w:pPr>
        <w:spacing w:after="0" w:line="18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counterparts, each of which will be deemed an original, but all of which together will constitute one and the same instrument.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5" w:right="499" w:bottom="1440" w:gutter="0" w:footer="0" w:header="0"/>
        </w:sectPr>
      </w:pPr>
    </w:p>
    <w:bookmarkStart w:id="549" w:name="page550"/>
    <w:bookmarkEnd w:id="549"/>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signing below, each of the parties signifies his, her, or its acceptance of the terms of this Agreement, in the case of the Company by its duly authorized officer, effective as of the last date set forth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PMV PHARMACEUTICALS, INC.</w:t>
            </w:r>
          </w:p>
        </w:tc>
        <w:tc>
          <w:tcPr>
            <w:tcW w:w="1860" w:type="dxa"/>
            <w:vAlign w:val="bottom"/>
          </w:tcPr>
          <w:p>
            <w:pPr>
              <w:spacing w:after="0"/>
              <w:rPr>
                <w:sz w:val="20"/>
                <w:szCs w:val="20"/>
                <w:color w:val="auto"/>
              </w:rPr>
            </w:pPr>
          </w:p>
        </w:tc>
        <w:tc>
          <w:tcPr>
            <w:tcW w:w="616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ELIGIBLE EMPLOYEE</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Winston Kung</w:t>
            </w:r>
          </w:p>
        </w:tc>
        <w:tc>
          <w:tcPr>
            <w:tcW w:w="1860" w:type="dxa"/>
            <w:vAlign w:val="bottom"/>
            <w:tcBorders>
              <w:bottom w:val="single" w:sz="8" w:color="auto"/>
            </w:tcBorders>
          </w:tcPr>
          <w:p>
            <w:pPr>
              <w:spacing w:after="0"/>
              <w:rPr>
                <w:sz w:val="24"/>
                <w:szCs w:val="24"/>
                <w:color w:val="auto"/>
              </w:rPr>
            </w:pPr>
          </w:p>
        </w:tc>
        <w:tc>
          <w:tcPr>
            <w:tcW w:w="18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Signature:</w:t>
            </w: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Leila Alland</w:t>
            </w:r>
          </w:p>
        </w:tc>
      </w:tr>
      <w:tr>
        <w:trPr>
          <w:trHeight w:val="43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August 18, 2020</w:t>
            </w:r>
          </w:p>
        </w:tc>
        <w:tc>
          <w:tcPr>
            <w:tcW w:w="1860" w:type="dxa"/>
            <w:vAlign w:val="bottom"/>
            <w:tcBorders>
              <w:bottom w:val="single" w:sz="8" w:color="auto"/>
            </w:tcBorders>
          </w:tcPr>
          <w:p>
            <w:pPr>
              <w:spacing w:after="0"/>
              <w:rPr>
                <w:sz w:val="24"/>
                <w:szCs w:val="24"/>
                <w:color w:val="auto"/>
              </w:rPr>
            </w:pPr>
          </w:p>
        </w:tc>
        <w:tc>
          <w:tcPr>
            <w:tcW w:w="18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Date:</w:t>
            </w: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August 18, 2020</w:t>
            </w:r>
          </w:p>
        </w:tc>
      </w:tr>
      <w:tr>
        <w:trPr>
          <w:trHeight w:val="439"/>
        </w:trPr>
        <w:tc>
          <w:tcPr>
            <w:tcW w:w="5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020" w:type="dxa"/>
            <w:vAlign w:val="bottom"/>
            <w:gridSpan w:val="3"/>
          </w:tcPr>
          <w:p>
            <w:pPr>
              <w:ind w:left="220"/>
              <w:spacing w:after="0"/>
              <w:rPr>
                <w:sz w:val="20"/>
                <w:szCs w:val="20"/>
                <w:color w:val="auto"/>
              </w:rPr>
            </w:pPr>
            <w:r>
              <w:rPr>
                <w:rFonts w:ascii="Times New Roman" w:cs="Times New Roman" w:eastAsia="Times New Roman" w:hAnsi="Times New Roman"/>
                <w:sz w:val="18"/>
                <w:szCs w:val="18"/>
                <w:i w:val="1"/>
                <w:iCs w:val="1"/>
                <w:color w:val="auto"/>
              </w:rPr>
              <w:t>[Signature Page of the A&amp;R Participation Agreement (Alland)]</w:t>
            </w:r>
          </w:p>
        </w:tc>
      </w:tr>
    </w:tbl>
    <w:p>
      <w:pPr>
        <w:sectPr>
          <w:pgSz w:w="11900" w:h="16838" w:orient="portrait"/>
          <w:cols w:equalWidth="0" w:num="1">
            <w:col w:w="11020"/>
          </w:cols>
          <w:pgMar w:left="440" w:top="269" w:right="439" w:bottom="1440" w:gutter="0" w:footer="0" w:header="0"/>
        </w:sectPr>
      </w:pPr>
    </w:p>
    <w:bookmarkStart w:id="550" w:name="page551"/>
    <w:bookmarkEnd w:id="550"/>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Change in Control and Severance Policy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Participation Agreement</w:t>
      </w:r>
    </w:p>
    <w:p>
      <w:pPr>
        <w:spacing w:after="0" w:line="203"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This Amended and Restated Participation Agreement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is made and entered into by and between Deepika Jalota on the one hand, and PMV Pharmaceuticals,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on the other.</w:t>
      </w:r>
    </w:p>
    <w:p>
      <w:pPr>
        <w:spacing w:after="0" w:line="159"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Company’s anticipated initial public offering, the Compensation Committee of the Board has reviewed and updated the Policy for you as set forth herein. You will continue to be eligible to receive the following severance payments and benefits upon a Qualified Termination, subject to the terms and conditions of the Policy.</w:t>
      </w:r>
    </w:p>
    <w:p>
      <w:pPr>
        <w:spacing w:after="0" w:line="172" w:lineRule="exact"/>
        <w:rPr>
          <w:sz w:val="20"/>
          <w:szCs w:val="20"/>
          <w:color w:val="auto"/>
        </w:rPr>
      </w:pPr>
    </w:p>
    <w:p>
      <w:pPr>
        <w:ind w:right="62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CIC Qualified Termination</w:t>
      </w:r>
      <w:r>
        <w:rPr>
          <w:rFonts w:ascii="Times New Roman" w:cs="Times New Roman" w:eastAsia="Times New Roman" w:hAnsi="Times New Roman"/>
          <w:sz w:val="18"/>
          <w:szCs w:val="18"/>
          <w:color w:val="auto"/>
        </w:rPr>
        <w:t>. Upon your CIC Qualified Termination, you will be entitled to the following benefits, subject to the terms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conditions of the Policy:</w:t>
      </w:r>
    </w:p>
    <w:p>
      <w:pPr>
        <w:spacing w:after="0" w:line="60" w:lineRule="exact"/>
        <w:rPr>
          <w:sz w:val="20"/>
          <w:szCs w:val="20"/>
          <w:color w:val="auto"/>
        </w:rPr>
      </w:pPr>
    </w:p>
    <w:p>
      <w:pPr>
        <w:ind w:left="1420" w:right="20" w:hanging="331"/>
        <w:spacing w:after="0" w:line="259" w:lineRule="auto"/>
        <w:tabs>
          <w:tab w:leader="none" w:pos="142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Equity Vesting</w:t>
      </w:r>
      <w:r>
        <w:rPr>
          <w:rFonts w:ascii="Times New Roman" w:cs="Times New Roman" w:eastAsia="Times New Roman" w:hAnsi="Times New Roman"/>
          <w:sz w:val="18"/>
          <w:szCs w:val="18"/>
          <w:color w:val="auto"/>
        </w:rPr>
        <w:t>: 100% of the then-unvested shares subject to each of your then-outstanding equity awards will immediately vest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case of options and stock appreciation rights, will become exercisable (for avoidance of doubt, no more than 100% of the shares subject to the outstanding portion of an equity award may vest and become exercisable under this provision). In the case of equity awards with performance-based vesting, unless otherwise determined by the Company and set forth in your equity award agreement, all performance goals and other vesting criteria will be deemed achieved at 100% of target levels.</w:t>
      </w:r>
    </w:p>
    <w:p>
      <w:pPr>
        <w:spacing w:after="0" w:line="84"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Salary Severance</w:t>
      </w:r>
      <w:r>
        <w:rPr>
          <w:rFonts w:ascii="Times New Roman" w:cs="Times New Roman" w:eastAsia="Times New Roman" w:hAnsi="Times New Roman"/>
          <w:sz w:val="18"/>
          <w:szCs w:val="18"/>
          <w:color w:val="auto"/>
        </w:rPr>
        <w:t>: 9 months of your Base Salary, payable in a lump sum on the 61st day following your CIC Qualified Termination.</w:t>
      </w:r>
    </w:p>
    <w:p>
      <w:pPr>
        <w:spacing w:after="0" w:line="130" w:lineRule="exact"/>
        <w:rPr>
          <w:rFonts w:ascii="Times New Roman" w:cs="Times New Roman" w:eastAsia="Times New Roman" w:hAnsi="Times New Roman"/>
          <w:sz w:val="18"/>
          <w:szCs w:val="18"/>
          <w:color w:val="auto"/>
        </w:rPr>
      </w:pPr>
    </w:p>
    <w:p>
      <w:pPr>
        <w:ind w:left="1420" w:right="60" w:hanging="331"/>
        <w:spacing w:after="0" w:line="268" w:lineRule="auto"/>
        <w:tabs>
          <w:tab w:leader="none" w:pos="142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Bonus Severance: </w:t>
      </w:r>
      <w:r>
        <w:rPr>
          <w:rFonts w:ascii="Times New Roman" w:cs="Times New Roman" w:eastAsia="Times New Roman" w:hAnsi="Times New Roman"/>
          <w:sz w:val="18"/>
          <w:szCs w:val="18"/>
          <w:color w:val="auto"/>
        </w:rPr>
        <w:t>The greater of (x) a pro-rata portion (based on the number of full months you have worked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year divided by 12) or (y) 75% of your target bonus for the performance year in which your CIC Qualified Termination occurs, payable in a lump sum on the 61st day following your CIC Qualified Termination.</w:t>
      </w:r>
    </w:p>
    <w:p>
      <w:pPr>
        <w:spacing w:after="0" w:line="76" w:lineRule="exact"/>
        <w:rPr>
          <w:rFonts w:ascii="Times New Roman" w:cs="Times New Roman" w:eastAsia="Times New Roman" w:hAnsi="Times New Roman"/>
          <w:sz w:val="18"/>
          <w:szCs w:val="18"/>
          <w:color w:val="auto"/>
        </w:rPr>
      </w:pPr>
    </w:p>
    <w:p>
      <w:pPr>
        <w:ind w:left="1420" w:right="400" w:hanging="331"/>
        <w:spacing w:after="0" w:line="286" w:lineRule="auto"/>
        <w:tabs>
          <w:tab w:leader="none" w:pos="1420"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COBRA Coverage</w:t>
      </w:r>
      <w:r>
        <w:rPr>
          <w:rFonts w:ascii="Times New Roman" w:cs="Times New Roman" w:eastAsia="Times New Roman" w:hAnsi="Times New Roman"/>
          <w:sz w:val="18"/>
          <w:szCs w:val="18"/>
          <w:color w:val="auto"/>
        </w:rPr>
        <w:t>: Payment or reimbursement of the COBRA Coverage or COBRA Benefit, as applicable, for up to 9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your CIC Qualified Termination.</w:t>
      </w:r>
    </w:p>
    <w:p>
      <w:pPr>
        <w:spacing w:after="0" w:line="155"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Non-CIC Qualified Termination</w:t>
      </w:r>
      <w:r>
        <w:rPr>
          <w:rFonts w:ascii="Times New Roman" w:cs="Times New Roman" w:eastAsia="Times New Roman" w:hAnsi="Times New Roman"/>
          <w:sz w:val="18"/>
          <w:szCs w:val="18"/>
          <w:color w:val="auto"/>
        </w:rPr>
        <w:t>. Upon your Non-CIC Qualified Termination, you will be entitled to the following benefits, subject to the terms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conditions of the Policy:</w:t>
      </w:r>
    </w:p>
    <w:p>
      <w:pPr>
        <w:spacing w:after="0" w:line="60" w:lineRule="exact"/>
        <w:rPr>
          <w:sz w:val="20"/>
          <w:szCs w:val="20"/>
          <w:color w:val="auto"/>
        </w:rPr>
      </w:pPr>
    </w:p>
    <w:p>
      <w:pPr>
        <w:ind w:left="1420" w:right="40" w:hanging="331"/>
        <w:spacing w:after="0" w:line="259" w:lineRule="auto"/>
        <w:tabs>
          <w:tab w:leader="none" w:pos="142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Equity Vesting</w:t>
      </w:r>
      <w:r>
        <w:rPr>
          <w:rFonts w:ascii="Times New Roman" w:cs="Times New Roman" w:eastAsia="Times New Roman" w:hAnsi="Times New Roman"/>
          <w:sz w:val="18"/>
          <w:szCs w:val="18"/>
          <w:color w:val="auto"/>
        </w:rPr>
        <w:t>: A number of then-unvested shares subject to each of your then-outstanding equity awards (excluding equity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performance-based vesting and excluding any equity awards granted on or after the IPO Date) equal to the number of such shares otherwise scheduled to vest during the 6 month period following the date of your Non-CIC Qualified Termination had you remained employed with the Company (or any of its subsidiaries) through such date will immediately vest and, in the case of options and stock appreciation rights, will become exercisable.</w:t>
      </w:r>
    </w:p>
    <w:p>
      <w:pPr>
        <w:spacing w:after="0" w:line="84" w:lineRule="exact"/>
        <w:rPr>
          <w:rFonts w:ascii="Times New Roman" w:cs="Times New Roman" w:eastAsia="Times New Roman" w:hAnsi="Times New Roman"/>
          <w:sz w:val="18"/>
          <w:szCs w:val="18"/>
          <w:color w:val="auto"/>
        </w:rPr>
      </w:pPr>
    </w:p>
    <w:p>
      <w:pPr>
        <w:ind w:left="1420" w:right="640" w:hanging="331"/>
        <w:spacing w:after="0" w:line="286" w:lineRule="auto"/>
        <w:tabs>
          <w:tab w:leader="none" w:pos="142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Salary Severance</w:t>
      </w:r>
      <w:r>
        <w:rPr>
          <w:rFonts w:ascii="Times New Roman" w:cs="Times New Roman" w:eastAsia="Times New Roman" w:hAnsi="Times New Roman"/>
          <w:sz w:val="18"/>
          <w:szCs w:val="18"/>
          <w:color w:val="auto"/>
        </w:rPr>
        <w:t>: 6 months of your Base Salary, payable in a lump sum on the 61st day following your Non-CIC Qualified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w:t>
      </w:r>
    </w:p>
    <w:p>
      <w:pPr>
        <w:spacing w:after="0" w:line="6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Bonus Severance: </w:t>
      </w:r>
      <w:r>
        <w:rPr>
          <w:rFonts w:ascii="Times New Roman" w:cs="Times New Roman" w:eastAsia="Times New Roman" w:hAnsi="Times New Roman"/>
          <w:sz w:val="18"/>
          <w:szCs w:val="18"/>
          <w:color w:val="auto"/>
        </w:rPr>
        <w:t>None.</w:t>
      </w:r>
    </w:p>
    <w:p>
      <w:pPr>
        <w:sectPr>
          <w:pgSz w:w="11900" w:h="16838" w:orient="portrait"/>
          <w:cols w:equalWidth="0" w:num="1">
            <w:col w:w="11020"/>
          </w:cols>
          <w:pgMar w:left="440" w:top="117" w:right="439" w:bottom="1440" w:gutter="0" w:footer="0" w:header="0"/>
        </w:sectPr>
      </w:pPr>
    </w:p>
    <w:bookmarkStart w:id="551" w:name="page552"/>
    <w:bookmarkEnd w:id="551"/>
    <w:p>
      <w:pPr>
        <w:ind w:left="1420" w:right="300" w:hanging="331"/>
        <w:spacing w:after="0" w:line="286" w:lineRule="auto"/>
        <w:tabs>
          <w:tab w:leader="none" w:pos="142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COBRA Coverage</w:t>
      </w:r>
      <w:r>
        <w:rPr>
          <w:rFonts w:ascii="Times New Roman" w:cs="Times New Roman" w:eastAsia="Times New Roman" w:hAnsi="Times New Roman"/>
          <w:sz w:val="18"/>
          <w:szCs w:val="18"/>
          <w:color w:val="auto"/>
        </w:rPr>
        <w:t>: Payment or reimbursement of the COBRA Coverage or COBRA Benefit, as applicable, for up to 6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your Non-CIC Qualified Termination.</w:t>
      </w:r>
    </w:p>
    <w:p>
      <w:pPr>
        <w:spacing w:after="0" w:line="155" w:lineRule="exact"/>
        <w:rPr>
          <w:sz w:val="20"/>
          <w:szCs w:val="20"/>
          <w:color w:val="auto"/>
        </w:rPr>
      </w:pPr>
    </w:p>
    <w:p>
      <w:pPr>
        <w:ind w:right="8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IPO Date</w:t>
      </w:r>
      <w:r>
        <w:rPr>
          <w:rFonts w:ascii="Times New Roman" w:cs="Times New Roman" w:eastAsia="Times New Roman" w:hAnsi="Times New Roman"/>
          <w:sz w:val="18"/>
          <w:szCs w:val="18"/>
          <w:color w:val="auto"/>
        </w:rPr>
        <w:t>” means the effective date of the first registration statement that is filed by the Company and declared effective pursuant to Section 12(b) of the Exchange Act of 1934, with respect to the Company’s common stock.</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Provisions</w:t>
      </w:r>
    </w:p>
    <w:p>
      <w:pPr>
        <w:spacing w:after="0" w:line="121"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You agree that the Policy and the Agreement constitute the entire agreement of the parties hereto and supersede in their entirety all prior representations, understandings, undertakings or agreements (whether oral or written and whether expressed or implied) of the parties, and will specifically supersede any severance and/or change of control provisions of any offer letter, employment agreement, or equity award agreement entered into between you and the Company and/or any of its subsidiaries.</w:t>
      </w:r>
    </w:p>
    <w:p>
      <w:pPr>
        <w:spacing w:after="0" w:line="18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This Agreement may be executed in counterparts, each of which will be deemed an original, but all of which together will constitute one and the same instrument.</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By signing below, each of the parties signifies his, her, or its acceptance of the terms of this Agreement, in the case of the Company by its duly authorized officer, effective as of the last date set forth below.</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40" w:top="265" w:right="539" w:bottom="1440" w:gutter="0" w:footer="0" w:header="0"/>
        </w:sectPr>
      </w:pPr>
    </w:p>
    <w:bookmarkStart w:id="552" w:name="page553"/>
    <w:bookmarkEnd w:id="552"/>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By signing below, each of the parties signifies his, her, or its acceptance of the terms of this Agreement, in the case of the Company by its duly authorized officer, effective as of the last date set forth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PMV PHARMACEUTICALS, INC.</w:t>
            </w:r>
          </w:p>
        </w:tc>
        <w:tc>
          <w:tcPr>
            <w:tcW w:w="1860" w:type="dxa"/>
            <w:vAlign w:val="bottom"/>
          </w:tcPr>
          <w:p>
            <w:pPr>
              <w:spacing w:after="0"/>
              <w:rPr>
                <w:sz w:val="20"/>
                <w:szCs w:val="20"/>
                <w:color w:val="auto"/>
              </w:rPr>
            </w:pPr>
          </w:p>
        </w:tc>
        <w:tc>
          <w:tcPr>
            <w:tcW w:w="616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ELIGIBLE EMPLOYEE</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Winston Kung</w:t>
            </w:r>
          </w:p>
        </w:tc>
        <w:tc>
          <w:tcPr>
            <w:tcW w:w="1860" w:type="dxa"/>
            <w:vAlign w:val="bottom"/>
            <w:tcBorders>
              <w:bottom w:val="single" w:sz="8" w:color="auto"/>
            </w:tcBorders>
          </w:tcPr>
          <w:p>
            <w:pPr>
              <w:spacing w:after="0"/>
              <w:rPr>
                <w:sz w:val="24"/>
                <w:szCs w:val="24"/>
                <w:color w:val="auto"/>
              </w:rPr>
            </w:pPr>
          </w:p>
        </w:tc>
        <w:tc>
          <w:tcPr>
            <w:tcW w:w="18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Signature:</w:t>
            </w: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Deepika Jalota</w:t>
            </w:r>
          </w:p>
        </w:tc>
      </w:tr>
      <w:tr>
        <w:trPr>
          <w:trHeight w:val="439"/>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August 18, 2020</w:t>
            </w:r>
          </w:p>
        </w:tc>
        <w:tc>
          <w:tcPr>
            <w:tcW w:w="1860" w:type="dxa"/>
            <w:vAlign w:val="bottom"/>
            <w:tcBorders>
              <w:bottom w:val="single" w:sz="8" w:color="auto"/>
            </w:tcBorders>
          </w:tcPr>
          <w:p>
            <w:pPr>
              <w:spacing w:after="0"/>
              <w:rPr>
                <w:sz w:val="24"/>
                <w:szCs w:val="24"/>
                <w:color w:val="auto"/>
              </w:rPr>
            </w:pPr>
          </w:p>
        </w:tc>
        <w:tc>
          <w:tcPr>
            <w:tcW w:w="18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Date:</w:t>
            </w: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August 18, 2020</w:t>
            </w:r>
          </w:p>
        </w:tc>
      </w:tr>
      <w:tr>
        <w:trPr>
          <w:trHeight w:val="439"/>
        </w:trPr>
        <w:tc>
          <w:tcPr>
            <w:tcW w:w="5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8020" w:type="dxa"/>
            <w:vAlign w:val="bottom"/>
            <w:gridSpan w:val="3"/>
          </w:tcPr>
          <w:p>
            <w:pPr>
              <w:ind w:left="240"/>
              <w:spacing w:after="0"/>
              <w:rPr>
                <w:sz w:val="20"/>
                <w:szCs w:val="20"/>
                <w:color w:val="auto"/>
              </w:rPr>
            </w:pPr>
            <w:r>
              <w:rPr>
                <w:rFonts w:ascii="Times New Roman" w:cs="Times New Roman" w:eastAsia="Times New Roman" w:hAnsi="Times New Roman"/>
                <w:sz w:val="18"/>
                <w:szCs w:val="18"/>
                <w:i w:val="1"/>
                <w:iCs w:val="1"/>
                <w:color w:val="auto"/>
              </w:rPr>
              <w:t>[Signature Page of the A&amp;R Participation Agreement (Jalota)]</w:t>
            </w:r>
          </w:p>
        </w:tc>
      </w:tr>
    </w:tbl>
    <w:p>
      <w:pPr>
        <w:sectPr>
          <w:pgSz w:w="11900" w:h="16838" w:orient="portrait"/>
          <w:cols w:equalWidth="0" w:num="1">
            <w:col w:w="11020"/>
          </w:cols>
          <w:pgMar w:left="440" w:top="269" w:right="439" w:bottom="1440" w:gutter="0" w:footer="0" w:header="0"/>
        </w:sectPr>
      </w:pPr>
    </w:p>
    <w:bookmarkStart w:id="553" w:name="page554"/>
    <w:bookmarkEnd w:id="553"/>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PMV PHARMACEUTICALS,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OUTSIDE DIRECTOR COMPENSATION POLICY</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and approved by the Board of Directors on August 5, 2020</w:t>
      </w:r>
    </w:p>
    <w:p>
      <w:pPr>
        <w:spacing w:after="0" w:line="221"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PMV Pharmaceuticals,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believes that providing cash and equity compensation to its members of 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and members of the Board, the “</w:t>
      </w:r>
      <w:r>
        <w:rPr>
          <w:rFonts w:ascii="Times New Roman" w:cs="Times New Roman" w:eastAsia="Times New Roman" w:hAnsi="Times New Roman"/>
          <w:sz w:val="18"/>
          <w:szCs w:val="18"/>
          <w:b w:val="1"/>
          <w:bCs w:val="1"/>
          <w:color w:val="auto"/>
        </w:rPr>
        <w:t>Directors</w:t>
      </w:r>
      <w:r>
        <w:rPr>
          <w:rFonts w:ascii="Times New Roman" w:cs="Times New Roman" w:eastAsia="Times New Roman" w:hAnsi="Times New Roman"/>
          <w:sz w:val="18"/>
          <w:szCs w:val="18"/>
          <w:color w:val="auto"/>
        </w:rPr>
        <w:t>”) represents an effective tool to attract, retain and reward Directors who are not employees of the Company (the “</w:t>
      </w:r>
      <w:r>
        <w:rPr>
          <w:rFonts w:ascii="Times New Roman" w:cs="Times New Roman" w:eastAsia="Times New Roman" w:hAnsi="Times New Roman"/>
          <w:sz w:val="18"/>
          <w:szCs w:val="18"/>
          <w:b w:val="1"/>
          <w:bCs w:val="1"/>
          <w:color w:val="auto"/>
        </w:rPr>
        <w:t>Outside Directors</w:t>
      </w:r>
      <w:r>
        <w:rPr>
          <w:rFonts w:ascii="Times New Roman" w:cs="Times New Roman" w:eastAsia="Times New Roman" w:hAnsi="Times New Roman"/>
          <w:sz w:val="18"/>
          <w:szCs w:val="18"/>
          <w:color w:val="auto"/>
        </w:rPr>
        <w:t>”). This Outside Director Compensation Policy (the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is intended to formalize the Company’s policy regarding the compensation to its Outside Directors. Unless otherwise defined herein, capitalized terms used in this Policy will have the meaning given to such terms in the Company’s 2020 Equity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or if the Plan is no longer in place, the meaning given to such terms or any similar terms in the equity plan then in place. Each Outside Director will be solely responsible for any tax obligations incurred by such Outside Director as a result of the equity and cash payments such Outside Director receives under this Policy.</w:t>
      </w:r>
    </w:p>
    <w:p>
      <w:pPr>
        <w:spacing w:after="0" w:line="18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Subject to Section 8 of this Policy, this Policy will be effective as of the effective date of the first registration statement that is filed by the Company and declared effective pursuant to Section 12(b) of the Exchange Act, with respect to any class of the Company’s securities (the “</w:t>
      </w:r>
      <w:r>
        <w:rPr>
          <w:rFonts w:ascii="Times New Roman" w:cs="Times New Roman" w:eastAsia="Times New Roman" w:hAnsi="Times New Roman"/>
          <w:sz w:val="18"/>
          <w:szCs w:val="18"/>
          <w:b w:val="1"/>
          <w:bCs w:val="1"/>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r>
        <w:rPr>
          <w:rFonts w:ascii="Times New Roman" w:cs="Times New Roman" w:eastAsia="Times New Roman" w:hAnsi="Times New Roman"/>
          <w:sz w:val="18"/>
          <w:szCs w:val="18"/>
          <w:color w:val="auto"/>
        </w:rPr>
        <w:t>”) (such date,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p>
    <w:p>
      <w:pPr>
        <w:spacing w:after="0" w:line="320" w:lineRule="exact"/>
        <w:rPr>
          <w:sz w:val="20"/>
          <w:szCs w:val="20"/>
          <w:color w:val="auto"/>
        </w:rPr>
      </w:pPr>
    </w:p>
    <w:p>
      <w:pPr>
        <w:ind w:left="960" w:hanging="532"/>
        <w:spacing w:after="0"/>
        <w:tabs>
          <w:tab w:leader="none" w:pos="960" w:val="left"/>
        </w:tabs>
        <w:numPr>
          <w:ilvl w:val="0"/>
          <w:numId w:val="4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4"/>
          <w:szCs w:val="14"/>
          <w:b w:val="1"/>
          <w:bCs w:val="1"/>
          <w:u w:val="single" w:color="auto"/>
          <w:color w:val="auto"/>
        </w:rPr>
        <w:t>ASH</w:t>
      </w:r>
      <w:r>
        <w:rPr>
          <w:rFonts w:ascii="Times New Roman" w:cs="Times New Roman" w:eastAsia="Times New Roman" w:hAnsi="Times New Roman"/>
          <w:sz w:val="18"/>
          <w:szCs w:val="18"/>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OMPENSATION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Cash Retainer</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Each Outside Director will be paid an annual cash retainer of $40,000. There are no per-meeting attendance fees for attending Board meetings.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cash compensation will be paid quarterly in arrears on a prorated basis.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Committee Annual Cash Retainer</w:t>
      </w:r>
    </w:p>
    <w:p>
      <w:pPr>
        <w:spacing w:after="0" w:line="119" w:lineRule="exact"/>
        <w:rPr>
          <w:sz w:val="20"/>
          <w:szCs w:val="20"/>
          <w:color w:val="auto"/>
        </w:rPr>
      </w:pPr>
    </w:p>
    <w:p>
      <w:pPr>
        <w:ind w:right="100" w:firstLine="440"/>
        <w:spacing w:after="0" w:line="312" w:lineRule="auto"/>
        <w:rPr>
          <w:sz w:val="20"/>
          <w:szCs w:val="20"/>
          <w:color w:val="auto"/>
        </w:rPr>
      </w:pPr>
      <w:r>
        <w:rPr>
          <w:rFonts w:ascii="Times New Roman" w:cs="Times New Roman" w:eastAsia="Times New Roman" w:hAnsi="Times New Roman"/>
          <w:sz w:val="17"/>
          <w:szCs w:val="17"/>
          <w:color w:val="auto"/>
        </w:rPr>
        <w:t>Effective as of the Effective Date, each Outside Director who serves as the chair of the Board, the lead Outside Director, or the chair or a member of a committee of the Board listed below will be eligible to earn additional annual cash fees (paid quarterly in arrears on a prorated basis) as follows:</w:t>
      </w:r>
    </w:p>
    <w:p>
      <w:pPr>
        <w:spacing w:after="0" w:line="185" w:lineRule="exact"/>
        <w:rPr>
          <w:sz w:val="20"/>
          <w:szCs w:val="20"/>
          <w:color w:val="auto"/>
        </w:rPr>
      </w:pPr>
    </w:p>
    <w:tbl>
      <w:tblPr>
        <w:tblLayout w:type="fixed"/>
        <w:tblInd w:w="1760" w:type="dxa"/>
        <w:tblCellMar>
          <w:top w:w="0" w:type="dxa"/>
          <w:left w:w="0" w:type="dxa"/>
          <w:bottom w:w="0" w:type="dxa"/>
          <w:right w:w="0" w:type="dxa"/>
        </w:tblCellMar>
      </w:tblP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 of the Board</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35,000</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Chair of Audit Committee: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15,000</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 of Audit Committee:</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Chair of Compensation Committee: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10,000</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 of Compensation Committee:</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16"/>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Chair of Nominating and Governance Committee: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r>
      <w:tr>
        <w:trPr>
          <w:trHeight w:val="216"/>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 of Nominating and Governance Committee:</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r>
    </w:tbl>
    <w:p>
      <w:pPr>
        <w:sectPr>
          <w:pgSz w:w="11900" w:h="16838" w:orient="portrait"/>
          <w:cols w:equalWidth="0" w:num="1">
            <w:col w:w="11020"/>
          </w:cols>
          <w:pgMar w:left="440" w:top="117" w:right="439" w:bottom="1440" w:gutter="0" w:footer="0" w:header="0"/>
        </w:sectPr>
      </w:pPr>
    </w:p>
    <w:bookmarkStart w:id="554" w:name="page555"/>
    <w:bookmarkEnd w:id="554"/>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For clarity, each Outside Director who serves as the chair of a committee shall receive only the additional annual cash fee as the chair of the committee, and not the additional annual cash fee as a member of the committee.</w:t>
      </w:r>
    </w:p>
    <w:p>
      <w:pPr>
        <w:spacing w:after="0" w:line="306" w:lineRule="exact"/>
        <w:rPr>
          <w:sz w:val="20"/>
          <w:szCs w:val="20"/>
          <w:color w:val="auto"/>
        </w:rPr>
      </w:pPr>
    </w:p>
    <w:p>
      <w:pPr>
        <w:ind w:left="960" w:hanging="532"/>
        <w:spacing w:after="0"/>
        <w:tabs>
          <w:tab w:leader="none" w:pos="960" w:val="left"/>
        </w:tabs>
        <w:numPr>
          <w:ilvl w:val="0"/>
          <w:numId w:val="4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w:t>
      </w:r>
      <w:r>
        <w:rPr>
          <w:rFonts w:ascii="Times New Roman" w:cs="Times New Roman" w:eastAsia="Times New Roman" w:hAnsi="Times New Roman"/>
          <w:sz w:val="14"/>
          <w:szCs w:val="14"/>
          <w:b w:val="1"/>
          <w:bCs w:val="1"/>
          <w:u w:val="single" w:color="auto"/>
          <w:color w:val="auto"/>
        </w:rPr>
        <w:t>QUITY</w:t>
      </w:r>
      <w:r>
        <w:rPr>
          <w:rFonts w:ascii="Times New Roman" w:cs="Times New Roman" w:eastAsia="Times New Roman" w:hAnsi="Times New Roman"/>
          <w:sz w:val="18"/>
          <w:szCs w:val="18"/>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OMPENSATION</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Outside Directors will be eligible to receive all types of Awards (except Incentive Stock Options) under the Plan (or the applicable equity plan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place at the time of grant), including discretionary Awards not covered under this Policy. All grants of Awards to Outside Directors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 of this Policy will be automatic and nondiscretionary, except as otherwise provided herein, and will be made in accordance with the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w:t>
      </w:r>
    </w:p>
    <w:p>
      <w:pPr>
        <w:spacing w:after="0" w:line="207" w:lineRule="exact"/>
        <w:rPr>
          <w:sz w:val="20"/>
          <w:szCs w:val="20"/>
          <w:color w:val="auto"/>
        </w:rPr>
      </w:pPr>
    </w:p>
    <w:p>
      <w:pPr>
        <w:ind w:right="440" w:firstLine="436"/>
        <w:spacing w:after="0" w:line="282" w:lineRule="auto"/>
        <w:tabs>
          <w:tab w:leader="none" w:pos="82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Discretion</w:t>
      </w:r>
      <w:r>
        <w:rPr>
          <w:rFonts w:ascii="Times New Roman" w:cs="Times New Roman" w:eastAsia="Times New Roman" w:hAnsi="Times New Roman"/>
          <w:sz w:val="18"/>
          <w:szCs w:val="18"/>
          <w:color w:val="auto"/>
        </w:rPr>
        <w:t>. No person will have any discretion to select which Outside Directors will be granted any Awards under this Policy or to determine the number of Shares to be covered by such Awards.</w:t>
      </w:r>
    </w:p>
    <w:p>
      <w:pPr>
        <w:spacing w:after="0" w:line="161" w:lineRule="exact"/>
        <w:rPr>
          <w:rFonts w:ascii="Times New Roman" w:cs="Times New Roman" w:eastAsia="Times New Roman" w:hAnsi="Times New Roman"/>
          <w:sz w:val="18"/>
          <w:szCs w:val="18"/>
          <w:color w:val="auto"/>
        </w:rPr>
      </w:pPr>
    </w:p>
    <w:p>
      <w:pPr>
        <w:ind w:firstLine="436"/>
        <w:spacing w:after="0" w:line="258" w:lineRule="auto"/>
        <w:tabs>
          <w:tab w:leader="none" w:pos="83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Award</w:t>
      </w:r>
      <w:r>
        <w:rPr>
          <w:rFonts w:ascii="Times New Roman" w:cs="Times New Roman" w:eastAsia="Times New Roman" w:hAnsi="Times New Roman"/>
          <w:sz w:val="18"/>
          <w:szCs w:val="18"/>
          <w:color w:val="auto"/>
        </w:rPr>
        <w:t>. Each individual who first becomes an Outside Director following the Effective Date will be granted an award of stock options (an “</w:t>
      </w:r>
      <w:r>
        <w:rPr>
          <w:rFonts w:ascii="Times New Roman" w:cs="Times New Roman" w:eastAsia="Times New Roman" w:hAnsi="Times New Roman"/>
          <w:sz w:val="18"/>
          <w:szCs w:val="18"/>
          <w:b w:val="1"/>
          <w:bCs w:val="1"/>
          <w:color w:val="auto"/>
        </w:rPr>
        <w:t>Initial Award</w:t>
      </w:r>
      <w:r>
        <w:rPr>
          <w:rFonts w:ascii="Times New Roman" w:cs="Times New Roman" w:eastAsia="Times New Roman" w:hAnsi="Times New Roman"/>
          <w:sz w:val="18"/>
          <w:szCs w:val="18"/>
          <w:color w:val="auto"/>
        </w:rPr>
        <w:t>”) covering 172,000 Shares (subject to adjustment for changes in capitalization under the Plan). The Initial Award will be made on the first trading date on or after the date on which such individual first becomes an Outside Director, whether through election by the stockholders of the Company or appointment by the Board to fill a vacancy. If an individual was a member of the Board and also an employee, becoming an Outside Director due to termination of employment will not entitle the Outside Director to an Initial Award.</w:t>
      </w:r>
    </w:p>
    <w:p>
      <w:pPr>
        <w:spacing w:after="0" w:line="183" w:lineRule="exact"/>
        <w:rPr>
          <w:sz w:val="20"/>
          <w:szCs w:val="20"/>
          <w:color w:val="auto"/>
        </w:rPr>
      </w:pPr>
    </w:p>
    <w:p>
      <w:pPr>
        <w:jc w:val="both"/>
        <w:ind w:right="400" w:firstLine="440"/>
        <w:spacing w:after="0" w:line="266" w:lineRule="auto"/>
        <w:rPr>
          <w:sz w:val="20"/>
          <w:szCs w:val="20"/>
          <w:color w:val="auto"/>
        </w:rPr>
      </w:pPr>
      <w:r>
        <w:rPr>
          <w:rFonts w:ascii="Times New Roman" w:cs="Times New Roman" w:eastAsia="Times New Roman" w:hAnsi="Times New Roman"/>
          <w:sz w:val="18"/>
          <w:szCs w:val="18"/>
          <w:color w:val="auto"/>
        </w:rPr>
        <w:t>Subject to Section 3 of this Policy, each Initial Award will vest in equal amounts on the same day of the month as the date the individual first becomes an Outside Director over the 36 months following the month during which the individual first becomes an Outside Director, subject to the Outside Director continuing to be a Service Provider through the applicable vesting date.</w:t>
      </w:r>
    </w:p>
    <w:p>
      <w:pPr>
        <w:spacing w:after="0" w:line="172" w:lineRule="exact"/>
        <w:rPr>
          <w:sz w:val="20"/>
          <w:szCs w:val="20"/>
          <w:color w:val="auto"/>
        </w:rPr>
      </w:pPr>
    </w:p>
    <w:p>
      <w:pPr>
        <w:ind w:right="300" w:firstLine="436"/>
        <w:spacing w:after="0" w:line="268" w:lineRule="auto"/>
        <w:tabs>
          <w:tab w:leader="none" w:pos="820"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Award</w:t>
      </w:r>
      <w:r>
        <w:rPr>
          <w:rFonts w:ascii="Times New Roman" w:cs="Times New Roman" w:eastAsia="Times New Roman" w:hAnsi="Times New Roman"/>
          <w:sz w:val="18"/>
          <w:szCs w:val="18"/>
          <w:color w:val="auto"/>
        </w:rPr>
        <w:t>. On the date of each annual meeting of the Company’s stockholders following the Effective Date (each, an “</w:t>
      </w:r>
      <w:r>
        <w:rPr>
          <w:rFonts w:ascii="Times New Roman" w:cs="Times New Roman" w:eastAsia="Times New Roman" w:hAnsi="Times New Roman"/>
          <w:sz w:val="18"/>
          <w:szCs w:val="18"/>
          <w:b w:val="1"/>
          <w:bCs w:val="1"/>
          <w:color w:val="auto"/>
        </w:rPr>
        <w:t>Annual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Meeting</w:t>
      </w:r>
      <w:r>
        <w:rPr>
          <w:rFonts w:ascii="Times New Roman" w:cs="Times New Roman" w:eastAsia="Times New Roman" w:hAnsi="Times New Roman"/>
          <w:sz w:val="18"/>
          <w:szCs w:val="18"/>
          <w:color w:val="auto"/>
        </w:rPr>
        <w:t>”), each Outside Director will be automatically granted an award of stock options (an “</w:t>
      </w:r>
      <w:r>
        <w:rPr>
          <w:rFonts w:ascii="Times New Roman" w:cs="Times New Roman" w:eastAsia="Times New Roman" w:hAnsi="Times New Roman"/>
          <w:sz w:val="18"/>
          <w:szCs w:val="18"/>
          <w:b w:val="1"/>
          <w:bCs w:val="1"/>
          <w:color w:val="auto"/>
        </w:rPr>
        <w:t>Annual Award</w:t>
      </w:r>
      <w:r>
        <w:rPr>
          <w:rFonts w:ascii="Times New Roman" w:cs="Times New Roman" w:eastAsia="Times New Roman" w:hAnsi="Times New Roman"/>
          <w:sz w:val="18"/>
          <w:szCs w:val="18"/>
          <w:color w:val="auto"/>
        </w:rPr>
        <w:t>”) covering 86,000 Shares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adjustment for changes in capitalization under the Plan).</w:t>
      </w:r>
    </w:p>
    <w:p>
      <w:pPr>
        <w:spacing w:after="0" w:line="17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Subject to Section 3 of this Policy, each Annual Award will vest on the earlier of (i) the one-year anniversary of the date the Annual Award is granted or (ii) the day prior to the date of the Annual Meeting next following the date the Annual Award is granted, in each case, subject to the Outside Director continuing to be a Service Provider through the applicable vesting date.</w:t>
      </w:r>
    </w:p>
    <w:p>
      <w:pPr>
        <w:spacing w:after="0" w:line="320" w:lineRule="exact"/>
        <w:rPr>
          <w:sz w:val="20"/>
          <w:szCs w:val="20"/>
          <w:color w:val="auto"/>
        </w:rPr>
      </w:pPr>
    </w:p>
    <w:p>
      <w:pPr>
        <w:ind w:left="960" w:hanging="532"/>
        <w:spacing w:after="0"/>
        <w:tabs>
          <w:tab w:leader="none" w:pos="960" w:val="left"/>
        </w:tabs>
        <w:numPr>
          <w:ilvl w:val="0"/>
          <w:numId w:val="4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w:t>
      </w:r>
      <w:r>
        <w:rPr>
          <w:rFonts w:ascii="Times New Roman" w:cs="Times New Roman" w:eastAsia="Times New Roman" w:hAnsi="Times New Roman"/>
          <w:sz w:val="14"/>
          <w:szCs w:val="14"/>
          <w:b w:val="1"/>
          <w:bCs w:val="1"/>
          <w:u w:val="single" w:color="auto"/>
          <w:color w:val="auto"/>
        </w:rPr>
        <w:t>HANGE IN</w:t>
      </w:r>
      <w:r>
        <w:rPr>
          <w:rFonts w:ascii="Times New Roman" w:cs="Times New Roman" w:eastAsia="Times New Roman" w:hAnsi="Times New Roman"/>
          <w:sz w:val="18"/>
          <w:szCs w:val="18"/>
          <w:b w:val="1"/>
          <w:bCs w:val="1"/>
          <w:u w:val="single" w:color="auto"/>
          <w:color w:val="auto"/>
        </w:rPr>
        <w:t xml:space="preserve"> C</w:t>
      </w:r>
      <w:r>
        <w:rPr>
          <w:rFonts w:ascii="Times New Roman" w:cs="Times New Roman" w:eastAsia="Times New Roman" w:hAnsi="Times New Roman"/>
          <w:sz w:val="14"/>
          <w:szCs w:val="14"/>
          <w:b w:val="1"/>
          <w:bCs w:val="1"/>
          <w:u w:val="single" w:color="auto"/>
          <w:color w:val="auto"/>
        </w:rPr>
        <w:t>ONTROL</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the event of a Change in Control, each Outside Director outstanding Company equity awards will accelerate and vest.</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9" w:right="479" w:bottom="1440" w:gutter="0" w:footer="0" w:header="0"/>
        </w:sectPr>
      </w:pPr>
    </w:p>
    <w:bookmarkStart w:id="555" w:name="page556"/>
    <w:bookmarkEnd w:id="555"/>
    <w:p>
      <w:pPr>
        <w:ind w:left="960" w:hanging="532"/>
        <w:spacing w:after="0"/>
        <w:tabs>
          <w:tab w:leader="none" w:pos="960" w:val="left"/>
        </w:tabs>
        <w:numPr>
          <w:ilvl w:val="0"/>
          <w:numId w:val="4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w:t>
      </w:r>
      <w:r>
        <w:rPr>
          <w:rFonts w:ascii="Times New Roman" w:cs="Times New Roman" w:eastAsia="Times New Roman" w:hAnsi="Times New Roman"/>
          <w:sz w:val="14"/>
          <w:szCs w:val="14"/>
          <w:b w:val="1"/>
          <w:bCs w:val="1"/>
          <w:u w:val="single" w:color="auto"/>
          <w:color w:val="auto"/>
        </w:rPr>
        <w:t>RAVEL</w:t>
      </w:r>
      <w:r>
        <w:rPr>
          <w:rFonts w:ascii="Times New Roman" w:cs="Times New Roman" w:eastAsia="Times New Roman" w:hAnsi="Times New Roman"/>
          <w:sz w:val="18"/>
          <w:szCs w:val="18"/>
          <w:b w:val="1"/>
          <w:bCs w:val="1"/>
          <w:u w:val="single" w:color="auto"/>
          <w:color w:val="auto"/>
        </w:rPr>
        <w:t xml:space="preserve"> E</w:t>
      </w:r>
      <w:r>
        <w:rPr>
          <w:rFonts w:ascii="Times New Roman" w:cs="Times New Roman" w:eastAsia="Times New Roman" w:hAnsi="Times New Roman"/>
          <w:sz w:val="14"/>
          <w:szCs w:val="14"/>
          <w:b w:val="1"/>
          <w:bCs w:val="1"/>
          <w:u w:val="single" w:color="auto"/>
          <w:color w:val="auto"/>
        </w:rPr>
        <w:t>XPENSES</w:t>
      </w:r>
    </w:p>
    <w:p>
      <w:pPr>
        <w:spacing w:after="0" w:line="121"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Each Outside Director’s reasonable, customary and documented travel expenses to Board or Board committee meetings will be reimbursed by the Company.</w:t>
      </w:r>
    </w:p>
    <w:p>
      <w:pPr>
        <w:spacing w:after="0" w:line="306" w:lineRule="exact"/>
        <w:rPr>
          <w:sz w:val="20"/>
          <w:szCs w:val="20"/>
          <w:color w:val="auto"/>
        </w:rPr>
      </w:pPr>
    </w:p>
    <w:p>
      <w:pPr>
        <w:ind w:left="960" w:hanging="532"/>
        <w:spacing w:after="0"/>
        <w:tabs>
          <w:tab w:leader="none" w:pos="960" w:val="left"/>
        </w:tabs>
        <w:numPr>
          <w:ilvl w:val="0"/>
          <w:numId w:val="4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w:t>
      </w:r>
      <w:r>
        <w:rPr>
          <w:rFonts w:ascii="Times New Roman" w:cs="Times New Roman" w:eastAsia="Times New Roman" w:hAnsi="Times New Roman"/>
          <w:sz w:val="14"/>
          <w:szCs w:val="14"/>
          <w:b w:val="1"/>
          <w:bCs w:val="1"/>
          <w:u w:val="single" w:color="auto"/>
          <w:color w:val="auto"/>
        </w:rPr>
        <w:t>DDITIONAL</w:t>
      </w:r>
      <w:r>
        <w:rPr>
          <w:rFonts w:ascii="Times New Roman" w:cs="Times New Roman" w:eastAsia="Times New Roman" w:hAnsi="Times New Roman"/>
          <w:sz w:val="18"/>
          <w:szCs w:val="18"/>
          <w:b w:val="1"/>
          <w:bCs w:val="1"/>
          <w:u w:val="single" w:color="auto"/>
          <w:color w:val="auto"/>
        </w:rPr>
        <w:t xml:space="preserve"> P</w:t>
      </w:r>
      <w:r>
        <w:rPr>
          <w:rFonts w:ascii="Times New Roman" w:cs="Times New Roman" w:eastAsia="Times New Roman" w:hAnsi="Times New Roman"/>
          <w:sz w:val="14"/>
          <w:szCs w:val="14"/>
          <w:b w:val="1"/>
          <w:bCs w:val="1"/>
          <w:u w:val="single" w:color="auto"/>
          <w:color w:val="auto"/>
        </w:rPr>
        <w:t>ROVISIONS</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provisions of the Plan not inconsistent with this Policy will apply to Awards granted to Outside Directors.</w:t>
      </w:r>
    </w:p>
    <w:p>
      <w:pPr>
        <w:spacing w:after="0" w:line="370" w:lineRule="exact"/>
        <w:rPr>
          <w:sz w:val="20"/>
          <w:szCs w:val="20"/>
          <w:color w:val="auto"/>
        </w:rPr>
      </w:pPr>
    </w:p>
    <w:p>
      <w:pPr>
        <w:ind w:left="960" w:hanging="532"/>
        <w:spacing w:after="0"/>
        <w:tabs>
          <w:tab w:leader="none" w:pos="960" w:val="left"/>
        </w:tabs>
        <w:numPr>
          <w:ilvl w:val="0"/>
          <w:numId w:val="4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w:t>
      </w:r>
      <w:r>
        <w:rPr>
          <w:rFonts w:ascii="Times New Roman" w:cs="Times New Roman" w:eastAsia="Times New Roman" w:hAnsi="Times New Roman"/>
          <w:sz w:val="14"/>
          <w:szCs w:val="14"/>
          <w:b w:val="1"/>
          <w:bCs w:val="1"/>
          <w:u w:val="single" w:color="auto"/>
          <w:color w:val="auto"/>
        </w:rPr>
        <w:t>ECTION</w:t>
      </w:r>
      <w:r>
        <w:rPr>
          <w:rFonts w:ascii="Times New Roman" w:cs="Times New Roman" w:eastAsia="Times New Roman" w:hAnsi="Times New Roman"/>
          <w:sz w:val="18"/>
          <w:szCs w:val="18"/>
          <w:b w:val="1"/>
          <w:bCs w:val="1"/>
          <w:u w:val="single" w:color="auto"/>
          <w:color w:val="auto"/>
        </w:rPr>
        <w:t xml:space="preserve"> 409A</w:t>
      </w:r>
    </w:p>
    <w:p>
      <w:pPr>
        <w:spacing w:after="0" w:line="1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In no event will cash compensation or expense reimbursement payments under this Policy be paid after the later of (i) 15th day of the 3rd month following the end of the Company’s fiscal year in which the compensation is earned or expenses are incurred, as applicable, or (ii) 15th day of the 3rd month following the end of the calendar year in which the compensation is earned or expenses are incurred, as applicable, in compliance with the “short-term deferral” exception under Section 409A of the Internal Revenue Code of 1986, as amended, and the final regulations and guidance thereunder, as may be amended from time to time (together,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It is the intent of this Policy that this Policy and all payments hereunder be exempt from or otherwise comply with the requirements of Section 409A so that none of the compensation to be provided hereunder will be subject to the additional tax imposed under Section 409A, and any ambiguities or ambiguous terms herein will be interpreted to be so exempt or comply. In no event will the Company reimburse an Outside Director for any taxes imposed or other costs incurred as a result of Section 409A.</w:t>
      </w:r>
    </w:p>
    <w:p>
      <w:pPr>
        <w:spacing w:after="0" w:line="336" w:lineRule="exact"/>
        <w:rPr>
          <w:sz w:val="20"/>
          <w:szCs w:val="20"/>
          <w:color w:val="auto"/>
        </w:rPr>
      </w:pPr>
    </w:p>
    <w:p>
      <w:pPr>
        <w:ind w:left="960" w:hanging="532"/>
        <w:spacing w:after="0"/>
        <w:tabs>
          <w:tab w:leader="none" w:pos="960" w:val="left"/>
        </w:tabs>
        <w:numPr>
          <w:ilvl w:val="0"/>
          <w:numId w:val="4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w:t>
      </w:r>
      <w:r>
        <w:rPr>
          <w:rFonts w:ascii="Times New Roman" w:cs="Times New Roman" w:eastAsia="Times New Roman" w:hAnsi="Times New Roman"/>
          <w:sz w:val="14"/>
          <w:szCs w:val="14"/>
          <w:b w:val="1"/>
          <w:bCs w:val="1"/>
          <w:u w:val="single" w:color="auto"/>
          <w:color w:val="auto"/>
        </w:rPr>
        <w:t>EVISIONS</w:t>
      </w:r>
    </w:p>
    <w:p>
      <w:pPr>
        <w:spacing w:after="0" w:line="121" w:lineRule="exact"/>
        <w:rPr>
          <w:sz w:val="20"/>
          <w:szCs w:val="20"/>
          <w:color w:val="auto"/>
        </w:rPr>
      </w:pPr>
    </w:p>
    <w:p>
      <w:pPr>
        <w:ind w:right="220" w:firstLine="440"/>
        <w:spacing w:after="0" w:line="258" w:lineRule="auto"/>
        <w:rPr>
          <w:sz w:val="20"/>
          <w:szCs w:val="20"/>
          <w:color w:val="auto"/>
        </w:rPr>
      </w:pPr>
      <w:r>
        <w:rPr>
          <w:rFonts w:ascii="Times New Roman" w:cs="Times New Roman" w:eastAsia="Times New Roman" w:hAnsi="Times New Roman"/>
          <w:sz w:val="18"/>
          <w:szCs w:val="18"/>
          <w:color w:val="auto"/>
        </w:rPr>
        <w:t>The Board may amend, alter, suspend or terminate this Policy at any time and for any reason.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Compensation Committee’s ability to exercise the powers granted to it under the Plan with respect to Awards granted under the Plan pursuant to this Policy prior to the date of such termination.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5" w:right="459" w:bottom="1440" w:gutter="0" w:footer="0" w:header="0"/>
        </w:sectPr>
      </w:pPr>
    </w:p>
    <w:bookmarkStart w:id="556" w:name="page557"/>
    <w:bookmarkEnd w:id="556"/>
    <w:p>
      <w:pPr>
        <w:jc w:val="right"/>
        <w:spacing w:after="0"/>
        <w:rPr>
          <w:sz w:val="20"/>
          <w:szCs w:val="20"/>
          <w:color w:val="auto"/>
        </w:rPr>
      </w:pPr>
      <w:r>
        <w:rPr>
          <w:rFonts w:ascii="Times New Roman" w:cs="Times New Roman" w:eastAsia="Times New Roman" w:hAnsi="Times New Roman"/>
          <w:sz w:val="18"/>
          <w:szCs w:val="18"/>
          <w:b w:val="1"/>
          <w:bCs w:val="1"/>
          <w:color w:val="auto"/>
        </w:rPr>
        <w:t>Exhibit 10.16</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PMV </w:t>
      </w:r>
      <w:r>
        <w:rPr>
          <w:rFonts w:ascii="Times New Roman" w:cs="Times New Roman" w:eastAsia="Times New Roman" w:hAnsi="Times New Roman"/>
          <w:sz w:val="18"/>
          <w:szCs w:val="18"/>
          <w:b w:val="1"/>
          <w:bCs w:val="1"/>
          <w:color w:val="auto"/>
        </w:rPr>
        <w:t>PHARMA</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CONSULTING AGREEMENT</w:t>
      </w:r>
    </w:p>
    <w:p>
      <w:pPr>
        <w:spacing w:after="0" w:line="225" w:lineRule="exact"/>
        <w:rPr>
          <w:sz w:val="20"/>
          <w:szCs w:val="20"/>
          <w:color w:val="auto"/>
        </w:rPr>
      </w:pPr>
    </w:p>
    <w:p>
      <w:pPr>
        <w:ind w:left="4" w:right="24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THIS CONSULTING AGREEMENT </w:t>
      </w:r>
      <w:r>
        <w:rPr>
          <w:rFonts w:ascii="Times New Roman" w:cs="Times New Roman" w:eastAsia="Times New Roman" w:hAnsi="Times New Roman"/>
          <w:sz w:val="18"/>
          <w:szCs w:val="18"/>
          <w:color w:val="auto"/>
        </w:rPr>
        <w:t>(the “Agreement”) is made and entered into by and between</w:t>
      </w:r>
      <w:r>
        <w:rPr>
          <w:rFonts w:ascii="Times New Roman" w:cs="Times New Roman" w:eastAsia="Times New Roman" w:hAnsi="Times New Roman"/>
          <w:sz w:val="18"/>
          <w:szCs w:val="18"/>
          <w:b w:val="1"/>
          <w:bCs w:val="1"/>
          <w:color w:val="auto"/>
        </w:rPr>
        <w:t xml:space="preserve"> PMV PHARMA, </w:t>
      </w:r>
      <w:r>
        <w:rPr>
          <w:rFonts w:ascii="Times New Roman" w:cs="Times New Roman" w:eastAsia="Times New Roman" w:hAnsi="Times New Roman"/>
          <w:sz w:val="18"/>
          <w:szCs w:val="18"/>
          <w:color w:val="auto"/>
        </w:rPr>
        <w:t>a Delaware corporation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and Arnold Levine, Ph.D., an individual (“Consultant”), effective as of January 1, 2016 (“Effective Date”).</w:t>
      </w:r>
    </w:p>
    <w:p>
      <w:pPr>
        <w:spacing w:after="0" w:line="37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Consultant has unique skills and knowledge in the Company’s field of endeavor and thus is well suited to advise the Company; and</w:t>
      </w:r>
    </w:p>
    <w:p>
      <w:pPr>
        <w:spacing w:after="0" w:line="225" w:lineRule="exact"/>
        <w:rPr>
          <w:sz w:val="20"/>
          <w:szCs w:val="20"/>
          <w:color w:val="auto"/>
        </w:rPr>
      </w:pPr>
    </w:p>
    <w:p>
      <w:pPr>
        <w:ind w:left="4"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desires that Consultant advise and consult with the Company and Consultant agrees to provide such assistance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through a consulting relationship with the Company;</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mutual obligations specified in this Agreement, the parties agree to the following:</w:t>
      </w:r>
    </w:p>
    <w:p>
      <w:pPr>
        <w:spacing w:after="0" w:line="131" w:lineRule="exact"/>
        <w:rPr>
          <w:sz w:val="20"/>
          <w:szCs w:val="20"/>
          <w:color w:val="auto"/>
        </w:rPr>
      </w:pPr>
    </w:p>
    <w:p>
      <w:pPr>
        <w:ind w:left="424" w:right="540" w:hanging="424"/>
        <w:spacing w:after="0" w:line="286" w:lineRule="auto"/>
        <w:tabs>
          <w:tab w:leader="none" w:pos="424"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CONSULTING SERVICES ENGAGEMENT. </w:t>
      </w:r>
      <w:r>
        <w:rPr>
          <w:rFonts w:ascii="Times New Roman" w:cs="Times New Roman" w:eastAsia="Times New Roman" w:hAnsi="Times New Roman"/>
          <w:sz w:val="18"/>
          <w:szCs w:val="18"/>
          <w:color w:val="auto"/>
        </w:rPr>
        <w:t>The Company hereby retains Consultant, and Consultant hereby accepts such retention,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 consulting services for the Company as set forth herein.</w:t>
      </w:r>
    </w:p>
    <w:p>
      <w:pPr>
        <w:spacing w:after="0" w:line="60" w:lineRule="exact"/>
        <w:rPr>
          <w:rFonts w:ascii="Times New Roman" w:cs="Times New Roman" w:eastAsia="Times New Roman" w:hAnsi="Times New Roman"/>
          <w:sz w:val="18"/>
          <w:szCs w:val="18"/>
          <w:color w:val="auto"/>
        </w:rPr>
      </w:pP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 xml:space="preserve"> Consultant shall provide services described in Exhibit 1 (“Services”) for the Company.</w:t>
      </w:r>
    </w:p>
    <w:p>
      <w:pPr>
        <w:spacing w:after="0" w:line="130" w:lineRule="exact"/>
        <w:rPr>
          <w:rFonts w:ascii="Times New Roman" w:cs="Times New Roman" w:eastAsia="Times New Roman" w:hAnsi="Times New Roman"/>
          <w:sz w:val="18"/>
          <w:szCs w:val="18"/>
          <w:color w:val="auto"/>
        </w:rPr>
      </w:pP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18"/>
          <w:szCs w:val="18"/>
          <w:color w:val="auto"/>
        </w:rPr>
        <w:t xml:space="preserve"> Company agrees to pay Consultant the compensation set forth in Exhibit 1.</w:t>
      </w:r>
    </w:p>
    <w:p>
      <w:pPr>
        <w:spacing w:after="0" w:line="130" w:lineRule="exact"/>
        <w:rPr>
          <w:rFonts w:ascii="Times New Roman" w:cs="Times New Roman" w:eastAsia="Times New Roman" w:hAnsi="Times New Roman"/>
          <w:sz w:val="18"/>
          <w:szCs w:val="18"/>
          <w:color w:val="auto"/>
        </w:rPr>
      </w:pPr>
    </w:p>
    <w:p>
      <w:pPr>
        <w:ind w:left="964" w:right="160" w:hanging="5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color w:val="auto"/>
        </w:rPr>
        <w:t>TERM AND TIME COMMITMENT.</w:t>
      </w:r>
      <w:r>
        <w:rPr>
          <w:rFonts w:ascii="Times New Roman" w:cs="Times New Roman" w:eastAsia="Times New Roman" w:hAnsi="Times New Roman"/>
          <w:sz w:val="18"/>
          <w:szCs w:val="18"/>
          <w:color w:val="auto"/>
        </w:rPr>
        <w:t xml:space="preserve"> This Agreement will commence on the Effective Date and will continue from the Effective Date unless terminated earlier by either party according to section 1.6 below.</w:t>
      </w:r>
    </w:p>
    <w:p>
      <w:pPr>
        <w:spacing w:after="0" w:line="303" w:lineRule="exact"/>
        <w:rPr>
          <w:sz w:val="20"/>
          <w:szCs w:val="20"/>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b w:val="1"/>
          <w:bCs w:val="1"/>
          <w:color w:val="auto"/>
        </w:rPr>
        <w:t>PAYMENT TERMS AND EXPENSE REIMBURSEMENT:</w:t>
      </w:r>
    </w:p>
    <w:p>
      <w:pPr>
        <w:spacing w:after="0" w:line="13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xml:space="preserve"> Company shall pay Consultant on a monthly basis.</w:t>
      </w:r>
    </w:p>
    <w:p>
      <w:pPr>
        <w:spacing w:after="0" w:line="131" w:lineRule="exact"/>
        <w:rPr>
          <w:sz w:val="20"/>
          <w:szCs w:val="20"/>
          <w:color w:val="auto"/>
        </w:rPr>
      </w:pPr>
    </w:p>
    <w:p>
      <w:pPr>
        <w:ind w:left="1424" w:right="80" w:hanging="431"/>
        <w:spacing w:after="0" w:line="257"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xml:space="preserve"> The Company shall reimburse Consultant for expenses actually incurred by Consultant in performing the Services, including but not limited to travel and accommodation expenses, so long as such expenses are reasonable and necessary as determined by the Company and, where such policies exist, comply with the Company’s expense policies. Consultant shall maintain adequate books and records relating to any expenses to be reimbursed. Consultant shall submit in a timely manner original receipts along with invoices and summarize expenses in a form acceptable to the Company. Any such expense in excess of $1,500 must be pre-approved by Company before expense is incurred.</w:t>
      </w:r>
    </w:p>
    <w:p>
      <w:pPr>
        <w:sectPr>
          <w:pgSz w:w="11900" w:h="16838" w:orient="portrait"/>
          <w:cols w:equalWidth="0" w:num="1">
            <w:col w:w="11024"/>
          </w:cols>
          <w:pgMar w:left="436" w:top="117" w:right="439" w:bottom="1440" w:gutter="0" w:footer="0" w:header="0"/>
        </w:sectPr>
      </w:pPr>
    </w:p>
    <w:bookmarkStart w:id="557" w:name="page558"/>
    <w:bookmarkEnd w:id="557"/>
    <w:p>
      <w:pPr>
        <w:jc w:val="both"/>
        <w:ind w:left="964" w:right="20" w:hanging="539"/>
        <w:spacing w:after="0" w:line="257" w:lineRule="auto"/>
        <w:tabs>
          <w:tab w:leader="none" w:pos="94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1.5</w:t>
      </w:r>
      <w:r>
        <w:rPr>
          <w:sz w:val="20"/>
          <w:szCs w:val="20"/>
          <w:color w:val="auto"/>
        </w:rPr>
        <w:tab/>
      </w:r>
      <w:r>
        <w:rPr>
          <w:rFonts w:ascii="Times New Roman" w:cs="Times New Roman" w:eastAsia="Times New Roman" w:hAnsi="Times New Roman"/>
          <w:sz w:val="18"/>
          <w:szCs w:val="18"/>
          <w:b w:val="1"/>
          <w:bCs w:val="1"/>
          <w:color w:val="auto"/>
        </w:rPr>
        <w:t xml:space="preserve">INDEPENDENT CONTRACTOR STATUS. </w:t>
      </w:r>
      <w:r>
        <w:rPr>
          <w:rFonts w:ascii="Times New Roman" w:cs="Times New Roman" w:eastAsia="Times New Roman" w:hAnsi="Times New Roman"/>
          <w:sz w:val="18"/>
          <w:szCs w:val="18"/>
          <w:color w:val="auto"/>
        </w:rPr>
        <w:t>It is understood and agreed that Consultant is an independent contractor, is not an agent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of the Company, and is not authorized to act on behalf of the Company. Consultant agrees not to hold himself out as, or give any person any reason to believe that he is an employee, agent, joint venturer or partner of the Company. Consultant will not be eligible for any employee benefits, nor will the Company make deductions from any amounts payable to Consultant for taxes or insurance. All payroll and employment taxes, insurance, and benefits shall be the sole responsibility of Consultant. Consultant retains the right to provide services for others during the term of this Agreement and is not required to devote his or her services exclusively for the Company.</w:t>
      </w:r>
    </w:p>
    <w:p>
      <w:pPr>
        <w:spacing w:after="0" w:line="88" w:lineRule="exact"/>
        <w:rPr>
          <w:sz w:val="20"/>
          <w:szCs w:val="20"/>
          <w:color w:val="auto"/>
        </w:rPr>
      </w:pPr>
    </w:p>
    <w:p>
      <w:pPr>
        <w:ind w:left="964" w:hanging="539"/>
        <w:spacing w:after="0" w:line="255" w:lineRule="auto"/>
        <w:tabs>
          <w:tab w:leader="none" w:pos="944"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b w:val="1"/>
          <w:bCs w:val="1"/>
          <w:color w:val="auto"/>
        </w:rPr>
        <w:t xml:space="preserve">TERMINATION. </w:t>
      </w:r>
      <w:r>
        <w:rPr>
          <w:rFonts w:ascii="Times New Roman" w:cs="Times New Roman" w:eastAsia="Times New Roman" w:hAnsi="Times New Roman"/>
          <w:sz w:val="18"/>
          <w:szCs w:val="18"/>
          <w:color w:val="auto"/>
        </w:rPr>
        <w:t>The Company or Consultant may terminate this Agreement at any time by giving ten (10) business days’ written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terminate this Agreement immediately upon written notice and without prior notice if Consultant refuses to or is unable to perform the Services or is in breach of any material provision of this Agreement. In the event of such termination, Consultant shall cease work immediately after receiving such notice of termination, unless otherwise agreed to in writing with the Company. At the time of termination of this Agreement for any reason, Consultant shall return to the Company all Information, Service Product, and other materials belonging to the Company, and shall notify the Company of any compensation earned and expenses incurred up to the termination date, which compensation and expenses shall be paid by the Company within 30 days of the Company’s receipt of Consultant’s invoice for same.</w:t>
      </w:r>
    </w:p>
    <w:p>
      <w:pPr>
        <w:spacing w:after="0" w:line="90" w:lineRule="exact"/>
        <w:rPr>
          <w:sz w:val="20"/>
          <w:szCs w:val="20"/>
          <w:color w:val="auto"/>
        </w:rPr>
      </w:pPr>
    </w:p>
    <w:p>
      <w:pPr>
        <w:ind w:left="424" w:right="520" w:hanging="424"/>
        <w:spacing w:after="0" w:line="286" w:lineRule="auto"/>
        <w:tabs>
          <w:tab w:leader="none" w:pos="424"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CONFIDENTIALITY AND ASSIGNMENT OF INVENTIONS. </w:t>
      </w:r>
      <w:r>
        <w:rPr>
          <w:rFonts w:ascii="Times New Roman" w:cs="Times New Roman" w:eastAsia="Times New Roman" w:hAnsi="Times New Roman"/>
          <w:sz w:val="18"/>
          <w:szCs w:val="18"/>
          <w:color w:val="auto"/>
        </w:rPr>
        <w:t>As a condition of this Agreement, Consultant agrees to all the terms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 Exhibit 2 (Confidentiality) and Section 2, Exhibit 2 (Assignment of Inventions).</w:t>
      </w:r>
    </w:p>
    <w:p>
      <w:pPr>
        <w:spacing w:after="0" w:line="60" w:lineRule="exact"/>
        <w:rPr>
          <w:rFonts w:ascii="Times New Roman" w:cs="Times New Roman" w:eastAsia="Times New Roman" w:hAnsi="Times New Roman"/>
          <w:sz w:val="18"/>
          <w:szCs w:val="18"/>
          <w:color w:val="auto"/>
        </w:rPr>
      </w:pPr>
    </w:p>
    <w:p>
      <w:pPr>
        <w:ind w:left="424" w:right="640" w:hanging="424"/>
        <w:spacing w:after="0" w:line="286" w:lineRule="auto"/>
        <w:tabs>
          <w:tab w:leader="none" w:pos="424"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SURVIVING SECTIONS. </w:t>
      </w:r>
      <w:r>
        <w:rPr>
          <w:rFonts w:ascii="Times New Roman" w:cs="Times New Roman" w:eastAsia="Times New Roman" w:hAnsi="Times New Roman"/>
          <w:sz w:val="18"/>
          <w:szCs w:val="18"/>
          <w:color w:val="auto"/>
        </w:rPr>
        <w:t>Sections 1 (Confidentiality) and 2 (Ownership of Inventions) of Exhibit 2 of the Agreement shall survive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this Agreement for the period of five (5) years from the execution of this agreement.</w:t>
      </w:r>
    </w:p>
    <w:p>
      <w:pPr>
        <w:spacing w:after="0" w:line="60" w:lineRule="exact"/>
        <w:rPr>
          <w:rFonts w:ascii="Times New Roman" w:cs="Times New Roman" w:eastAsia="Times New Roman" w:hAnsi="Times New Roman"/>
          <w:sz w:val="18"/>
          <w:szCs w:val="18"/>
          <w:color w:val="auto"/>
        </w:rPr>
      </w:pPr>
    </w:p>
    <w:p>
      <w:pPr>
        <w:ind w:left="424" w:right="40" w:hanging="424"/>
        <w:spacing w:after="0" w:line="262" w:lineRule="auto"/>
        <w:tabs>
          <w:tab w:leader="none" w:pos="424"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ASSIGNMENT; BENEFIT. </w:t>
      </w:r>
      <w:r>
        <w:rPr>
          <w:rFonts w:ascii="Times New Roman" w:cs="Times New Roman" w:eastAsia="Times New Roman" w:hAnsi="Times New Roman"/>
          <w:sz w:val="18"/>
          <w:szCs w:val="18"/>
          <w:color w:val="auto"/>
        </w:rPr>
        <w:t>This Agreement is for the personal services of Consultant and may not be assigned by him or her, nor shall it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assignable by operation of law, without the prior written consent of the Company. This Agreement may not be assigned by the Company, nor shall it be assignable by operation of law, without the prior written consent of Consultant. The parties’ rights and obligations under this Agreement will bind and inure to the benefit of their respective successors, heirs, executors, and administrators and permitted assigns.</w:t>
      </w:r>
    </w:p>
    <w:p>
      <w:pPr>
        <w:spacing w:after="0" w:line="81" w:lineRule="exact"/>
        <w:rPr>
          <w:rFonts w:ascii="Times New Roman" w:cs="Times New Roman" w:eastAsia="Times New Roman" w:hAnsi="Times New Roman"/>
          <w:sz w:val="18"/>
          <w:szCs w:val="18"/>
          <w:color w:val="auto"/>
        </w:rPr>
      </w:pPr>
    </w:p>
    <w:p>
      <w:pPr>
        <w:ind w:left="424" w:right="220" w:hanging="424"/>
        <w:spacing w:after="0" w:line="268" w:lineRule="auto"/>
        <w:tabs>
          <w:tab w:leader="none" w:pos="424"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GOVERNING LAW; SEVERABILITY. </w:t>
      </w:r>
      <w:r>
        <w:rPr>
          <w:rFonts w:ascii="Times New Roman" w:cs="Times New Roman" w:eastAsia="Times New Roman" w:hAnsi="Times New Roman"/>
          <w:sz w:val="18"/>
          <w:szCs w:val="18"/>
          <w:color w:val="auto"/>
        </w:rPr>
        <w:t>This Agreement shall be governed by and construed according to the laws of the State of California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regard to its conflict of laws rules. If any provision of this Agreement is found by a court of competent jurisdiction to be unenforceable, that provision shall be severed and the remainder of this Agreement shall continue in full force and effect.</w:t>
      </w:r>
    </w:p>
    <w:p>
      <w:pPr>
        <w:sectPr>
          <w:pgSz w:w="11900" w:h="16838" w:orient="portrait"/>
          <w:cols w:equalWidth="0" w:num="1">
            <w:col w:w="11004"/>
          </w:cols>
          <w:pgMar w:left="436" w:top="265" w:right="459" w:bottom="1440" w:gutter="0" w:footer="0" w:header="0"/>
        </w:sectPr>
      </w:pPr>
    </w:p>
    <w:bookmarkStart w:id="558" w:name="page559"/>
    <w:bookmarkEnd w:id="558"/>
    <w:p>
      <w:pPr>
        <w:jc w:val="both"/>
        <w:ind w:left="424" w:right="380" w:hanging="424"/>
        <w:spacing w:after="0" w:line="262" w:lineRule="auto"/>
        <w:tabs>
          <w:tab w:leader="none" w:pos="424"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COMPLETE UNDERSTANDING; MODIFICATION. </w:t>
      </w:r>
      <w:r>
        <w:rPr>
          <w:rFonts w:ascii="Times New Roman" w:cs="Times New Roman" w:eastAsia="Times New Roman" w:hAnsi="Times New Roman"/>
          <w:sz w:val="18"/>
          <w:szCs w:val="18"/>
          <w:color w:val="auto"/>
        </w:rPr>
        <w:t>This Agreement, together with any Exhibits attached hereto, constitutes the final,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exclusive and complete understanding and agreement of the Company and Consultant with respect to the subject matter hereof. Any waiver, modification or amendment of any provision of this Agreement shall be effective only if in writing and signed by Consultant and a Company officer.</w:t>
      </w:r>
    </w:p>
    <w:p>
      <w:pPr>
        <w:spacing w:after="0" w:line="81" w:lineRule="exact"/>
        <w:rPr>
          <w:rFonts w:ascii="Times New Roman" w:cs="Times New Roman" w:eastAsia="Times New Roman" w:hAnsi="Times New Roman"/>
          <w:sz w:val="18"/>
          <w:szCs w:val="18"/>
          <w:color w:val="auto"/>
        </w:rPr>
      </w:pPr>
    </w:p>
    <w:p>
      <w:pPr>
        <w:ind w:left="424" w:hanging="424"/>
        <w:spacing w:after="0" w:line="256" w:lineRule="auto"/>
        <w:tabs>
          <w:tab w:leader="none" w:pos="424"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LIABILITY. </w:t>
      </w:r>
      <w:r>
        <w:rPr>
          <w:rFonts w:ascii="Times New Roman" w:cs="Times New Roman" w:eastAsia="Times New Roman" w:hAnsi="Times New Roman"/>
          <w:sz w:val="18"/>
          <w:szCs w:val="18"/>
          <w:color w:val="auto"/>
        </w:rPr>
        <w:t>Consultant represents that he is experienced and qualified to perform the Services hereunder and shall use his best efforts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Services with the highest level of skill and professionalism. Except for the foregoing, Consultant makes no warranties with regard to the Services and none shall be implied. In no event shall Consultant be liable for special or consequential damages, either in contract or tort, whether or not the possibility of such damages has been disclosed to Consultant in advance or could have been reasonably foreseen by Consultant. In the event this limitation of damages is held unenforceable, the parties agree that because of the difficulty in foreseeing possible damages, Consultant’s liability to the Company shall not exceed the amount of any payments made by the Company to Consultant under this Agreement, any such liability for payment to be construed as liquidated damages and not as a penalty.</w:t>
      </w:r>
    </w:p>
    <w:p>
      <w:pPr>
        <w:spacing w:after="0" w:line="88" w:lineRule="exact"/>
        <w:rPr>
          <w:rFonts w:ascii="Times New Roman" w:cs="Times New Roman" w:eastAsia="Times New Roman" w:hAnsi="Times New Roman"/>
          <w:sz w:val="18"/>
          <w:szCs w:val="18"/>
          <w:color w:val="auto"/>
        </w:rPr>
      </w:pPr>
    </w:p>
    <w:p>
      <w:pPr>
        <w:ind w:left="424" w:right="300" w:hanging="424"/>
        <w:spacing w:after="0" w:line="268" w:lineRule="auto"/>
        <w:tabs>
          <w:tab w:leader="none" w:pos="424"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Any notices required or permitted hereunder shall be given to the appropriate party at the address specified below or at such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 as the party shall specify in writing. Such notice shall be deemed given upon personal delivery to the appropriate address or sent by certified or registered mail, three days after the date of mailing.</w:t>
      </w:r>
    </w:p>
    <w:p>
      <w:pPr>
        <w:spacing w:after="0" w:line="202" w:lineRule="exact"/>
        <w:rPr>
          <w:sz w:val="20"/>
          <w:szCs w:val="20"/>
          <w:color w:val="auto"/>
        </w:rPr>
      </w:pPr>
    </w:p>
    <w:p>
      <w:pPr>
        <w:ind w:left="4"/>
        <w:spacing w:after="0"/>
        <w:tabs>
          <w:tab w:leader="none" w:pos="6724" w:val="left"/>
        </w:tabs>
        <w:rPr>
          <w:sz w:val="20"/>
          <w:szCs w:val="20"/>
          <w:color w:val="auto"/>
        </w:rPr>
      </w:pPr>
      <w:r>
        <w:rPr>
          <w:rFonts w:ascii="Times New Roman" w:cs="Times New Roman" w:eastAsia="Times New Roman" w:hAnsi="Times New Roman"/>
          <w:sz w:val="18"/>
          <w:szCs w:val="18"/>
          <w:color w:val="auto"/>
        </w:rPr>
        <w:t>If to the Company:</w:t>
      </w:r>
      <w:r>
        <w:rPr>
          <w:sz w:val="20"/>
          <w:szCs w:val="20"/>
          <w:color w:val="auto"/>
        </w:rPr>
        <w:tab/>
      </w:r>
      <w:r>
        <w:rPr>
          <w:rFonts w:ascii="Times New Roman" w:cs="Times New Roman" w:eastAsia="Times New Roman" w:hAnsi="Times New Roman"/>
          <w:sz w:val="17"/>
          <w:szCs w:val="17"/>
          <w:color w:val="auto"/>
        </w:rPr>
        <w:t>If to the Consultant: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David H. Mack, Ph.D.</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PMV Pharma</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8 Clark Drive</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Cranbury, NJ 08512</w:t>
      </w:r>
    </w:p>
    <w:p>
      <w:pPr>
        <w:spacing w:after="0" w:line="20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ectPr>
          <w:pgSz w:w="11900" w:h="16838" w:orient="portrait"/>
          <w:cols w:equalWidth="0" w:num="1">
            <w:col w:w="10964"/>
          </w:cols>
          <w:pgMar w:left="436" w:top="265" w:right="499" w:bottom="1440" w:gutter="0" w:footer="0" w:header="0"/>
        </w:sectPr>
      </w:pPr>
    </w:p>
    <w:bookmarkStart w:id="559" w:name="page560"/>
    <w:bookmarkEnd w:id="559"/>
    <w:p>
      <w:pPr>
        <w:ind w:left="4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 WITNESS WHEREOF, </w:t>
      </w:r>
      <w:r>
        <w:rPr>
          <w:rFonts w:ascii="Times New Roman" w:cs="Times New Roman" w:eastAsia="Times New Roman" w:hAnsi="Times New Roman"/>
          <w:sz w:val="18"/>
          <w:szCs w:val="18"/>
          <w:color w:val="auto"/>
        </w:rPr>
        <w:t>the parties hereto have executed this Agreement as of the Effective Date.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PMV PHARMA</w:t>
            </w:r>
          </w:p>
        </w:tc>
        <w:tc>
          <w:tcPr>
            <w:tcW w:w="6260" w:type="dxa"/>
            <w:vAlign w:val="bottom"/>
            <w:gridSpan w:val="3"/>
          </w:tcPr>
          <w:p>
            <w:pPr>
              <w:ind w:left="560"/>
              <w:spacing w:after="0"/>
              <w:rPr>
                <w:sz w:val="20"/>
                <w:szCs w:val="20"/>
                <w:color w:val="auto"/>
              </w:rPr>
            </w:pPr>
            <w:r>
              <w:rPr>
                <w:rFonts w:ascii="Times New Roman" w:cs="Times New Roman" w:eastAsia="Times New Roman" w:hAnsi="Times New Roman"/>
                <w:sz w:val="18"/>
                <w:szCs w:val="18"/>
                <w:b w:val="1"/>
                <w:bCs w:val="1"/>
                <w:color w:val="auto"/>
              </w:rPr>
              <w:t>NAME OF CONSULTANT</w:t>
            </w:r>
          </w:p>
        </w:tc>
      </w:tr>
      <w:tr>
        <w:trPr>
          <w:trHeight w:val="432"/>
        </w:trPr>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David H. Mack</w:t>
            </w:r>
          </w:p>
        </w:tc>
        <w:tc>
          <w:tcPr>
            <w:tcW w:w="62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 Arnold Levine</w:t>
            </w:r>
          </w:p>
        </w:tc>
      </w:tr>
      <w:tr>
        <w:trPr>
          <w:trHeight w:val="228"/>
        </w:trPr>
        <w:tc>
          <w:tcPr>
            <w:tcW w:w="400" w:type="dxa"/>
            <w:vAlign w:val="bottom"/>
          </w:tcPr>
          <w:p>
            <w:pPr>
              <w:spacing w:after="0"/>
              <w:rPr>
                <w:sz w:val="19"/>
                <w:szCs w:val="19"/>
                <w:color w:val="auto"/>
              </w:rPr>
            </w:pPr>
          </w:p>
        </w:tc>
        <w:tc>
          <w:tcPr>
            <w:tcW w:w="43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David H. Mack, Ph.D.</w:t>
            </w:r>
          </w:p>
        </w:tc>
        <w:tc>
          <w:tcPr>
            <w:tcW w:w="560" w:type="dxa"/>
            <w:vAlign w:val="bottom"/>
          </w:tcPr>
          <w:p>
            <w:pPr>
              <w:spacing w:after="0"/>
              <w:rPr>
                <w:sz w:val="19"/>
                <w:szCs w:val="19"/>
                <w:color w:val="auto"/>
              </w:rPr>
            </w:pPr>
          </w:p>
        </w:tc>
        <w:tc>
          <w:tcPr>
            <w:tcW w:w="57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Arnold Levine, Ph.D.</w:t>
            </w:r>
          </w:p>
        </w:tc>
      </w:tr>
      <w:tr>
        <w:trPr>
          <w:trHeight w:val="427"/>
        </w:trPr>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President &amp; CEO</w:t>
            </w:r>
          </w:p>
        </w:tc>
        <w:tc>
          <w:tcPr>
            <w:tcW w:w="62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Consultant</w:t>
            </w:r>
          </w:p>
        </w:tc>
      </w:tr>
      <w:tr>
        <w:trPr>
          <w:trHeight w:val="228"/>
        </w:trPr>
        <w:tc>
          <w:tcPr>
            <w:tcW w:w="47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(Title)</w:t>
            </w:r>
          </w:p>
        </w:tc>
        <w:tc>
          <w:tcPr>
            <w:tcW w:w="560" w:type="dxa"/>
            <w:vAlign w:val="bottom"/>
          </w:tcPr>
          <w:p>
            <w:pPr>
              <w:spacing w:after="0"/>
              <w:rPr>
                <w:sz w:val="19"/>
                <w:szCs w:val="19"/>
                <w:color w:val="auto"/>
              </w:rPr>
            </w:pPr>
          </w:p>
        </w:tc>
        <w:tc>
          <w:tcPr>
            <w:tcW w:w="57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427"/>
        </w:trPr>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1/21/16</w:t>
            </w:r>
          </w:p>
        </w:tc>
        <w:tc>
          <w:tcPr>
            <w:tcW w:w="626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Date:  1/21/16</w:t>
            </w:r>
          </w:p>
        </w:tc>
      </w:tr>
      <w:tr>
        <w:trPr>
          <w:trHeight w:val="20"/>
        </w:trPr>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0" w:type="dxa"/>
            <w:vAlign w:val="bottom"/>
            <w:tcBorders>
              <w:right w:val="single" w:sz="8" w:color="auto"/>
            </w:tcBorders>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80" w:type="dxa"/>
            <w:vAlign w:val="bottom"/>
            <w:shd w:val="clear" w:color="auto" w:fill="000000"/>
          </w:tcPr>
          <w:p>
            <w:pPr>
              <w:spacing w:after="0" w:line="20" w:lineRule="exact"/>
              <w:rPr>
                <w:sz w:val="1"/>
                <w:szCs w:val="1"/>
                <w:color w:val="auto"/>
              </w:rPr>
            </w:pPr>
          </w:p>
        </w:tc>
      </w:tr>
    </w:tbl>
    <w:p>
      <w:pPr>
        <w:sectPr>
          <w:pgSz w:w="11900" w:h="16838" w:orient="portrait"/>
          <w:cols w:equalWidth="0" w:num="1">
            <w:col w:w="11020"/>
          </w:cols>
          <w:pgMar w:left="440" w:top="265" w:right="439" w:bottom="1440" w:gutter="0" w:footer="0" w:header="0"/>
        </w:sectPr>
      </w:pPr>
    </w:p>
    <w:bookmarkStart w:id="560" w:name="page561"/>
    <w:bookmarkEnd w:id="560"/>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PMV Pharma, Inc. Consulting Agreement</w:t>
      </w:r>
    </w:p>
    <w:p>
      <w:pPr>
        <w:spacing w:after="0" w:line="225" w:lineRule="exact"/>
        <w:rPr>
          <w:sz w:val="20"/>
          <w:szCs w:val="20"/>
          <w:color w:val="auto"/>
        </w:rPr>
      </w:pPr>
    </w:p>
    <w:p>
      <w:pPr>
        <w:jc w:val="center"/>
        <w:ind w:right="-143"/>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52" w:lineRule="exact"/>
        <w:rPr>
          <w:sz w:val="20"/>
          <w:szCs w:val="20"/>
          <w:color w:val="auto"/>
        </w:rPr>
      </w:pPr>
    </w:p>
    <w:p>
      <w:pPr>
        <w:ind w:left="424" w:hanging="424"/>
        <w:spacing w:after="0"/>
        <w:tabs>
          <w:tab w:leader="none" w:pos="424" w:val="left"/>
        </w:tabs>
        <w:numPr>
          <w:ilvl w:val="0"/>
          <w:numId w:val="4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SERVICES: </w:t>
      </w:r>
      <w:r>
        <w:rPr>
          <w:rFonts w:ascii="Times New Roman" w:cs="Times New Roman" w:eastAsia="Times New Roman" w:hAnsi="Times New Roman"/>
          <w:sz w:val="18"/>
          <w:szCs w:val="18"/>
          <w:color w:val="auto"/>
        </w:rPr>
        <w:t>Advise and consult with the Company as to such matters as may be mutually agreed by the Company and Consultant.</w:t>
      </w:r>
    </w:p>
    <w:p>
      <w:pPr>
        <w:spacing w:after="0" w:line="130"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4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COMPENSATION: </w:t>
      </w:r>
      <w:r>
        <w:rPr>
          <w:rFonts w:ascii="Times New Roman" w:cs="Times New Roman" w:eastAsia="Times New Roman" w:hAnsi="Times New Roman"/>
          <w:sz w:val="18"/>
          <w:szCs w:val="18"/>
          <w:color w:val="auto"/>
        </w:rPr>
        <w:t>Consultant will be paid $100,000 annually for Services, which will be paid on a monthly basis.</w:t>
      </w:r>
    </w:p>
    <w:p>
      <w:pPr>
        <w:spacing w:after="0" w:line="130" w:lineRule="exact"/>
        <w:rPr>
          <w:rFonts w:ascii="Times New Roman" w:cs="Times New Roman" w:eastAsia="Times New Roman" w:hAnsi="Times New Roman"/>
          <w:sz w:val="18"/>
          <w:szCs w:val="18"/>
          <w:b w:val="1"/>
          <w:bCs w:val="1"/>
          <w:color w:val="auto"/>
        </w:rPr>
      </w:pPr>
    </w:p>
    <w:p>
      <w:pPr>
        <w:ind w:left="424" w:hanging="424"/>
        <w:spacing w:after="0" w:line="291" w:lineRule="auto"/>
        <w:tabs>
          <w:tab w:leader="none" w:pos="424" w:val="left"/>
        </w:tabs>
        <w:numPr>
          <w:ilvl w:val="0"/>
          <w:numId w:val="45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EXPENSES: </w:t>
      </w:r>
      <w:r>
        <w:rPr>
          <w:rFonts w:ascii="Times New Roman" w:cs="Times New Roman" w:eastAsia="Times New Roman" w:hAnsi="Times New Roman"/>
          <w:sz w:val="17"/>
          <w:szCs w:val="17"/>
          <w:color w:val="auto"/>
        </w:rPr>
        <w:t>Consultant shall be reimbursed for reasonable expenses incurred in performance of Consultant’s obligations; provided these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expenses shall be invoiced on a monthly basis and are approved by the Company. Domestic air travel, if approved by the Company, shall be reimbursed at coach or comparable rate; international air travel, if approved by the Company, shall be reimbursed at business or comparable rate.</w:t>
      </w:r>
    </w:p>
    <w:p>
      <w:pPr>
        <w:spacing w:after="0" w:line="58" w:lineRule="exact"/>
        <w:rPr>
          <w:rFonts w:ascii="Times New Roman" w:cs="Times New Roman" w:eastAsia="Times New Roman" w:hAnsi="Times New Roman"/>
          <w:sz w:val="17"/>
          <w:szCs w:val="17"/>
          <w:b w:val="1"/>
          <w:bCs w:val="1"/>
          <w:color w:val="auto"/>
        </w:rPr>
      </w:pPr>
    </w:p>
    <w:p>
      <w:pPr>
        <w:ind w:left="424" w:right="80" w:hanging="424"/>
        <w:spacing w:after="0" w:line="286" w:lineRule="auto"/>
        <w:tabs>
          <w:tab w:leader="none" w:pos="424" w:val="left"/>
        </w:tabs>
        <w:numPr>
          <w:ilvl w:val="0"/>
          <w:numId w:val="4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TIME COMMITMENT: </w:t>
      </w:r>
      <w:r>
        <w:rPr>
          <w:rFonts w:ascii="Times New Roman" w:cs="Times New Roman" w:eastAsia="Times New Roman" w:hAnsi="Times New Roman"/>
          <w:sz w:val="18"/>
          <w:szCs w:val="18"/>
          <w:color w:val="auto"/>
        </w:rPr>
        <w:t>Consultant shall provide consulting services to the Company at Company’s reasonable request during the term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for the term of the agreement or as agreed between Consultant and Company.</w:t>
      </w:r>
    </w:p>
    <w:p>
      <w:pPr>
        <w:spacing w:after="0" w:line="60"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45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CONTACT PERSON: </w:t>
      </w:r>
      <w:r>
        <w:rPr>
          <w:rFonts w:ascii="Times New Roman" w:cs="Times New Roman" w:eastAsia="Times New Roman" w:hAnsi="Times New Roman"/>
          <w:sz w:val="18"/>
          <w:szCs w:val="18"/>
          <w:color w:val="auto"/>
        </w:rPr>
        <w:t>David Mack, CEO #</w:t>
      </w:r>
    </w:p>
    <w:p>
      <w:pPr>
        <w:sectPr>
          <w:pgSz w:w="11900" w:h="16838" w:orient="portrait"/>
          <w:cols w:equalWidth="0" w:num="1">
            <w:col w:w="10864"/>
          </w:cols>
          <w:pgMar w:left="436" w:top="265" w:right="599" w:bottom="1440" w:gutter="0" w:footer="0" w:header="0"/>
        </w:sectPr>
      </w:pPr>
    </w:p>
    <w:bookmarkStart w:id="561" w:name="page562"/>
    <w:bookmarkEnd w:id="56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PMV Pharma Consulting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Exhibit 2</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Confidentiality and Assignment of Invention</w:t>
      </w:r>
    </w:p>
    <w:p>
      <w:pPr>
        <w:spacing w:after="0" w:line="131" w:lineRule="exact"/>
        <w:rPr>
          <w:sz w:val="20"/>
          <w:szCs w:val="20"/>
          <w:color w:val="auto"/>
        </w:rPr>
      </w:pPr>
    </w:p>
    <w:p>
      <w:pPr>
        <w:ind w:left="424" w:hanging="424"/>
        <w:spacing w:after="0"/>
        <w:tabs>
          <w:tab w:leader="none" w:pos="424"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 Information.</w:t>
      </w:r>
    </w:p>
    <w:p>
      <w:pPr>
        <w:spacing w:after="0" w:line="134" w:lineRule="exact"/>
        <w:rPr>
          <w:rFonts w:ascii="Times New Roman" w:cs="Times New Roman" w:eastAsia="Times New Roman" w:hAnsi="Times New Roman"/>
          <w:sz w:val="18"/>
          <w:szCs w:val="18"/>
          <w:color w:val="auto"/>
        </w:rPr>
      </w:pPr>
    </w:p>
    <w:p>
      <w:pPr>
        <w:ind w:left="964" w:right="60" w:hanging="5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Subject to the limitations set forth in Paragraph 1.2, all information disclosed by Company to Consultant or generated by Consultant in the course of performing the Services shall be “Confidential Information.” In particular, Confidential Information shall include, but not be limited to, information relating to any compound, chemical, peptide, protein, complex, conjugate, assay, biological material, virus, extract, media, vector, gene sequence, cell, cell component, cell line, formulation or sample; any procedure, discovery, invention, formula, data, result, process, idea or technique; any trade secret, trade dress, copyright, patent or other intellectual property right, or any registration or application therefore, or materials relating thereto; and any information relating to any of the foregoing or to any research, development (including pre-clinical and clinical development), manufacturing, engineering, marketing, servicing, sales, financing, legal or other business activities or to any present or future products, prices, plans, forecasts, suppliers, clients, customers, employees, consultants or investors; whether in oral, written, graphic or electronic form.</w:t>
      </w:r>
    </w:p>
    <w:p>
      <w:pPr>
        <w:spacing w:after="0" w:line="94" w:lineRule="exact"/>
        <w:rPr>
          <w:sz w:val="20"/>
          <w:szCs w:val="20"/>
          <w:color w:val="auto"/>
        </w:rPr>
      </w:pPr>
    </w:p>
    <w:p>
      <w:pPr>
        <w:jc w:val="right"/>
        <w:ind w:left="424" w:right="240"/>
        <w:spacing w:after="0" w:line="261" w:lineRule="auto"/>
        <w:rPr>
          <w:sz w:val="20"/>
          <w:szCs w:val="20"/>
          <w:color w:val="auto"/>
        </w:rPr>
      </w:pPr>
      <w:r>
        <w:rPr>
          <w:rFonts w:ascii="Times New Roman" w:cs="Times New Roman" w:eastAsia="Times New Roman" w:hAnsi="Times New Roman"/>
          <w:sz w:val="18"/>
          <w:szCs w:val="18"/>
          <w:color w:val="auto"/>
        </w:rPr>
        <w:t>1.2    The term “Confidential Information” shall not include information which Consultant can demonstrate by competent written proof: (a) is now, or hereafter becomes, through no act or failure to act on the part of Consultant, generally known or available in the public domain;</w:t>
      </w:r>
    </w:p>
    <w:p>
      <w:pPr>
        <w:ind w:left="964" w:right="280" w:firstLine="8"/>
        <w:spacing w:after="0" w:line="260" w:lineRule="auto"/>
        <w:tabs>
          <w:tab w:leader="none" w:pos="1219"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known by Consultant at the time of receiving such information as evidenced by his/her records or other reasonable proof; or (c) is hereafter furnished to Consultant by a third party, as a matter of right and without restriction on disclosure.</w:t>
      </w:r>
    </w:p>
    <w:p>
      <w:pPr>
        <w:spacing w:after="0" w:line="87" w:lineRule="exact"/>
        <w:rPr>
          <w:sz w:val="20"/>
          <w:szCs w:val="20"/>
          <w:color w:val="auto"/>
        </w:rPr>
      </w:pPr>
    </w:p>
    <w:p>
      <w:pPr>
        <w:ind w:left="964" w:hanging="539"/>
        <w:spacing w:after="0" w:line="254" w:lineRule="auto"/>
        <w:tabs>
          <w:tab w:leader="none" w:pos="944"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Consultant shall maintain all Confidential Information received from Company in trust and confidence and shall not disclose without the prior written permission of the Company any such Confidential Information to any third party or use any such Confidential Information for any unauthorized purpose. In particular and without limitation, Consultant shall not use any Confidential Information to support any patent application or related filing. Consultant may use such Confidential Information only to the extent required to perform the Services. Consultant shall not use Confidential Information for any purpose or in any manner, which would constitute a violation of any laws or regulations, including without limitation the export control laws of the United States. Nothing in this Agreement shall be construed to grant Consultant any rights or licenses (a) under Company’s trade secrets, trademarks, inventions, copyrights, patents or other intellectual property rights, or (b) to retain, distribute or commercialize any Confidential Information belonging to Company, in either case, except as necessary to perform the Services.</w:t>
      </w:r>
    </w:p>
    <w:p>
      <w:pPr>
        <w:sectPr>
          <w:pgSz w:w="11900" w:h="16838" w:orient="portrait"/>
          <w:cols w:equalWidth="0" w:num="1">
            <w:col w:w="11004"/>
          </w:cols>
          <w:pgMar w:left="436" w:top="265" w:right="459" w:bottom="1440" w:gutter="0" w:footer="0" w:header="0"/>
        </w:sectPr>
      </w:pPr>
    </w:p>
    <w:bookmarkStart w:id="562" w:name="page563"/>
    <w:bookmarkEnd w:id="562"/>
    <w:p>
      <w:pPr>
        <w:ind w:left="964" w:right="40" w:hanging="539"/>
        <w:spacing w:after="0" w:line="262" w:lineRule="auto"/>
        <w:tabs>
          <w:tab w:leader="none" w:pos="94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w:t>
      </w:r>
      <w:r>
        <w:rPr>
          <w:sz w:val="20"/>
          <w:szCs w:val="20"/>
          <w:color w:val="auto"/>
        </w:rPr>
        <w:tab/>
      </w:r>
      <w:r>
        <w:rPr>
          <w:rFonts w:ascii="Times New Roman" w:cs="Times New Roman" w:eastAsia="Times New Roman" w:hAnsi="Times New Roman"/>
          <w:sz w:val="18"/>
          <w:szCs w:val="18"/>
          <w:b w:val="1"/>
          <w:bCs w:val="1"/>
          <w:color w:val="auto"/>
        </w:rPr>
        <w:t xml:space="preserve">Other Employer Information. </w:t>
      </w:r>
      <w:r>
        <w:rPr>
          <w:rFonts w:ascii="Times New Roman" w:cs="Times New Roman" w:eastAsia="Times New Roman" w:hAnsi="Times New Roman"/>
          <w:sz w:val="18"/>
          <w:szCs w:val="18"/>
          <w:color w:val="auto"/>
        </w:rPr>
        <w:t>Consultant agrees that he or she will not, during his or her engagement with the Company, improperly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disclose any proprietary information or trade secrets of his or her former or concurrent employers, companies or clients, if any, and that he or she will not bring onto the premises of the Company any unpublished documents or any property belonging to his or her former or concurrent employers, companies or clients unless consented to in writing by said employers, companies or clients.</w:t>
      </w:r>
    </w:p>
    <w:p>
      <w:pPr>
        <w:spacing w:after="0" w:line="82" w:lineRule="exact"/>
        <w:rPr>
          <w:sz w:val="20"/>
          <w:szCs w:val="20"/>
          <w:color w:val="auto"/>
        </w:rPr>
      </w:pPr>
    </w:p>
    <w:p>
      <w:pPr>
        <w:ind w:left="964" w:right="100" w:hanging="539"/>
        <w:spacing w:after="0" w:line="256" w:lineRule="auto"/>
        <w:tabs>
          <w:tab w:leader="none" w:pos="944"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b w:val="1"/>
          <w:bCs w:val="1"/>
          <w:color w:val="auto"/>
        </w:rPr>
        <w:t xml:space="preserve">Third Party Information. </w:t>
      </w:r>
      <w:r>
        <w:rPr>
          <w:rFonts w:ascii="Times New Roman" w:cs="Times New Roman" w:eastAsia="Times New Roman" w:hAnsi="Times New Roman"/>
          <w:sz w:val="18"/>
          <w:szCs w:val="18"/>
          <w:color w:val="auto"/>
        </w:rPr>
        <w:t>Consultant recognizes that the Company has received and in the future will receive from third parties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or proprietary information subject to a duty on the Company’s part to maintain the confidentiality of such information and, in some cases, to use it only for certain limited purposes. Consultant agrees that he or she owes the Company and such third parties, both during the term of his or her engagement and thereafter, a duty to hold all such confidential or proprietary information in the strictest confidence and not to disclose it to any person, firm or corporation (except in a manner that is consistent with the Company’s agreement with the third party) or use it for the benefit of anyone other than the Company or such third party (consistent with the Company’s agreement with the third party).</w:t>
      </w:r>
    </w:p>
    <w:p>
      <w:pPr>
        <w:spacing w:after="0" w:line="331" w:lineRule="exact"/>
        <w:rPr>
          <w:sz w:val="20"/>
          <w:szCs w:val="20"/>
          <w:color w:val="auto"/>
        </w:rPr>
      </w:pPr>
    </w:p>
    <w:p>
      <w:pPr>
        <w:ind w:left="424" w:hanging="424"/>
        <w:spacing w:after="0"/>
        <w:tabs>
          <w:tab w:leader="none" w:pos="424"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Assignment of Inventions.</w:t>
      </w:r>
    </w:p>
    <w:p>
      <w:pPr>
        <w:spacing w:after="0" w:line="130" w:lineRule="exact"/>
        <w:rPr>
          <w:rFonts w:ascii="Times New Roman" w:cs="Times New Roman" w:eastAsia="Times New Roman" w:hAnsi="Times New Roman"/>
          <w:sz w:val="18"/>
          <w:szCs w:val="18"/>
          <w:color w:val="auto"/>
        </w:rPr>
      </w:pPr>
    </w:p>
    <w:p>
      <w:pPr>
        <w:ind w:left="964" w:right="120" w:hanging="54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Disclosure of Inventions.</w:t>
      </w:r>
      <w:r>
        <w:rPr>
          <w:rFonts w:ascii="Times New Roman" w:cs="Times New Roman" w:eastAsia="Times New Roman" w:hAnsi="Times New Roman"/>
          <w:sz w:val="18"/>
          <w:szCs w:val="18"/>
          <w:color w:val="auto"/>
        </w:rPr>
        <w:t xml:space="preserve"> Consultant shall promptly and fully disclose to the Company any and all ideas, improvements, inventions, know-how, techniques and works of authorship developed by Consultant during his or her performance of the Services for the Company (the “Service Product”). Consultant agrees to keep and maintain adequate and current records (in the form of notes, sketches, drawings or in any other form that may be required by the Company) of all work performed relating to the Services, including all proprietary information developed relating thereto, and such records shall be available to and remain the sole property of the Company at all times.</w:t>
      </w:r>
    </w:p>
    <w:p>
      <w:pPr>
        <w:spacing w:after="0" w:line="85" w:lineRule="exact"/>
        <w:rPr>
          <w:sz w:val="20"/>
          <w:szCs w:val="20"/>
          <w:color w:val="auto"/>
        </w:rPr>
      </w:pPr>
    </w:p>
    <w:p>
      <w:pPr>
        <w:ind w:left="964" w:hanging="539"/>
        <w:spacing w:after="0" w:line="262" w:lineRule="auto"/>
        <w:tabs>
          <w:tab w:leader="none" w:pos="944" w:val="left"/>
        </w:tabs>
        <w:rPr>
          <w:sz w:val="20"/>
          <w:szCs w:val="20"/>
          <w:color w:val="auto"/>
        </w:rPr>
      </w:pPr>
      <w:r>
        <w:rPr>
          <w:rFonts w:ascii="Times New Roman" w:cs="Times New Roman" w:eastAsia="Times New Roman" w:hAnsi="Times New Roman"/>
          <w:sz w:val="18"/>
          <w:szCs w:val="18"/>
          <w:color w:val="auto"/>
        </w:rPr>
        <w:t>2.2</w:t>
      </w:r>
      <w:r>
        <w:rPr>
          <w:sz w:val="20"/>
          <w:szCs w:val="20"/>
          <w:color w:val="auto"/>
        </w:rPr>
        <w:tab/>
      </w:r>
      <w:r>
        <w:rPr>
          <w:rFonts w:ascii="Times New Roman" w:cs="Times New Roman" w:eastAsia="Times New Roman" w:hAnsi="Times New Roman"/>
          <w:sz w:val="18"/>
          <w:szCs w:val="18"/>
          <w:b w:val="1"/>
          <w:bCs w:val="1"/>
          <w:color w:val="auto"/>
        </w:rPr>
        <w:t xml:space="preserve">Inventions Assigned to the Company. </w:t>
      </w:r>
      <w:r>
        <w:rPr>
          <w:rFonts w:ascii="Times New Roman" w:cs="Times New Roman" w:eastAsia="Times New Roman" w:hAnsi="Times New Roman"/>
          <w:sz w:val="18"/>
          <w:szCs w:val="18"/>
          <w:color w:val="auto"/>
        </w:rPr>
        <w:t>Consultant agrees that any and all Service Product shall be the sole and exclusive property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Consultant hereby assigns to the Company all his or her right, title and interest in and to any and all Service Product. Consultant explicitly acknowledges and agrees that all works of authorship contained in the Service Product are “works for hire” under the copyright laws of the United States, and that the Company shall own the copyright in all such works of authorship.</w:t>
      </w:r>
    </w:p>
    <w:p>
      <w:pPr>
        <w:spacing w:after="0" w:line="72" w:lineRule="exact"/>
        <w:rPr>
          <w:sz w:val="20"/>
          <w:szCs w:val="20"/>
          <w:color w:val="auto"/>
        </w:rPr>
      </w:pPr>
    </w:p>
    <w:p>
      <w:pPr>
        <w:ind w:left="984" w:right="420"/>
        <w:spacing w:after="0" w:line="282" w:lineRule="auto"/>
        <w:rPr>
          <w:sz w:val="20"/>
          <w:szCs w:val="20"/>
          <w:color w:val="auto"/>
        </w:rPr>
      </w:pPr>
      <w:r>
        <w:rPr>
          <w:rFonts w:ascii="Times New Roman" w:cs="Times New Roman" w:eastAsia="Times New Roman" w:hAnsi="Times New Roman"/>
          <w:sz w:val="18"/>
          <w:szCs w:val="18"/>
          <w:color w:val="auto"/>
        </w:rPr>
        <w:t>Consultant further agrees that the Company is and shall be vested with all rights, title and interests, including patent, copyright, trade secret and trademark rights, in all of Consultant’s Service Product under this Agreement.</w:t>
      </w:r>
    </w:p>
    <w:p>
      <w:pPr>
        <w:spacing w:after="0" w:line="63" w:lineRule="exact"/>
        <w:rPr>
          <w:sz w:val="20"/>
          <w:szCs w:val="20"/>
          <w:color w:val="auto"/>
        </w:rPr>
      </w:pPr>
    </w:p>
    <w:p>
      <w:pPr>
        <w:ind w:left="964" w:right="140" w:hanging="539"/>
        <w:spacing w:after="0" w:line="268" w:lineRule="auto"/>
        <w:tabs>
          <w:tab w:leader="none" w:pos="944" w:val="left"/>
        </w:tabs>
        <w:rPr>
          <w:sz w:val="20"/>
          <w:szCs w:val="20"/>
          <w:color w:val="auto"/>
        </w:rPr>
      </w:pPr>
      <w:r>
        <w:rPr>
          <w:rFonts w:ascii="Times New Roman" w:cs="Times New Roman" w:eastAsia="Times New Roman" w:hAnsi="Times New Roman"/>
          <w:sz w:val="18"/>
          <w:szCs w:val="18"/>
          <w:color w:val="auto"/>
        </w:rPr>
        <w:t>2.3</w:t>
      </w:r>
      <w:r>
        <w:rPr>
          <w:sz w:val="20"/>
          <w:szCs w:val="20"/>
          <w:color w:val="auto"/>
        </w:rPr>
        <w:tab/>
      </w:r>
      <w:r>
        <w:rPr>
          <w:rFonts w:ascii="Times New Roman" w:cs="Times New Roman" w:eastAsia="Times New Roman" w:hAnsi="Times New Roman"/>
          <w:sz w:val="18"/>
          <w:szCs w:val="18"/>
          <w:b w:val="1"/>
          <w:bCs w:val="1"/>
          <w:color w:val="auto"/>
        </w:rPr>
        <w:t xml:space="preserve">Obtaining Intellectual Property Protection. </w:t>
      </w:r>
      <w:r>
        <w:rPr>
          <w:rFonts w:ascii="Times New Roman" w:cs="Times New Roman" w:eastAsia="Times New Roman" w:hAnsi="Times New Roman"/>
          <w:sz w:val="18"/>
          <w:szCs w:val="18"/>
          <w:color w:val="auto"/>
        </w:rPr>
        <w:t>Consultant agrees to assist the Company in every proper way to obtain and enforce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States and foreign proprietary rights relating to the Service Product in any and all countries. To that end, Consultant agrees to execute, verify and deliver such documents and perform such other acts (including</w:t>
      </w:r>
    </w:p>
    <w:p>
      <w:pPr>
        <w:sectPr>
          <w:pgSz w:w="11900" w:h="16838" w:orient="portrait"/>
          <w:cols w:equalWidth="0" w:num="1">
            <w:col w:w="10984"/>
          </w:cols>
          <w:pgMar w:left="436" w:top="265" w:right="479" w:bottom="1440" w:gutter="0" w:footer="0" w:header="0"/>
        </w:sectPr>
      </w:pPr>
    </w:p>
    <w:bookmarkStart w:id="563" w:name="page564"/>
    <w:bookmarkEnd w:id="563"/>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appearing as a witness) as the Company may reasonably request for use in applying for, obtaining, perfecting, evidencing, sustaining and enforcing such proprietary rights and the assignment thereof. In addition, Consultant agrees to execute, verify and deliver assignments of such proprietary rights to the Company or its designee. Consultant’s obligation to assist the Company with respect to proprietary rights in any and all countries shall continue beyond the termination of his or her engagement, but the Company shall compensate Consultant at a reasonable rate after such termination for the time actually spent by Consultant at the Company’s request on such assistance.</w:t>
      </w:r>
    </w:p>
    <w:p>
      <w:pPr>
        <w:spacing w:after="0" w:line="7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event the Company is unable for any reason, after reasonable effort, to secure Consultant’s signature on any document needed in connection with the actions specified in the preceding paragraph, Consultant hereby irrevocably designates and appoints the Company and its duly authorized officers and agents as his or her agent and attorney in fact, to act for and in his or her behalf to execute, verify and file, with the same legal force and effect as if executed by him or her, any such documents and to do all other lawfully permitted acts to further the purposes of the preceding paragraph. Consultant hereby waives and quitclaims to the Company any and all claims of any nature whatsoever which Consultant now or may hereafter have for infringement of any proprietary rights assigned to the Company.</w:t>
      </w:r>
    </w:p>
    <w:p>
      <w:pPr>
        <w:sectPr>
          <w:pgSz w:w="11900" w:h="16838" w:orient="portrait"/>
          <w:cols w:equalWidth="0" w:num="1">
            <w:col w:w="9980"/>
          </w:cols>
          <w:pgMar w:left="1420" w:top="269" w:right="499" w:bottom="1440" w:gutter="0" w:footer="0" w:header="0"/>
        </w:sectPr>
      </w:pPr>
    </w:p>
    <w:bookmarkStart w:id="564" w:name="page565"/>
    <w:bookmarkEnd w:id="564"/>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i w:val="1"/>
          <w:iCs w:val="1"/>
          <w:color w:val="auto"/>
        </w:rPr>
        <w:t>PMV PHARMA</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CONSULTING AGREEMENT</w:t>
      </w:r>
    </w:p>
    <w:p>
      <w:pPr>
        <w:spacing w:after="0" w:line="225" w:lineRule="exact"/>
        <w:rPr>
          <w:sz w:val="20"/>
          <w:szCs w:val="20"/>
          <w:color w:val="auto"/>
        </w:rPr>
      </w:pPr>
    </w:p>
    <w:p>
      <w:pPr>
        <w:ind w:left="4" w:right="24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 xml:space="preserve">THIS CONSULTING AGREEMENT </w:t>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is made and entered into by and between</w:t>
      </w:r>
      <w:r>
        <w:rPr>
          <w:rFonts w:ascii="Times New Roman" w:cs="Times New Roman" w:eastAsia="Times New Roman" w:hAnsi="Times New Roman"/>
          <w:sz w:val="17"/>
          <w:szCs w:val="17"/>
          <w:b w:val="1"/>
          <w:bCs w:val="1"/>
          <w:color w:val="auto"/>
        </w:rPr>
        <w:t xml:space="preserve"> PMV PHARMA, </w:t>
      </w:r>
      <w:r>
        <w:rPr>
          <w:rFonts w:ascii="Times New Roman" w:cs="Times New Roman" w:eastAsia="Times New Roman" w:hAnsi="Times New Roman"/>
          <w:sz w:val="17"/>
          <w:szCs w:val="17"/>
          <w:color w:val="auto"/>
        </w:rPr>
        <w:t>a Delaware corporation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and Richard Heyman, Ph.D., an individual (“</w:t>
      </w:r>
      <w:r>
        <w:rPr>
          <w:rFonts w:ascii="Times New Roman" w:cs="Times New Roman" w:eastAsia="Times New Roman" w:hAnsi="Times New Roman"/>
          <w:sz w:val="17"/>
          <w:szCs w:val="17"/>
          <w:u w:val="single" w:color="auto"/>
          <w:color w:val="auto"/>
        </w:rPr>
        <w:t>Consultant</w:t>
      </w:r>
      <w:r>
        <w:rPr>
          <w:rFonts w:ascii="Times New Roman" w:cs="Times New Roman" w:eastAsia="Times New Roman" w:hAnsi="Times New Roman"/>
          <w:sz w:val="17"/>
          <w:szCs w:val="17"/>
          <w:color w:val="auto"/>
        </w:rPr>
        <w:t>”), effective as of the date of last signature hereto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w:t>
      </w:r>
    </w:p>
    <w:p>
      <w:pPr>
        <w:spacing w:after="0" w:line="34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Consultant has unique skills and knowledge in the Company’s field of endeavor and thus is well suited to advise the Company; and</w:t>
      </w:r>
    </w:p>
    <w:p>
      <w:pPr>
        <w:spacing w:after="0" w:line="225" w:lineRule="exact"/>
        <w:rPr>
          <w:sz w:val="20"/>
          <w:szCs w:val="20"/>
          <w:color w:val="auto"/>
        </w:rPr>
      </w:pPr>
    </w:p>
    <w:p>
      <w:pPr>
        <w:ind w:left="4" w:right="1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the Company desires that Consultant advise and consult with the Company and Consultant agrees to provide such assistance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through a consulting relationship with the Company;</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mutual obligations specified in this Agreement, the parties agree to the following:</w:t>
      </w:r>
    </w:p>
    <w:p>
      <w:pPr>
        <w:spacing w:after="0" w:line="131" w:lineRule="exact"/>
        <w:rPr>
          <w:sz w:val="20"/>
          <w:szCs w:val="20"/>
          <w:color w:val="auto"/>
        </w:rPr>
      </w:pPr>
    </w:p>
    <w:p>
      <w:pPr>
        <w:ind w:left="424" w:right="540" w:hanging="424"/>
        <w:spacing w:after="0" w:line="286" w:lineRule="auto"/>
        <w:tabs>
          <w:tab w:leader="none" w:pos="424"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CONSULTING SERVICES ENGAGEMENT. </w:t>
      </w:r>
      <w:r>
        <w:rPr>
          <w:rFonts w:ascii="Times New Roman" w:cs="Times New Roman" w:eastAsia="Times New Roman" w:hAnsi="Times New Roman"/>
          <w:sz w:val="18"/>
          <w:szCs w:val="18"/>
          <w:color w:val="auto"/>
        </w:rPr>
        <w:t>The Company hereby retains Consultant, and Consultant hereby accepts such retention,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 consulting services for the Company as set forth herein.</w:t>
      </w:r>
    </w:p>
    <w:p>
      <w:pPr>
        <w:spacing w:after="0" w:line="60" w:lineRule="exact"/>
        <w:rPr>
          <w:rFonts w:ascii="Times New Roman" w:cs="Times New Roman" w:eastAsia="Times New Roman" w:hAnsi="Times New Roman"/>
          <w:sz w:val="18"/>
          <w:szCs w:val="18"/>
          <w:color w:val="auto"/>
        </w:rPr>
      </w:pP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b w:val="1"/>
          <w:bCs w:val="1"/>
          <w:color w:val="auto"/>
        </w:rPr>
        <w:t>SERVICES.</w:t>
      </w:r>
      <w:r>
        <w:rPr>
          <w:rFonts w:ascii="Times New Roman" w:cs="Times New Roman" w:eastAsia="Times New Roman" w:hAnsi="Times New Roman"/>
          <w:sz w:val="18"/>
          <w:szCs w:val="18"/>
          <w:color w:val="auto"/>
        </w:rPr>
        <w:t xml:space="preserve"> Consultant shall provide services described in Exhibit 1 (“Services”) for the Company.</w:t>
      </w:r>
    </w:p>
    <w:p>
      <w:pPr>
        <w:spacing w:after="0" w:line="130" w:lineRule="exact"/>
        <w:rPr>
          <w:rFonts w:ascii="Times New Roman" w:cs="Times New Roman" w:eastAsia="Times New Roman" w:hAnsi="Times New Roman"/>
          <w:sz w:val="18"/>
          <w:szCs w:val="18"/>
          <w:color w:val="auto"/>
        </w:rPr>
      </w:pP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b w:val="1"/>
          <w:bCs w:val="1"/>
          <w:color w:val="auto"/>
        </w:rPr>
        <w:t>COMPENSATION.</w:t>
      </w:r>
      <w:r>
        <w:rPr>
          <w:rFonts w:ascii="Times New Roman" w:cs="Times New Roman" w:eastAsia="Times New Roman" w:hAnsi="Times New Roman"/>
          <w:sz w:val="18"/>
          <w:szCs w:val="18"/>
          <w:color w:val="auto"/>
        </w:rPr>
        <w:t xml:space="preserve"> Company agrees to pay Consultant the compensation set forth in Exhibit 1.</w:t>
      </w:r>
    </w:p>
    <w:p>
      <w:pPr>
        <w:spacing w:after="0" w:line="130" w:lineRule="exact"/>
        <w:rPr>
          <w:rFonts w:ascii="Times New Roman" w:cs="Times New Roman" w:eastAsia="Times New Roman" w:hAnsi="Times New Roman"/>
          <w:sz w:val="18"/>
          <w:szCs w:val="18"/>
          <w:color w:val="auto"/>
        </w:rPr>
      </w:pPr>
    </w:p>
    <w:p>
      <w:pPr>
        <w:ind w:left="964" w:right="160" w:hanging="540"/>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b w:val="1"/>
          <w:bCs w:val="1"/>
          <w:color w:val="auto"/>
        </w:rPr>
        <w:t>TERM AND TIME COMMITMENT.</w:t>
      </w:r>
      <w:r>
        <w:rPr>
          <w:rFonts w:ascii="Times New Roman" w:cs="Times New Roman" w:eastAsia="Times New Roman" w:hAnsi="Times New Roman"/>
          <w:sz w:val="18"/>
          <w:szCs w:val="18"/>
          <w:color w:val="auto"/>
        </w:rPr>
        <w:t xml:space="preserve"> This Agreement will commence on the Effective Date and will continue from the Effective Date unless terminated earlier by either party according to section 1.6 below.</w:t>
      </w:r>
    </w:p>
    <w:p>
      <w:pPr>
        <w:spacing w:after="0" w:line="303" w:lineRule="exact"/>
        <w:rPr>
          <w:sz w:val="20"/>
          <w:szCs w:val="20"/>
          <w:color w:val="auto"/>
        </w:rPr>
      </w:pPr>
    </w:p>
    <w:p>
      <w:pPr>
        <w:ind w:left="424"/>
        <w:spacing w:after="0"/>
        <w:tabs>
          <w:tab w:leader="none" w:pos="944"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b w:val="1"/>
          <w:bCs w:val="1"/>
          <w:color w:val="auto"/>
        </w:rPr>
        <w:t>PAYMENT TERMS AND EXPENSE REIMBURSEMENT:</w:t>
      </w:r>
    </w:p>
    <w:p>
      <w:pPr>
        <w:spacing w:after="0" w:line="13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xml:space="preserve"> Company shall pay Consultant on a quarterly basis.</w:t>
      </w:r>
    </w:p>
    <w:p>
      <w:pPr>
        <w:spacing w:after="0" w:line="131" w:lineRule="exact"/>
        <w:rPr>
          <w:sz w:val="20"/>
          <w:szCs w:val="20"/>
          <w:color w:val="auto"/>
        </w:rPr>
      </w:pPr>
    </w:p>
    <w:p>
      <w:pPr>
        <w:ind w:left="1424" w:right="80" w:hanging="431"/>
        <w:spacing w:after="0" w:line="259"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xml:space="preserve"> The Company shall reimburse Consultant for expenses actually incurred by Consultant in performing the Services, including but not limited to travel and accommodation expenses, so long as such expenses are reasonable and necessary as determined by the Company and, where such policies exist, comply with the Company’s expense policies. Consultant shall maintain adequate books and records relating to any expenses to be reimbursed. Consultant shall submit in a timely manner original receipts along with invoices and summarize expenses in a form acceptable to the Company.</w:t>
      </w:r>
    </w:p>
    <w:p>
      <w:pPr>
        <w:sectPr>
          <w:pgSz w:w="11900" w:h="16838" w:orient="portrait"/>
          <w:cols w:equalWidth="0" w:num="1">
            <w:col w:w="11024"/>
          </w:cols>
          <w:pgMar w:left="436" w:top="117" w:right="439" w:bottom="1440" w:gutter="0" w:footer="0" w:header="0"/>
        </w:sectPr>
      </w:pPr>
    </w:p>
    <w:bookmarkStart w:id="565" w:name="page566"/>
    <w:bookmarkEnd w:id="565"/>
    <w:p>
      <w:pPr>
        <w:jc w:val="both"/>
        <w:ind w:left="964" w:right="20" w:hanging="539"/>
        <w:spacing w:after="0" w:line="257" w:lineRule="auto"/>
        <w:tabs>
          <w:tab w:leader="none" w:pos="94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1.5</w:t>
      </w:r>
      <w:r>
        <w:rPr>
          <w:sz w:val="20"/>
          <w:szCs w:val="20"/>
          <w:color w:val="auto"/>
        </w:rPr>
        <w:tab/>
      </w:r>
      <w:r>
        <w:rPr>
          <w:rFonts w:ascii="Times New Roman" w:cs="Times New Roman" w:eastAsia="Times New Roman" w:hAnsi="Times New Roman"/>
          <w:sz w:val="18"/>
          <w:szCs w:val="18"/>
          <w:b w:val="1"/>
          <w:bCs w:val="1"/>
          <w:color w:val="auto"/>
        </w:rPr>
        <w:t xml:space="preserve">INDEPENDENT CONTRACTOR STATUS. </w:t>
      </w:r>
      <w:r>
        <w:rPr>
          <w:rFonts w:ascii="Times New Roman" w:cs="Times New Roman" w:eastAsia="Times New Roman" w:hAnsi="Times New Roman"/>
          <w:sz w:val="18"/>
          <w:szCs w:val="18"/>
          <w:color w:val="auto"/>
        </w:rPr>
        <w:t>It is understood and agreed that Consultant is an independent contractor, is not an agent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employee of the Company, and is not authorized to act on behalf of the Company. Consultant agrees not to hold himself out as, or give any person any reason to believe that he is an employee, agent, joint venturer or partner of the Company. Consultant will not be eligible for any employee benefits, nor will the Company make deductions from any amounts payable to Consultant for taxes or insurance. All payroll and employment taxes, insurance, and benefits shall be the sole responsibility of Consultant. Consultant retains the right to provide services for others during the term of this Agreement and is not required to devote his or her services exclusively for the Company.</w:t>
      </w:r>
    </w:p>
    <w:p>
      <w:pPr>
        <w:spacing w:after="0" w:line="88" w:lineRule="exact"/>
        <w:rPr>
          <w:sz w:val="20"/>
          <w:szCs w:val="20"/>
          <w:color w:val="auto"/>
        </w:rPr>
      </w:pPr>
    </w:p>
    <w:p>
      <w:pPr>
        <w:ind w:left="964" w:hanging="539"/>
        <w:spacing w:after="0" w:line="255" w:lineRule="auto"/>
        <w:tabs>
          <w:tab w:leader="none" w:pos="944" w:val="left"/>
        </w:tabs>
        <w:rPr>
          <w:sz w:val="20"/>
          <w:szCs w:val="20"/>
          <w:color w:val="auto"/>
        </w:rPr>
      </w:pPr>
      <w:r>
        <w:rPr>
          <w:rFonts w:ascii="Times New Roman" w:cs="Times New Roman" w:eastAsia="Times New Roman" w:hAnsi="Times New Roman"/>
          <w:sz w:val="18"/>
          <w:szCs w:val="18"/>
          <w:color w:val="auto"/>
        </w:rPr>
        <w:t>1.6</w:t>
      </w:r>
      <w:r>
        <w:rPr>
          <w:sz w:val="20"/>
          <w:szCs w:val="20"/>
          <w:color w:val="auto"/>
        </w:rPr>
        <w:tab/>
      </w:r>
      <w:r>
        <w:rPr>
          <w:rFonts w:ascii="Times New Roman" w:cs="Times New Roman" w:eastAsia="Times New Roman" w:hAnsi="Times New Roman"/>
          <w:sz w:val="18"/>
          <w:szCs w:val="18"/>
          <w:b w:val="1"/>
          <w:bCs w:val="1"/>
          <w:color w:val="auto"/>
        </w:rPr>
        <w:t xml:space="preserve">TERMINATION. </w:t>
      </w:r>
      <w:r>
        <w:rPr>
          <w:rFonts w:ascii="Times New Roman" w:cs="Times New Roman" w:eastAsia="Times New Roman" w:hAnsi="Times New Roman"/>
          <w:sz w:val="18"/>
          <w:szCs w:val="18"/>
          <w:color w:val="auto"/>
        </w:rPr>
        <w:t>The Company or Consultant may terminate this Agreement at any time by giving ten (10) business days’ written notice.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may terminate this Agreement immediately upon written notice and without prior notice if Consultant refuses to or is unable to perform the Services or is in breach of any material provision of this Agreement. In the event of such termination, Consultant shall cease work immediately after receiving such notice of termination, unless otherwise agreed to in writing with the Company. At the time of termination of this Agreement for any reason, Consultant shall return to the Company all Information, Service Product, and other materials belonging to the Company, and shall notify the Company of any compensation earned and expenses incurred up to the termination date, which compensation and expenses shall be paid by the Company within 30 days of the Company’s receipt of Consultant’s invoice for same.</w:t>
      </w:r>
    </w:p>
    <w:p>
      <w:pPr>
        <w:spacing w:after="0" w:line="90" w:lineRule="exact"/>
        <w:rPr>
          <w:sz w:val="20"/>
          <w:szCs w:val="20"/>
          <w:color w:val="auto"/>
        </w:rPr>
      </w:pPr>
    </w:p>
    <w:p>
      <w:pPr>
        <w:ind w:left="424" w:right="520" w:hanging="424"/>
        <w:spacing w:after="0" w:line="286" w:lineRule="auto"/>
        <w:tabs>
          <w:tab w:leader="none" w:pos="424"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CONFIDENTIALITY AND ASSIGNMENT OF INVENTIONS. </w:t>
      </w:r>
      <w:r>
        <w:rPr>
          <w:rFonts w:ascii="Times New Roman" w:cs="Times New Roman" w:eastAsia="Times New Roman" w:hAnsi="Times New Roman"/>
          <w:sz w:val="18"/>
          <w:szCs w:val="18"/>
          <w:color w:val="auto"/>
        </w:rPr>
        <w:t>As a condition of this Agreement, Consultant agrees to all the terms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1, Exhibit 2 (Confidentiality) and Section 2, Exhibit 2 (Assignment of Inventions).</w:t>
      </w:r>
    </w:p>
    <w:p>
      <w:pPr>
        <w:spacing w:after="0" w:line="60" w:lineRule="exact"/>
        <w:rPr>
          <w:rFonts w:ascii="Times New Roman" w:cs="Times New Roman" w:eastAsia="Times New Roman" w:hAnsi="Times New Roman"/>
          <w:sz w:val="18"/>
          <w:szCs w:val="18"/>
          <w:color w:val="auto"/>
        </w:rPr>
      </w:pPr>
    </w:p>
    <w:p>
      <w:pPr>
        <w:ind w:left="424" w:right="640" w:hanging="424"/>
        <w:spacing w:after="0" w:line="286" w:lineRule="auto"/>
        <w:tabs>
          <w:tab w:leader="none" w:pos="424"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SURVIVING SECTIONS. </w:t>
      </w:r>
      <w:r>
        <w:rPr>
          <w:rFonts w:ascii="Times New Roman" w:cs="Times New Roman" w:eastAsia="Times New Roman" w:hAnsi="Times New Roman"/>
          <w:sz w:val="18"/>
          <w:szCs w:val="18"/>
          <w:color w:val="auto"/>
        </w:rPr>
        <w:t>Sections 1 (Confidentiality) and 2 (Ownership of Inventions) of Exhibit 2 of the Agreement shall survive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of this Agreement for the period of five (5) years from the execution of this agreement.</w:t>
      </w:r>
    </w:p>
    <w:p>
      <w:pPr>
        <w:spacing w:after="0" w:line="60" w:lineRule="exact"/>
        <w:rPr>
          <w:rFonts w:ascii="Times New Roman" w:cs="Times New Roman" w:eastAsia="Times New Roman" w:hAnsi="Times New Roman"/>
          <w:sz w:val="18"/>
          <w:szCs w:val="18"/>
          <w:color w:val="auto"/>
        </w:rPr>
      </w:pPr>
    </w:p>
    <w:p>
      <w:pPr>
        <w:ind w:left="424" w:right="40" w:hanging="424"/>
        <w:spacing w:after="0" w:line="262" w:lineRule="auto"/>
        <w:tabs>
          <w:tab w:leader="none" w:pos="424"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ASSIGNMENT; BENEFIT. </w:t>
      </w:r>
      <w:r>
        <w:rPr>
          <w:rFonts w:ascii="Times New Roman" w:cs="Times New Roman" w:eastAsia="Times New Roman" w:hAnsi="Times New Roman"/>
          <w:sz w:val="18"/>
          <w:szCs w:val="18"/>
          <w:color w:val="auto"/>
        </w:rPr>
        <w:t>This Agreement is for the personal services of Consultant and may not be assigned by him or her, nor shall it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assignable by operation of law, without the prior written consent of the Company. This Agreement may not be assigned by the Company, nor shall it be assignable by operation of law, without the prior written consent of Consultant. The parties’ rights and obligations under this Agreement will bind and inure to the benefit of their respective successors, heirs, executors, and administrators and permitted assigns.</w:t>
      </w:r>
    </w:p>
    <w:p>
      <w:pPr>
        <w:spacing w:after="0" w:line="81" w:lineRule="exact"/>
        <w:rPr>
          <w:rFonts w:ascii="Times New Roman" w:cs="Times New Roman" w:eastAsia="Times New Roman" w:hAnsi="Times New Roman"/>
          <w:sz w:val="18"/>
          <w:szCs w:val="18"/>
          <w:color w:val="auto"/>
        </w:rPr>
      </w:pPr>
    </w:p>
    <w:p>
      <w:pPr>
        <w:ind w:left="424" w:right="220" w:hanging="424"/>
        <w:spacing w:after="0" w:line="268" w:lineRule="auto"/>
        <w:tabs>
          <w:tab w:leader="none" w:pos="424"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GOVERNING LAW; SEVERABILITY. </w:t>
      </w:r>
      <w:r>
        <w:rPr>
          <w:rFonts w:ascii="Times New Roman" w:cs="Times New Roman" w:eastAsia="Times New Roman" w:hAnsi="Times New Roman"/>
          <w:sz w:val="18"/>
          <w:szCs w:val="18"/>
          <w:color w:val="auto"/>
        </w:rPr>
        <w:t>This Agreement shall be governed by and construed according to the laws of the State of California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without regard to its conflict of laws rules. If any provision of this Agreement is found by a court of competent jurisdiction to be unenforceable, that provision shall be severed and the remainder of this Agreement shall continue in full force and effect.</w:t>
      </w:r>
    </w:p>
    <w:p>
      <w:pPr>
        <w:sectPr>
          <w:pgSz w:w="11900" w:h="16838" w:orient="portrait"/>
          <w:cols w:equalWidth="0" w:num="1">
            <w:col w:w="11004"/>
          </w:cols>
          <w:pgMar w:left="436" w:top="265" w:right="459" w:bottom="1440" w:gutter="0" w:footer="0" w:header="0"/>
        </w:sectPr>
      </w:pPr>
    </w:p>
    <w:bookmarkStart w:id="566" w:name="page567"/>
    <w:bookmarkEnd w:id="566"/>
    <w:p>
      <w:pPr>
        <w:jc w:val="both"/>
        <w:ind w:left="424" w:right="380" w:hanging="424"/>
        <w:spacing w:after="0" w:line="262" w:lineRule="auto"/>
        <w:tabs>
          <w:tab w:leader="none" w:pos="424"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COMPLETE UNDERSTANDING; MODIFICATION. </w:t>
      </w:r>
      <w:r>
        <w:rPr>
          <w:rFonts w:ascii="Times New Roman" w:cs="Times New Roman" w:eastAsia="Times New Roman" w:hAnsi="Times New Roman"/>
          <w:sz w:val="18"/>
          <w:szCs w:val="18"/>
          <w:color w:val="auto"/>
        </w:rPr>
        <w:t>This Agreement, together with any Exhibits attached hereto, constitutes the final,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exclusive and complete understanding and agreement of the Company and Consultant with respect to the subject matter hereof. Any waiver, modification or amendment of any provision of this Agreement shall be effective only if in writing and signed by Consultant and a Company officer.</w:t>
      </w:r>
    </w:p>
    <w:p>
      <w:pPr>
        <w:spacing w:after="0" w:line="81" w:lineRule="exact"/>
        <w:rPr>
          <w:rFonts w:ascii="Times New Roman" w:cs="Times New Roman" w:eastAsia="Times New Roman" w:hAnsi="Times New Roman"/>
          <w:sz w:val="18"/>
          <w:szCs w:val="18"/>
          <w:color w:val="auto"/>
        </w:rPr>
      </w:pPr>
    </w:p>
    <w:p>
      <w:pPr>
        <w:ind w:left="424" w:hanging="424"/>
        <w:spacing w:after="0" w:line="256" w:lineRule="auto"/>
        <w:tabs>
          <w:tab w:leader="none" w:pos="424"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LIABILITY. </w:t>
      </w:r>
      <w:r>
        <w:rPr>
          <w:rFonts w:ascii="Times New Roman" w:cs="Times New Roman" w:eastAsia="Times New Roman" w:hAnsi="Times New Roman"/>
          <w:sz w:val="18"/>
          <w:szCs w:val="18"/>
          <w:color w:val="auto"/>
        </w:rPr>
        <w:t>Consultant represents that he is experienced and qualified to perform the Services hereunder and shall use his best efforts to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Services with the highest level of skill and professionalism. Except for the foregoing, Consultant makes no warranties with regard to the Services and none shall be implied. In no event shall Consultant be liable for special or consequential damages, either in contract or tort, whether or not the possibility of such damages has been disclosed to Consultant in advance or could have been reasonably foreseen by Consultant. In the event this limitation of damages is held unenforceable, the parties agree that because of the difficulty in foreseeing possible damages, Consultant’s liability to the Company shall not exceed the amount of any payments made by the Company to Consultant under this Agreement, any such liability for payment to be construed as liquidated damages and not as a penalty.</w:t>
      </w:r>
    </w:p>
    <w:p>
      <w:pPr>
        <w:spacing w:after="0" w:line="88" w:lineRule="exact"/>
        <w:rPr>
          <w:rFonts w:ascii="Times New Roman" w:cs="Times New Roman" w:eastAsia="Times New Roman" w:hAnsi="Times New Roman"/>
          <w:sz w:val="18"/>
          <w:szCs w:val="18"/>
          <w:color w:val="auto"/>
        </w:rPr>
      </w:pPr>
    </w:p>
    <w:p>
      <w:pPr>
        <w:ind w:left="424" w:right="300" w:hanging="424"/>
        <w:spacing w:after="0" w:line="268" w:lineRule="auto"/>
        <w:tabs>
          <w:tab w:leader="none" w:pos="424"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NOTICES. </w:t>
      </w:r>
      <w:r>
        <w:rPr>
          <w:rFonts w:ascii="Times New Roman" w:cs="Times New Roman" w:eastAsia="Times New Roman" w:hAnsi="Times New Roman"/>
          <w:sz w:val="18"/>
          <w:szCs w:val="18"/>
          <w:color w:val="auto"/>
        </w:rPr>
        <w:t>Any notices required or permitted hereunder shall be given to the appropriate party at the address specified below or at such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address as the party shall specify in writing. Such notice shall be deemed given upon personal delivery to the appropriate address or sent by certified or registered mail, three days after the date of mailing.</w:t>
      </w:r>
    </w:p>
    <w:p>
      <w:pPr>
        <w:spacing w:after="0" w:line="202" w:lineRule="exact"/>
        <w:rPr>
          <w:sz w:val="20"/>
          <w:szCs w:val="20"/>
          <w:color w:val="auto"/>
        </w:rPr>
      </w:pPr>
    </w:p>
    <w:p>
      <w:pPr>
        <w:ind w:left="4"/>
        <w:spacing w:after="0"/>
        <w:tabs>
          <w:tab w:leader="none" w:pos="5724" w:val="left"/>
        </w:tabs>
        <w:rPr>
          <w:sz w:val="20"/>
          <w:szCs w:val="20"/>
          <w:color w:val="auto"/>
        </w:rPr>
      </w:pPr>
      <w:r>
        <w:rPr>
          <w:rFonts w:ascii="Times New Roman" w:cs="Times New Roman" w:eastAsia="Times New Roman" w:hAnsi="Times New Roman"/>
          <w:sz w:val="18"/>
          <w:szCs w:val="18"/>
          <w:color w:val="auto"/>
        </w:rPr>
        <w:t>If to the Company:</w:t>
      </w:r>
      <w:r>
        <w:rPr>
          <w:sz w:val="20"/>
          <w:szCs w:val="20"/>
          <w:color w:val="auto"/>
        </w:rPr>
        <w:tab/>
      </w:r>
      <w:r>
        <w:rPr>
          <w:rFonts w:ascii="Times New Roman" w:cs="Times New Roman" w:eastAsia="Times New Roman" w:hAnsi="Times New Roman"/>
          <w:sz w:val="17"/>
          <w:szCs w:val="17"/>
          <w:color w:val="auto"/>
        </w:rPr>
        <w:t>If to the Consultant: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David H. Mack, Ph.D.</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PMV Pharma</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8 Clark Drive</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Cranbury, NJ 08512</w:t>
      </w:r>
    </w:p>
    <w:p>
      <w:pPr>
        <w:spacing w:after="0" w:line="20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ectPr>
          <w:pgSz w:w="11900" w:h="16838" w:orient="portrait"/>
          <w:cols w:equalWidth="0" w:num="1">
            <w:col w:w="10964"/>
          </w:cols>
          <w:pgMar w:left="436" w:top="265" w:right="499" w:bottom="1440" w:gutter="0" w:footer="0" w:header="0"/>
        </w:sectPr>
      </w:pPr>
    </w:p>
    <w:bookmarkStart w:id="567" w:name="page568"/>
    <w:bookmarkEnd w:id="567"/>
    <w:tbl>
      <w:tblPr>
        <w:tblLayout w:type="fixed"/>
        <w:tblInd w:w="0" w:type="dxa"/>
        <w:tblCellMar>
          <w:top w:w="0" w:type="dxa"/>
          <w:left w:w="0" w:type="dxa"/>
          <w:bottom w:w="0" w:type="dxa"/>
          <w:right w:w="0" w:type="dxa"/>
        </w:tblCellMar>
      </w:tblPr>
      <w:tr>
        <w:trPr>
          <w:trHeight w:val="238"/>
        </w:trPr>
        <w:tc>
          <w:tcPr>
            <w:tcW w:w="11020" w:type="dxa"/>
            <w:vAlign w:val="bottom"/>
            <w:gridSpan w:val="4"/>
          </w:tcPr>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parties hereto have executed this Agreement as of the Effective Date.</w:t>
            </w:r>
          </w:p>
        </w:tc>
      </w:tr>
      <w:tr>
        <w:trPr>
          <w:trHeight w:val="459"/>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PMV PHARMA</w:t>
            </w:r>
          </w:p>
        </w:tc>
        <w:tc>
          <w:tcPr>
            <w:tcW w:w="98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CONSULTANT</w:t>
            </w:r>
          </w:p>
        </w:tc>
      </w:tr>
      <w:tr>
        <w:trPr>
          <w:trHeight w:val="432"/>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David H. Mack</w:t>
            </w:r>
          </w:p>
        </w:tc>
        <w:tc>
          <w:tcPr>
            <w:tcW w:w="980" w:type="dxa"/>
            <w:vAlign w:val="bottom"/>
          </w:tcPr>
          <w:p>
            <w:pPr>
              <w:spacing w:after="0"/>
              <w:rPr>
                <w:sz w:val="24"/>
                <w:szCs w:val="24"/>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/s/ Richard Heyman</w:t>
            </w:r>
          </w:p>
        </w:tc>
      </w:tr>
      <w:tr>
        <w:trPr>
          <w:trHeight w:val="228"/>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w w:val="99"/>
              </w:rPr>
              <w:t>David</w:t>
            </w:r>
          </w:p>
        </w:tc>
        <w:tc>
          <w:tcPr>
            <w:tcW w:w="4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H. Mack, Ph.D.</w:t>
            </w:r>
          </w:p>
        </w:tc>
        <w:tc>
          <w:tcPr>
            <w:tcW w:w="980" w:type="dxa"/>
            <w:vAlign w:val="bottom"/>
          </w:tcPr>
          <w:p>
            <w:pPr>
              <w:spacing w:after="0"/>
              <w:rPr>
                <w:sz w:val="19"/>
                <w:szCs w:val="19"/>
                <w:color w:val="auto"/>
              </w:rPr>
            </w:pPr>
          </w:p>
        </w:tc>
        <w:tc>
          <w:tcPr>
            <w:tcW w:w="48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Richard Heyman, Ph.D.</w:t>
            </w:r>
          </w:p>
        </w:tc>
      </w:tr>
    </w:tbl>
    <w:p>
      <w:pPr>
        <w:spacing w:after="0" w:line="2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President &amp; CEO</w:t>
            </w:r>
          </w:p>
        </w:tc>
        <w:tc>
          <w:tcPr>
            <w:tcW w:w="880" w:type="dxa"/>
            <w:vAlign w:val="bottom"/>
          </w:tcPr>
          <w:p>
            <w:pPr>
              <w:spacing w:after="0"/>
              <w:rPr>
                <w:sz w:val="20"/>
                <w:szCs w:val="20"/>
                <w:color w:val="auto"/>
              </w:rPr>
            </w:pPr>
          </w:p>
        </w:tc>
        <w:tc>
          <w:tcPr>
            <w:tcW w:w="5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Consultant</w:t>
            </w:r>
          </w:p>
        </w:tc>
      </w:tr>
      <w:tr>
        <w:trPr>
          <w:trHeight w:val="228"/>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c>
          <w:tcPr>
            <w:tcW w:w="880" w:type="dxa"/>
            <w:vAlign w:val="bottom"/>
          </w:tcPr>
          <w:p>
            <w:pPr>
              <w:spacing w:after="0"/>
              <w:rPr>
                <w:sz w:val="19"/>
                <w:szCs w:val="19"/>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(Title)</w:t>
            </w:r>
          </w:p>
        </w:tc>
      </w:tr>
      <w:tr>
        <w:trPr>
          <w:trHeight w:val="427"/>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7/14/2017</w:t>
            </w:r>
          </w:p>
        </w:tc>
        <w:tc>
          <w:tcPr>
            <w:tcW w:w="880" w:type="dxa"/>
            <w:vAlign w:val="bottom"/>
          </w:tcPr>
          <w:p>
            <w:pPr>
              <w:spacing w:after="0"/>
              <w:rPr>
                <w:sz w:val="24"/>
                <w:szCs w:val="24"/>
                <w:color w:val="auto"/>
              </w:rPr>
            </w:pPr>
          </w:p>
        </w:tc>
        <w:tc>
          <w:tcPr>
            <w:tcW w:w="5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Date:  July 14, 2017</w:t>
            </w:r>
          </w:p>
        </w:tc>
      </w:tr>
      <w:tr>
        <w:trPr>
          <w:trHeight w:val="20"/>
        </w:trPr>
        <w:tc>
          <w:tcPr>
            <w:tcW w:w="560" w:type="dxa"/>
            <w:vAlign w:val="bottom"/>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r>
    </w:tbl>
    <w:p>
      <w:pPr>
        <w:sectPr>
          <w:pgSz w:w="11900" w:h="16838" w:orient="portrait"/>
          <w:cols w:equalWidth="0" w:num="1">
            <w:col w:w="11020"/>
          </w:cols>
          <w:pgMar w:left="440" w:top="265" w:right="439" w:bottom="1440" w:gutter="0" w:footer="0" w:header="0"/>
        </w:sectPr>
      </w:pPr>
    </w:p>
    <w:bookmarkStart w:id="568" w:name="page569"/>
    <w:bookmarkEnd w:id="568"/>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PMV Pharma, Inc. Consulting Agreement</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Exhibit 1</w:t>
      </w:r>
    </w:p>
    <w:p>
      <w:pPr>
        <w:spacing w:after="0" w:line="252" w:lineRule="exact"/>
        <w:rPr>
          <w:sz w:val="20"/>
          <w:szCs w:val="20"/>
          <w:color w:val="auto"/>
        </w:rPr>
      </w:pPr>
    </w:p>
    <w:p>
      <w:pPr>
        <w:ind w:left="424" w:right="460" w:hanging="424"/>
        <w:spacing w:after="0" w:line="286" w:lineRule="auto"/>
        <w:tabs>
          <w:tab w:leader="none" w:pos="424" w:val="left"/>
        </w:tabs>
        <w:numPr>
          <w:ilvl w:val="0"/>
          <w:numId w:val="4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SERVICES: </w:t>
      </w:r>
      <w:r>
        <w:rPr>
          <w:rFonts w:ascii="Times New Roman" w:cs="Times New Roman" w:eastAsia="Times New Roman" w:hAnsi="Times New Roman"/>
          <w:sz w:val="18"/>
          <w:szCs w:val="18"/>
          <w:color w:val="auto"/>
        </w:rPr>
        <w:t>Advise and consult with the Company as a member of the scientific advisory board and as to such matters as may be mutually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agreed by the Company and Consultant.</w:t>
      </w:r>
    </w:p>
    <w:p>
      <w:pPr>
        <w:spacing w:after="0" w:line="303"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4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w:t>
      </w:r>
    </w:p>
    <w:p>
      <w:pPr>
        <w:spacing w:after="0" w:line="134" w:lineRule="exact"/>
        <w:rPr>
          <w:rFonts w:ascii="Times New Roman" w:cs="Times New Roman" w:eastAsia="Times New Roman" w:hAnsi="Times New Roman"/>
          <w:sz w:val="18"/>
          <w:szCs w:val="18"/>
          <w:b w:val="1"/>
          <w:bCs w:val="1"/>
          <w:color w:val="auto"/>
        </w:rPr>
      </w:pPr>
    </w:p>
    <w:p>
      <w:pPr>
        <w:ind w:left="964" w:hanging="5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2.1 Consultant will receive an option grant of 250,644 shares of Company stock (equal to 0.2% of the Company’s fully diluted share capital as of the date hereof), at the prevailing option price as determined by the Board of Directors vesting in equal amounts monthly over 48 months beginning from the Effective Date.</w:t>
      </w:r>
    </w:p>
    <w:p>
      <w:pPr>
        <w:spacing w:after="0" w:line="81" w:lineRule="exact"/>
        <w:rPr>
          <w:rFonts w:ascii="Times New Roman" w:cs="Times New Roman" w:eastAsia="Times New Roman" w:hAnsi="Times New Roman"/>
          <w:sz w:val="18"/>
          <w:szCs w:val="18"/>
          <w:b w:val="1"/>
          <w:bCs w:val="1"/>
          <w:color w:val="auto"/>
        </w:rPr>
      </w:pPr>
    </w:p>
    <w:p>
      <w:pPr>
        <w:ind w:left="964" w:right="40" w:hanging="5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2.2 Consultant will also be paid $12,500 per year in quarterly installments at the beginning of each quarter, including the quarter in which this agreement is signed.</w:t>
      </w:r>
    </w:p>
    <w:p>
      <w:pPr>
        <w:spacing w:after="0" w:line="63" w:lineRule="exact"/>
        <w:rPr>
          <w:rFonts w:ascii="Times New Roman" w:cs="Times New Roman" w:eastAsia="Times New Roman" w:hAnsi="Times New Roman"/>
          <w:sz w:val="18"/>
          <w:szCs w:val="18"/>
          <w:b w:val="1"/>
          <w:bCs w:val="1"/>
          <w:color w:val="auto"/>
        </w:rPr>
      </w:pPr>
    </w:p>
    <w:p>
      <w:pPr>
        <w:ind w:left="424" w:right="260" w:hanging="424"/>
        <w:spacing w:after="0" w:line="262" w:lineRule="auto"/>
        <w:tabs>
          <w:tab w:leader="none" w:pos="424" w:val="left"/>
        </w:tabs>
        <w:numPr>
          <w:ilvl w:val="0"/>
          <w:numId w:val="4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18"/>
          <w:szCs w:val="18"/>
          <w:color w:val="auto"/>
        </w:rPr>
        <w:t>Consultant shall be reimbursed for reasonable expenses incurred in performance of Consultants’ obligations; provided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expenses shall be invoiced on a monthly basis and are approved by the Company. Domestic air travel, if approved by the Company, shall be reimbursed at business or comparable rate; international air travel, if approved by the Company, shall be reimbursed at business or comparable rate.</w:t>
      </w:r>
    </w:p>
    <w:p>
      <w:pPr>
        <w:spacing w:after="0" w:line="81" w:lineRule="exact"/>
        <w:rPr>
          <w:rFonts w:ascii="Times New Roman" w:cs="Times New Roman" w:eastAsia="Times New Roman" w:hAnsi="Times New Roman"/>
          <w:sz w:val="18"/>
          <w:szCs w:val="18"/>
          <w:b w:val="1"/>
          <w:bCs w:val="1"/>
          <w:color w:val="auto"/>
        </w:rPr>
      </w:pPr>
    </w:p>
    <w:p>
      <w:pPr>
        <w:ind w:left="424" w:right="440" w:hanging="424"/>
        <w:spacing w:after="0" w:line="286" w:lineRule="auto"/>
        <w:tabs>
          <w:tab w:leader="none" w:pos="424" w:val="left"/>
        </w:tabs>
        <w:numPr>
          <w:ilvl w:val="0"/>
          <w:numId w:val="4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TIME COMMITMENT: </w:t>
      </w:r>
      <w:r>
        <w:rPr>
          <w:rFonts w:ascii="Times New Roman" w:cs="Times New Roman" w:eastAsia="Times New Roman" w:hAnsi="Times New Roman"/>
          <w:sz w:val="18"/>
          <w:szCs w:val="18"/>
          <w:color w:val="auto"/>
        </w:rPr>
        <w:t>Consultant shall provide consulting services to the Company at Company’s reasonable request for the term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or as agreed between Consultant and Company.</w:t>
      </w:r>
    </w:p>
    <w:p>
      <w:pPr>
        <w:spacing w:after="0" w:line="60"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4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CONTACT PERSON: </w:t>
      </w:r>
      <w:r>
        <w:rPr>
          <w:rFonts w:ascii="Times New Roman" w:cs="Times New Roman" w:eastAsia="Times New Roman" w:hAnsi="Times New Roman"/>
          <w:sz w:val="18"/>
          <w:szCs w:val="18"/>
          <w:color w:val="auto"/>
        </w:rPr>
        <w:t>David Mack, CEO #</w:t>
      </w:r>
    </w:p>
    <w:p>
      <w:pPr>
        <w:sectPr>
          <w:pgSz w:w="11900" w:h="16838" w:orient="portrait"/>
          <w:cols w:equalWidth="0" w:num="1">
            <w:col w:w="10964"/>
          </w:cols>
          <w:pgMar w:left="436" w:top="265" w:right="499" w:bottom="1440" w:gutter="0" w:footer="0" w:header="0"/>
        </w:sectPr>
      </w:pPr>
    </w:p>
    <w:bookmarkStart w:id="569" w:name="page570"/>
    <w:bookmarkEnd w:id="569"/>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PMV Pharma Consulting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Exhibit 2</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Confidentiality and Assignment of Invention</w:t>
      </w:r>
    </w:p>
    <w:p>
      <w:pPr>
        <w:spacing w:after="0" w:line="131" w:lineRule="exact"/>
        <w:rPr>
          <w:sz w:val="20"/>
          <w:szCs w:val="20"/>
          <w:color w:val="auto"/>
        </w:rPr>
      </w:pPr>
    </w:p>
    <w:p>
      <w:pPr>
        <w:ind w:left="424" w:hanging="424"/>
        <w:spacing w:after="0"/>
        <w:tabs>
          <w:tab w:leader="none" w:pos="424"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 Information.</w:t>
      </w:r>
    </w:p>
    <w:p>
      <w:pPr>
        <w:spacing w:after="0" w:line="134" w:lineRule="exact"/>
        <w:rPr>
          <w:rFonts w:ascii="Times New Roman" w:cs="Times New Roman" w:eastAsia="Times New Roman" w:hAnsi="Times New Roman"/>
          <w:sz w:val="18"/>
          <w:szCs w:val="18"/>
          <w:color w:val="auto"/>
        </w:rPr>
      </w:pPr>
    </w:p>
    <w:p>
      <w:pPr>
        <w:ind w:left="964" w:right="60" w:hanging="54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Subject to the limitations set forth in Paragraph 1.2, all information disclosed by Company to Consultant or generated by Consultant in the course of performing the Services shall be “Confidential Information.” In particular, Confidential Information shall include, but not be limited to, information relating to any compound, chemical, peptide, protein, complex, conjugate, assay, biological material, virus, extract, media, vector, gene sequence, cell, cell component, cell line, formulation or sample; any procedure, discovery, invention, formula, data, result, process, idea or technique; any trade secret, trade dress, copyright, patent or other intellectual property right, or any registration or application therefore, or materials relating thereto; and any information relating to any of the foregoing or to any research, development (including pre-clinical and clinical development), manufacturing, engineering, marketing, servicing, sales, financing, legal or other business activities or to any present or future products, prices, plans, forecasts, suppliers, clients, customers, employees, consultants or investors; whether in oral, written, graphic or electronic form.</w:t>
      </w:r>
    </w:p>
    <w:p>
      <w:pPr>
        <w:spacing w:after="0" w:line="94" w:lineRule="exact"/>
        <w:rPr>
          <w:sz w:val="20"/>
          <w:szCs w:val="20"/>
          <w:color w:val="auto"/>
        </w:rPr>
      </w:pPr>
    </w:p>
    <w:p>
      <w:pPr>
        <w:jc w:val="right"/>
        <w:ind w:left="424" w:right="240"/>
        <w:spacing w:after="0" w:line="261" w:lineRule="auto"/>
        <w:rPr>
          <w:sz w:val="20"/>
          <w:szCs w:val="20"/>
          <w:color w:val="auto"/>
        </w:rPr>
      </w:pPr>
      <w:r>
        <w:rPr>
          <w:rFonts w:ascii="Times New Roman" w:cs="Times New Roman" w:eastAsia="Times New Roman" w:hAnsi="Times New Roman"/>
          <w:sz w:val="18"/>
          <w:szCs w:val="18"/>
          <w:color w:val="auto"/>
        </w:rPr>
        <w:t>1.2    The term “Confidential Information” shall not include information which Consultant can demonstrate by competent written proof: (a) is now, or hereafter becomes, through no act or failure to act on the part of Consultant, generally known or available in the public domain;</w:t>
      </w:r>
    </w:p>
    <w:p>
      <w:pPr>
        <w:ind w:left="964" w:right="280" w:firstLine="8"/>
        <w:spacing w:after="0" w:line="260" w:lineRule="auto"/>
        <w:tabs>
          <w:tab w:leader="none" w:pos="1219"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known by Consultant at the time of receiving such information as evidenced by his/her records or other reasonable proof; or (c) is hereafter furnished to Consultant by a third party, as a matter of right and without restriction on disclosure.</w:t>
      </w:r>
    </w:p>
    <w:p>
      <w:pPr>
        <w:spacing w:after="0" w:line="87" w:lineRule="exact"/>
        <w:rPr>
          <w:sz w:val="20"/>
          <w:szCs w:val="20"/>
          <w:color w:val="auto"/>
        </w:rPr>
      </w:pPr>
    </w:p>
    <w:p>
      <w:pPr>
        <w:ind w:left="964" w:hanging="539"/>
        <w:spacing w:after="0" w:line="254" w:lineRule="auto"/>
        <w:tabs>
          <w:tab w:leader="none" w:pos="944"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8"/>
          <w:szCs w:val="18"/>
          <w:color w:val="auto"/>
        </w:rPr>
        <w:t>Consultant shall maintain all Confidential Information received from Company in trust and confidence and shall not disclose without the prior written permission of the Company any such Confidential Information to any third party or use any such Confidential Information for any unauthorized purpose. In particular and without limitation, Consultant shall not use any Confidential Information to support any patent application or related filing. Consultant may use such Confidential Information only to the extent required to perform the Services. Consultant shall not use Confidential Information for any purpose or in any manner, which would constitute a violation of any laws or regulations, including without limitation the export control laws of the United States. Nothing in this Agreement shall be construed to grant Consultant any rights or licenses (a) under Company’s trade secrets, trademarks, inventions, copyrights, patents or other intellectual property rights, or (b) to retain, distribute or commercialize any Confidential Information belonging to Company, in either case, except as necessary to perform the Services.</w:t>
      </w:r>
    </w:p>
    <w:p>
      <w:pPr>
        <w:sectPr>
          <w:pgSz w:w="11900" w:h="16838" w:orient="portrait"/>
          <w:cols w:equalWidth="0" w:num="1">
            <w:col w:w="11004"/>
          </w:cols>
          <w:pgMar w:left="436" w:top="265" w:right="459" w:bottom="1440" w:gutter="0" w:footer="0" w:header="0"/>
        </w:sectPr>
      </w:pPr>
    </w:p>
    <w:bookmarkStart w:id="570" w:name="page571"/>
    <w:bookmarkEnd w:id="570"/>
    <w:p>
      <w:pPr>
        <w:ind w:left="964" w:right="40" w:hanging="539"/>
        <w:spacing w:after="0" w:line="262" w:lineRule="auto"/>
        <w:tabs>
          <w:tab w:leader="none" w:pos="944"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1.4</w:t>
      </w:r>
      <w:r>
        <w:rPr>
          <w:sz w:val="20"/>
          <w:szCs w:val="20"/>
          <w:color w:val="auto"/>
        </w:rPr>
        <w:tab/>
      </w:r>
      <w:r>
        <w:rPr>
          <w:rFonts w:ascii="Times New Roman" w:cs="Times New Roman" w:eastAsia="Times New Roman" w:hAnsi="Times New Roman"/>
          <w:sz w:val="18"/>
          <w:szCs w:val="18"/>
          <w:b w:val="1"/>
          <w:bCs w:val="1"/>
          <w:color w:val="auto"/>
        </w:rPr>
        <w:t xml:space="preserve">Other Employer Information. </w:t>
      </w:r>
      <w:r>
        <w:rPr>
          <w:rFonts w:ascii="Times New Roman" w:cs="Times New Roman" w:eastAsia="Times New Roman" w:hAnsi="Times New Roman"/>
          <w:sz w:val="18"/>
          <w:szCs w:val="18"/>
          <w:color w:val="auto"/>
        </w:rPr>
        <w:t>Consultant agrees that he or she will not, during his or her engagement with the Company, improperly use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disclose any proprietary information or trade secrets of his or her former or concurrent employers, companies or clients, if any, and that he or she will not bring onto the premises of the Company any unpublished documents or any property belonging to his or her former or concurrent employers, companies or clients unless consented to in writing by said employers, companies or clients.</w:t>
      </w:r>
    </w:p>
    <w:p>
      <w:pPr>
        <w:spacing w:after="0" w:line="82" w:lineRule="exact"/>
        <w:rPr>
          <w:sz w:val="20"/>
          <w:szCs w:val="20"/>
          <w:color w:val="auto"/>
        </w:rPr>
      </w:pPr>
    </w:p>
    <w:p>
      <w:pPr>
        <w:ind w:left="964" w:right="100" w:hanging="539"/>
        <w:spacing w:after="0" w:line="256" w:lineRule="auto"/>
        <w:tabs>
          <w:tab w:leader="none" w:pos="944" w:val="left"/>
        </w:tabs>
        <w:rPr>
          <w:sz w:val="20"/>
          <w:szCs w:val="20"/>
          <w:color w:val="auto"/>
        </w:rPr>
      </w:pPr>
      <w:r>
        <w:rPr>
          <w:rFonts w:ascii="Times New Roman" w:cs="Times New Roman" w:eastAsia="Times New Roman" w:hAnsi="Times New Roman"/>
          <w:sz w:val="18"/>
          <w:szCs w:val="18"/>
          <w:color w:val="auto"/>
        </w:rPr>
        <w:t>1.5</w:t>
      </w:r>
      <w:r>
        <w:rPr>
          <w:sz w:val="20"/>
          <w:szCs w:val="20"/>
          <w:color w:val="auto"/>
        </w:rPr>
        <w:tab/>
      </w:r>
      <w:r>
        <w:rPr>
          <w:rFonts w:ascii="Times New Roman" w:cs="Times New Roman" w:eastAsia="Times New Roman" w:hAnsi="Times New Roman"/>
          <w:sz w:val="18"/>
          <w:szCs w:val="18"/>
          <w:b w:val="1"/>
          <w:bCs w:val="1"/>
          <w:color w:val="auto"/>
        </w:rPr>
        <w:t xml:space="preserve">Third Party Information. </w:t>
      </w:r>
      <w:r>
        <w:rPr>
          <w:rFonts w:ascii="Times New Roman" w:cs="Times New Roman" w:eastAsia="Times New Roman" w:hAnsi="Times New Roman"/>
          <w:sz w:val="18"/>
          <w:szCs w:val="18"/>
          <w:color w:val="auto"/>
        </w:rPr>
        <w:t>Consultant recognizes that the Company has received and in the future will receive from third parties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confidential or proprietary information subject to a duty on the Company’s part to maintain the confidentiality of such information and, in some cases, to use it only for certain limited purposes. Consultant agrees that he or she owes the Company and such third parties, both during the term of his or her engagement and thereafter, a duty to hold all such confidential or proprietary information in the strictest confidence and not to disclose it to any person, firm or corporation (except in a manner that is consistent with the Company’s agreement with the third party) or use it for the benefit of anyone other than the Company or such third party (consistent with the Company’s agreement with the third party).</w:t>
      </w:r>
    </w:p>
    <w:p>
      <w:pPr>
        <w:spacing w:after="0" w:line="331" w:lineRule="exact"/>
        <w:rPr>
          <w:sz w:val="20"/>
          <w:szCs w:val="20"/>
          <w:color w:val="auto"/>
        </w:rPr>
      </w:pPr>
    </w:p>
    <w:p>
      <w:pPr>
        <w:ind w:left="424" w:hanging="424"/>
        <w:spacing w:after="0"/>
        <w:tabs>
          <w:tab w:leader="none" w:pos="424"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Assignment of Inventions.</w:t>
      </w:r>
    </w:p>
    <w:p>
      <w:pPr>
        <w:spacing w:after="0" w:line="130" w:lineRule="exact"/>
        <w:rPr>
          <w:rFonts w:ascii="Times New Roman" w:cs="Times New Roman" w:eastAsia="Times New Roman" w:hAnsi="Times New Roman"/>
          <w:sz w:val="18"/>
          <w:szCs w:val="18"/>
          <w:color w:val="auto"/>
        </w:rPr>
      </w:pPr>
    </w:p>
    <w:p>
      <w:pPr>
        <w:ind w:left="964" w:right="120" w:hanging="54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b w:val="1"/>
          <w:bCs w:val="1"/>
          <w:color w:val="auto"/>
        </w:rPr>
        <w:t>Disclosure of Inventions.</w:t>
      </w:r>
      <w:r>
        <w:rPr>
          <w:rFonts w:ascii="Times New Roman" w:cs="Times New Roman" w:eastAsia="Times New Roman" w:hAnsi="Times New Roman"/>
          <w:sz w:val="18"/>
          <w:szCs w:val="18"/>
          <w:color w:val="auto"/>
        </w:rPr>
        <w:t xml:space="preserve"> Consultant shall promptly and fully disclose to the Company any and all ideas, improvements, inventions, know-how, techniques and works of authorship developed by Consultant during his or her performance of the Services for the Company (the “Service Product”). Consultant agrees to keep and maintain adequate and current records (in the form of notes, sketches, drawings or in any other form that may be required by the Company) of all work performed relating to the Services, including all proprietary information developed relating thereto, and such records shall be available to and remain the sole property of the Company at all times.</w:t>
      </w:r>
    </w:p>
    <w:p>
      <w:pPr>
        <w:spacing w:after="0" w:line="84" w:lineRule="exact"/>
        <w:rPr>
          <w:rFonts w:ascii="Times New Roman" w:cs="Times New Roman" w:eastAsia="Times New Roman" w:hAnsi="Times New Roman"/>
          <w:sz w:val="18"/>
          <w:szCs w:val="18"/>
          <w:color w:val="auto"/>
        </w:rPr>
      </w:pPr>
    </w:p>
    <w:p>
      <w:pPr>
        <w:ind w:left="964" w:hanging="54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b w:val="1"/>
          <w:bCs w:val="1"/>
          <w:color w:val="auto"/>
        </w:rPr>
        <w:t>Inventions Assigned to the Company.</w:t>
      </w:r>
      <w:r>
        <w:rPr>
          <w:rFonts w:ascii="Times New Roman" w:cs="Times New Roman" w:eastAsia="Times New Roman" w:hAnsi="Times New Roman"/>
          <w:sz w:val="18"/>
          <w:szCs w:val="18"/>
          <w:color w:val="auto"/>
        </w:rPr>
        <w:t xml:space="preserve"> Consultant agrees that any and all Service Product shall be the sole and exclusive property of the Company. Consultant hereby assigns to the Company all his or her right, title and interest in and to any and all Service Product. Consultant explicitly acknowledges and agrees that all works of authorship contained in the Service Product are “works for hire” under the copyright laws of the United States, and that the Company shall own the copyright in all such works of authorship. Consultant further agrees that the Company is and shall be vested with all rights, title and interests, including patent, copyright, trade secret and trademark rights, in all of Consultant’s Service Product under this Agreement.</w:t>
      </w:r>
    </w:p>
    <w:p>
      <w:pPr>
        <w:spacing w:after="0" w:line="87" w:lineRule="exact"/>
        <w:rPr>
          <w:rFonts w:ascii="Times New Roman" w:cs="Times New Roman" w:eastAsia="Times New Roman" w:hAnsi="Times New Roman"/>
          <w:sz w:val="18"/>
          <w:szCs w:val="18"/>
          <w:color w:val="auto"/>
        </w:rPr>
      </w:pPr>
    </w:p>
    <w:p>
      <w:pPr>
        <w:ind w:left="964" w:right="40" w:hanging="54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b w:val="1"/>
          <w:bCs w:val="1"/>
          <w:color w:val="auto"/>
        </w:rPr>
        <w:t>Obtaining Intellectual Property Protection.</w:t>
      </w:r>
      <w:r>
        <w:rPr>
          <w:rFonts w:ascii="Times New Roman" w:cs="Times New Roman" w:eastAsia="Times New Roman" w:hAnsi="Times New Roman"/>
          <w:sz w:val="18"/>
          <w:szCs w:val="18"/>
          <w:color w:val="auto"/>
        </w:rPr>
        <w:t xml:space="preserve"> Consultant agrees to assist the Company in every proper way to obtain and enforce United States and foreign proprietary rights relating to the Service Product in any and all countries. To that end, Consultant agrees to execute, verify and deliver such documents and perform such other acts (including appearing as a witness) as the Company may reasonably request for use in applying for, obtaining, perfecting, evidencing, sustaining and enforcing such proprietary rights and</w:t>
      </w:r>
    </w:p>
    <w:p>
      <w:pPr>
        <w:sectPr>
          <w:pgSz w:w="11900" w:h="16838" w:orient="portrait"/>
          <w:cols w:equalWidth="0" w:num="1">
            <w:col w:w="10984"/>
          </w:cols>
          <w:pgMar w:left="436" w:top="265" w:right="479" w:bottom="1440" w:gutter="0" w:footer="0" w:header="0"/>
        </w:sectPr>
      </w:pPr>
    </w:p>
    <w:bookmarkStart w:id="571" w:name="page572"/>
    <w:bookmarkEnd w:id="571"/>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assignment thereof. In addition, Consultant agrees to execute, verify and deliver assignments of such proprietary rights to the Company or its designee. Consultant’s obligation to assist the Company with respect to proprietary rights in any and all countries shall continue beyond the termination of his or her engagement, but the Company shall compensate Consultant at a reasonable rate after such termination for the time actually spent by Consultant at the Company’s request on such assistance.</w:t>
      </w:r>
    </w:p>
    <w:p>
      <w:pPr>
        <w:spacing w:after="0" w:line="7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the event the Company is unable for any reason, after reasonable effort, to secure Consultant’s signature on any document needed in connection with the actions specified in the preceding paragraph, Consultant hereby irrevocably designates and appoints the Company and its duly authorized officers and agents as his or her agent and attorney in fact, to act for and in his or her behalf to execute, verify and file, with the same legal force and effect as if executed by him or her, any such documents and to do all other lawfully permitted acts to further the purposes of the preceding paragraph. Consultant hereby waives and quitclaims to the Company any and all claims of any nature whatsoever which Consultant now or may hereafter have for infringement of any proprietary rights assigned to the Company.</w:t>
      </w:r>
    </w:p>
    <w:p>
      <w:pPr>
        <w:sectPr>
          <w:pgSz w:w="11900" w:h="16838" w:orient="portrait"/>
          <w:cols w:equalWidth="0" w:num="1">
            <w:col w:w="10020"/>
          </w:cols>
          <w:pgMar w:left="1420" w:top="269" w:right="459" w:bottom="1440" w:gutter="0" w:footer="0" w:header="0"/>
        </w:sectPr>
      </w:pPr>
    </w:p>
    <w:bookmarkStart w:id="572" w:name="page573"/>
    <w:bookmarkEnd w:id="572"/>
    <w:p>
      <w:pPr>
        <w:jc w:val="right"/>
        <w:spacing w:after="0"/>
        <w:rPr>
          <w:sz w:val="20"/>
          <w:szCs w:val="20"/>
          <w:color w:val="auto"/>
        </w:rPr>
      </w:pPr>
      <w:r>
        <w:rPr>
          <w:rFonts w:ascii="Times New Roman" w:cs="Times New Roman" w:eastAsia="Times New Roman" w:hAnsi="Times New Roman"/>
          <w:sz w:val="18"/>
          <w:szCs w:val="18"/>
          <w:b w:val="1"/>
          <w:bCs w:val="1"/>
          <w:color w:val="auto"/>
        </w:rPr>
        <w:t>Exhibit 10.18</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LEASE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AND BETWEEN: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Cedar Brook 2005, LP</w:t>
      </w:r>
    </w:p>
    <w:p>
      <w:pPr>
        <w:spacing w:after="0" w:line="225"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color w:val="auto"/>
        </w:rPr>
        <w:t>“Landlord”</w:t>
      </w:r>
    </w:p>
    <w:p>
      <w:pPr>
        <w:spacing w:after="0" w:line="225"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and -</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225"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8"/>
          <w:szCs w:val="18"/>
          <w:color w:val="auto"/>
        </w:rPr>
        <w:t>“Tenant”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 8 Clarke Drive, Cranbury, NJ 08512</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2015</w:t>
            </w:r>
          </w:p>
        </w:tc>
      </w:tr>
    </w:tbl>
    <w:p>
      <w:pPr>
        <w:sectPr>
          <w:pgSz w:w="11900" w:h="16838" w:orient="portrait"/>
          <w:cols w:equalWidth="0" w:num="1">
            <w:col w:w="11020"/>
          </w:cols>
          <w:pgMar w:left="440" w:top="117" w:right="439" w:bottom="1440" w:gutter="0" w:footer="0" w:header="0"/>
        </w:sectPr>
      </w:pPr>
    </w:p>
    <w:bookmarkStart w:id="573" w:name="page574"/>
    <w:bookmarkEnd w:id="57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Contents</w:t>
            </w:r>
          </w:p>
        </w:tc>
        <w:tc>
          <w:tcPr>
            <w:tcW w:w="734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LEASED PREMISES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TERM OF LEASE</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CONSTRUCTION OF THE TENANT IMPROVEMENTS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RENT</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PARKING AND USE OF EXTERIOR AREA</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USE</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REPAIRS AND MAINTENANCE</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COMMON AREA EXPENSES, TAXES AND INSURANCE</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SIGNS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ASSIGNMENT AND SUBLETTING</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FIRE AND CASUALTY</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COMPLIANCE WITH LAWS, RULES AND REGULATIONS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INSPECTION BY LANDLORD</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DEFAULT BY TENANT</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DAMAGES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17.</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NON-WAIVER BY LANDLORD</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18.</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ALTERATIONS</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19.</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NON-LIABILITY OF LANDLORD</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20.</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RESERVATION OF EASEMENT</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STATEMENT OF ACCEPTANCE</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FORCE MAJEURE</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7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STATEMENT BY TENANT</w:t>
            </w:r>
          </w:p>
        </w:tc>
        <w:tc>
          <w:tcPr>
            <w:tcW w:w="2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ectPr>
          <w:pgSz w:w="11900" w:h="16838" w:orient="portrait"/>
          <w:cols w:equalWidth="0" w:num="1">
            <w:col w:w="10960"/>
          </w:cols>
          <w:pgMar w:left="440" w:top="265" w:right="499" w:bottom="1440" w:gutter="0" w:footer="0" w:header="0"/>
        </w:sectPr>
      </w:pPr>
    </w:p>
    <w:bookmarkStart w:id="574" w:name="page575"/>
    <w:bookmarkEnd w:id="57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24.</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CONDEMNATION</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25.</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LANDLORD’S RIGHTS</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26.</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OUIET ENJOYMENT</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27.</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SURRENDER OF PREMISES; HOLDOVER</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28.</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INDEMNITY</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29.</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BIND AND CONSTRUE CLAUSE</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30.</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INCLUSIONS</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31.</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DEFINITION OF TERM “LANDLORD”</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32.</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COVENANTS OF FURTHER ASSURANCES</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24"/>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33.</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COVENANT AGAINST LIENS</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34.</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SUBORDINATION</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35.</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EXCULPATION OF LANDLORD</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36.</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RENT</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37.</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SECURITY</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38.</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BROKERAGE</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39.</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LATE CHARGES</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40.</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PRESS RELEASES</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41.</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WAIVER OF JURY TRIAL</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42.</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LAWS OF NEW JERSEY</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24"/>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43.</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RENEWAL</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44.</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TENANT REPRESENTATION</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45.</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RIGHT OF FIRST OFFER</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24"/>
        </w:trPr>
        <w:tc>
          <w:tcPr>
            <w:tcW w:w="5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46.</w:t>
            </w:r>
          </w:p>
        </w:tc>
        <w:tc>
          <w:tcPr>
            <w:tcW w:w="43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REASONABLE</w:t>
            </w:r>
          </w:p>
        </w:tc>
        <w:tc>
          <w:tcPr>
            <w:tcW w:w="6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65"/>
        </w:trPr>
        <w:tc>
          <w:tcPr>
            <w:tcW w:w="5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6120" w:type="dxa"/>
            <w:vAlign w:val="bottom"/>
          </w:tcPr>
          <w:p>
            <w:pPr>
              <w:jc w:val="right"/>
              <w:ind w:right="5250"/>
              <w:spacing w:after="0"/>
              <w:rPr>
                <w:sz w:val="20"/>
                <w:szCs w:val="20"/>
                <w:color w:val="auto"/>
              </w:rPr>
            </w:pPr>
            <w:r>
              <w:rPr>
                <w:rFonts w:ascii="Times New Roman" w:cs="Times New Roman" w:eastAsia="Times New Roman" w:hAnsi="Times New Roman"/>
                <w:sz w:val="18"/>
                <w:szCs w:val="18"/>
                <w:color w:val="auto"/>
              </w:rPr>
              <w:t>-ii-</w:t>
            </w:r>
          </w:p>
        </w:tc>
      </w:tr>
    </w:tbl>
    <w:p>
      <w:pPr>
        <w:sectPr>
          <w:pgSz w:w="11900" w:h="16838" w:orient="portrait"/>
          <w:cols w:equalWidth="0" w:num="1">
            <w:col w:w="10960"/>
          </w:cols>
          <w:pgMar w:left="440" w:top="377" w:right="499" w:bottom="1440" w:gutter="0" w:footer="0" w:header="0"/>
        </w:sectPr>
      </w:pPr>
    </w:p>
    <w:bookmarkStart w:id="575" w:name="page576"/>
    <w:bookmarkEnd w:id="575"/>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AGREEMENT, made February , 2015, between Cedar Brook 2005, LP, 4A Cedar Brook Drive, Cranbury, New Jersey 08512, “Landlord”; and PMV Pharmaceuticals, Inc., 497 Seaport Court, Suite 101, Redwood City, CA 94063, “Tenant”.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WHEREAS, the Landlord intends to lease to the Tenant a portion of 8 Clarke Drive, Cranbury, New Jersey, 08512 (“Building”) constituting a portion of the office/industrial park known as Cedar Brook Corporate Center (“Office Park” or “Property”); and WHEREAS, the parties hereto wish to mutually define their rights, duties and obligations in connection with the Lease;</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promises set forth herein, the Landlord leases unto the Tenant and the Tenant rents from the Landlord the leased premises described in Paragraph 1, and the Landlord and Tenant do hereby mutually covenant and agree as follows:</w:t>
      </w:r>
    </w:p>
    <w:p>
      <w:pPr>
        <w:spacing w:after="0" w:line="310" w:lineRule="exact"/>
        <w:rPr>
          <w:sz w:val="20"/>
          <w:szCs w:val="20"/>
          <w:color w:val="auto"/>
        </w:rPr>
      </w:pPr>
    </w:p>
    <w:p>
      <w:pPr>
        <w:ind w:left="960" w:hanging="532"/>
        <w:spacing w:after="0"/>
        <w:tabs>
          <w:tab w:leader="none" w:pos="960"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LEASED PREMISES</w:t>
      </w:r>
    </w:p>
    <w:p>
      <w:pPr>
        <w:spacing w:after="0" w:line="117"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1.1 The leased premises shall consist of 12,652 rentable square feet of laboratory and office space (“Leased Premises”) as measured from outside of exterior walls to centerline of common walls, together with the right to use all common areas all as shown on Attachment A of this Lease Agreement, along with all improvements to be constructed thereon by the Landlord for the use of the Tenant, and all easements, tenements, appurtenances, hereditaments, rights and privileges appurtenant thereto, and any and all fixtures and equipment which currently exist or are to be installed in the Leased Premises by the Landlord for the use of the Tenant in its occupancy of the Leased Premises. Tenant shall also have the right to use all common areas (“Common Areas”) defined as those areas and facilities of the Office Park which are available for the use of tenants of the Building in common with Landlord, including parking areas, pedestrian walkways, and landscaped areas in the Office Park. Tenant may use all Common Areas only for their intended purposes. Landlord shall have exclusive control of all Common Areas at all times and may make such changes to the Common Areas as Landlord deems appropriate, provided that Landlord shall maintain the Common Areas in a condition comparable to existing conditions as the date of signing and use commercially reasonable efforts to minimize disruption of Tenant’s use and occupancy of the Leased Premises or Common Areas.</w:t>
      </w:r>
    </w:p>
    <w:p>
      <w:pPr>
        <w:spacing w:after="0" w:line="340" w:lineRule="exact"/>
        <w:rPr>
          <w:sz w:val="20"/>
          <w:szCs w:val="20"/>
          <w:color w:val="auto"/>
        </w:rPr>
      </w:pPr>
    </w:p>
    <w:p>
      <w:pPr>
        <w:ind w:left="960" w:hanging="532"/>
        <w:spacing w:after="0"/>
        <w:tabs>
          <w:tab w:leader="none" w:pos="960" w:val="left"/>
        </w:tabs>
        <w:numPr>
          <w:ilvl w:val="0"/>
          <w:numId w:val="4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LEASE</w:t>
      </w:r>
    </w:p>
    <w:p>
      <w:pPr>
        <w:spacing w:after="0" w:line="117"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2.1 The term of the Lease (“Term”) shall be 5 (five) years, to commence on (the “Commencement Date”) which shall be the later to occur of (i) March 1, 2015, and (ii) the date by which all of the following have occurred: (a) Landlord has substantially completed the Tenant Improvements in accordance with this Lease; (b) Landlord has delivered possession of the Leased Premises to Tenant in the required condition; and (c) Landlord has obtained a temporary certificate of occupancy (“TCO”), a certificate of occupancy (“CO”), or a certificate of acceptance (“CA”) for the legal occupancy of the Leased Premises for the permitted use, and to end on the day before the fifth anniversary of the Commencement Date (“Expiration Date”). If the Commencement Date has not occurred by September 1, 2015, Tenant may terminate this Lease, upon prior written notice, and all amounts paid by Tenant to Landlord shall be refunded promptly to Tenant. In the event that Landlord</w:t>
      </w:r>
    </w:p>
    <w:p>
      <w:pPr>
        <w:sectPr>
          <w:pgSz w:w="11900" w:h="16838" w:orient="portrait"/>
          <w:cols w:equalWidth="0" w:num="1">
            <w:col w:w="11000"/>
          </w:cols>
          <w:pgMar w:left="440" w:top="269" w:right="459" w:bottom="1440" w:gutter="0" w:footer="0" w:header="0"/>
        </w:sectPr>
      </w:pPr>
    </w:p>
    <w:bookmarkStart w:id="576" w:name="page577"/>
    <w:bookmarkEnd w:id="576"/>
    <w:p>
      <w:pPr>
        <w:ind w:right="3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is able to achieve items (i) and (ii) above prior to March 1, 2015 and Tenant occupies the Leased Premises, Tenant shall be obligated to pay all Base Rent and Additional Rent as of the date of its occupancy.</w:t>
      </w:r>
    </w:p>
    <w:p>
      <w:pPr>
        <w:spacing w:after="0" w:line="310" w:lineRule="exact"/>
        <w:rPr>
          <w:sz w:val="20"/>
          <w:szCs w:val="20"/>
          <w:color w:val="auto"/>
        </w:rPr>
      </w:pPr>
    </w:p>
    <w:p>
      <w:pPr>
        <w:ind w:left="960" w:hanging="532"/>
        <w:spacing w:after="0"/>
        <w:tabs>
          <w:tab w:leader="none" w:pos="960"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 OF THE TENANT IMPROVEMENTS</w:t>
      </w:r>
    </w:p>
    <w:p>
      <w:pPr>
        <w:spacing w:after="0" w:line="117"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Landlord shall construct, at its sole cost and expense, the improvements described in Attachment B hereto (the “Tenant Improvements”). The Tenant Improvements shall be constructed in accordance with plans timely approved by Tenant and all applicable laws, in a good and workmanlike manner, free of defects and using materials and equipment of good quality. Tenant shall have the right to submit a written “punch list” to Landlord, setting forth any defective item of construction, and Landlord shall promptly cause such items to be corrected. Landlord shall use commercially reasonable efforts to deliver the Leased Premises in the required condition on or before March 1, 2015. Landlord shall deliver possession of the Leased Premises to Tenant with the Tenant Improvements substantially complete, in good, vacant, broom clean condition, with all building systems in good working order and the roof water-tight, and in compliance with all applicable laws. Tenant shall have the right to access the Leased</w:t>
      </w:r>
    </w:p>
    <w:p>
      <w:pPr>
        <w:spacing w:after="0" w:line="189"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Premises prior to the Commencement Date to prepare the Leased Premises for occupancy, so long as such access does not unreasonably interfere with Landlord’s construction of the Tenant Improvements. Such access shall be subject to the terms of this Lease, except no Rent shall be payable.</w:t>
      </w:r>
    </w:p>
    <w:p>
      <w:pPr>
        <w:spacing w:after="0" w:line="324" w:lineRule="exact"/>
        <w:rPr>
          <w:sz w:val="20"/>
          <w:szCs w:val="20"/>
          <w:color w:val="auto"/>
        </w:rPr>
      </w:pPr>
    </w:p>
    <w:p>
      <w:pPr>
        <w:ind w:left="960" w:hanging="532"/>
        <w:spacing w:after="0"/>
        <w:tabs>
          <w:tab w:leader="none" w:pos="960"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RENT</w:t>
      </w:r>
    </w:p>
    <w:p>
      <w:pPr>
        <w:spacing w:after="0" w:line="11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4.1 Tenant shall pay, as rent for the Leased Premises, an annual base rent of $20.00 per square foot, for an aggregate annual base rent of $253,040.00 (“Base Rent”), payable monthly in the sum of $21,086.67. Notwithstanding anything to the contrary in this Lease, provided Tenant is not in monetary default under this Lease after the expiration of all notice and grace periods, Base Rent shall abate for the one (1) month period during the thirtieth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full calendar month of the Term.</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4.2 Tenant shall pay the following which shall be referred to herein as “Additional Rent”:</w:t>
      </w:r>
    </w:p>
    <w:p>
      <w:pPr>
        <w:spacing w:after="0" w:line="225" w:lineRule="exact"/>
        <w:rPr>
          <w:sz w:val="20"/>
          <w:szCs w:val="20"/>
          <w:color w:val="auto"/>
        </w:rPr>
      </w:pPr>
    </w:p>
    <w:p>
      <w:pPr>
        <w:ind w:left="1680" w:hanging="252"/>
        <w:spacing w:after="0"/>
        <w:tabs>
          <w:tab w:leader="none" w:pos="1680"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Area Expenses as hereafter defined in paragraph 8.1.</w:t>
      </w:r>
    </w:p>
    <w:p>
      <w:pPr>
        <w:spacing w:after="0" w:line="22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charges as provided in this Lease. The Base Rent and Additional Rent shall be referred to hereafter as “Rent”.</w:t>
      </w:r>
    </w:p>
    <w:p>
      <w:pPr>
        <w:spacing w:after="0" w:line="225"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4.3 Tenant covenants to pay the Rent in lawful money of the United States which shall be legal tender for the payment of all debts, public and private, at the time of payment. Such Rent shall be paid to Landlord at its office address hereinabove set forth, or at such other place as Landlord may, from time to time, designate by notice to Tenant.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4.4 The Rent shall be payable by Tenant without any set-off or deduction of any kind or nature whatsoever and without notice or demand.</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9" w:right="459" w:bottom="1440" w:gutter="0" w:footer="0" w:header="0"/>
        </w:sectPr>
      </w:pPr>
    </w:p>
    <w:bookmarkStart w:id="577" w:name="page578"/>
    <w:bookmarkEnd w:id="577"/>
    <w:p>
      <w:pPr>
        <w:ind w:left="960" w:hanging="532"/>
        <w:spacing w:after="0"/>
        <w:tabs>
          <w:tab w:leader="none" w:pos="960"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PARKING AND USE OF EXTERIOR AREA</w:t>
      </w:r>
    </w:p>
    <w:p>
      <w:pPr>
        <w:spacing w:after="0" w:line="11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The Tenant shall have the right to use its pro rata share of the parking spaces in the lot serving the Building on an unreserved basis in common with other tenants of the Building. The Landlord and Tenant mutually agree that they will not block, hinder or otherwise obstruct the access driveways and parking areas so as to impede the free flow of vehicular traffic on the property. In connection with the use of the loading platforms, if any, Tenant agrees that it will not use the same so as to unreasonably interfere with the use of the access driveways and parking areas. Tenant shall not park or store trailers or other vehicles on any portion of the access driveways or parking areas, and may not utilize any portion of the land, Office Park, or Building outside of the Leased Premises for any purpose without the prior written consent of Landlord; provided, however, Tenant shall have the right to install and use a generator outside the Building in a location reasonably designated by Tenant and reasonably approved by Landlord and subject to Cranbury Township approval to serve the Leased Premises. Subject to the reasonable approval by Landlord as to the location thereof and subject to Cranbury Township approval, Tenant shall also have the right, at its expense, to locate, install and maintain HVAC and other equipment on the roof of the Building at no additional rent provided such equipment is installed within the roof screens and conforms to applicable codes.</w:t>
      </w:r>
    </w:p>
    <w:p>
      <w:pPr>
        <w:spacing w:after="0" w:line="343" w:lineRule="exact"/>
        <w:rPr>
          <w:sz w:val="20"/>
          <w:szCs w:val="20"/>
          <w:color w:val="auto"/>
        </w:rPr>
      </w:pPr>
    </w:p>
    <w:p>
      <w:pPr>
        <w:ind w:left="960" w:hanging="532"/>
        <w:spacing w:after="0"/>
        <w:tabs>
          <w:tab w:leader="none" w:pos="96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USE</w:t>
      </w:r>
    </w:p>
    <w:p>
      <w:pPr>
        <w:spacing w:after="0" w:line="11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The Tenant covenants and </w:t>
      </w:r>
      <w:r>
        <w:rPr>
          <w:rFonts w:ascii="Times New Roman" w:cs="Times New Roman" w:eastAsia="Times New Roman" w:hAnsi="Times New Roman"/>
          <w:sz w:val="18"/>
          <w:szCs w:val="18"/>
          <w:i w:val="1"/>
          <w:iCs w:val="1"/>
          <w:color w:val="auto"/>
        </w:rPr>
        <w:t>agrees</w:t>
      </w:r>
      <w:r>
        <w:rPr>
          <w:rFonts w:ascii="Times New Roman" w:cs="Times New Roman" w:eastAsia="Times New Roman" w:hAnsi="Times New Roman"/>
          <w:sz w:val="18"/>
          <w:szCs w:val="18"/>
          <w:color w:val="auto"/>
        </w:rPr>
        <w:t xml:space="preserve"> to use and occupy the Leased Premises only for office, laboratory and research and development use, which use is expressly subject to all applicable zoning ordinances, rules and regulations of any governmental instrumentalities, boards or bureaus having jurisdiction thereof. Tenant’s use of the Leased Premises shall not interfere with the peaceable and quiet use and enjoyment by other tenants at their respective leased premises located at the Building or in the Office Park, nor shall Tenant’s activities cause Landlord to be in default under its leases with such other tenants. Tenant’s use must comply with all present and future statutes, laws, codes, regulations, ordinances, orders, rules, bylaws, administrative guidelines, requirements, directives and actions of any federal, state or local governmental or quasi-governmental authority, and other legal requirements of whatever kind or nature (“Legal Requirements”). Tenant shall not cause or permit Tenant or its agents, employees or contractors to cause any conduct or condition which may endanger, disturb or otherwise interfere with any other Building occupant’s normal operations or with the management of the Building. Tenant shall not commit any nuisance or excessive noise, and will dispose of all garbage and waste in compliance with laws and in a manner that minimizes emissions of dirt, fumes, odors or debris.</w:t>
      </w:r>
    </w:p>
    <w:p>
      <w:pPr>
        <w:spacing w:after="0" w:line="336" w:lineRule="exact"/>
        <w:rPr>
          <w:sz w:val="20"/>
          <w:szCs w:val="20"/>
          <w:color w:val="auto"/>
        </w:rPr>
      </w:pPr>
    </w:p>
    <w:p>
      <w:pPr>
        <w:ind w:left="960" w:hanging="532"/>
        <w:spacing w:after="0"/>
        <w:tabs>
          <w:tab w:leader="none" w:pos="960"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REPAIRS AND MAINTENANCE</w:t>
      </w:r>
    </w:p>
    <w:p>
      <w:pPr>
        <w:spacing w:after="0" w:line="117" w:lineRule="exact"/>
        <w:rPr>
          <w:sz w:val="20"/>
          <w:szCs w:val="20"/>
          <w:color w:val="auto"/>
        </w:rPr>
      </w:pPr>
    </w:p>
    <w:p>
      <w:pPr>
        <w:ind w:right="180" w:firstLine="991"/>
        <w:spacing w:after="0" w:line="256" w:lineRule="auto"/>
        <w:rPr>
          <w:sz w:val="20"/>
          <w:szCs w:val="20"/>
          <w:color w:val="auto"/>
        </w:rPr>
      </w:pPr>
      <w:r>
        <w:rPr>
          <w:rFonts w:ascii="Times New Roman" w:cs="Times New Roman" w:eastAsia="Times New Roman" w:hAnsi="Times New Roman"/>
          <w:sz w:val="18"/>
          <w:szCs w:val="18"/>
          <w:color w:val="auto"/>
        </w:rPr>
        <w:t>7.1 Tenant shall generally monitor, maintain and repair the Leased Premises, in a good and workmanlike manner, and shall, at the expiration of the term, deliver the Leased Premises in good order and condition, damages by fire or casualty, the elements, condemnation, repairs that are not Tenant’s responsibility hereunder and ordinary wear and tear excepted. Tenant covenants and agrees that it shall not cause or permit any waste, damage or disfigurement to the Leased Premises, or any overloading of the floors. Tenant shall maintain and make all repairs to the floor surface, plumbing and electrical systems including all ballasts and fluorescent fixtures located within and exclusively serving the Leased Premises. Landlord shall be responsible for repairs necessary to the Building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69" w:right="459" w:bottom="1440" w:gutter="0" w:footer="0" w:header="0"/>
        </w:sectPr>
      </w:pPr>
    </w:p>
    <w:bookmarkStart w:id="578" w:name="page579"/>
    <w:bookmarkEnd w:id="578"/>
    <w:p>
      <w:pPr>
        <w:ind w:left="4" w:right="6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structure, roof, exterior windows, doors and load-bearing walls, and electric and plumbing and other Building systems to the point where they enter the Leased Premises, and the maintenance of the HVAC systems located in the common mechanical room and on the roof along with the other mechanical systems located in the common mechanical room provided, however, that Landlord shall not be required to make, and Tenant shall be responsible for, any repairs occasioned by the acts or omissions of Tenant, its agents, employees, contractors or subcontractors. Tenant shall promptly report in writing to Landlord any defective condition which Landlord is required to repair, and Landlord’s obligation to repair, except as to routine maintenance, is conditioned upon receipt by Landlord of such prior written notice. Landlord’s obligation to repair is also conditioned, at Landlord’s option, upon Tenant not then being in default under this Lease after notice and expiration of the applicable cure period. Landlord shall have no other maintenance or repair obligations whatsoever with respect to the Leased Premises except that Landlord shall perform and construct any repair, maintenance or improvements</w:t>
      </w:r>
    </w:p>
    <w:p>
      <w:pPr>
        <w:ind w:left="4" w:hanging="4"/>
        <w:spacing w:after="0" w:line="251" w:lineRule="auto"/>
        <w:tabs>
          <w:tab w:leader="none" w:pos="249"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necessitated by the acts or omissions of Landlord or its agents, employees or contractors, (b) for which Landlord has a warranty, or (c) which could be treated as a “capital expenditure” under generally accepted accounting principles. Except for the foregoing, Tenant shall keep and maintain in good order, condition and repair the Leased Premises and every part thereof, including, without limitation, the interior surfaces of the exterior walls, interior doors, door frames, door checks, interior windows and window frames, all wall and floor coverings, all building systems and components thereof which exclusively service the Leased Premises including, without limitation, mechanical, plumbing, electrical, all lighting fixtures and all bathrooms within the Leased Premises, and alterations, additions or improvements (“Alterations”) made by or on behalf of Tenant and shall make all other interior non-structural repairs, replacements, renewals and restorations, ordinary and extraordinary, foreseen and unforeseen, required to be made in and to the Leased Premises. The term “repair” as used in this Section shall include replacements when necessary. Landlord agrees to maintain the Leased Premises at a minimum temperature of 45 degrees to prevent the freezing of domestic water and sprinkler pipes and no higher than 78 degrees to prevent humidity, mold and mildew. Landlord will provide Tenant’s desired comfortable office temperature so long as the same is within the temperature range set forth above.</w:t>
      </w:r>
    </w:p>
    <w:p>
      <w:pPr>
        <w:spacing w:after="0" w:line="192" w:lineRule="exact"/>
        <w:rPr>
          <w:sz w:val="20"/>
          <w:szCs w:val="20"/>
          <w:color w:val="auto"/>
        </w:rPr>
      </w:pPr>
    </w:p>
    <w:p>
      <w:pPr>
        <w:ind w:left="4" w:right="20" w:firstLine="991"/>
        <w:spacing w:after="0" w:line="258" w:lineRule="auto"/>
        <w:rPr>
          <w:sz w:val="20"/>
          <w:szCs w:val="20"/>
          <w:color w:val="auto"/>
        </w:rPr>
      </w:pPr>
      <w:r>
        <w:rPr>
          <w:rFonts w:ascii="Times New Roman" w:cs="Times New Roman" w:eastAsia="Times New Roman" w:hAnsi="Times New Roman"/>
          <w:sz w:val="18"/>
          <w:szCs w:val="18"/>
          <w:color w:val="auto"/>
        </w:rPr>
        <w:t>7.2 The Tenant shall, at its own cost and expense, pay all utility charges, including telephone and cable service, and to the extent provided in Section 7.4, gas and electric, servicing the Leased Premises. Landlord shall have the option, at Landlord’s sole cost, to install, at its own cost, separate water meter and invoice Tenant directly for its water/sewer usage. Tenant shall not store any items outside the Leased Premises, and shall deliver its garbage and recyclables to the central receiving area on the lot. Tenant shall dispose of all hazardous/medical waste with an approved hauler at its own cost and in compliance with all applicable laws, ordinances or rules and regulations.</w:t>
      </w:r>
    </w:p>
    <w:p>
      <w:pPr>
        <w:spacing w:after="0" w:line="183" w:lineRule="exact"/>
        <w:rPr>
          <w:sz w:val="20"/>
          <w:szCs w:val="20"/>
          <w:color w:val="auto"/>
        </w:rPr>
      </w:pPr>
    </w:p>
    <w:p>
      <w:pPr>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t>7.3 Landlord does not warrant that any services Landlord or any public utilities supply will not be interrupted. Services may be interrupted because of accidents, repairs, alterations, improvements or any other reason beyond the reasonable control of Landlord and Landlord shall not be subject to liability as a result thereof. Notwithstanding the foregoing, if the Leased Premises should become not reasonably suitable for Tenant’s use as a consequence of cessation of utilities, interference with access to the Leased Premises, legal restrictions or the presence of any Hazardous Material which does not result from Tenant’s release or emission of such Hazardous Material, and in any of the foregoing cases the interference with Tenant’s use of the Leased Premises persists for ten (10) business days, then Tenant shall be entitled to an equitable abatement of rent to the extent of the interference with Tenant’s use of the Leased Premises occasioned thereby. If the interference persists for more than ninety (90) days, Tenant shall have the right to terminate this Lease.</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9" w:right="459" w:bottom="1440" w:gutter="0" w:footer="0" w:header="0"/>
        </w:sectPr>
      </w:pPr>
    </w:p>
    <w:bookmarkStart w:id="579" w:name="page580"/>
    <w:bookmarkEnd w:id="579"/>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7.4 Landlord shall charge and Tenant shall pay for natural gas and electric utility charges at the rate of $7.50 per rentable square foot of the Leased Premises per year. This amount shall be adjusted as of the end of each year as follows: the budget will be compared to actual bills with any differential from that year’s billing being reconciled at that time via either credit to Tenant or payment to Landlord.</w:t>
      </w:r>
    </w:p>
    <w:p>
      <w:pPr>
        <w:spacing w:after="0" w:line="324" w:lineRule="exact"/>
        <w:rPr>
          <w:sz w:val="20"/>
          <w:szCs w:val="20"/>
          <w:color w:val="auto"/>
        </w:rPr>
      </w:pPr>
    </w:p>
    <w:p>
      <w:pPr>
        <w:ind w:left="960" w:hanging="532"/>
        <w:spacing w:after="0"/>
        <w:tabs>
          <w:tab w:leader="none" w:pos="96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COMMON AREA EXPENSES, TAXES AND INSURANCE</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8.1 The Tenant shall pay to the Landlord, monthly, as Additional Rent the cost of the following items all of which shall be known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Area Expenses in monthly installments at the same time Base Rent is due:</w:t>
      </w:r>
    </w:p>
    <w:p>
      <w:pPr>
        <w:spacing w:after="0" w:line="207" w:lineRule="exact"/>
        <w:rPr>
          <w:sz w:val="20"/>
          <w:szCs w:val="20"/>
          <w:color w:val="auto"/>
        </w:rPr>
      </w:pPr>
    </w:p>
    <w:p>
      <w:pPr>
        <w:ind w:firstLine="1428"/>
        <w:spacing w:after="0" w:line="266" w:lineRule="auto"/>
        <w:tabs>
          <w:tab w:leader="none" w:pos="1677"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costs incurred by the Landlord for the operation, maintenance or repair of the following items in the Office Park, which costs shall be fixed at $3.00/square foot of the Leased Premises for the year 2015 and shall increase by 3% each January 1st commencing on January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color w:val="auto"/>
        </w:rPr>
        <w:t xml:space="preserve"> 2016 (“Operating Costs”):</w:t>
      </w:r>
    </w:p>
    <w:p>
      <w:pPr>
        <w:spacing w:after="0" w:line="67" w:lineRule="exact"/>
        <w:rPr>
          <w:rFonts w:ascii="Times New Roman" w:cs="Times New Roman" w:eastAsia="Times New Roman" w:hAnsi="Times New Roman"/>
          <w:sz w:val="18"/>
          <w:szCs w:val="18"/>
          <w:color w:val="auto"/>
        </w:rPr>
      </w:pPr>
    </w:p>
    <w:p>
      <w:pPr>
        <w:ind w:left="2060" w:hanging="249"/>
        <w:spacing w:after="0"/>
        <w:tabs>
          <w:tab w:leader="none" w:pos="2060"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lawns and landscaping;</w:t>
      </w:r>
    </w:p>
    <w:p>
      <w:pPr>
        <w:spacing w:after="0" w:line="117" w:lineRule="exact"/>
        <w:rPr>
          <w:rFonts w:ascii="Times New Roman" w:cs="Times New Roman" w:eastAsia="Times New Roman" w:hAnsi="Times New Roman"/>
          <w:sz w:val="18"/>
          <w:szCs w:val="18"/>
          <w:color w:val="auto"/>
        </w:rPr>
      </w:pPr>
    </w:p>
    <w:p>
      <w:pPr>
        <w:ind w:left="2060" w:hanging="249"/>
        <w:spacing w:after="0"/>
        <w:tabs>
          <w:tab w:leader="none" w:pos="2060"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water/sewer usage and standby sprinkler charges;</w:t>
      </w:r>
    </w:p>
    <w:p>
      <w:pPr>
        <w:spacing w:after="0" w:line="117" w:lineRule="exact"/>
        <w:rPr>
          <w:rFonts w:ascii="Times New Roman" w:cs="Times New Roman" w:eastAsia="Times New Roman" w:hAnsi="Times New Roman"/>
          <w:sz w:val="18"/>
          <w:szCs w:val="18"/>
          <w:color w:val="auto"/>
        </w:rPr>
      </w:pPr>
    </w:p>
    <w:p>
      <w:pPr>
        <w:ind w:left="2060" w:hanging="249"/>
        <w:spacing w:after="0"/>
        <w:tabs>
          <w:tab w:leader="none" w:pos="2060"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exterior and interior common area Building lighting;</w:t>
      </w:r>
    </w:p>
    <w:p>
      <w:pPr>
        <w:spacing w:after="0" w:line="117" w:lineRule="exact"/>
        <w:rPr>
          <w:rFonts w:ascii="Times New Roman" w:cs="Times New Roman" w:eastAsia="Times New Roman" w:hAnsi="Times New Roman"/>
          <w:sz w:val="18"/>
          <w:szCs w:val="18"/>
          <w:color w:val="auto"/>
        </w:rPr>
      </w:pPr>
    </w:p>
    <w:p>
      <w:pPr>
        <w:ind w:left="2060" w:hanging="249"/>
        <w:spacing w:after="0"/>
        <w:tabs>
          <w:tab w:leader="none" w:pos="2060"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exterior sewer lines;</w:t>
      </w:r>
    </w:p>
    <w:p>
      <w:pPr>
        <w:spacing w:after="0" w:line="117" w:lineRule="exact"/>
        <w:rPr>
          <w:rFonts w:ascii="Times New Roman" w:cs="Times New Roman" w:eastAsia="Times New Roman" w:hAnsi="Times New Roman"/>
          <w:sz w:val="18"/>
          <w:szCs w:val="18"/>
          <w:color w:val="auto"/>
        </w:rPr>
      </w:pPr>
    </w:p>
    <w:p>
      <w:pPr>
        <w:ind w:left="2060" w:hanging="249"/>
        <w:spacing w:after="0"/>
        <w:tabs>
          <w:tab w:leader="none" w:pos="2060"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exterior utility lines;</w:t>
      </w:r>
    </w:p>
    <w:p>
      <w:pPr>
        <w:spacing w:after="0" w:line="117" w:lineRule="exact"/>
        <w:rPr>
          <w:rFonts w:ascii="Times New Roman" w:cs="Times New Roman" w:eastAsia="Times New Roman" w:hAnsi="Times New Roman"/>
          <w:sz w:val="18"/>
          <w:szCs w:val="18"/>
          <w:color w:val="auto"/>
        </w:rPr>
      </w:pPr>
    </w:p>
    <w:p>
      <w:pPr>
        <w:ind w:left="2060" w:hanging="249"/>
        <w:spacing w:after="0"/>
        <w:tabs>
          <w:tab w:leader="none" w:pos="2060"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and maintenance of any signs serving the Office Park;</w:t>
      </w:r>
    </w:p>
    <w:p>
      <w:pPr>
        <w:spacing w:after="0" w:line="117" w:lineRule="exact"/>
        <w:rPr>
          <w:rFonts w:ascii="Times New Roman" w:cs="Times New Roman" w:eastAsia="Times New Roman" w:hAnsi="Times New Roman"/>
          <w:sz w:val="18"/>
          <w:szCs w:val="18"/>
          <w:color w:val="auto"/>
        </w:rPr>
      </w:pPr>
    </w:p>
    <w:p>
      <w:pPr>
        <w:ind w:left="2060" w:hanging="249"/>
        <w:spacing w:after="0"/>
        <w:tabs>
          <w:tab w:leader="none" w:pos="2060"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snow removal;</w:t>
      </w:r>
    </w:p>
    <w:p>
      <w:pPr>
        <w:spacing w:after="0" w:line="117" w:lineRule="exact"/>
        <w:rPr>
          <w:rFonts w:ascii="Times New Roman" w:cs="Times New Roman" w:eastAsia="Times New Roman" w:hAnsi="Times New Roman"/>
          <w:sz w:val="18"/>
          <w:szCs w:val="18"/>
          <w:color w:val="auto"/>
        </w:rPr>
      </w:pPr>
    </w:p>
    <w:p>
      <w:pPr>
        <w:ind w:left="2060" w:hanging="249"/>
        <w:spacing w:after="0"/>
        <w:tabs>
          <w:tab w:leader="none" w:pos="2060"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garbage disposal and recycling;</w:t>
      </w:r>
    </w:p>
    <w:p>
      <w:pPr>
        <w:spacing w:after="0" w:line="117" w:lineRule="exact"/>
        <w:rPr>
          <w:rFonts w:ascii="Times New Roman" w:cs="Times New Roman" w:eastAsia="Times New Roman" w:hAnsi="Times New Roman"/>
          <w:sz w:val="18"/>
          <w:szCs w:val="18"/>
          <w:color w:val="auto"/>
        </w:rPr>
      </w:pPr>
    </w:p>
    <w:p>
      <w:pPr>
        <w:ind w:left="2060" w:hanging="249"/>
        <w:spacing w:after="0"/>
        <w:tabs>
          <w:tab w:leader="none" w:pos="2060"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ground maintenance;</w:t>
      </w:r>
    </w:p>
    <w:p>
      <w:pPr>
        <w:spacing w:after="0" w:line="117" w:lineRule="exact"/>
        <w:rPr>
          <w:rFonts w:ascii="Times New Roman" w:cs="Times New Roman" w:eastAsia="Times New Roman" w:hAnsi="Times New Roman"/>
          <w:sz w:val="18"/>
          <w:szCs w:val="18"/>
          <w:color w:val="auto"/>
        </w:rPr>
      </w:pPr>
    </w:p>
    <w:p>
      <w:pPr>
        <w:ind w:left="2160" w:hanging="349"/>
        <w:spacing w:after="0"/>
        <w:tabs>
          <w:tab w:leader="none" w:pos="2160"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parking lot, driveways and walkways;</w:t>
      </w:r>
    </w:p>
    <w:p>
      <w:pPr>
        <w:spacing w:after="0" w:line="117" w:lineRule="exact"/>
        <w:rPr>
          <w:rFonts w:ascii="Times New Roman" w:cs="Times New Roman" w:eastAsia="Times New Roman" w:hAnsi="Times New Roman"/>
          <w:sz w:val="18"/>
          <w:szCs w:val="18"/>
          <w:color w:val="auto"/>
        </w:rPr>
      </w:pPr>
    </w:p>
    <w:p>
      <w:pPr>
        <w:ind w:left="2140" w:hanging="329"/>
        <w:spacing w:after="0"/>
        <w:tabs>
          <w:tab w:leader="none" w:pos="2140"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contracts for the roof;</w:t>
      </w:r>
    </w:p>
    <w:p>
      <w:pPr>
        <w:spacing w:after="0" w:line="117" w:lineRule="exact"/>
        <w:rPr>
          <w:rFonts w:ascii="Times New Roman" w:cs="Times New Roman" w:eastAsia="Times New Roman" w:hAnsi="Times New Roman"/>
          <w:sz w:val="18"/>
          <w:szCs w:val="18"/>
          <w:color w:val="auto"/>
        </w:rPr>
      </w:pPr>
    </w:p>
    <w:p>
      <w:pPr>
        <w:ind w:left="2160" w:hanging="349"/>
        <w:spacing w:after="0"/>
        <w:tabs>
          <w:tab w:leader="none" w:pos="2160"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pest control;</w:t>
      </w:r>
    </w:p>
    <w:p>
      <w:pPr>
        <w:spacing w:after="0" w:line="117" w:lineRule="exact"/>
        <w:rPr>
          <w:rFonts w:ascii="Times New Roman" w:cs="Times New Roman" w:eastAsia="Times New Roman" w:hAnsi="Times New Roman"/>
          <w:sz w:val="18"/>
          <w:szCs w:val="18"/>
          <w:color w:val="auto"/>
        </w:rPr>
      </w:pPr>
    </w:p>
    <w:p>
      <w:pPr>
        <w:ind w:left="2160" w:hanging="349"/>
        <w:spacing w:after="0"/>
        <w:tabs>
          <w:tab w:leader="none" w:pos="2160"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 station monitoring for fire sprinkler system; and</w:t>
      </w:r>
    </w:p>
    <w:p>
      <w:pPr>
        <w:spacing w:after="0" w:line="117" w:lineRule="exact"/>
        <w:rPr>
          <w:rFonts w:ascii="Times New Roman" w:cs="Times New Roman" w:eastAsia="Times New Roman" w:hAnsi="Times New Roman"/>
          <w:sz w:val="18"/>
          <w:szCs w:val="18"/>
          <w:color w:val="auto"/>
        </w:rPr>
      </w:pPr>
    </w:p>
    <w:p>
      <w:pPr>
        <w:ind w:left="1420" w:right="320" w:firstLine="391"/>
        <w:spacing w:after="0" w:line="282" w:lineRule="auto"/>
        <w:tabs>
          <w:tab w:leader="none" w:pos="2148"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ordinary maintenance expenses normally incurred by Landlord relating to the Building and common areas of the Office Park;</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9" w:right="459" w:bottom="1440" w:gutter="0" w:footer="0" w:header="0"/>
        </w:sectPr>
      </w:pPr>
    </w:p>
    <w:bookmarkStart w:id="580" w:name="page581"/>
    <w:bookmarkEnd w:id="580"/>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$3.00/square foot, as increased annually, shall include the cost of the annual insurance premiums charged to the Landlord for insurance coverage which insure the buildings in the Office Park. The insurance shall be for the full replacement value of all insurable improvements in the Building, including the Tenant Improvements and any Alterations with any customary extensions of coverage including, but not limited to, vandalism, malicious mischief, sprinkler damage and comprehensive liability, on an “all risk” or “special causes” form and insurance for one year’s rent. The Landlord shall maintain said insurance in effect at all times hereunder. Any increase in the insurance premiums due to a change in rating of the Building to the extent attributable to Tenant’s particular use, or due to special Tenant equipment, shall be paid entirely by the Tenant. Tenant expressly acknowledges that Landlord shall not maintain insurance on Tenant’s furniture, fixtures, machinery, inventory, equipment or other personal property; and</w:t>
      </w:r>
    </w:p>
    <w:p>
      <w:pPr>
        <w:spacing w:after="0" w:line="192" w:lineRule="exact"/>
        <w:rPr>
          <w:sz w:val="20"/>
          <w:szCs w:val="20"/>
          <w:color w:val="auto"/>
        </w:rPr>
      </w:pPr>
    </w:p>
    <w:p>
      <w:pPr>
        <w:ind w:right="20" w:firstLine="1428"/>
        <w:spacing w:after="0" w:line="251" w:lineRule="auto"/>
        <w:tabs>
          <w:tab w:leader="none" w:pos="1687" w:val="left"/>
        </w:tabs>
        <w:numPr>
          <w:ilvl w:val="0"/>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Tenant’s Proportionate Share (as defined herein) of the real estate and personal property taxes assessed against the Office Park for land, building and improvements, along with any levy for the installation of local improvements affecting the Office Park assessed by any governmental body having jurisdiction thereof (“Taxes”), provided however, that Tenant shall be entitled to Tenant’s Proportionate Share of any refund obtained by Landlord with respect to any Taxes, after having deducted therefrom Landlord’s expenses in obtaining any such refund. Tenant’s Proportionate Share shall be a fraction, the numerator of which shall be the rentable square footage of the Leased Premises, and the denominator of which shall be the total square footage of all occupied or previously occupied space in the Office Park. Taxes shall be adjusted as of each January 1st of each year during the term, based on actual tax bills. Tenant’s Proportionate Share of Common Area Expenses for any calendar year, part of which falls within the term of this Lease and part of which does not, shall be appropriately prorated. In addition to Tenant’s Proportionate Share of the above items, Tenant shall pay directly any additional assessments on any Alterations made by Tenant or at Tenant’s expense that exceed standard improvements. If at any time during the term of this Lease the method or scope of taxation prevailing at the commencement of the Term shall be altered, Tenant’s Proportionate Share of such substituted tax or imposition shall be payable and discharged by the Tenant in the manner required pursuant to the law which shall authorize such change. Tenant shall pay before delinquent all taxes levied or assessed upon, measured by, or arising from: (a) the conduct of Tenant’s business; (b) Tenant’s leasehold estate; or (c) Tenant’s property. Additionally, Tenant shall pay to Landlord all sales, use, transaction privilege, or other excise tax that may at any time be levied or imposed upon, or measured by, any amount payable by Tenant under this Lease. Anything in this Section or elsewhere in this Lease to the contrary notwithstanding, Tenant shall not be obligated to pay any part of (1) any taxes on the income of the Landlord or the holder of an underlying mortgage and any taxes on the income of the lessor under any underlying lease, (2) any corporation, unincorporated business or franchise taxes, (3) any estate, gift, succession or inheritance taxes, (4) any capital gains, mortgage recording or transfer taxes, (5) any taxes or assessments attributable to any sign attached to, or located on, the Building or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land, (6) any similar taxes imposed on the Landlord, the holder of any underlying mortgage or the lessor under any underlying lease, (7) taxes levied on Landlord’s rental income, unless such tax or assessment is imposed in lieu of real property taxes or (8) taxes and assessments in excess of the amount which would be payable if such tax or assessment expense were paid in installments over the longest permitted term. Monthly payments on account of Taxes shall be paid at the same time and in the same manner as payments of Base Rent, in an amount equal to 1/12 of Landlord’s good faith estimate for the then-current calendar year. Any estimate given by Landlord under this Section may be modified at any time upon written notice to Tenant and monthly</w:t>
      </w:r>
    </w:p>
    <w:p>
      <w:pPr>
        <w:spacing w:after="0" w:line="1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69" w:right="459" w:bottom="1440" w:gutter="0" w:footer="0" w:header="0"/>
        </w:sectPr>
      </w:pPr>
    </w:p>
    <w:bookmarkStart w:id="581" w:name="page582"/>
    <w:bookmarkEnd w:id="581"/>
    <w:p>
      <w:pPr>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payments shall be adjusted after Landlord’s receipt of the applicable tax bill. Any adjustment for underpayment shall be paid by Tenant within 30 days after Landlord’s notice and any credit for overpayment shall be applied to the next Rent coming due. Landlord represents that Taxes are currently estimated to be $2.93 per square foot of the Leased Premises; and</w:t>
      </w:r>
    </w:p>
    <w:p>
      <w:pPr>
        <w:spacing w:after="0" w:line="176" w:lineRule="exact"/>
        <w:rPr>
          <w:sz w:val="20"/>
          <w:szCs w:val="20"/>
          <w:color w:val="auto"/>
        </w:rPr>
      </w:pPr>
    </w:p>
    <w:p>
      <w:pPr>
        <w:ind w:left="1680" w:hanging="252"/>
        <w:spacing w:after="0"/>
        <w:tabs>
          <w:tab w:leader="none" w:pos="1680"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management fee of 3% of the Tenant’s Base Rent.</w:t>
      </w:r>
    </w:p>
    <w:p>
      <w:pPr>
        <w:spacing w:after="0" w:line="225" w:lineRule="exact"/>
        <w:rPr>
          <w:rFonts w:ascii="Times New Roman" w:cs="Times New Roman" w:eastAsia="Times New Roman" w:hAnsi="Times New Roman"/>
          <w:sz w:val="18"/>
          <w:szCs w:val="18"/>
          <w:color w:val="auto"/>
        </w:rPr>
      </w:pPr>
    </w:p>
    <w:p>
      <w:pPr>
        <w:ind w:right="100" w:firstLine="1428"/>
        <w:spacing w:after="0" w:line="261" w:lineRule="auto"/>
        <w:tabs>
          <w:tab w:leader="none" w:pos="1687"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charge of $0.67 per square foot for the maintenance of the common HVAC and other mechanical systems servicing the modules as indicated on Attachment A. This amount shall be adjusted as of the end of the each year. The budget will be compared to actual bills with any differential from that year’s billing being reconciled at that time via either credit to Tenant or payment to Landlord; however, in no event shall such amount increase by more than fifteen percent (15%).</w:t>
      </w:r>
    </w:p>
    <w:p>
      <w:pPr>
        <w:spacing w:after="0" w:line="180"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8.2 Tenant’s Share of Common Area Expenses for any calendar year, part of which falls within the term of this Lease and part of which does not, shall be appropriately prorated.</w:t>
      </w:r>
    </w:p>
    <w:p>
      <w:pPr>
        <w:spacing w:after="0" w:line="162"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8.3 If at any time during the term of this Lease the method or scope of taxation prevailing at the commencement of the lease term shall be altered, Tenant’s Proportionate Share of such substituted tax or imposition shall be payable and discharged by the Tenant in the manner required pursuant to the law which shall authorize such change.</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8.4 Tenant, at all times and at its expense, shall keep in effect commercial general liability insurance, including contractual liability insurance, covering Tenant’s use of the Leased Premises, with a $2,000,000 combined single limit with a $5,000,000 general aggregate limit (which general aggregate limit may be satisfied by an umbrella liability policy) for bodily injury or property damage and no less than $300,000.00 for property damage, with a deductible of no more than $20,000.00; however, such limits shall not limit Tenant’s liability hereunder. The policy shall name Landlord, and at Landlord’s request, any mortgagee(s), as additional insureds, shall be written on an “occurrence” basis and not on a “claims made” basis and shall be endorsed to provide that it is primary to any policies carried by Landlord and to provide that it shall not be cancelable or reduced without at least 30 days prior notice to Landlord. The insurer shall be authorized to issue such insurance, licensed to do business and admitted in the state in which the Office Park is located and rated at least A-VII in the most current edition of Best’s Insurance Reports. Tenant shall deliver to Landlord on or before the Commencement Date or any earlier date on which Tenant accesses the Leased Premises, and at least 10 days prior to the date of each policy renewal, a certificate of insurance evidencing such coverage. Tenant shall at all times, at its own cost and expense, carry sufficient “All Risk” property insurance on a replacement cost basis to avoid any coinsurance penalties in applicable policies on all of Tenant’s furniture, furnishings, fixtures, machinery, equipment and installations as well as any Tenant Alterations. Such coverage is to include property undergoing additions and alterations, and shall cover the value of equipment and supplies awaiting installations.</w:t>
      </w:r>
    </w:p>
    <w:p>
      <w:pPr>
        <w:spacing w:after="0" w:line="187"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in this Lease, Landlord and Tenant each waive, and release each other from and against, all claims for recovery against the other for any loss or damage to the property of such party arising out of fire or other casualty coverable by the insurance required to be maintained under the Lease. This waiver and release is effective regardless of whether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9" w:right="459" w:bottom="1440" w:gutter="0" w:footer="0" w:header="0"/>
        </w:sectPr>
      </w:pPr>
    </w:p>
    <w:bookmarkStart w:id="582" w:name="page583"/>
    <w:bookmarkEnd w:id="582"/>
    <w:p>
      <w:pPr>
        <w:ind w:left="4" w:right="1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releasing party actually maintains said insurance and is not limited to the amount of insurance actually carried, or to the actual proceeds received after a loss. Each party shall have its insurance company that issues its property coverage waive any rights of subrogation, and shall have the insurance company include an endorsement acknowledging this waiver, if necessary. All of Landlord’s and Tenant’s repair and indemnity obligations under this Lease shall be subject to the waiver contained in this paragraph.</w:t>
      </w:r>
    </w:p>
    <w:p>
      <w:pPr>
        <w:spacing w:after="0" w:line="328" w:lineRule="exact"/>
        <w:rPr>
          <w:sz w:val="20"/>
          <w:szCs w:val="20"/>
          <w:color w:val="auto"/>
        </w:rPr>
      </w:pPr>
    </w:p>
    <w:p>
      <w:pPr>
        <w:ind w:left="964" w:hanging="532"/>
        <w:spacing w:after="0"/>
        <w:tabs>
          <w:tab w:leader="none" w:pos="964"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SIGNS</w:t>
      </w:r>
    </w:p>
    <w:p>
      <w:pPr>
        <w:spacing w:after="0" w:line="117" w:lineRule="exact"/>
        <w:rPr>
          <w:sz w:val="20"/>
          <w:szCs w:val="20"/>
          <w:color w:val="auto"/>
        </w:rPr>
      </w:pPr>
    </w:p>
    <w:p>
      <w:pPr>
        <w:ind w:left="4" w:right="80" w:firstLine="991"/>
        <w:spacing w:after="0" w:line="261" w:lineRule="auto"/>
        <w:rPr>
          <w:sz w:val="20"/>
          <w:szCs w:val="20"/>
          <w:color w:val="auto"/>
        </w:rPr>
      </w:pPr>
      <w:r>
        <w:rPr>
          <w:rFonts w:ascii="Times New Roman" w:cs="Times New Roman" w:eastAsia="Times New Roman" w:hAnsi="Times New Roman"/>
          <w:sz w:val="18"/>
          <w:szCs w:val="18"/>
          <w:color w:val="auto"/>
        </w:rPr>
        <w:t>Tenant shall not place any signs in the Office Park without the prior consent of Landlord, other than an identification sign with Tenant’s name on the entry door to the Leased Premises, and signs that are located wholly within the interior of the Leased Premises, at Tenant’s sole cost and expense. Tenant shall maintain all signs installed by Tenant in good condition. Tenant shall remove its signs at the termination of this Lease, shall repair any resulting damage. Landlord shall provide Tenant with a listing on the Building monument sign.</w:t>
      </w:r>
    </w:p>
    <w:p>
      <w:pPr>
        <w:spacing w:after="0" w:line="328" w:lineRule="exact"/>
        <w:rPr>
          <w:sz w:val="20"/>
          <w:szCs w:val="20"/>
          <w:color w:val="auto"/>
        </w:rPr>
      </w:pPr>
    </w:p>
    <w:p>
      <w:pPr>
        <w:ind w:left="964" w:hanging="532"/>
        <w:spacing w:after="0"/>
        <w:tabs>
          <w:tab w:leader="none" w:pos="964"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SUBLETTING</w:t>
      </w:r>
    </w:p>
    <w:p>
      <w:pPr>
        <w:spacing w:after="0" w:line="117" w:lineRule="exact"/>
        <w:rPr>
          <w:sz w:val="20"/>
          <w:szCs w:val="20"/>
          <w:color w:val="auto"/>
        </w:rPr>
      </w:pPr>
    </w:p>
    <w:p>
      <w:pPr>
        <w:ind w:left="4" w:right="180" w:firstLine="991"/>
        <w:spacing w:after="0" w:line="276" w:lineRule="auto"/>
        <w:rPr>
          <w:sz w:val="20"/>
          <w:szCs w:val="20"/>
          <w:color w:val="auto"/>
        </w:rPr>
      </w:pPr>
      <w:r>
        <w:rPr>
          <w:rFonts w:ascii="Times New Roman" w:cs="Times New Roman" w:eastAsia="Times New Roman" w:hAnsi="Times New Roman"/>
          <w:sz w:val="17"/>
          <w:szCs w:val="17"/>
          <w:color w:val="auto"/>
        </w:rPr>
        <w:t>10.1 (a) Except as provided below, Tenant shall not enter into nor permit (i) any assignment, transfer, pledge or other encumbrance of all or a portion of Tenant’s interest in this Lease, (ii) any sublease, license or concession of all or a portion of Tenant’s interest in the Leased Premises or</w:t>
      </w:r>
    </w:p>
    <w:p>
      <w:pPr>
        <w:spacing w:after="0" w:line="1" w:lineRule="exact"/>
        <w:rPr>
          <w:sz w:val="20"/>
          <w:szCs w:val="20"/>
          <w:color w:val="auto"/>
        </w:rPr>
      </w:pPr>
    </w:p>
    <w:p>
      <w:pPr>
        <w:ind w:left="4" w:hanging="4"/>
        <w:spacing w:after="0" w:line="265" w:lineRule="auto"/>
        <w:tabs>
          <w:tab w:leader="none" w:pos="319" w:val="left"/>
        </w:tabs>
        <w:numPr>
          <w:ilvl w:val="0"/>
          <w:numId w:val="4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transfer of more than fifty percent (50%) of the ownership interests in Tenant in one or more related transactions voluntarily or by operation of law (other than pursuant to an initial public offering of stock or an equity financing) (collectively, “Transfer”) without the prior written consent of Landlord or Landlord’s affiliate. Landlord shall not unreasonably withhold its consent if the following conditions are satisfied (i) the proposed transferee is not an existing tenant of Landlord, (ii) the business, business reputation or creditworthiness of the proposed transferee is acceptable to Landlord, and</w:t>
      </w:r>
    </w:p>
    <w:p>
      <w:pPr>
        <w:ind w:left="4" w:right="60" w:hanging="4"/>
        <w:spacing w:after="0" w:line="253" w:lineRule="auto"/>
        <w:tabs>
          <w:tab w:leader="none" w:pos="316"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is not in default under this Lease. Consent to one Transfer shall not be deemed to be consent to any subsequent Transfer. In no event shall any Transfer relieve Tenant from any obligation under this Lease. Landlord’s acceptance of Rent from any person shall not be deemed to be a waiver by Landlord of any provision of this Lease or to be consent to any Transfer. Any Transfer not in conformity with this Section shall be void at the option of Landlord. Notwithstanding the above, Tenant will not be permitted to sublease any space to an existing tenant within the Office Park or at Eastpark at 8A.</w:t>
      </w:r>
    </w:p>
    <w:p>
      <w:pPr>
        <w:spacing w:after="0" w:line="186" w:lineRule="exact"/>
        <w:rPr>
          <w:rFonts w:ascii="Times New Roman" w:cs="Times New Roman" w:eastAsia="Times New Roman" w:hAnsi="Times New Roman"/>
          <w:sz w:val="18"/>
          <w:szCs w:val="18"/>
          <w:color w:val="auto"/>
        </w:rPr>
      </w:pPr>
    </w:p>
    <w:p>
      <w:pPr>
        <w:ind w:left="4" w:right="20" w:firstLine="1428"/>
        <w:spacing w:after="0" w:line="276" w:lineRule="auto"/>
        <w:tabs>
          <w:tab w:leader="none" w:pos="1691" w:val="left"/>
        </w:tabs>
        <w:numPr>
          <w:ilvl w:val="1"/>
          <w:numId w:val="4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Landlord’s consent shall not be required in the event of a deemed Transfer due to a transfer of ownership interests as described in Section 10.1(a)(iii) or any Transfer by Tenant to an Affiliate (defined as (i) any entity controlling, controlled by, or under common control of, Tenant,</w:t>
      </w:r>
    </w:p>
    <w:p>
      <w:pPr>
        <w:ind w:left="4" w:right="20" w:hanging="4"/>
        <w:spacing w:after="0" w:line="253" w:lineRule="auto"/>
        <w:tabs>
          <w:tab w:leader="none" w:pos="269"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successor to Tenant by merger, consolidation or reorgani7ation, and (iii) any purchaser of all or substantially all of the assets of Tenant as a going concern) provided that (i) the transferee (or Tenant, following a deemed Transfer due to a transfer of ownership interests) has a tangible net worth at least equal to that of Tenant as of the date of this Lease, (ii) Tenant provides Landlord notice of the Transfer at least 15 days prior to the effective date, together with current financial statements of the transferee certified by an executive officer of the transferee, and (iii) in the case of an assignment, Tenant delivers to Landlord an assumption agreement reasonably acceptable to Landlord executed by Tenant and the transferee.</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4"/>
          </w:cols>
          <w:pgMar w:left="436" w:top="269" w:right="459" w:bottom="1440" w:gutter="0" w:footer="0" w:header="0"/>
        </w:sectPr>
      </w:pPr>
    </w:p>
    <w:bookmarkStart w:id="583" w:name="page584"/>
    <w:bookmarkEnd w:id="583"/>
    <w:p>
      <w:pPr>
        <w:ind w:right="80" w:firstLine="1428"/>
        <w:spacing w:after="0" w:line="256" w:lineRule="auto"/>
        <w:tabs>
          <w:tab w:leader="none" w:pos="1677"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provisions of subsection (a) above notwithstanding, if Tenant proposes to Transfer all of the Leased Premises (other than to an Affiliate), Landlord may terminate this Lease by delivering written notice thereof to Tenant within the above time period, and Landlord may condition the termination of this Lease on execution of a new lease between Landlord and the proposed transferee within thirty (30) days after Landlord’s delivery of its notice. If this Lease is not so terminated or amended, Tenant shall pay to Landlord monthly, 50% of the excess of (i) all compensation received by Tenant for the Transfer over (ii) the Rent allocable to the Leased Premises transferred, less Tenant’s reasonable expenses of marketing the space and paying brokerage commissions and reasonable legal fees.</w:t>
      </w:r>
    </w:p>
    <w:p>
      <w:pPr>
        <w:spacing w:after="0" w:line="187" w:lineRule="exact"/>
        <w:rPr>
          <w:rFonts w:ascii="Times New Roman" w:cs="Times New Roman" w:eastAsia="Times New Roman" w:hAnsi="Times New Roman"/>
          <w:sz w:val="18"/>
          <w:szCs w:val="18"/>
          <w:color w:val="auto"/>
        </w:rPr>
      </w:pPr>
    </w:p>
    <w:p>
      <w:pPr>
        <w:ind w:firstLine="1428"/>
        <w:spacing w:after="0" w:line="255" w:lineRule="auto"/>
        <w:tabs>
          <w:tab w:leader="none" w:pos="1687" w:val="left"/>
        </w:tabs>
        <w:numPr>
          <w:ilvl w:val="0"/>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requests Landlord’s consent to a Transfer, Tenant shall provide Landlord with current financial statements of the transferee certified by an executive officer of the transferee, a complete copy of the proposed Transfer documents, and any other information Landlord reasonably requests. Landlord shall notify Tenant within 30 days after receipt of the foregoing, whether Landlord is granting or withholding consent, or, if (c) applies, whether Landlord elects to terminate the Lease. Immediately following any approved assignment, Tenant shall deliver to Landlord an assumption agreement reasonably acceptable to Landlord executed by Tenant and the transferee, together with a certificate of insurance evidencing the transferee’s compliance with the insurance requirements of Tenant under this Lease. Tenant agrees to reimburse Landlord for reasonable administrative and reasonable attorneys’ fees in connection with the processing and documentation of any Transfer for which Landlord’s consent is requested.</w:t>
      </w:r>
    </w:p>
    <w:p>
      <w:pPr>
        <w:spacing w:after="0" w:line="189"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10.2 In the event of any assignment or subletting permitted by the Landlord, the Tenant shall remain and be directly and primarily responsible for payment and performance of the within Lease obligations, and the Landlord reserves the right, at all times, to require and demand that the Tenant pay and perform the terms and conditions of this Lease. In the case of a complete recapture, Tenant shall be released from all further liability with respect to the recaptured space. No such assignment or subletting shall be made to any Tenant who shall occupy the Leased Premises for any use other than that which is permitted to the Tenant, or for any use which may be deemed inappropriate for the Building or extra hazardous, or which would in any way violate applicable laws, ordinances or rules and regulations of governmental boards and bodies having jurisdiction.</w:t>
      </w:r>
    </w:p>
    <w:p>
      <w:pPr>
        <w:spacing w:after="0" w:line="336" w:lineRule="exact"/>
        <w:rPr>
          <w:sz w:val="20"/>
          <w:szCs w:val="20"/>
          <w:color w:val="auto"/>
        </w:rPr>
      </w:pPr>
    </w:p>
    <w:p>
      <w:pPr>
        <w:ind w:left="960" w:hanging="532"/>
        <w:spacing w:after="0"/>
        <w:tabs>
          <w:tab w:leader="none" w:pos="960"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FIRE AND CASUALTY</w:t>
      </w:r>
    </w:p>
    <w:p>
      <w:pPr>
        <w:spacing w:after="0" w:line="117" w:lineRule="exact"/>
        <w:rPr>
          <w:sz w:val="20"/>
          <w:szCs w:val="20"/>
          <w:color w:val="auto"/>
        </w:rPr>
      </w:pPr>
    </w:p>
    <w:p>
      <w:pPr>
        <w:ind w:firstLine="991"/>
        <w:spacing w:after="0" w:line="272" w:lineRule="auto"/>
        <w:rPr>
          <w:sz w:val="20"/>
          <w:szCs w:val="20"/>
          <w:color w:val="auto"/>
        </w:rPr>
      </w:pPr>
      <w:r>
        <w:rPr>
          <w:rFonts w:ascii="Times New Roman" w:cs="Times New Roman" w:eastAsia="Times New Roman" w:hAnsi="Times New Roman"/>
          <w:sz w:val="17"/>
          <w:szCs w:val="17"/>
          <w:color w:val="auto"/>
        </w:rPr>
        <w:t>11.1 In case of any damage to or destruction of any portion of the Building of which the Leased Premises is a part by fire or other casualty occurring during the term of this Lease (or prior thereto), which shall render at least 1/3 of the floor area of the Leased Premises or portions of the building required for Tenant’s use of the Leased Premises untenantable or unfit for occupancy, which damage cannot be repaired within 180 days from the happening of such casualty, using reasonable diligence (“Total Destruction”) then the term hereby created shall, at the option of the Landlord, upon written notice to the Tenant within 15 days of such fire or casualty, cease and become null and void from the date of such Total Destruction. In such event the Tenant shall immediately surrender the Leased Premises to the Landlord and this Lease shall terminate. The Tenant shall only pay Rent to the time of such Total Destruction. However, in the event of Total Destruction if the Landlord shall elect not to cancel this Lease within the 15 day period the Landlord shall repair and restore the Building to substantially the same condition as it was prior to the damage or destruction, with reasonable speed</w:t>
      </w:r>
    </w:p>
    <w:p>
      <w:pPr>
        <w:spacing w:after="0" w:line="1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440" w:top="269" w:right="519" w:bottom="1440" w:gutter="0" w:footer="0" w:header="0"/>
        </w:sectPr>
      </w:pPr>
    </w:p>
    <w:bookmarkStart w:id="584" w:name="page585"/>
    <w:bookmarkEnd w:id="584"/>
    <w:p>
      <w:pPr>
        <w:ind w:left="4"/>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dispatch. The Rent shall not be accrued after said damage or while the repairs and restorations are being made, but shall recommence immediately after the Leased Premises are substantially restored as evidenced by the issuance of a TCO/CO/CA by municipal authorities. In any case where Landlord must restore, consideration shall be given for delays under the Force Majeure paragraph in this Lease, but such delays shall not impact Tenant’s rent abatement or termination rights hereunder, if any. Whether or not this Lease has been terminated as a result of a casualty, in every instance, all property insurance proceeds payable as a result of damage or destruction to the Building shall be paid to Landlord as its sole and exclusive property.</w:t>
      </w:r>
    </w:p>
    <w:p>
      <w:pPr>
        <w:spacing w:after="0" w:line="168"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11.2 In the event of any other casualty which shall not be tantamount to Total Destruction the Landlord shall repair and restore the Building and the Leased Premises to substantially the same condition as they were prior to the damage or destruction, but not Tenant’s personal property, furnishings, inventory, fixtures or equipment, with reasonable speed and dispatch. Such repairs will not exceed 180 days from the issuance of a construction permit. The Rent shall abate or shall be equitably apportioned as to any portion of the Leased Premises which shall be unfit for occupancy by the Tenant, or which cannot be used by the Tenant to conduct its business. The Rent shall recommence immediately upon substantial restoration of the Leased Premises as evidenced by the issuance of a TCO/CO/CA by municipal authorities.</w:t>
      </w:r>
    </w:p>
    <w:p>
      <w:pPr>
        <w:spacing w:after="0" w:line="187"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11.3 In the event of any casualty to the Leased Premises or portion of the Building required for Tenant’s use of the Leased Premises caused by an event which is not covered by Landlord’s insurance policy required under this Lease, the restoration of which would cost more than ten percent (10%) of the replacement cost of the Building; the Landlord may elect to treat the casualty as though it had insurance or it may terminate the Lease. If it treats the casualty as though it had insurance then the provisions of paragraph 11.2 shall apply. The Landlord shall serve a written notice upon the Tenant within 15 days of the casualty specifying the election which it chooses to make.</w:t>
      </w:r>
    </w:p>
    <w:p>
      <w:pPr>
        <w:spacing w:after="0" w:line="183" w:lineRule="exact"/>
        <w:rPr>
          <w:sz w:val="20"/>
          <w:szCs w:val="20"/>
          <w:color w:val="auto"/>
        </w:rPr>
      </w:pPr>
    </w:p>
    <w:p>
      <w:pPr>
        <w:ind w:left="4" w:right="240" w:firstLine="991"/>
        <w:spacing w:after="0" w:line="261" w:lineRule="auto"/>
        <w:rPr>
          <w:sz w:val="20"/>
          <w:szCs w:val="20"/>
          <w:color w:val="auto"/>
        </w:rPr>
      </w:pPr>
      <w:r>
        <w:rPr>
          <w:rFonts w:ascii="Times New Roman" w:cs="Times New Roman" w:eastAsia="Times New Roman" w:hAnsi="Times New Roman"/>
          <w:sz w:val="18"/>
          <w:szCs w:val="18"/>
          <w:color w:val="auto"/>
        </w:rPr>
        <w:t>11.4 In the event the Landlord rebuilds, the Tenant agrees, at its cost and expense, to forthwith remove any and all of its equipment, fixtures, stock and personal property as needed in order to permit Landlord to expedite the construction. The Tenant shall assume at its sole risk the responsibility for damage to or security of such fixtures and equipment in the event that any portion of the Building area has been damaged and is not secure.</w:t>
      </w:r>
    </w:p>
    <w:p>
      <w:pPr>
        <w:spacing w:after="0" w:line="180" w:lineRule="exact"/>
        <w:rPr>
          <w:sz w:val="20"/>
          <w:szCs w:val="20"/>
          <w:color w:val="auto"/>
        </w:rPr>
      </w:pPr>
    </w:p>
    <w:p>
      <w:pPr>
        <w:ind w:left="4" w:right="260" w:firstLine="991"/>
        <w:spacing w:after="0" w:line="276" w:lineRule="auto"/>
        <w:rPr>
          <w:sz w:val="20"/>
          <w:szCs w:val="20"/>
          <w:color w:val="auto"/>
        </w:rPr>
      </w:pPr>
      <w:r>
        <w:rPr>
          <w:rFonts w:ascii="Times New Roman" w:cs="Times New Roman" w:eastAsia="Times New Roman" w:hAnsi="Times New Roman"/>
          <w:sz w:val="17"/>
          <w:szCs w:val="17"/>
          <w:color w:val="auto"/>
        </w:rPr>
        <w:t>11.5 If the Leased Premises are damaged by any peril and Landlord does not terminate this Lease, then Tenant shall have the option to terminate this Lease if the Leased Premises cannot be, or are not in fact, fully restored by Landlord to their prior condition within one hundred eighty</w:t>
      </w:r>
    </w:p>
    <w:p>
      <w:pPr>
        <w:spacing w:after="0" w:line="1" w:lineRule="exact"/>
        <w:rPr>
          <w:sz w:val="20"/>
          <w:szCs w:val="20"/>
          <w:color w:val="auto"/>
        </w:rPr>
      </w:pPr>
    </w:p>
    <w:p>
      <w:pPr>
        <w:ind w:left="444" w:hanging="444"/>
        <w:spacing w:after="0"/>
        <w:tabs>
          <w:tab w:leader="none" w:pos="444"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damage.</w:t>
      </w:r>
    </w:p>
    <w:p>
      <w:pPr>
        <w:spacing w:after="0" w:line="355" w:lineRule="exact"/>
        <w:rPr>
          <w:rFonts w:ascii="Times New Roman" w:cs="Times New Roman" w:eastAsia="Times New Roman" w:hAnsi="Times New Roman"/>
          <w:sz w:val="18"/>
          <w:szCs w:val="18"/>
          <w:color w:val="auto"/>
        </w:rPr>
      </w:pPr>
    </w:p>
    <w:p>
      <w:pPr>
        <w:ind w:left="42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COMPLIANCE WITH LAWS, RULES AND REGULATIONS</w:t>
      </w:r>
    </w:p>
    <w:p>
      <w:pPr>
        <w:spacing w:after="0" w:line="117"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12.1 (a) Tenant covenants and agrees that, except as otherwise set forth in this Section 12, it will, at its own cost, promptly comply with and carry out all Legal Requirements, including, but not limited to Environmental Laws, as defined below, to the extent that same apply to the manner of Tenant’s occupation or use of the Leased Premises, the conduct of Tenant’s business therein, the construction of any Alterations to the Leased Premises by or on behalf of Tenant, any termination of this Lease and surrender of possession by Tenant, or any acts, omissions or other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69" w:right="459" w:bottom="1440" w:gutter="0" w:footer="0" w:header="0"/>
        </w:sectPr>
      </w:pPr>
    </w:p>
    <w:bookmarkStart w:id="585" w:name="page586"/>
    <w:bookmarkEnd w:id="585"/>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activities of Tenant in or on the Office Park. Subject to the foregoing, to the extent that any Legal Requirements require modifications to the Leased Premises or the Building, in order to bring same into compliance with Legal Requirements and such Legal Requirements were in effect prior to the date of this Lease, Landlord shall be responsible for the compliance of such items with such Legal Requirements at Landlord’s cost. Notwithstanding anything to the contrary in this Lease, Landlord shall be responsible for, and Tenant shall not be required to comply with or cause the Leased Premises to comply with, any laws, rules, regulations or insurance requirements that require the construction of alterations unless such compliance is necessitated solely due to Tenant’s particular manner of use of or alterations to the Leased Premises.</w:t>
      </w:r>
    </w:p>
    <w:p>
      <w:pPr>
        <w:spacing w:after="0" w:line="187" w:lineRule="exact"/>
        <w:rPr>
          <w:sz w:val="20"/>
          <w:szCs w:val="20"/>
          <w:color w:val="auto"/>
        </w:rPr>
      </w:pPr>
    </w:p>
    <w:p>
      <w:pPr>
        <w:ind w:right="360" w:firstLine="1428"/>
        <w:spacing w:after="0" w:line="266" w:lineRule="auto"/>
        <w:tabs>
          <w:tab w:leader="none" w:pos="1687"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Tenant agrees, at its own cost and expense, to comply with such regulations or requests as may be required by the fire or liability insurance carriers providing insurance for the Leased Premises, and the Board of Fire Underwriters, in connection with Tenant’s use and occupancy of the Leased Premises.</w:t>
      </w:r>
    </w:p>
    <w:p>
      <w:pPr>
        <w:spacing w:after="0" w:line="175" w:lineRule="exact"/>
        <w:rPr>
          <w:rFonts w:ascii="Times New Roman" w:cs="Times New Roman" w:eastAsia="Times New Roman" w:hAnsi="Times New Roman"/>
          <w:sz w:val="18"/>
          <w:szCs w:val="18"/>
          <w:color w:val="auto"/>
        </w:rPr>
      </w:pPr>
    </w:p>
    <w:p>
      <w:pPr>
        <w:ind w:right="80" w:firstLine="1428"/>
        <w:spacing w:after="0" w:line="261" w:lineRule="auto"/>
        <w:tabs>
          <w:tab w:leader="none" w:pos="1677"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Tenant shall fail to comply with Legal Requirements, then Landlord may, after 10 days’ notice (except for emergency repairs, which may be made immediately), enter the Leased Premises and take any reasonable actions to comply with them, at the cost and expense of the Tenant. In addition to Landlord’s rights and remedies by reason of default by Tenant, the cost thereof shall be added to the next month’s Rent and shall be due and payable as such.</w:t>
      </w:r>
    </w:p>
    <w:p>
      <w:pPr>
        <w:spacing w:after="0" w:line="179" w:lineRule="exact"/>
        <w:rPr>
          <w:rFonts w:ascii="Times New Roman" w:cs="Times New Roman" w:eastAsia="Times New Roman" w:hAnsi="Times New Roman"/>
          <w:sz w:val="18"/>
          <w:szCs w:val="18"/>
          <w:color w:val="auto"/>
        </w:rPr>
      </w:pPr>
    </w:p>
    <w:p>
      <w:pPr>
        <w:ind w:firstLine="1428"/>
        <w:spacing w:after="0" w:line="252" w:lineRule="auto"/>
        <w:tabs>
          <w:tab w:leader="none" w:pos="1687"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Laws” are defined herein as all applicable present or future federal, state or local laws, ordinances, rules, executive orders or regulations (including the rules and regulations of the federal Environmental Protection Agency and comparable state agency) relating to the protection of human health or the environment including, but not limited to the Comprehensive Environmental Response Compensation and Liability Act of 1980, 42 U.S.C. 9601 et seq. (“CERCLA”); the Industrial Site Recovery Act, N.J. S.A. 13:1K-6 et seq., (“ISRA”); the New Jersey Spill Compensation and Control Act, N.J.S.A. 58:10-23.11 et seq., (“Spill Act”): the Solid Waste Management Act, N.J.S.A. 13:1E-1 et seq., (“SWMA”); the Resource Conservation and Recovery Act, 42 U.S.C. 6901 et seq., (“RCRA”); the New Jersey Underground Storage of Hazardous Substances Act, NJ. S.A. 58:10A-21 et seq., (“USTA”); the Clean Air Act, 42 U.S.C. Section 7401 et seq., (“CAA”); the Air Pollution Control Act, NJ.S.A. 26:2C-1 et seq., (“APCA”); the New Jersey Water Pollution Control Act, N.J.S.A. 58:10A-1 et seq., (“WPCA”); and any rules or regulations promulgated thereunder or in any other applicable federal, state or local law, rule or regulation dealing with environmental protection. For purposes of Environmental Laws, to the extent authorized by law and as between Landlord and Tenant, Tenant is and shall be deemed to be the responsible party as “operator” of Tenant’s “facility” and die “owner” of all Hazardous Materials brought on the Leased Premises and/or Property by Tenant, its agents, employees, contractors or invitees, and the wastes, by-products, or residues generated, resulting, or produced therefrom. Tenant agrees that (i) no activity will be conducted on the Leased Premises that will use or produce any pollutants, contaminants, toxic or hazardous wastes or other materials the removal of which is required or the use of which is regulated, restricted, or prohibited by any Environmental Law (“Hazardous Materials,”) except for activities which are part of the ordinary course of Tenant’s business and are conducted in accordance with all Environmental Laws, (“Permitted Activities”); “Hazardous Materials” includes any pollutant, toxic substances, any hazardous chemical, hazardous substance, hazardous pollutant, hazardous waste or any similar term as defined in or pursuant to the (i) CERCLA; (ii) RCRA; (iii) ISRA; (iv) Spill Act;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69" w:right="439" w:bottom="1440" w:gutter="0" w:footer="0" w:header="0"/>
        </w:sectPr>
      </w:pPr>
    </w:p>
    <w:bookmarkStart w:id="586" w:name="page587"/>
    <w:bookmarkEnd w:id="586"/>
    <w:p>
      <w:pPr>
        <w:ind w:left="4" w:right="20" w:hanging="4"/>
        <w:spacing w:after="0" w:line="268" w:lineRule="auto"/>
        <w:tabs>
          <w:tab w:leader="none" w:pos="259" w:val="left"/>
        </w:tabs>
        <w:numPr>
          <w:ilvl w:val="0"/>
          <w:numId w:val="4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WPCA; (vi) APCA; (vii) SWMA; (viii) CAA; and (ix) USTA and any rules or regulations promulgated thereunder or in any other applicable federal, state or local Iaw, rule or regulation dealing with environmental protection; it is understood and agreed that the provisions contained in this Lease shall be applicable notwithstanding whether any substance shall not have been deemed to be a Hazardous Material at the time of its use or “Release” (as defined below); (ii) the Leased Premises will not be used for storage of any Hazardous Materials, except for materials used in the Permitted Activities which are properly stored in a manner and location complying with all Environmental Laws; (iii) no portion of the Leased Premises or Property will be used by Tenant or Tenant’s employees, agents, or contractors (“Tenant’s Agents”) for disposal of Hazardous Materials in violation of Environmental Laws or any other applicable rule or regulation; (iv) Tenant will deliver to Landlord copies of all Material Safety Data Sheets and other written information prepared by manufacturers, importers or suppliers of any chemical on compact disks or electronic format acceptable to Landlord; and</w:t>
      </w:r>
    </w:p>
    <w:p>
      <w:pPr>
        <w:ind w:left="4" w:hanging="4"/>
        <w:spacing w:after="0" w:line="266" w:lineRule="auto"/>
        <w:tabs>
          <w:tab w:leader="none" w:pos="256" w:val="left"/>
        </w:tabs>
        <w:numPr>
          <w:ilvl w:val="0"/>
          <w:numId w:val="4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Tenant will immediately notify Landlord of any violation by Tenant or Tenant’s Agents of any Environmental Laws or the Release or suspected Release of Hazardous Materials in, under or about the Leased Premises by Tenant or Tenant’s Agents, and Tenant shall immediately deliver to Landlord a copy of any notice, filing or permit sent or received by Tenant with respect to the foregoing. “Release” shall mean the spilling, leaking, disposing, pumping, pouring, discharging, emitting emptying, ejecting, depositing, injecting, leaching, escaping or dumping however defined, and whether intentional or unintentional, of any Hazardous Material. Tenant shall take immediate steps to halt, remedy or cure any Release of a Hazardous Material in under or about the Leased Premises caused by the Tenant or Tenant’s Agents. If at any time during or after the Term, any portion of the Property is found to be contaminated by Tenant or Tenant’s Agents or subject to conditions prohibited in this Lease caused by Tenant or Tenant’s Agents or Tenant’s invitees, Tenant will indemnify, defend and hold Landlord harmless from all claims, demands, actions, liabilities, costs, expenses, attorneys’ fees, damages and obligations of any nature arising from or as a result thereof, and Landlord shall have the reasonable right to approve remediation activities, all of which shall be performed at Tenant’s cost and in a manner and to a level permitted by Environmental Laws. Tenant shall perform such work at any time during the period of the Lease upon written request by Landlord or, in the absence of a specific request by Landlord, before Tenant’s right to possession of the Leased Premises and/or Property terminates or expires. Tenant’s obligations pursuant to this subsection shall survive the expiration or termination of this Lease. If Tenant fails to perform such work within the reasonable time period specified by Landlord or before Tenant’s right to possession terminates or expires (whichever is earlier), Landlord may at its discretion, and without waiving any other remedy available under this Lease or at law or equity (including without limitation an action to compel Tenant to perform such work), perform such work at Tenant’s cost. Tenant shall pay all costs incurred by Landlord in performing such work within ten (10) days after Landlord’s request therefor. Such work performed by Landlord is on behalf of Tenant and Tenant remains the owner, generator, operator, transporter, and/or arranger of such Hazardous Materials for purposes of Environmental Laws. Tenant agrees not to enter into any agreement with any person, including without limitation any governmental authority, regarding the removal of Hazardous Materials that have been released onto or from the Leased Premises without the written approval of the Landlord.</w:t>
      </w:r>
    </w:p>
    <w:p>
      <w:pPr>
        <w:spacing w:after="0" w:line="200" w:lineRule="exact"/>
        <w:rPr>
          <w:rFonts w:ascii="Times New Roman" w:cs="Times New Roman" w:eastAsia="Times New Roman" w:hAnsi="Times New Roman"/>
          <w:sz w:val="17"/>
          <w:szCs w:val="17"/>
          <w:color w:val="auto"/>
        </w:rPr>
      </w:pPr>
    </w:p>
    <w:p>
      <w:pPr>
        <w:spacing w:after="0" w:line="201" w:lineRule="exact"/>
        <w:rPr>
          <w:rFonts w:ascii="Times New Roman" w:cs="Times New Roman" w:eastAsia="Times New Roman" w:hAnsi="Times New Roman"/>
          <w:sz w:val="17"/>
          <w:szCs w:val="17"/>
          <w:color w:val="auto"/>
        </w:rPr>
      </w:pPr>
    </w:p>
    <w:p>
      <w:pPr>
        <w:ind w:left="4" w:right="360" w:firstLine="1428"/>
        <w:spacing w:after="0" w:line="266" w:lineRule="auto"/>
        <w:tabs>
          <w:tab w:leader="none" w:pos="1681" w:val="left"/>
        </w:tabs>
        <w:numPr>
          <w:ilvl w:val="1"/>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and subject to the provisions of Section 12.1 (h) below, Tenant shall comply with the Industrial Site Recovery Act (N.J.S.A. 13:1k-6 et seq., herein “ISRA”), the regulations promulgated thereunder and any amending and successor legislation and regulations (including, without limitation, the New Jersey Site Remediation Reform Act, N.J.S.A.</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69" w:right="459" w:bottom="1440" w:gutter="0" w:footer="0" w:header="0"/>
        </w:sectPr>
      </w:pPr>
    </w:p>
    <w:bookmarkStart w:id="587" w:name="page588"/>
    <w:bookmarkEnd w:id="587"/>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58:10C-1 et seq., referred to herein as “SRRA”) in connection with a “Tenant Triggering Event” (as defined below), by obtaining a de minimus quantity exemption or a Response Action Outcome with respect to the Leased Premises (an “ISRA Clearance”). For purposes of the Lease, the term “Tenant Triggering Event” shall mean any action taken by Tenant which triggers the requirements of ISRA with respect to the Leased Premises, including without limitation, a “closing of operations” (as such term is defined under ISRA) by Tenant at the Leased Premises, a transfer of Tenant’s operations or business or a change in ownership of Tenant. Landlord shall cooperate with Tenant in connection with Tenant’s compliance with ISRA pursuant to this subsection. Tenant shall make all submissions to, provide all information to, and comply with all requirements of, the New Jersey Department of Environmental Protection (“NJDEP”) and a Licensed Site Remediation Professional (as this term is defined under SRRA, herein referred to as an “LSRP”) as selected by Tenant as necessary to accomplish ISRA Clearance. Landlord shall cooperate with Tenant and its LSRP by providing them with information in Landlord’s possession or control that Tenant requires in order to make its submissions. In the event that ISRA Clearance is not delivered to the Landlord prior to surrender of the Leased Premises by the Tenant to the Landlord, it is understood and agreed that the Tenant shall be liable to promptly and diligently take such steps as shall be required by Tenant to obtain such ISRA Clearance and deliver a copy thereof to Landlord after the surrender of the Leased Premises, subject to the provision of Section 12.1(g) below, together with any costs and expenses incurred by Landlord in enforcing Tenant’s obligations under this paragraph. In addition to the above, and subject to the provisions of Section 12.1 (g) below, Tenant agrees that it shall cooperate with Landlord in the event ISRA is applicable to any portion of the Property. In such case, Tenant agrees that it shall fully cooperate with Landlord in connection with any information or documentation in Tenant’s possession or control which may be requested by the NJDEP or the relevant LSRP with respect to the Leased Premises. The parties acknowledge and agree that pursuant to the provisions of ISRA, after the Lease Commencement Date, the Tenant shall be, and is hereby, designated the party responsible to comply with the requirements of ISRA that apply to Tenant’s use and operations of the Leased Premises in connection with a Tenant Triggering Event. In addition, any failure of Tenant to provide any information and submission within a reasonable time as required under ISRA and which is not cured within five (5) business days of notice of non-compliance shall constitute a default under this Lease. In the event that any remediation of the Property is required to be performed by Tenant pursuant to this Section 12.1 in connection with the conduct by Tenant of its business at the Leased Premises, Tenant expressly covenants and agrees that it shall, subject to the provision of Section 12.1(g) and (h) below, be responsible for the remediation to the extent attributable to the Tenant’s operation at the Leased Premises and Tenant shall, at Tenant’s own expense, prepare and submit the required plans, remediation funding source(s) and financial assurances, and carry out the approved remediation plans to the extent required pursuant to Environmental Laws. Without limitation of, but subject to, the foregoing, Tenant’s obligations to obtain ISRA Clearance in connection with a Tenant Triggering Event shall include (i) the proper filing, with the NJDEP, of an initial notice under NJ.S.A. 13:1K-9(a) and (ii) the performance of all remediation and other requirements of ISRA, including without limitation all requirements of N.J.S.A. 13:1K-9(b) through and including (1). Tenant hereby represents and warrants that its North American Industrial Classification System Code is 541711, and that Tenant shall not generate, manufacture, refine, transport, treat, store, handle or dispose of “hazardous substances” as the same are defined under ISRA and the regulations promulgated pursuant thereto, except in strict compliance with all governmental rules, regulations and procedures. Tenant hereby agrees that it shall promptly inform Landlord of any change in its NAICS number and obtain</w:t>
      </w:r>
    </w:p>
    <w:p>
      <w:pPr>
        <w:spacing w:after="0" w:line="13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440" w:top="269" w:right="519" w:bottom="1440" w:gutter="0" w:footer="0" w:header="0"/>
        </w:sectPr>
      </w:pPr>
    </w:p>
    <w:bookmarkStart w:id="588" w:name="page589"/>
    <w:bookmarkEnd w:id="588"/>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Landlord’s consent for any change in the nature of the business to be conducted in the Leased Premises from that permitted pursuant to the Lease. Tenant shall indemnify, defend and hold Landlord harmless from and against any and all losses (including, without limitation, diminution in value of the Premises or the Property), claims, demands, actions, suits, damages (excluding punitive damages from the indemnification to the extent that such damages result from acts or omissions of Landlord), expenses (including, without limitation, remediation, removal, repair, corrective action, or clean up expenses), and costs (including, without limitation, actual attorneys’ fees, consultant fees or expert fees) which are brought or are recoverable against, or suffered or incurred by Landlord as a result of any Release of Hazardous Materials or any breach of the requirements under this Section 12 by Tenant, its agents, employees, contractors, subtenants, assignees or invitees, regardless of whether Tenant had knowledge of such non-compliance. The within covenants shall survive the expiration or earlier termination of the Lease term.</w:t>
      </w:r>
    </w:p>
    <w:p>
      <w:pPr>
        <w:spacing w:after="0" w:line="19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(f) The Leased Premises are not presently subject to ISRA, and to the best of Landlord’s knowledge have never been subject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ISRA.</w:t>
      </w:r>
    </w:p>
    <w:p>
      <w:pPr>
        <w:spacing w:after="0" w:line="207" w:lineRule="exact"/>
        <w:rPr>
          <w:sz w:val="20"/>
          <w:szCs w:val="20"/>
          <w:color w:val="auto"/>
        </w:rPr>
      </w:pPr>
    </w:p>
    <w:p>
      <w:pPr>
        <w:ind w:right="100" w:firstLine="1428"/>
        <w:spacing w:after="0" w:line="253" w:lineRule="auto"/>
        <w:tabs>
          <w:tab w:leader="none" w:pos="1687" w:val="left"/>
        </w:tabs>
        <w:numPr>
          <w:ilvl w:val="1"/>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Lease to the contrary, the liability of the Tenant, and any indemnities provided by the Tenant hereunder, shall not extend to Hazardous Materials that were placed on the Leased Premises, in the Building, or on the Office Park by Landlord, or by any of Landlord’s Agents. In addition, Landlord shall not include in Additional Rent or Common Area Expenses, or pass on to Tenant directly or indirectly, the cost incurred by Landlord in monitoring, reporting, testing, abating and/or removing Hazardous Materials that were contained in the Leased Premises, in the Building and/or on the Office Park prior to the date hereof. As of the date hereof, to the knowledge of Landlord, no Hazardous Material is present the Office Park or the soil, surface water or groundwater thereof, and under no circumstance shall Tenant be liable for, and Landlord shall indemnify, defend, protect and hold harmless Tenant, its agents, contractors, stockholders, directors, successors, representatives, and assigns from and against, all losses, costs, claims, liabilities and damages (including attorneys’ and consultants’ fees) arising out of any Hazardous Material present prior to Tenant’s occupancy on or about the Office Park or the soil, air, improvements, groundwater or surface water thereof, except to the extent due to the Release of Hazardous Material by Tenant or Tenant’s Agents in violation of applicable Environmental Laws.</w:t>
      </w:r>
    </w:p>
    <w:p>
      <w:pPr>
        <w:spacing w:after="0" w:line="342"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INSPECTION BY LANDLORD</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agrees that Landlord shall have the right to enter into the Leased Premises at all reasonable hours for the purpose of examining the</w:t>
      </w:r>
    </w:p>
    <w:p>
      <w:pPr>
        <w:spacing w:after="0" w:line="2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same upon reasonable advance notice of not less than 1 business day (except in the event of emergency), or to make such repairs as are necessary, to exhibit the Leased Premises to mortgagees or prospective mortgagees or purchasers, and during the last 12 months of the Term, to prospective tenants. Tenant agrees that, if Tenant and any subtenant have ceased business operations in the Leased Premises, Landlord shall have the right to enter into the Leased Premises at all hours for any reason without notice, including the showing of the space to other prospective tenants. Any entry or repair shall not unduly interfere with Tenant’s use of the Leased Premises and shall comply with Tenant’s reasonable security measures. If Tenant or any subtenant vacates the Leased Premises, Tenant shall immediately give Landlord a copy of all keys and swipe cards and Landlord shall have the right to enter the Leased Premises at any time.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9" w:right="459" w:bottom="1440" w:gutter="0" w:footer="0" w:header="0"/>
        </w:sectPr>
      </w:pPr>
    </w:p>
    <w:bookmarkStart w:id="589" w:name="page590"/>
    <w:bookmarkEnd w:id="589"/>
    <w:p>
      <w:pPr>
        <w:ind w:left="940" w:hanging="532"/>
        <w:spacing w:after="0"/>
        <w:tabs>
          <w:tab w:leader="none" w:pos="940"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DEFAULT BY TENANT</w:t>
      </w:r>
    </w:p>
    <w:p>
      <w:pPr>
        <w:spacing w:after="0" w:line="117"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14.1 Each of the following shall be deemed a default (“Event of Default”) by Tenant and a breach of this Lease:</w:t>
      </w:r>
    </w:p>
    <w:p>
      <w:pPr>
        <w:spacing w:after="0" w:line="225" w:lineRule="exact"/>
        <w:rPr>
          <w:rFonts w:ascii="Times New Roman" w:cs="Times New Roman" w:eastAsia="Times New Roman" w:hAnsi="Times New Roman"/>
          <w:sz w:val="18"/>
          <w:szCs w:val="18"/>
          <w:color w:val="auto"/>
        </w:rPr>
      </w:pPr>
    </w:p>
    <w:p>
      <w:pPr>
        <w:ind w:left="-20" w:firstLine="1428"/>
        <w:spacing w:after="0" w:line="312" w:lineRule="auto"/>
        <w:tabs>
          <w:tab w:leader="none" w:pos="1657" w:val="left"/>
        </w:tabs>
        <w:numPr>
          <w:ilvl w:val="1"/>
          <w:numId w:val="4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filing of a petition by the Tenant for adjudication as a bankrupt, or for reorganization, or for an arrangement under any federal or state statute, except in a Chapter 11 Bankruptcy where the Rent stipulated herein is being paid and the terms of the Lease are being complied with;</w:t>
      </w:r>
    </w:p>
    <w:p>
      <w:pPr>
        <w:spacing w:after="0" w:line="31" w:lineRule="exact"/>
        <w:rPr>
          <w:rFonts w:ascii="Times New Roman" w:cs="Times New Roman" w:eastAsia="Times New Roman" w:hAnsi="Times New Roman"/>
          <w:sz w:val="17"/>
          <w:szCs w:val="17"/>
          <w:color w:val="auto"/>
        </w:rPr>
      </w:pPr>
    </w:p>
    <w:p>
      <w:pPr>
        <w:ind w:left="2040" w:hanging="249"/>
        <w:spacing w:after="0"/>
        <w:tabs>
          <w:tab w:leader="none" w:pos="2040" w:val="left"/>
        </w:tabs>
        <w:numPr>
          <w:ilvl w:val="2"/>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dissolution or liquidation of the Tenant;</w:t>
      </w:r>
    </w:p>
    <w:p>
      <w:pPr>
        <w:spacing w:after="0" w:line="117" w:lineRule="exact"/>
        <w:rPr>
          <w:rFonts w:ascii="Times New Roman" w:cs="Times New Roman" w:eastAsia="Times New Roman" w:hAnsi="Times New Roman"/>
          <w:sz w:val="18"/>
          <w:szCs w:val="18"/>
          <w:color w:val="auto"/>
        </w:rPr>
      </w:pPr>
    </w:p>
    <w:p>
      <w:pPr>
        <w:ind w:left="1400" w:right="140" w:firstLine="391"/>
        <w:spacing w:after="0" w:line="266" w:lineRule="auto"/>
        <w:tabs>
          <w:tab w:leader="none" w:pos="2038" w:val="left"/>
        </w:tabs>
        <w:numPr>
          <w:ilvl w:val="2"/>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 permanent receiver or a permanent trustee of all or substantially all of the property of the Tenant, if such appointment shall not be vacated within 60 days, provided the Rent stipulated herein is being paid and the terms of the Lease are being complied with, during said 60 day period;</w:t>
      </w:r>
    </w:p>
    <w:p>
      <w:pPr>
        <w:spacing w:after="0" w:line="67" w:lineRule="exact"/>
        <w:rPr>
          <w:rFonts w:ascii="Times New Roman" w:cs="Times New Roman" w:eastAsia="Times New Roman" w:hAnsi="Times New Roman"/>
          <w:sz w:val="18"/>
          <w:szCs w:val="18"/>
          <w:color w:val="auto"/>
        </w:rPr>
      </w:pPr>
    </w:p>
    <w:p>
      <w:pPr>
        <w:ind w:left="1400" w:right="340" w:firstLine="391"/>
        <w:spacing w:after="0" w:line="261" w:lineRule="auto"/>
        <w:tabs>
          <w:tab w:leader="none" w:pos="2038" w:val="left"/>
        </w:tabs>
        <w:numPr>
          <w:ilvl w:val="2"/>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possession of the property of the Tenant by a governmental officer or agency pursuant to statutory authority for dissolution, rehabilitation, reorganization or liquidation of the Tenant if such taking of possession shall not be vacated within 60 days, provided the Rent stipulated herein is being paid and the terms of the Lease are being complied with, during said 60 day period; and</w:t>
      </w:r>
    </w:p>
    <w:p>
      <w:pPr>
        <w:spacing w:after="0" w:line="71" w:lineRule="exact"/>
        <w:rPr>
          <w:rFonts w:ascii="Times New Roman" w:cs="Times New Roman" w:eastAsia="Times New Roman" w:hAnsi="Times New Roman"/>
          <w:sz w:val="18"/>
          <w:szCs w:val="18"/>
          <w:color w:val="auto"/>
        </w:rPr>
      </w:pPr>
    </w:p>
    <w:p>
      <w:pPr>
        <w:ind w:left="2040" w:hanging="249"/>
        <w:spacing w:after="0"/>
        <w:tabs>
          <w:tab w:leader="none" w:pos="2040" w:val="left"/>
        </w:tabs>
        <w:numPr>
          <w:ilvl w:val="2"/>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by the Tenant of an assignment for the benefit of creditors.</w:t>
      </w:r>
    </w:p>
    <w:p>
      <w:pPr>
        <w:spacing w:after="0" w:line="225" w:lineRule="exact"/>
        <w:rPr>
          <w:rFonts w:ascii="Times New Roman" w:cs="Times New Roman" w:eastAsia="Times New Roman" w:hAnsi="Times New Roman"/>
          <w:sz w:val="18"/>
          <w:szCs w:val="18"/>
          <w:color w:val="auto"/>
        </w:rPr>
      </w:pPr>
    </w:p>
    <w:p>
      <w:pPr>
        <w:ind w:left="-20" w:right="40" w:firstLine="1428"/>
        <w:spacing w:after="0" w:line="261" w:lineRule="auto"/>
        <w:tabs>
          <w:tab w:leader="none" w:pos="1667"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defaults in the payment of Rent or any other sums due under the Lease when due and such default continues for five days after written notice thereof from Landlord, provided however, that if Landlord has delivered two such notices of default to Tenant in any 12-month period, then any subsequent default in the payment of Rent or any other sums due under the Lease shall constitute an Event of Default without requirement of any written notice of nonpayment or opportunity to cure.</w:t>
      </w:r>
    </w:p>
    <w:p>
      <w:pPr>
        <w:spacing w:after="0" w:line="179" w:lineRule="exact"/>
        <w:rPr>
          <w:rFonts w:ascii="Times New Roman" w:cs="Times New Roman" w:eastAsia="Times New Roman" w:hAnsi="Times New Roman"/>
          <w:sz w:val="18"/>
          <w:szCs w:val="18"/>
          <w:color w:val="auto"/>
        </w:rPr>
      </w:pPr>
    </w:p>
    <w:p>
      <w:pPr>
        <w:ind w:left="-20" w:right="100" w:firstLine="1428"/>
        <w:spacing w:after="0" w:line="254" w:lineRule="auto"/>
        <w:tabs>
          <w:tab w:leader="none" w:pos="1657" w:val="left"/>
        </w:tabs>
        <w:numPr>
          <w:ilvl w:val="1"/>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shall, whether by action or inaction, be in default of any other obligations under this Lease for 15 days after written notice thereof from Landlord. The foregoing notwithstanding, if (i) such default cannot reasonably be cured within such 15-day period despite Tenant’s due diligence, (ii) the continuance of the cure period beyond 15 days after Landlord’s default notice will not subject Landlord or any mortgagee of Landlord to prosecution for a crime or any other civil or criminal fine or charge, or otherwise violate applicable Laws, subject the Office Park, or any part thereof, to being condemned or vacated, subject the Office Park, or any part thereof, to any lien or encumbrance, or result in the foreclosure of any mortgage or deed of trust on the Office Park, (iii) no emergency exists, and (iv) Tenant advises Landlord in writing within the initial 15 day period of Tenant’s intention to take all steps necessary to cure such default and duly commences and thereafter diligently and continuously prosecutes to completion all steps necessary to cure such default, then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460" w:top="269" w:right="479" w:bottom="1440" w:gutter="0" w:footer="0" w:header="0"/>
        </w:sectPr>
      </w:pPr>
    </w:p>
    <w:bookmarkStart w:id="590" w:name="page591"/>
    <w:bookmarkEnd w:id="590"/>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such 15-day cure period shall be extended for a reasonable period of time as necessary under the circumstances for Tenant to cure such default (but in no event shall the cure period be extended beyond 60 days after the date of Landlord’s default notice to Tenant).</w:t>
      </w:r>
    </w:p>
    <w:p>
      <w:pPr>
        <w:spacing w:after="0" w:line="162" w:lineRule="exact"/>
        <w:rPr>
          <w:sz w:val="20"/>
          <w:szCs w:val="20"/>
          <w:color w:val="auto"/>
        </w:rPr>
      </w:pPr>
    </w:p>
    <w:p>
      <w:pPr>
        <w:ind w:right="460" w:firstLine="1428"/>
        <w:spacing w:after="0" w:line="282" w:lineRule="auto"/>
        <w:tabs>
          <w:tab w:leader="none" w:pos="1687"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shall assign this Lease or sublet the Leased Premises or any portion thereof in violation of the requirements of the Lease and such violation continues for 10 days after written notice thereof from Landlord.</w:t>
      </w:r>
    </w:p>
    <w:p>
      <w:pPr>
        <w:spacing w:after="0" w:line="162"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14.2 Upon the occurrence of an Event of Default, Landlord shall have the following remedies, in addition to any and all other rights and remedies provided by law or otherwise provided in this Lease, any one or more of which Landlord may resort to cumulatively, consecutively, or in the alternative:</w:t>
      </w:r>
    </w:p>
    <w:p>
      <w:pPr>
        <w:spacing w:after="0" w:line="176" w:lineRule="exact"/>
        <w:rPr>
          <w:sz w:val="20"/>
          <w:szCs w:val="20"/>
          <w:color w:val="auto"/>
        </w:rPr>
      </w:pPr>
    </w:p>
    <w:p>
      <w:pPr>
        <w:ind w:left="1680" w:hanging="252"/>
        <w:spacing w:after="0"/>
        <w:tabs>
          <w:tab w:leader="none" w:pos="1680"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may continue this Lease in full force and effect, and collect Rent when due.</w:t>
      </w:r>
    </w:p>
    <w:p>
      <w:pPr>
        <w:spacing w:after="0" w:line="225" w:lineRule="exact"/>
        <w:rPr>
          <w:rFonts w:ascii="Times New Roman" w:cs="Times New Roman" w:eastAsia="Times New Roman" w:hAnsi="Times New Roman"/>
          <w:sz w:val="18"/>
          <w:szCs w:val="18"/>
          <w:color w:val="auto"/>
        </w:rPr>
      </w:pPr>
    </w:p>
    <w:p>
      <w:pPr>
        <w:ind w:right="240" w:firstLine="1428"/>
        <w:spacing w:after="0" w:line="261" w:lineRule="auto"/>
        <w:tabs>
          <w:tab w:leader="none" w:pos="1687"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may terminate this Lease upon written notice to Tenant to such effect, in which event this Lease (and all of Tenant’s rights hereunder) shall immediately terminate, but such termination shall not affect those obligations of Tenant which are intended by their terms to survive the expiration or termination of this Lease, nor Tenant’s obligation to pay damages as set forth below. This Lease may also be terminated by a judgment specifically providing for termination.</w:t>
      </w:r>
    </w:p>
    <w:p>
      <w:pPr>
        <w:spacing w:after="0" w:line="179" w:lineRule="exact"/>
        <w:rPr>
          <w:rFonts w:ascii="Times New Roman" w:cs="Times New Roman" w:eastAsia="Times New Roman" w:hAnsi="Times New Roman"/>
          <w:sz w:val="18"/>
          <w:szCs w:val="18"/>
          <w:color w:val="auto"/>
        </w:rPr>
      </w:pPr>
    </w:p>
    <w:p>
      <w:pPr>
        <w:ind w:right="40" w:firstLine="1428"/>
        <w:spacing w:after="0" w:line="254" w:lineRule="auto"/>
        <w:tabs>
          <w:tab w:leader="none" w:pos="1677"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may terminate Tenant’s right of possession without terminating this Lease upon written notice to Tenant to such effect, in which event Tenant’s right of possession of the Leased Premises shall immediately terminate, but this Lease shall continue subject to the effect of this Section. Landlord may, but shall not be obligated to, perform any defaulted obligation of Tenant, and to recover from Tenant, as Additional Rent, the reasonable and actual costs incurred by Landlord in performing such obligation. Notwithstanding the foregoing, or any other notice and cure period set forth herein, Landlord may exercise its rights under this Section without prior notice or upon shorter notice than otherwise required hereunder (and as may be reasonable under the circumstances) in the event of any one or more of the following circumstances is present: (i) there exists a reasonable risk of prosecution of Landlord unless such obligation is performed sooner than the stated cure period; (ii) there exists an emergency arising out of the defaulted obligation; or (iii) the Tenant has failed to obtain insurance required by this Lease, or such insurance has been canceled by the insurer without being timely replaced by Tenant, as required herein.</w:t>
      </w:r>
    </w:p>
    <w:p>
      <w:pPr>
        <w:spacing w:after="0" w:line="188" w:lineRule="exact"/>
        <w:rPr>
          <w:rFonts w:ascii="Times New Roman" w:cs="Times New Roman" w:eastAsia="Times New Roman" w:hAnsi="Times New Roman"/>
          <w:sz w:val="18"/>
          <w:szCs w:val="18"/>
          <w:color w:val="auto"/>
        </w:rPr>
      </w:pPr>
    </w:p>
    <w:p>
      <w:pPr>
        <w:ind w:right="20" w:firstLine="1428"/>
        <w:spacing w:after="0" w:line="255" w:lineRule="auto"/>
        <w:tabs>
          <w:tab w:leader="none" w:pos="1687"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have the right to recover damages from Tenant, as set forth in the following Section. Upon any termination of this Lease or of Tenant’s right of possession, Landlord, at its sole election, may (i) re-enter and take possession of the Leased Premises and all the remaining improvements or property, (ii) eject Tenant or any of the Tenant’s subtenants, assignees or other person or persons claiming any right under or through Tenant, (iii) remove all property from the Leased Premises and store the same in a public warehouse or elsewhere at Tenant’s expense, and/or (iv) deem such property to be abandoned, and, in such event, Landlord may dispose of such property at Tenant’s expense, free from any claim by Tenant or anyone claiming by, through or under Tenant. Landlord may, but shall not be obligated, to relet the Leased Premises after recovering possession of the Leased Premises. It shall not constitute a constructive or other termination of this Lease or Tenant’s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9" w:right="459" w:bottom="1440" w:gutter="0" w:footer="0" w:header="0"/>
        </w:sectPr>
      </w:pPr>
    </w:p>
    <w:bookmarkStart w:id="591" w:name="page592"/>
    <w:bookmarkEnd w:id="59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right to possession if Landlord (A) exercises its right to repair or maintain the Leased Premises, (B) performs any unperformed obligations of Tenant,</w:t>
      </w:r>
    </w:p>
    <w:p>
      <w:pPr>
        <w:spacing w:after="0" w:line="27" w:lineRule="exact"/>
        <w:rPr>
          <w:sz w:val="20"/>
          <w:szCs w:val="20"/>
          <w:color w:val="auto"/>
        </w:rPr>
      </w:pPr>
    </w:p>
    <w:p>
      <w:pPr>
        <w:ind w:left="4" w:right="220" w:hanging="4"/>
        <w:spacing w:after="0" w:line="260" w:lineRule="auto"/>
        <w:tabs>
          <w:tab w:leader="none" w:pos="289"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stores or removes Tenant’s property from the Leased Premises after Tenant’s dispossession, (D) attempts to relet the Leased Premises or (E) seeks the appointment of a receiver on Landlord’s initiative to protect Landlord’s interest under this Lease.</w:t>
      </w:r>
    </w:p>
    <w:p>
      <w:pPr>
        <w:spacing w:after="0" w:line="329"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DAMAGES</w:t>
      </w:r>
    </w:p>
    <w:p>
      <w:pPr>
        <w:spacing w:after="0" w:line="117" w:lineRule="exact"/>
        <w:rPr>
          <w:rFonts w:ascii="Times New Roman" w:cs="Times New Roman" w:eastAsia="Times New Roman" w:hAnsi="Times New Roman"/>
          <w:sz w:val="18"/>
          <w:szCs w:val="18"/>
          <w:color w:val="auto"/>
        </w:rPr>
      </w:pPr>
    </w:p>
    <w:p>
      <w:pPr>
        <w:jc w:val="both"/>
        <w:ind w:left="4" w:right="20" w:firstLine="1428"/>
        <w:spacing w:after="0" w:line="281" w:lineRule="auto"/>
        <w:tabs>
          <w:tab w:leader="none" w:pos="1681" w:val="left"/>
        </w:tabs>
        <w:numPr>
          <w:ilvl w:val="2"/>
          <w:numId w:val="4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any termination of this Lease or Tenant’s right of possession, or any reentry by Landlord under the provisions of the Lease, or under any summary dispossession or other proceeding or action or any provision of law by reason of any Event of Default by Tenant, then in addition to the aggregate amount of Rent which Tenant has failed to pay under this Lease through the date of termination or re-entry (as the case may be) and any other damages recoverable by Landlord under applicable state law or this Lease, Tenant shall pay to Landlord as damages, at Landlord’s election, either:</w:t>
      </w:r>
    </w:p>
    <w:p>
      <w:pPr>
        <w:spacing w:after="0" w:line="164" w:lineRule="exact"/>
        <w:rPr>
          <w:rFonts w:ascii="Times New Roman" w:cs="Times New Roman" w:eastAsia="Times New Roman" w:hAnsi="Times New Roman"/>
          <w:sz w:val="17"/>
          <w:szCs w:val="17"/>
          <w:color w:val="auto"/>
        </w:rPr>
      </w:pPr>
    </w:p>
    <w:p>
      <w:pPr>
        <w:ind w:left="4" w:firstLine="1979"/>
        <w:spacing w:after="0" w:line="253" w:lineRule="auto"/>
        <w:tabs>
          <w:tab w:leader="none" w:pos="2202" w:val="left"/>
        </w:tabs>
        <w:numPr>
          <w:ilvl w:val="3"/>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lump sum which shall be immediately due and payable by Tenant and which, at the time of termination of this Lease or any such reentry by Landlord, as the case may be, represents the excess of (a) the aggregate amount of the Base Rent and Additional Rent which would have </w:t>
      </w:r>
      <w:r>
        <w:rPr>
          <w:rFonts w:ascii="Times New Roman" w:cs="Times New Roman" w:eastAsia="Times New Roman" w:hAnsi="Times New Roman"/>
          <w:sz w:val="18"/>
          <w:szCs w:val="18"/>
          <w:i w:val="1"/>
          <w:iCs w:val="1"/>
          <w:color w:val="auto"/>
        </w:rPr>
        <w:t>been</w:t>
      </w:r>
      <w:r>
        <w:rPr>
          <w:rFonts w:ascii="Times New Roman" w:cs="Times New Roman" w:eastAsia="Times New Roman" w:hAnsi="Times New Roman"/>
          <w:sz w:val="18"/>
          <w:szCs w:val="18"/>
          <w:color w:val="auto"/>
        </w:rPr>
        <w:t xml:space="preserve"> payable by Tenant (conclusively presuming that the average monthly Additional Rent is the same as was payable for the 12 calendar months prior to such termination or reentry, or if less than 12 calendar months have elapsed since the Rent Commencement Date, then all of the calendar months preceding such termination or reentry) for the period commencing with such termination or reentry, as the case may be, and ending with the Expiration Date, over (b) the aggregate amount of Rent that Tenant proves should reasonably have been received by Landlord for the same period (taking into account an appropriate vacancy period to seek and obtain a replacement tenant and fit the Leased Premises out for such tenant’s occupancy, during which Landlord cannot reasonably be expected to receive rent), which excess amount shall be discounted to present value using a discount rate equal to the lesser of (A) the prime rate of interest announced from time to time in the “Money Rates” column of The Wall Street Journal (or any successor column published by The Wall Street Journal, or if there be none, such index of the then prevailing “prime rate” of interest as designated by Landlord) plus 1%, or (B) 6% per annum;</w:t>
      </w:r>
    </w:p>
    <w:p>
      <w:pPr>
        <w:spacing w:after="0" w:line="191" w:lineRule="exact"/>
        <w:rPr>
          <w:rFonts w:ascii="Times New Roman" w:cs="Times New Roman" w:eastAsia="Times New Roman" w:hAnsi="Times New Roman"/>
          <w:sz w:val="18"/>
          <w:szCs w:val="18"/>
          <w:color w:val="auto"/>
        </w:rPr>
      </w:pPr>
    </w:p>
    <w:p>
      <w:pPr>
        <w:ind w:left="4" w:right="220" w:firstLine="1979"/>
        <w:spacing w:after="0" w:line="266" w:lineRule="auto"/>
        <w:tabs>
          <w:tab w:leader="none" w:pos="2252" w:val="left"/>
        </w:tabs>
        <w:numPr>
          <w:ilvl w:val="3"/>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sums equal to the Base Rent and Additional Rent provided for in this Lease which would have been payable by Tenant had this Lease not been terminated, or Landlord had not so reentered, payable upon the due dates specified herein for such payments following such termination or reentry until the Expiration Date.</w:t>
      </w:r>
    </w:p>
    <w:p>
      <w:pPr>
        <w:spacing w:after="0" w:line="175" w:lineRule="exact"/>
        <w:rPr>
          <w:rFonts w:ascii="Times New Roman" w:cs="Times New Roman" w:eastAsia="Times New Roman" w:hAnsi="Times New Roman"/>
          <w:sz w:val="18"/>
          <w:szCs w:val="18"/>
          <w:color w:val="auto"/>
        </w:rPr>
      </w:pPr>
    </w:p>
    <w:p>
      <w:pPr>
        <w:ind w:left="4" w:right="180" w:firstLine="1428"/>
        <w:spacing w:after="0" w:line="255" w:lineRule="auto"/>
        <w:tabs>
          <w:tab w:leader="none" w:pos="1691" w:val="left"/>
        </w:tabs>
        <w:numPr>
          <w:ilvl w:val="2"/>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Tenant shall immediately become liable to Landlord for all damages proximately caused by Tenant’s breach of its obligations under this Lease, including all costs Landlord incurs in reletting (or attempting to relet) the Leased Premises or any part thereof, including, without limitation, to the extent allocable to the remaining Term, brokers’ commissions, expenses of cleaning, altering and preparing the Leased Premises for new tenants, legal fees and all other like expenses properly chargeable against the Leased Premises and the rental received therefrom and like costs. If Landlord does elect to relet the Leased Premises (or any portion thereof), such reletting may be for a period shorter or longer than the remaining Term, and upon such terms and conditions as Landlord deems appropriate, in its sole and absolute discretion, and Tenant shall have no interest in</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69" w:right="459" w:bottom="1440" w:gutter="0" w:footer="0" w:header="0"/>
        </w:sectPr>
      </w:pPr>
    </w:p>
    <w:bookmarkStart w:id="592" w:name="page593"/>
    <w:bookmarkEnd w:id="59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any sums collected by Landlord in connection with such reletting except to the extent expressly set forth herein. Landlord shall use commercially reasonable efforts to mitigate its damages hereunder, provided that Landlord (i) shall not be obligated to show preference for reletting the Leased Premises over any other vacant space in the Building; (ii) may divide the Leased Premises, as Landlord deems appropriate, (iii)may relet the whole or any portion of the Leased Premises upon such terms as it deems appropriate, and may grant any rental or other lease concessions as it reasonably deems advisable under prevailing market conditions, including free rent; and (iv) Landlord’s obligation to mitigate damages shall be deemed satisfied by its providing adequate information to a commercial broker as to the availability of such space (based on a customary brokerage fee being earned by such broker), having the Leased Premises available for inspection by prospective tenants during reasonable business hours, and by acceptance of a commercially reasonable offer for the Leased Premises from a creditworthy person or entity based on a form of lease agreement which is substantially the same as the form utilized for other space tenants in the Building. If Landlord shall succeed in reletting the Leased Premises during the period in which Tenant is paying monthly rent damages, Landlord shall credit Tenant with the net rents collected by Landlord from such reletting, after first deducting from the gross rents, as and when collected by Landlord, (A) all expenses incurred or paid by Landlord in collecting such rents, and (B) any theretofore unrecovered costs associated with the termination of this Lease or Landlord’s reentry into the Leased Premises, including any theretofore unrecovered expenses of reletting and other damages payable hereunder. If the Leased Premises or any portion thereof be relet by Landlord for the unexpired portion of the Term before presentation of proof of such damages to any court, commission or tribunal, the amount of rent reserved upon such reletting shall, prima facie, constitute the fair and reasonable rental value for the Leased Premises, or part thereof, so relet for the term of the reletting. Landlord shall not be liable in any way whatsoever for its failure or refusal to relet the Leased Premises, or if the Leased Premises or any part are relet, for its failure to collect the rent under such reletting, and no such refusal or failure to relet or failure to collect rent shall release or affect Tenant’s liability for damages or otherwise under this Lease.</w:t>
      </w:r>
    </w:p>
    <w:p>
      <w:pPr>
        <w:spacing w:after="0" w:line="340" w:lineRule="exact"/>
        <w:rPr>
          <w:sz w:val="20"/>
          <w:szCs w:val="20"/>
          <w:color w:val="auto"/>
        </w:rPr>
      </w:pPr>
    </w:p>
    <w:p>
      <w:pPr>
        <w:ind w:left="960" w:hanging="532"/>
        <w:spacing w:after="0"/>
        <w:tabs>
          <w:tab w:leader="none" w:pos="960"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p>
    <w:p>
      <w:pPr>
        <w:spacing w:after="0" w:line="117"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Any notice, consent or other communication under this Lease shall be in writing and addressed to Landlord or Tenant at their respective addresses specified on page 1 (or to such other address as either may designate by notice to the other and, for notices to Tenant, to the attention of Tenant’s Chief Financial Officer) with a copy to any mortgagee or other party designated by Landlord. Each notice or other communication shall be deemed given if sent by prepaid overnight delivery service or by certified mail, return receipt requested, postage prepaid, with delivery in any case evidenced by a receipt, and shall be deemed to have been given on the day of actual delivery to the intended recipient or on the business day delivery is refused. The giving of notice by Landlord’s or Tenant’s attorneys, representatives and agents under this Section shall be deemed to be the acts of Landlord or Tenant, respectively.</w:t>
      </w:r>
    </w:p>
    <w:p>
      <w:pPr>
        <w:spacing w:after="0" w:line="337" w:lineRule="exact"/>
        <w:rPr>
          <w:sz w:val="20"/>
          <w:szCs w:val="20"/>
          <w:color w:val="auto"/>
        </w:rPr>
      </w:pPr>
    </w:p>
    <w:p>
      <w:pPr>
        <w:ind w:left="960" w:hanging="532"/>
        <w:spacing w:after="0"/>
        <w:tabs>
          <w:tab w:leader="none" w:pos="960"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BY LANDLORD</w:t>
      </w:r>
    </w:p>
    <w:p>
      <w:pPr>
        <w:spacing w:after="0" w:line="117" w:lineRule="exact"/>
        <w:rPr>
          <w:sz w:val="20"/>
          <w:szCs w:val="20"/>
          <w:color w:val="auto"/>
        </w:rPr>
      </w:pPr>
    </w:p>
    <w:p>
      <w:pPr>
        <w:jc w:val="both"/>
        <w:ind w:right="140" w:firstLine="991"/>
        <w:spacing w:after="0" w:line="266" w:lineRule="auto"/>
        <w:rPr>
          <w:sz w:val="20"/>
          <w:szCs w:val="20"/>
          <w:color w:val="auto"/>
        </w:rPr>
      </w:pPr>
      <w:r>
        <w:rPr>
          <w:rFonts w:ascii="Times New Roman" w:cs="Times New Roman" w:eastAsia="Times New Roman" w:hAnsi="Times New Roman"/>
          <w:sz w:val="18"/>
          <w:szCs w:val="18"/>
          <w:color w:val="auto"/>
        </w:rPr>
        <w:t>The failure of Landlord to insist upon the strict performance of any of the terms of this Lease, or to exercise any option contained herein, shall not be construed as a waiver of any such term. Acceptance by Landlord of performance of anything required by this Lease to be performed, with the knowledge of the breach of any term of this Lease, shall not be deemed a waiver of such breach, nor</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69" w:right="479" w:bottom="1440" w:gutter="0" w:footer="0" w:header="0"/>
        </w:sectPr>
      </w:pPr>
    </w:p>
    <w:bookmarkStart w:id="593" w:name="page594"/>
    <w:bookmarkEnd w:id="593"/>
    <w:p>
      <w:pPr>
        <w:jc w:val="both"/>
        <w:ind w:right="20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shall acceptance of Rent in a lesser amount than is due (regardless of any endorsement on any check, or any statement in any letter accompanying any payment of Rent) be construed either as an accord and satisfaction or in any manner other than as payment on account of the earliest Rent then unpaid by Tenant. No waiver by Landlord of any term of this Lease shall be deemed to have been made unless expressed in writing and signed by Landlord.</w:t>
      </w:r>
    </w:p>
    <w:p>
      <w:pPr>
        <w:spacing w:after="0" w:line="306" w:lineRule="exact"/>
        <w:rPr>
          <w:sz w:val="20"/>
          <w:szCs w:val="20"/>
          <w:color w:val="auto"/>
        </w:rPr>
      </w:pPr>
    </w:p>
    <w:p>
      <w:pPr>
        <w:ind w:left="960" w:hanging="532"/>
        <w:spacing w:after="0"/>
        <w:tabs>
          <w:tab w:leader="none" w:pos="960"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ALTERATIONS</w:t>
      </w:r>
    </w:p>
    <w:p>
      <w:pPr>
        <w:spacing w:after="0" w:line="117" w:lineRule="exact"/>
        <w:rPr>
          <w:sz w:val="20"/>
          <w:szCs w:val="20"/>
          <w:color w:val="auto"/>
        </w:rPr>
      </w:pPr>
    </w:p>
    <w:p>
      <w:pPr>
        <w:ind w:firstLine="991"/>
        <w:spacing w:after="0" w:line="251" w:lineRule="auto"/>
        <w:rPr>
          <w:sz w:val="20"/>
          <w:szCs w:val="20"/>
          <w:color w:val="auto"/>
        </w:rPr>
      </w:pPr>
      <w:r>
        <w:rPr>
          <w:rFonts w:ascii="Times New Roman" w:cs="Times New Roman" w:eastAsia="Times New Roman" w:hAnsi="Times New Roman"/>
          <w:sz w:val="18"/>
          <w:szCs w:val="18"/>
          <w:color w:val="auto"/>
        </w:rPr>
        <w:t>Tenant may not make any Alterations to the Leased Premises without Landlord’s consent, which shall not be unreasonably withheld; provided, however, Landlord’s consent shall not be required for Alterations that cost less than $10,000.00 (provided the same do not impact other tenants in the Building) and (i) are non-structural, (ii) are not visible from the exterior of the Leased Premises, (iii) do not affect any Building system or the structural strength of the Building, (iv) do not require penetrations into the floor, ceiling or walls, and (v) do not require work within the walls, below the floor or above the ceiling. With respect to any Alterations that will exceed a cost of $10,000.00 (other than the installation of Tenant’s security system, which Tenant shall have the right to perform with its own contractors provided the same does not impact other tenants in the Building). Landlord shall have the right, at its option, to perform such work at Tenant’s expense so long as such work can be performed in a timely, good and workmanlike manner at a competitive price. At the time Tenant requests Landlord’s consent, Tenant shall deliver plans and specifications to Landlord. Landlord shall notify Tenant, within ten (10) days after receipt of Tenant’s plans and specifications, whether Landlord elects to perform the Alterations, along with a draft construction budget and schedule as required above. Tenant shall notify Landlord within five business days whether Tenant wishes to proceed with the Alterations. In the event Landlord consents to the Alterations but elects not to perform the work, Tenant shall comply with the following: (i) not less than 5 days prior to commencing any Alteration, Tenant shall deliver to Landlord final plans, specifications and necessary permits for the Alteration, together with certificates evidencing that Tenant’s contractors and subcontractors have adequate insurance coverage naming Landlord, and any other associated or affiliated entity as their interests may appear as additional insureds, (ii) Tenant shall obtain Landlord’s prior written approval of any contractor or subcontractor, and (iii) the Alteration shall be constructed with new materials, in a good and workmanlike manner, and in compliance with all Legal Requirements and the plans and specifications delivered to, and approved by Landlord. If Landlord is not the contractor, Tenant shall provide Landlord with as-built plans, in both CAD and PDF format, along with back-up disks, upon completion of the work. All Alterations shall become part of the realty immediately upon installation and, except for Alterations which Landlord requires Tenant to remove pursuant to this Lease, shall be surrendered with the Leased Premises without payment by Landlord. Tenant’s trade fixtures, furniture, equipment and other personal property installed in the Leased Premises (“Tenant’s Property”) shall at all times be and remain Tenant’s property. Except for Alterations which cannot be removed without structural injury to the Leased Premises, at any time Tenant may remove Tenant’s Property from the Leased Premises, provided that Tenant repairs all damage caused by such removal. Landlord shall have no lien or other interest in any item of Tenant’s Property. If Tenant leases equipment to be used within the Leased Premises (other than equipment paid for or provided by Landlord), Landlord shall execute the commercially reasonable agreements required by Tenant’s equipment lessors waiving all rights to such equipment. Removal of Alterations or improvements at the end of the Lease term shall be governed by the provisions of Article 27 hereof.</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69" w:right="459" w:bottom="1440" w:gutter="0" w:footer="0" w:header="0"/>
        </w:sectPr>
      </w:pPr>
    </w:p>
    <w:bookmarkStart w:id="594" w:name="page595"/>
    <w:bookmarkEnd w:id="594"/>
    <w:p>
      <w:pPr>
        <w:ind w:left="960" w:hanging="532"/>
        <w:spacing w:after="0"/>
        <w:tabs>
          <w:tab w:leader="none" w:pos="960"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NON-LIABILITY OF LANDLORD</w:t>
      </w:r>
    </w:p>
    <w:p>
      <w:pPr>
        <w:spacing w:after="0" w:line="117"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Tenant agrees to assume all risk of damage to its property, equipment and fixtures occurring in or about the Leased Premises, whatever the cause of such damage or casualty. Landlord shall not be liable for any damage or injury to property or person caused by or resulting from steam, electricity, gas, water, rain, ice or snow, or any leak or flow from or into any part of the Building, or from any damage or injury resulting or arising from any other cause or happening whatsoever, except if the same is due to Landlord’s negligent acts or omissions.</w:t>
      </w:r>
    </w:p>
    <w:p>
      <w:pPr>
        <w:spacing w:after="0" w:line="328" w:lineRule="exact"/>
        <w:rPr>
          <w:sz w:val="20"/>
          <w:szCs w:val="20"/>
          <w:color w:val="auto"/>
        </w:rPr>
      </w:pPr>
    </w:p>
    <w:p>
      <w:pPr>
        <w:ind w:left="960" w:hanging="532"/>
        <w:spacing w:after="0"/>
        <w:tabs>
          <w:tab w:leader="none" w:pos="960"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RESERVATION OF EASEMENT</w:t>
      </w:r>
    </w:p>
    <w:p>
      <w:pPr>
        <w:spacing w:after="0" w:line="11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There shall be excepted and reserved from the Leased Premises all equipment and fixtures serving the Leased Premises and other portions of the Building now or hereafter installed in a manner that minimizes interference with Tenant’s use of the Leased Premises; and space for the installation of pipes, wires, conduits and ducts to serve the Leased Premises and/or other parts of the Building. Landlord reserves the right, easement and privilege to enter on the Leased Premises in order to install, at its own cost and expense, any utility lines and services in connection therewith as may be required by the Landlord, subject to Paragraph 13. It is understood and agreed that if such work as may be required by Landlord requires any interior installation, or displaces any exterior paving or landscaping, the Landlord shall at its own cost and expense, restore such items, to substantially the same condition as they were before such work. The Landlord covenants that the foregoing work shall not unreasonably interfere with the normal operation of Tenant’s business.</w:t>
      </w:r>
    </w:p>
    <w:p>
      <w:pPr>
        <w:spacing w:after="0" w:line="340" w:lineRule="exact"/>
        <w:rPr>
          <w:sz w:val="20"/>
          <w:szCs w:val="20"/>
          <w:color w:val="auto"/>
        </w:rPr>
      </w:pPr>
    </w:p>
    <w:p>
      <w:pPr>
        <w:ind w:left="960" w:hanging="532"/>
        <w:spacing w:after="0"/>
        <w:tabs>
          <w:tab w:leader="none" w:pos="960"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STATEMENT OF ACCEPTANCE</w:t>
      </w:r>
    </w:p>
    <w:p>
      <w:pPr>
        <w:spacing w:after="0" w:line="117"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Upon the delivery of the Leased Premises to the Tenant the Tenant covenants and agrees that it will furnish to Landlord a statement which shall set forth the Date of Commencement and the Date of Expiration of the lease term promptly upon Landlord’s request.</w:t>
      </w:r>
    </w:p>
    <w:p>
      <w:pPr>
        <w:spacing w:after="0" w:line="310" w:lineRule="exact"/>
        <w:rPr>
          <w:sz w:val="20"/>
          <w:szCs w:val="20"/>
          <w:color w:val="auto"/>
        </w:rPr>
      </w:pPr>
    </w:p>
    <w:p>
      <w:pPr>
        <w:ind w:left="960" w:hanging="532"/>
        <w:spacing w:after="0"/>
        <w:tabs>
          <w:tab w:leader="none" w:pos="960"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FORCE MAJEURE</w:t>
      </w:r>
    </w:p>
    <w:p>
      <w:pPr>
        <w:spacing w:after="0" w:line="117"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Except for the obligation of the Tenant to pay Rent and other charges, the period of time during which the Landlord or Tenant is prevented from performing any act required to be performed under this Lease by reason of fire, catastrophe, strikes, lockouts, civil commotion, weather conditions, acts of God, government prohibitions or preemptions or embargoes, inability to obtain material or labor by reason of governmental regulations, the act or default of the other party, or other events beyond the reasonable control of Landlord or Tenant, as the case may be, shall be added to the time for performance of such act; provided, however, the foregoing shall not delay any rent abatement that may be applicable to Tenant or termination rights under its Lease.</w:t>
      </w:r>
    </w:p>
    <w:p>
      <w:pPr>
        <w:spacing w:after="0" w:line="336" w:lineRule="exact"/>
        <w:rPr>
          <w:sz w:val="20"/>
          <w:szCs w:val="20"/>
          <w:color w:val="auto"/>
        </w:rPr>
      </w:pPr>
    </w:p>
    <w:p>
      <w:pPr>
        <w:ind w:left="960" w:hanging="532"/>
        <w:spacing w:after="0"/>
        <w:tabs>
          <w:tab w:leader="none" w:pos="960"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STATEMENT BY TENANT</w:t>
      </w:r>
    </w:p>
    <w:p>
      <w:pPr>
        <w:spacing w:after="0" w:line="117"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Tenant and Landlord each shall at any time and from time to time upon not less than 5 days’ prior notice from the other to execute, acknowledge and deliver to the party requesting same, a statement in writing, certifying that this Lease is unmodified and in full force and effect (or if there have been modifications, that the same is in full force and effect as modified and stating the modifications), that it is not in default (or if claimed to be in default, stating the amount and nature of the default) and specifying the dates to which the Rent and other charges have been paid in advance.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9" w:right="459" w:bottom="1440" w:gutter="0" w:footer="0" w:header="0"/>
        </w:sectPr>
      </w:pPr>
    </w:p>
    <w:bookmarkStart w:id="595" w:name="page596"/>
    <w:bookmarkEnd w:id="595"/>
    <w:p>
      <w:pPr>
        <w:ind w:left="960" w:hanging="532"/>
        <w:spacing w:after="0"/>
        <w:tabs>
          <w:tab w:leader="none" w:pos="960"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CONDEMNATION</w:t>
      </w:r>
    </w:p>
    <w:p>
      <w:pPr>
        <w:spacing w:after="0" w:line="117"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24.1 If (a) all of the Leased Premises are taken by a public authority having the power of eminent domain by condemnation or conveyance in lieu of condemnation, (b) so much of the Leased Premises or Common Areas is so taken and the remainder is insufficient in Landlord’s opinion for the reasonable operation of Tenant’s business, or (c) any material portion of the Office Park is so taken, and, in Landlord’s opinion, it would be impractical or the condemnation proceeds are insufficient to restore the remainder, then this Lease shall terminate as of the date the condemning authority takes possession. If this Lease is not terminated, Landlord shall restore the Building to a condition as near as reasonably possible to the condition prior to the taking, the Rent shall be abated for the period of time all or a part of the Leased Premises is untenantable or inaccessible in proportion to the square foot area untenantable or inaccessible, and this Lease shall be amended appropriately. The compensation awarded for a taking shall belong to Landlord. Except for any relocation benefits, the value of any Tenant’s Property and the unamortized value of any improvements paid for by Tenant to which Tenant may be entitled, and which do not diminish Landlord’s claim. Tenant hereby assigns all claims against the condemning authority to Landlord, including, but not limited to, any claim relating to Tenant’s leasehold estate.</w:t>
      </w:r>
    </w:p>
    <w:p>
      <w:pPr>
        <w:spacing w:after="0" w:line="343" w:lineRule="exact"/>
        <w:rPr>
          <w:sz w:val="20"/>
          <w:szCs w:val="20"/>
          <w:color w:val="auto"/>
        </w:rPr>
      </w:pPr>
    </w:p>
    <w:p>
      <w:pPr>
        <w:ind w:left="960" w:hanging="532"/>
        <w:spacing w:after="0"/>
        <w:tabs>
          <w:tab w:leader="none" w:pos="960"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LANDLORD’S RIGHTS</w:t>
      </w:r>
    </w:p>
    <w:p>
      <w:pPr>
        <w:spacing w:after="0" w:line="117"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25.1 The rights and remedies given to the Landlord in this Lease are distinct, separate and cumulative remedies, and no one of them, whether or not exercised by the Landlord, shall be deemed to be in exclusion of any of the others.</w:t>
      </w:r>
    </w:p>
    <w:p>
      <w:pPr>
        <w:spacing w:after="0" w:line="162"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25.2 In addition to any other legal remedies for violation or breach of this Lease by the Tenant or by anyone holding or claiming under the Tenant such violation or breach shall be restrainable by injunction at the suit of the Landlord.</w:t>
      </w:r>
    </w:p>
    <w:p>
      <w:pPr>
        <w:spacing w:after="0" w:line="162"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25.3 No receipt of money by the Landlord from any receiver, trustee or custodian or debtors in possession shall reinstate, or extend the term of this Lease or affect any notice theretofore given to the Tenant, or to any such receiver, trustee, custodian or debtor in possession, or operate as a waiver or estoppel of the right of the Landlord to recover possession of the Leased Premises for any of the causes therein enumerated by any lawful remedy; and the failure of the Landlord to enforce any covenant or condition by reason of its breach by the Tenant shall not be deemed to void or affect the right of the Landlord to enforce the same covenant or condition on the occasion of any subsequent default or breach.</w:t>
      </w:r>
    </w:p>
    <w:p>
      <w:pPr>
        <w:spacing w:after="0" w:line="332" w:lineRule="exact"/>
        <w:rPr>
          <w:sz w:val="20"/>
          <w:szCs w:val="20"/>
          <w:color w:val="auto"/>
        </w:rPr>
      </w:pPr>
    </w:p>
    <w:p>
      <w:pPr>
        <w:ind w:left="960" w:hanging="532"/>
        <w:spacing w:after="0"/>
        <w:tabs>
          <w:tab w:leader="none" w:pos="960"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OUIET ENJOYMENT</w:t>
      </w:r>
    </w:p>
    <w:p>
      <w:pPr>
        <w:spacing w:after="0" w:line="117"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The Landlord covenants that the Tenant, on paying the Rent and performing the covenants and conditions contained in this Lease, may peaceably and quietly have, hold and enjoy the Leased Premises, in the manner of a multi-tenanted building, for the Lease term.</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69" w:right="479" w:bottom="1440" w:gutter="0" w:footer="0" w:header="0"/>
        </w:sectPr>
      </w:pPr>
    </w:p>
    <w:bookmarkStart w:id="596" w:name="page597"/>
    <w:bookmarkEnd w:id="596"/>
    <w:p>
      <w:pPr>
        <w:ind w:left="960" w:hanging="532"/>
        <w:spacing w:after="0"/>
        <w:tabs>
          <w:tab w:leader="none" w:pos="960" w:val="left"/>
        </w:tabs>
        <w:numPr>
          <w:ilvl w:val="0"/>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SURRENDER OF PREMISES; HOLDOVER</w:t>
      </w:r>
    </w:p>
    <w:p>
      <w:pPr>
        <w:spacing w:after="0" w:line="117"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On the last day, or earlier permitted termination of the Lease, Tenant shall quit and surrender the Leased Premises in good and orderly condition and repair (reasonable wear and tear, and damage by fire or other casualty and repairs that are not Tenant’s responsibility excepted) and shall deliver and surrender the Leased Premises to the Landlord peaceably, together with all Tenant Improvements. All data and communication wiring, whether installed by Tenant or Landlord, shall be surrendered in working order. If at the time of installation Landlord notified Tenant and alterations or improvements would have to be removed at the termination of the Lease, then the Landlord reserves the right to require the Tenant at its cost and expense to remove any alterations or improvements installed by the Tenant, and restore the Leased Premises to its original state, normal wear and tear excepted. Prior to the expiration of the Lease term the Tenant shall remove all of its personal property, fixtures and equipment from the Leased Premises and shall repair all damage caused by such removal. Notwithstanding the foregoing, Tenant shall not remove any electrical, mechanical, plumbing, HVAC systems or components, or equipment that support any systems or improvements built into the Leased Premises and shall leave any such systems or improvements in good working order; provided, however, Landlord and Tenant agree that the following constitute Tenant’s Property and may be removed by Tenant: refrigerators, freezers, biosafety cabinets, bench top equipment. Landlord has the right to inspect and confirm that these systems and components are in working order. Prior to Tenant’s occupancy of the Leased Premises, Landlord and Tenant will execute a mutually agreed-upon amendment to this agreement setting forth a list of equipment which Tenant shall remove in the Leased Premises after the end of the lease term and which will not become Landlord’s property. All property not removed by Tenant shall be deemed abandoned by Tenant, and Landlord reserves the right to charge the reasonable cost of such removal and disposal to the Tenant. If the Leased Premises are not surrendered at the end of the Lease term, the Tenant shall be liable for Rent at a rate equal to 150% of the then current Rent (prorated for partial months), and Tenant shall indemnify Landlord against loss or liability resulting from delay by Tenant in surrendering the Leased Premises, including, without limitation any claims made by any succeeding tenant founded on the delay, and any loss of income suffered by Landlord. These covenants shall survive the termination of the Lease.</w:t>
      </w:r>
    </w:p>
    <w:p>
      <w:pPr>
        <w:spacing w:after="0" w:line="340" w:lineRule="exact"/>
        <w:rPr>
          <w:sz w:val="20"/>
          <w:szCs w:val="20"/>
          <w:color w:val="auto"/>
        </w:rPr>
      </w:pPr>
    </w:p>
    <w:p>
      <w:pPr>
        <w:ind w:left="960" w:hanging="532"/>
        <w:spacing w:after="0"/>
        <w:tabs>
          <w:tab w:leader="none" w:pos="960"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INDEMNITY</w:t>
      </w:r>
    </w:p>
    <w:p>
      <w:pPr>
        <w:spacing w:after="0" w:line="117" w:lineRule="exact"/>
        <w:rPr>
          <w:sz w:val="20"/>
          <w:szCs w:val="20"/>
          <w:color w:val="auto"/>
        </w:rPr>
      </w:pPr>
    </w:p>
    <w:p>
      <w:pPr>
        <w:ind w:right="240" w:firstLine="991"/>
        <w:spacing w:after="0" w:line="261" w:lineRule="auto"/>
        <w:rPr>
          <w:sz w:val="20"/>
          <w:szCs w:val="20"/>
          <w:color w:val="auto"/>
        </w:rPr>
      </w:pPr>
      <w:r>
        <w:rPr>
          <w:rFonts w:ascii="Times New Roman" w:cs="Times New Roman" w:eastAsia="Times New Roman" w:hAnsi="Times New Roman"/>
          <w:sz w:val="18"/>
          <w:szCs w:val="18"/>
          <w:color w:val="auto"/>
        </w:rPr>
        <w:t>Anything in this Lease to the contrary notwithstanding, and without limiting the Tenant’s obligation to provide insurance hereunder, the Tenant covenants and agrees that it will indemnify, defend and save harmless the Landlord against and from all liabilities, obligations, damages, penalties, claims, costs, charges and expenses, including without limitation reasonable attorneys’ fees, which may be imposed upon or incurred by Landlord by reason of any of the following occurring during the term of this Lease:</w:t>
      </w:r>
    </w:p>
    <w:p>
      <w:pPr>
        <w:spacing w:after="0" w:line="1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 Any matter, cause or thing arising out of Tenant’s use, occupancy, control or management of the Leased Premises and any part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 Any negligence on the part of the Tenant or any of its agents, employees, licensees or invitees, arising in or about the Leased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w:t>
      </w:r>
    </w:p>
    <w:p>
      <w:pPr>
        <w:spacing w:after="0" w:line="2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 Any failure on the part of Tenant to perform or comply with any of its covenants, agreements, terms or conditions contained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Lease.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69" w:right="459" w:bottom="1440" w:gutter="0" w:footer="0" w:header="0"/>
        </w:sectPr>
      </w:pPr>
    </w:p>
    <w:bookmarkStart w:id="597" w:name="page598"/>
    <w:bookmarkEnd w:id="597"/>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foregoing indemnity shall survive termination or expiration of the Lease. Subject to the provisions of paragraph 19, the foregoing shall not require indemnity by Tenant in the event of damage or injury occasioned by the negligence or acts of commission or omission of the Landlord, its agents, servants or employees or Landlord’s violation of this Lease that leads to such damage or injury.</w:t>
      </w:r>
    </w:p>
    <w:p>
      <w:pPr>
        <w:spacing w:after="0" w:line="176"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Landlord shall promptly notify Tenant of any such claim asserted against it and shall promptly send to Tenant copies of all papers or legal process served upon it in connection with any action or proceeding brought against Landlord.</w:t>
      </w:r>
    </w:p>
    <w:p>
      <w:pPr>
        <w:spacing w:after="0" w:line="162"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in this Lease, Landlord shall indemnify, and defend, protect and hold harmless Tenant from, all losses, damages, liabilities, claims, reasonable attorneys’ fees, costs and expenses arising from the gross negligence or willful misconduct of Landlord or its agents, contractors, licensees or invitees.</w:t>
      </w:r>
    </w:p>
    <w:p>
      <w:pPr>
        <w:spacing w:after="0" w:line="324" w:lineRule="exact"/>
        <w:rPr>
          <w:sz w:val="20"/>
          <w:szCs w:val="20"/>
          <w:color w:val="auto"/>
        </w:rPr>
      </w:pPr>
    </w:p>
    <w:p>
      <w:pPr>
        <w:ind w:left="960" w:hanging="532"/>
        <w:spacing w:after="0"/>
        <w:tabs>
          <w:tab w:leader="none" w:pos="960"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 AND CONSTRUE CLAUSE</w:t>
      </w:r>
    </w:p>
    <w:p>
      <w:pPr>
        <w:spacing w:after="0" w:line="117" w:lineRule="exact"/>
        <w:rPr>
          <w:sz w:val="20"/>
          <w:szCs w:val="20"/>
          <w:color w:val="auto"/>
        </w:rPr>
      </w:pPr>
    </w:p>
    <w:p>
      <w:pPr>
        <w:ind w:right="200" w:firstLine="991"/>
        <w:spacing w:after="0" w:line="258" w:lineRule="auto"/>
        <w:rPr>
          <w:sz w:val="20"/>
          <w:szCs w:val="20"/>
          <w:color w:val="auto"/>
        </w:rPr>
      </w:pPr>
      <w:r>
        <w:rPr>
          <w:rFonts w:ascii="Times New Roman" w:cs="Times New Roman" w:eastAsia="Times New Roman" w:hAnsi="Times New Roman"/>
          <w:sz w:val="18"/>
          <w:szCs w:val="18"/>
          <w:color w:val="auto"/>
        </w:rPr>
        <w:t>The terms, covenants and conditions of this Lease shall be binding upon, and inure to the benefit of, each of the parties hereto and their respective heirs, successors and assigns. If any one of the provisions of this Lease shall be held to be invalid by a court of competent jurisdiction, such adjudication shall not affect the validity or enforceability of the remaining portions of this Lease. The parties each acknowledge to the other that this Lease has been drafted by both parties, after consultation with their attorneys, and in the event of any dispute, the provisions are not to be interpreted against either party as the drafter of the Lease.</w:t>
      </w:r>
    </w:p>
    <w:p>
      <w:pPr>
        <w:spacing w:after="0" w:line="332" w:lineRule="exact"/>
        <w:rPr>
          <w:sz w:val="20"/>
          <w:szCs w:val="20"/>
          <w:color w:val="auto"/>
        </w:rPr>
      </w:pPr>
    </w:p>
    <w:p>
      <w:pPr>
        <w:ind w:left="960" w:hanging="532"/>
        <w:spacing w:after="0"/>
        <w:tabs>
          <w:tab w:leader="none" w:pos="960"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INCLUSIONS</w:t>
      </w:r>
    </w:p>
    <w:p>
      <w:pPr>
        <w:spacing w:after="0" w:line="117"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The neuter gender when used herein, shall include all persons and corporations, and words used in the singular shall include words in the plural where the text of the instrument so requires.</w:t>
      </w:r>
    </w:p>
    <w:p>
      <w:pPr>
        <w:spacing w:after="0" w:line="310" w:lineRule="exact"/>
        <w:rPr>
          <w:sz w:val="20"/>
          <w:szCs w:val="20"/>
          <w:color w:val="auto"/>
        </w:rPr>
      </w:pPr>
    </w:p>
    <w:p>
      <w:pPr>
        <w:ind w:left="960" w:hanging="532"/>
        <w:spacing w:after="0"/>
        <w:tabs>
          <w:tab w:leader="none" w:pos="960"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TERM “LANDLORD”</w:t>
      </w:r>
    </w:p>
    <w:p>
      <w:pPr>
        <w:spacing w:after="0" w:line="117" w:lineRule="exact"/>
        <w:rPr>
          <w:sz w:val="20"/>
          <w:szCs w:val="20"/>
          <w:color w:val="auto"/>
        </w:rPr>
      </w:pPr>
    </w:p>
    <w:p>
      <w:pPr>
        <w:ind w:right="120" w:firstLine="991"/>
        <w:spacing w:after="0" w:line="256" w:lineRule="auto"/>
        <w:rPr>
          <w:sz w:val="20"/>
          <w:szCs w:val="20"/>
          <w:color w:val="auto"/>
        </w:rPr>
      </w:pPr>
      <w:r>
        <w:rPr>
          <w:rFonts w:ascii="Times New Roman" w:cs="Times New Roman" w:eastAsia="Times New Roman" w:hAnsi="Times New Roman"/>
          <w:sz w:val="18"/>
          <w:szCs w:val="18"/>
          <w:color w:val="auto"/>
        </w:rPr>
        <w:t>When the term “Landlord” is used in this Lease it shall be construed to mean and include only the entity which is the owner of title to the building. Upon the transfer by the Landlord of the title, the Landlord shall advise the Tenant in writing by certified mail, return receipt requested, of the name of the Landlord’s transferee. In such event, the Landlord shall be automatically freed and relieved from and after the date of such transfer of title of all personal liability with respect to the performance of any of the covenants and obligations on the part of the Landlord herein contained to be performed, provided any such transfer and conveyance by the Landlord is expressly subject to the assumption by the transferee of the obligations of the Landlord hereunder.</w:t>
      </w:r>
    </w:p>
    <w:p>
      <w:pPr>
        <w:spacing w:after="0" w:line="336" w:lineRule="exact"/>
        <w:rPr>
          <w:sz w:val="20"/>
          <w:szCs w:val="20"/>
          <w:color w:val="auto"/>
        </w:rPr>
      </w:pPr>
    </w:p>
    <w:p>
      <w:pPr>
        <w:ind w:left="960" w:hanging="532"/>
        <w:spacing w:after="0"/>
        <w:tabs>
          <w:tab w:leader="none" w:pos="960"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COVENANTS OF FURTHER ASSURANCES</w:t>
      </w:r>
    </w:p>
    <w:p>
      <w:pPr>
        <w:spacing w:after="0" w:line="117" w:lineRule="exact"/>
        <w:rPr>
          <w:sz w:val="20"/>
          <w:szCs w:val="20"/>
          <w:color w:val="auto"/>
        </w:rPr>
      </w:pPr>
    </w:p>
    <w:p>
      <w:pPr>
        <w:jc w:val="both"/>
        <w:ind w:right="320" w:firstLine="991"/>
        <w:spacing w:after="0" w:line="261" w:lineRule="auto"/>
        <w:rPr>
          <w:sz w:val="20"/>
          <w:szCs w:val="20"/>
          <w:color w:val="auto"/>
        </w:rPr>
      </w:pPr>
      <w:r>
        <w:rPr>
          <w:rFonts w:ascii="Times New Roman" w:cs="Times New Roman" w:eastAsia="Times New Roman" w:hAnsi="Times New Roman"/>
          <w:sz w:val="18"/>
          <w:szCs w:val="18"/>
          <w:color w:val="auto"/>
        </w:rPr>
        <w:t>If, in connection with obtaining financing for the improvements on the Leased Premises, the mortgage lender shall request reasonable modifications in this Lease as a condition to such financing, Tenant will not unreasonably withhold, delay or refuse its consent thereto, provided that such modifications do not in Tenant’s reasonable judgment increase the obligations of Tenant hereunder or materially adversely affect the leasehold interest hereby created or Tenant’s use and enjoyment of or access to the Leased Premises.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69" w:right="439" w:bottom="1440" w:gutter="0" w:footer="0" w:header="0"/>
        </w:sectPr>
      </w:pPr>
    </w:p>
    <w:bookmarkStart w:id="598" w:name="page599"/>
    <w:bookmarkEnd w:id="598"/>
    <w:p>
      <w:pPr>
        <w:ind w:left="960" w:hanging="532"/>
        <w:spacing w:after="0"/>
        <w:tabs>
          <w:tab w:leader="none" w:pos="960"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COVENANT AGAINST LIENS</w:t>
      </w:r>
    </w:p>
    <w:p>
      <w:pPr>
        <w:spacing w:after="0" w:line="117" w:lineRule="exact"/>
        <w:rPr>
          <w:sz w:val="20"/>
          <w:szCs w:val="20"/>
          <w:color w:val="auto"/>
        </w:rPr>
      </w:pPr>
    </w:p>
    <w:p>
      <w:pPr>
        <w:ind w:right="220" w:firstLine="991"/>
        <w:spacing w:after="0" w:line="272" w:lineRule="auto"/>
        <w:rPr>
          <w:sz w:val="20"/>
          <w:szCs w:val="20"/>
          <w:color w:val="auto"/>
        </w:rPr>
      </w:pPr>
      <w:r>
        <w:rPr>
          <w:rFonts w:ascii="Times New Roman" w:cs="Times New Roman" w:eastAsia="Times New Roman" w:hAnsi="Times New Roman"/>
          <w:sz w:val="17"/>
          <w:szCs w:val="17"/>
          <w:color w:val="auto"/>
        </w:rPr>
        <w:t>Tenant agrees that it shall not encumber, or permit to be encumbered; the Leased Premises or the fee thereof by any lien, charge or encumbrance through Tenant, its agents, employees, contractors or subcontractors, and Tenant shall have no authority to mortgage or hypothecate this Lease in any way whatsoever. Any violation of this Paragraph shall be considered a breach of this Lease after the expiration of applicable notice and cure periods. Tenant promptly shall pay for any labor, services, materials, supplies or equipment furnished to Tenant in or about the Leased Premises. Tenant shall keep the Leased Premises and the Office Park free from any liens arising out of any labor, services, materials, supplies or equipment furnished or alleged to have been furnished to Tenant. Tenant shall take all steps permitted by law in order to avoid the imposition of any such lien. Should any such lien or notice of such lien be filed against the Leased Premises or the Office Park, Tenant shall discharge the same by bonding or otherwise, within 15 days after Tenant has notice from Landlord that the lien or claim is filed regardless of the validity of such lien or claim.</w:t>
      </w:r>
    </w:p>
    <w:p>
      <w:pPr>
        <w:spacing w:after="0" w:line="320" w:lineRule="exact"/>
        <w:rPr>
          <w:sz w:val="20"/>
          <w:szCs w:val="20"/>
          <w:color w:val="auto"/>
        </w:rPr>
      </w:pPr>
    </w:p>
    <w:p>
      <w:pPr>
        <w:ind w:left="960" w:hanging="532"/>
        <w:spacing w:after="0"/>
        <w:tabs>
          <w:tab w:leader="none" w:pos="960"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SUBORDINATION</w:t>
      </w:r>
    </w:p>
    <w:p>
      <w:pPr>
        <w:spacing w:after="0" w:line="117"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This Lease shall be subject and subordinate at all times to the lien of any mortgages or ground leases or other encumbrances now or hereafter placed on the land, Building and Leased Premises without the necessity of any further instrument or act on the part of Tenant to effectuate such subordination. However, Tenant agrees to execute such further reasonable documents evidencing the subordination of the Lease to the lien of any mortgage or ground lease as shall be desired by Landlord within 10 days. However, any mortgagee may at any time subordinate its mortgage to this Lease, without Tenant’s consent, by giving notice to Tenant, and this Lease shall then be deemed prior to such mortgage without regard to their respective dates of execution and delivery; provided that such subordination shall not affect any mortgagee’s rights with respect to condemnation awards, casualty insurance proceeds, intervening liens or any right which shall arise between the recording of such mortgage and the execution of this Lease. With respect to any lien of a mortgage placed on the Building after the Commencement Date, Landlord shall use reasonable efforts to cause such lender to enter into a written subordination, non-disturbance and attornment agreement with Tenant on such lender’s standard form, whereby such lender agrees that, for so long as Tenant shall not be in default of its obligations hereunder, after the giving of required notice and the expiration of applicable cure periods, such lender shall not disturb Tenant’s rights hereunder in the event of a foreclosure of its security interest in the Building, land or Leased Premises on such lender’s standard form. Concurrently with Landlord’s execution of this Lease, Landlord shall use commercially reasonable efforts to obtain from any existing or future lenders or ground lessors of the Leased Premises a written agreement in form reasonably satisfactory to Tenant providing for recognition of Tenant’s interests under this Lease in the event of a foreclosure of the lender’s security interest or termination of the ground lease.</w:t>
      </w:r>
    </w:p>
    <w:p>
      <w:pPr>
        <w:spacing w:after="0" w:line="344" w:lineRule="exact"/>
        <w:rPr>
          <w:sz w:val="20"/>
          <w:szCs w:val="20"/>
          <w:color w:val="auto"/>
        </w:rPr>
      </w:pPr>
    </w:p>
    <w:p>
      <w:pPr>
        <w:ind w:left="960" w:hanging="532"/>
        <w:spacing w:after="0"/>
        <w:tabs>
          <w:tab w:leader="none" w:pos="960"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EXCULPATION OF LANDLORD</w:t>
      </w:r>
    </w:p>
    <w:p>
      <w:pPr>
        <w:spacing w:after="0" w:line="117"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The word “Landlord” in this Lease includes the Landlord executing this Lease as well as its successors and assigns, each of which shall have the same rights, remedies, powers, authorities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9" w:right="459" w:bottom="1440" w:gutter="0" w:footer="0" w:header="0"/>
        </w:sectPr>
      </w:pPr>
    </w:p>
    <w:bookmarkStart w:id="599" w:name="page600"/>
    <w:bookmarkEnd w:id="59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and privileges as it would have had it originally signed this Lease as Landlord. Any such person or entity, whether or not named in this Lease, shall have no liability under this Lease after it ceases to hold title to the Leased Premises except for obligations already accrued (and, as to any unapplied portion of Tenant’s Security, Landlord shall be relieved of all liability upon transfer of such portion to its successor in interest). Tenant shall look solely to Landlord’s successor in interest for the performance of the covenants and obligations of the Landlord hereunder which subsequently accrue. Landlord shall not be deemed to be in default under this Lease unless Tenant gives Landlord written notice specifying the default and Landlord fails to cure the default within a reasonable period following Tenant’s notice. In no event shall Landlord be liable to Tenant for any loss of business or profits of Tenant or for consequential, punitive or special damages of any kind. Neither Landlord nor any principal of Landlord nor any owner of the Office Park, whether disclosed or undisclosed, shall have any personal liability with respect to any of the provisions of this Lease or the Leased Premises; Tenant shall look solely to the amount of equity of Landlord in the Building and underlying land where the Leased Premises is located for the satisfaction of any claim by Tenant against Landlord and no deficiency judgment or other judgment for money damages in excess thereof shall be entered by Tenant against Landlord.</w:t>
      </w:r>
    </w:p>
    <w:p>
      <w:pPr>
        <w:spacing w:after="0" w:line="340" w:lineRule="exact"/>
        <w:rPr>
          <w:sz w:val="20"/>
          <w:szCs w:val="20"/>
          <w:color w:val="auto"/>
        </w:rPr>
      </w:pPr>
    </w:p>
    <w:p>
      <w:pPr>
        <w:ind w:left="960" w:hanging="532"/>
        <w:spacing w:after="0"/>
        <w:tabs>
          <w:tab w:leader="none" w:pos="960"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NET RENT</w:t>
      </w:r>
    </w:p>
    <w:p>
      <w:pPr>
        <w:spacing w:after="0" w:line="117"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It is the intent of the Landlord and Tenant that, to the extent provided above in this Lease, this Lease shall yield, net to Landlord, the Base Rent specified and all Additional Rent and charges in each month during the term of the Lease, and that all costs, expenses and obligations of every kind relating to the Leased Premises shall be paid by the Tenant, unless expressly assumed by the Landlord.</w:t>
      </w:r>
    </w:p>
    <w:p>
      <w:pPr>
        <w:spacing w:after="0" w:line="324" w:lineRule="exact"/>
        <w:rPr>
          <w:sz w:val="20"/>
          <w:szCs w:val="20"/>
          <w:color w:val="auto"/>
        </w:rPr>
      </w:pPr>
    </w:p>
    <w:p>
      <w:pPr>
        <w:ind w:left="960" w:hanging="532"/>
        <w:spacing w:after="0"/>
        <w:tabs>
          <w:tab w:leader="none" w:pos="960"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SECURITY</w:t>
      </w:r>
    </w:p>
    <w:p>
      <w:pPr>
        <w:spacing w:after="0" w:line="117"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Concurrent with its execution of this Lease, Tenant is depositing with Landlord the sum of $78,833.32 by check, subject to collection, as the security deposit under this Lease (the “Security”). Landlord shall retain such amount as security for the faithful performance of all of the terms, covenants and conditions of this Lease. Landlord shall in no event be obligated to apply the Security to Rent in arrears or damages for Tenant’s default, although Landlord may so apply the Security, at its option. Landlord’s right to bring a special proceeding to recover or otherwise obtain possession of the Leased Premises for non-payment of Rent or for any other reason shall not in any event be affected by reason of the fact that Landlord holds the Security. The Security, if not applied toward the payment of Rent in arrears or toward the payment of damages suffered by Landlord by reason of Tenant’s default, shall be returned to Tenant without interest, when this Lease is terminated, but in no event shall the Security be returned until Tenant has vacated the Leased Premises and delivered possession thereof to Landlord in accordance with the terms and provisions of this Lease, which shall be verified by a walk-through by Landlord to confirm that all equipment is in good working order. If Landlord repossesses the Leased Premises, because of Tenant’s default, Landlord may apply the Security to damages suffered to the date of such repossession and may apply the Security to such damages as may be suffered or shall accrue thereafter by reason of Tenant’s default. Except as otherwise required by the Laws, Landlord shall not be obligated to keep the Security as a separate fund and may commingle the Security with its own funds. If Landlord applies the Security in whole or in part, Tenant shall, upon demand by Landlord, deposit sufficient funds to replenish the Security to the original amount required hereunder. Failure 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9" w:right="459" w:bottom="1440" w:gutter="0" w:footer="0" w:header="0"/>
        </w:sectPr>
      </w:pPr>
    </w:p>
    <w:bookmarkStart w:id="600" w:name="page601"/>
    <w:bookmarkEnd w:id="600"/>
    <w:p>
      <w:pPr>
        <w:ind w:right="4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Tenant to deposit such additional security within five (5) business days of Landlord’s demand therefore shall entitle Landlord to avail itself of the remedies provided in this Lease for nonpayment of Rent by Tenant.</w:t>
      </w:r>
    </w:p>
    <w:p>
      <w:pPr>
        <w:spacing w:after="0" w:line="310" w:lineRule="exact"/>
        <w:rPr>
          <w:sz w:val="20"/>
          <w:szCs w:val="20"/>
          <w:color w:val="auto"/>
        </w:rPr>
      </w:pPr>
    </w:p>
    <w:p>
      <w:pPr>
        <w:ind w:left="960" w:hanging="532"/>
        <w:spacing w:after="0"/>
        <w:tabs>
          <w:tab w:leader="none" w:pos="960"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BROKERAGE</w:t>
      </w:r>
    </w:p>
    <w:p>
      <w:pPr>
        <w:spacing w:after="0" w:line="117"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The parties mutually represent to each other that Colliers International is the broker (“Broker”) who negotiated and consummated the within transaction, that neither party dealt with any other broker in connection with the Lease. In the event either party violates this representation, it shall indemnify, defend and hold the other party harmless from all claims and damages. Specifically, if Tenant chooses to deal with a different broker regarding any renewal of this Lease and Landlord or its broker does not agree in writing to pay such broker a commission in connection with such renewal, Tenant shall be responsible for paying the Broker for any period of time in excess of the original Term and shall indemnify, defend and hold Landlord harmless from any claims by the new broker named above. Apart from the foregoing, it is agreed that the Landlord shall be responsible, at its sole cost and expense, to pay the brokerage commission in connection with this Lease.</w:t>
      </w:r>
    </w:p>
    <w:p>
      <w:pPr>
        <w:spacing w:after="0" w:line="337" w:lineRule="exact"/>
        <w:rPr>
          <w:sz w:val="20"/>
          <w:szCs w:val="20"/>
          <w:color w:val="auto"/>
        </w:rPr>
      </w:pPr>
    </w:p>
    <w:p>
      <w:pPr>
        <w:ind w:left="960" w:hanging="532"/>
        <w:spacing w:after="0"/>
        <w:tabs>
          <w:tab w:leader="none" w:pos="960"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LATE CHARGES</w:t>
      </w:r>
    </w:p>
    <w:p>
      <w:pPr>
        <w:spacing w:after="0" w:line="117"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In addition to any other remedy, a late charge of 1.5% per month, retroactive to the date Rent was due, shall be due and payable, without notice from Landlord, on any portion of Rent or other charges not paid within 5 days of the due date. Notwithstanding the foregoing, before assessing a late interest charge the first time in the Lease term, Landlord shall provide Tenant written notice of the delinquency, and shall waive such late interest charge if Tenant pays such delinquency within five (5) days thereafter no don’t be late we will allow it once.</w:t>
      </w:r>
    </w:p>
    <w:p>
      <w:pPr>
        <w:spacing w:after="0" w:line="328" w:lineRule="exact"/>
        <w:rPr>
          <w:sz w:val="20"/>
          <w:szCs w:val="20"/>
          <w:color w:val="auto"/>
        </w:rPr>
      </w:pPr>
    </w:p>
    <w:p>
      <w:pPr>
        <w:ind w:left="960" w:hanging="532"/>
        <w:spacing w:after="0"/>
        <w:tabs>
          <w:tab w:leader="none" w:pos="96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PRESS RELEASES</w:t>
      </w:r>
    </w:p>
    <w:p>
      <w:pPr>
        <w:spacing w:after="0" w:line="117"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Landlord shall have the right to announce the execution of this Lease, the parties hereto, and the real estate brokers involved in such press releases as Landlord shall deem advisable.</w:t>
      </w:r>
    </w:p>
    <w:p>
      <w:pPr>
        <w:spacing w:after="0" w:line="310" w:lineRule="exact"/>
        <w:rPr>
          <w:sz w:val="20"/>
          <w:szCs w:val="20"/>
          <w:color w:val="auto"/>
        </w:rPr>
      </w:pPr>
    </w:p>
    <w:p>
      <w:pPr>
        <w:ind w:left="960" w:hanging="532"/>
        <w:spacing w:after="0"/>
        <w:tabs>
          <w:tab w:leader="none" w:pos="960"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p>
    <w:p>
      <w:pPr>
        <w:spacing w:after="0" w:line="117"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Landlord and Tenant both irrevocably waive a trial by jury in any action or proceeding between them or their successors or assigns arising out of this Lease or any of its provisions, or Tenant’s use or occupancy of the Leased Premises.</w:t>
      </w:r>
    </w:p>
    <w:p>
      <w:pPr>
        <w:spacing w:after="0" w:line="310" w:lineRule="exact"/>
        <w:rPr>
          <w:sz w:val="20"/>
          <w:szCs w:val="20"/>
          <w:color w:val="auto"/>
        </w:rPr>
      </w:pPr>
    </w:p>
    <w:p>
      <w:pPr>
        <w:ind w:left="960" w:hanging="532"/>
        <w:spacing w:after="0"/>
        <w:tabs>
          <w:tab w:leader="none" w:pos="960"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LAWS OF NEW JERSEY</w:t>
      </w:r>
    </w:p>
    <w:p>
      <w:pPr>
        <w:spacing w:after="0" w:line="117"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Without regard to principles of conflicts of laws, the validity, interpretation, performance and enforcement of this Lease shall be governed by and construed in accordance with the laws of the State of New Jersey. The sole and exclusive venue for any dispute between the parties shall be in Middlesex County, New Jersey.</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40"/>
          </w:cols>
          <w:pgMar w:left="440" w:top="269" w:right="519" w:bottom="1440" w:gutter="0" w:footer="0" w:header="0"/>
        </w:sectPr>
      </w:pPr>
    </w:p>
    <w:bookmarkStart w:id="601" w:name="page602"/>
    <w:bookmarkEnd w:id="601"/>
    <w:p>
      <w:pPr>
        <w:ind w:left="964" w:hanging="532"/>
        <w:spacing w:after="0"/>
        <w:tabs>
          <w:tab w:leader="none" w:pos="964"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RENEWAL</w:t>
      </w:r>
    </w:p>
    <w:p>
      <w:pPr>
        <w:spacing w:after="0" w:line="117"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Provided the Tenant is not in default hereunder, it has the right to renew the Lease, for, a five (5) year period, to commence at the end of the initial term, of this Lease. The renewal shall be upon the same terms and conditions as contained in this Lease, except that the Base Rent shall increase 15% over the Base Rent during the last year of the Term described in paragraph 4.1(b) above. The option of the Tenant to renew this Lease is expressly conditioned upon the Tenant delivering to the Landlord a notice, in writing, by certified mail, return receipt requested at least 270 days prior to the date fixed for termination of the original Lease term.</w:t>
      </w:r>
    </w:p>
    <w:p>
      <w:pPr>
        <w:spacing w:after="0" w:line="332" w:lineRule="exact"/>
        <w:rPr>
          <w:sz w:val="20"/>
          <w:szCs w:val="20"/>
          <w:color w:val="auto"/>
        </w:rPr>
      </w:pPr>
    </w:p>
    <w:p>
      <w:pPr>
        <w:ind w:left="964" w:hanging="532"/>
        <w:spacing w:after="0"/>
        <w:tabs>
          <w:tab w:leader="none" w:pos="964"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TENANT REPRESENTATION</w:t>
      </w:r>
    </w:p>
    <w:p>
      <w:pPr>
        <w:spacing w:after="0" w:line="117" w:lineRule="exact"/>
        <w:rPr>
          <w:sz w:val="20"/>
          <w:szCs w:val="20"/>
          <w:color w:val="auto"/>
        </w:rPr>
      </w:pPr>
    </w:p>
    <w:p>
      <w:pPr>
        <w:ind w:left="4" w:right="100" w:firstLine="991"/>
        <w:spacing w:after="0" w:line="269" w:lineRule="auto"/>
        <w:rPr>
          <w:sz w:val="20"/>
          <w:szCs w:val="20"/>
          <w:color w:val="auto"/>
        </w:rPr>
      </w:pPr>
      <w:r>
        <w:rPr>
          <w:rFonts w:ascii="Times New Roman" w:cs="Times New Roman" w:eastAsia="Times New Roman" w:hAnsi="Times New Roman"/>
          <w:sz w:val="17"/>
          <w:szCs w:val="17"/>
          <w:color w:val="auto"/>
        </w:rPr>
        <w:t>Tenant represents, warrants and covenants that neither Tenant nor, to Tenant’s knowledge, any of its partners, officers, directors, members or shareholders (i) is listed on the Specially Designated Nationals and Blocked Persons List maintained by the Office of Foreign Asset Control, Department of the Treasury (“OFAC”) and all applicable provisions of Title HI of the USA Patriot Act or any other publicly available list of terrorists, terrorist organizations or narcotics traffickers maintained by the United States Department of State, the United States Department of Commerce or any other governmental authority; (ii) is listed on the List of Terrorists and List of Disbarred parties maintained by the United State Department of State; or</w:t>
      </w:r>
    </w:p>
    <w:p>
      <w:pPr>
        <w:spacing w:after="0" w:line="3" w:lineRule="exact"/>
        <w:rPr>
          <w:sz w:val="20"/>
          <w:szCs w:val="20"/>
          <w:color w:val="auto"/>
        </w:rPr>
      </w:pPr>
    </w:p>
    <w:p>
      <w:pPr>
        <w:ind w:left="4" w:right="140" w:hanging="4"/>
        <w:spacing w:after="0" w:line="260" w:lineRule="auto"/>
        <w:tabs>
          <w:tab w:leader="none" w:pos="319"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convicted on charges involving money laundering or predicate crimes to money laundering, drug trafficking, terrorist-related activities or other crimes or in connection with the Bank Secrecy Act.</w:t>
      </w:r>
    </w:p>
    <w:p>
      <w:pPr>
        <w:spacing w:after="0" w:line="329"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OF FIRST OFFER</w:t>
      </w:r>
    </w:p>
    <w:p>
      <w:pPr>
        <w:spacing w:after="0" w:line="117"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If Landlord determines to lease any other space in the Building (the “Expansion Space”), then Landlord shall notify Tenant of the terms on which Landlord is willing to lease the Expansion Space. If Tenant, within five (5) business days after receipt of Landlord’s written notice, indicates in writing its agreement to lease the Expansion Space on the tams stated in Landlord’s notice, then Landlord shall lease to Tenant and Tenant shall lease from Landlord the Expansion Space on the terms stated in Landlord’s notice. If Tenant does not indicate in writing its agreement to lease the Expansion Space on the terms contained in Landlord’s notice within such five (5) business day period, then Landlord thereafter shall have the right to lease the Expansion Space to a third party on the same terms stated in Landlord’s notice. If Landlord does not lease the Expansion Space within six (6) months after the expiration of such five (5) business day period, any further transaction shall be deemed a new determination by Landlord to lease the Expansion Space and the provisions of this paragraph shall again be applicable. Tenant’s right of first offer shall be continuous during the Term and any extension thereof. Tenant’s rejection of any particular offer shall not relieve Landlord of its obligation to again offer any Expansion Space to Tenant at any time that the Expansion Space subsequently becomes available.</w:t>
      </w:r>
    </w:p>
    <w:p>
      <w:pPr>
        <w:spacing w:after="0" w:line="343" w:lineRule="exact"/>
        <w:rPr>
          <w:sz w:val="20"/>
          <w:szCs w:val="20"/>
          <w:color w:val="auto"/>
        </w:rPr>
      </w:pPr>
    </w:p>
    <w:p>
      <w:pPr>
        <w:ind w:left="964" w:hanging="532"/>
        <w:spacing w:after="0"/>
        <w:tabs>
          <w:tab w:leader="none" w:pos="964"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REASONABLE</w:t>
      </w:r>
    </w:p>
    <w:p>
      <w:pPr>
        <w:spacing w:after="0" w:line="117" w:lineRule="exact"/>
        <w:rPr>
          <w:sz w:val="20"/>
          <w:szCs w:val="20"/>
          <w:color w:val="auto"/>
        </w:rPr>
      </w:pPr>
    </w:p>
    <w:p>
      <w:pPr>
        <w:ind w:left="4" w:right="280" w:firstLine="991"/>
        <w:spacing w:after="0" w:line="266" w:lineRule="auto"/>
        <w:rPr>
          <w:sz w:val="20"/>
          <w:szCs w:val="20"/>
          <w:color w:val="auto"/>
        </w:rPr>
      </w:pPr>
      <w:r>
        <w:rPr>
          <w:rFonts w:ascii="Times New Roman" w:cs="Times New Roman" w:eastAsia="Times New Roman" w:hAnsi="Times New Roman"/>
          <w:sz w:val="18"/>
          <w:szCs w:val="18"/>
          <w:color w:val="auto"/>
        </w:rPr>
        <w:t>Whenever this Lease requires an approval, consent, determination or judgment by either Landlord or Tenant, unless another standard is expressly set forth, such approval, consent, determination or judgment and any conditions imposed thereby shall be reasonable and shall not be unreasonably withheld or delayed.</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04"/>
          </w:cols>
          <w:pgMar w:left="436" w:top="269" w:right="459" w:bottom="1440" w:gutter="0" w:footer="0" w:header="0"/>
        </w:sectPr>
      </w:pPr>
    </w:p>
    <w:bookmarkStart w:id="602" w:name="page603"/>
    <w:bookmarkEnd w:id="60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executed this document on the date first above written.</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5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Cedar Brook 2005, LP</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03/03/2015</w:t>
            </w:r>
          </w:p>
        </w:tc>
        <w:tc>
          <w:tcPr>
            <w:tcW w:w="262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Joe Stern</w:t>
            </w:r>
          </w:p>
        </w:tc>
      </w:tr>
      <w:tr>
        <w:trPr>
          <w:trHeight w:val="228"/>
        </w:trPr>
        <w:tc>
          <w:tcPr>
            <w:tcW w:w="34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Landlord</w:t>
            </w:r>
          </w:p>
        </w:tc>
      </w:tr>
      <w:tr>
        <w:trPr>
          <w:trHeight w:val="454"/>
        </w:trPr>
        <w:tc>
          <w:tcPr>
            <w:tcW w:w="3440" w:type="dxa"/>
            <w:vAlign w:val="bottom"/>
          </w:tcPr>
          <w:p>
            <w:pPr>
              <w:spacing w:after="0"/>
              <w:rPr>
                <w:sz w:val="24"/>
                <w:szCs w:val="24"/>
                <w:color w:val="auto"/>
              </w:rPr>
            </w:pPr>
          </w:p>
        </w:tc>
        <w:tc>
          <w:tcPr>
            <w:tcW w:w="758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PMV Pharmaceuticals, Inc., a Delaware corporation</w:t>
            </w:r>
          </w:p>
        </w:tc>
      </w:tr>
      <w:tr>
        <w:trPr>
          <w:trHeight w:val="432"/>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02/13/2015</w:t>
            </w:r>
          </w:p>
        </w:tc>
        <w:tc>
          <w:tcPr>
            <w:tcW w:w="262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Jay Shukert</w:t>
            </w:r>
          </w:p>
        </w:tc>
      </w:tr>
      <w:tr>
        <w:trPr>
          <w:trHeight w:val="228"/>
        </w:trPr>
        <w:tc>
          <w:tcPr>
            <w:tcW w:w="344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Tenant</w:t>
            </w:r>
          </w:p>
        </w:tc>
      </w:tr>
    </w:tbl>
    <w:p>
      <w:pPr>
        <w:sectPr>
          <w:pgSz w:w="11900" w:h="16838" w:orient="portrait"/>
          <w:cols w:equalWidth="0" w:num="1">
            <w:col w:w="11020"/>
          </w:cols>
          <w:pgMar w:left="440" w:top="269" w:right="439" w:bottom="1440" w:gutter="0" w:footer="0" w:header="0"/>
        </w:sectPr>
      </w:pPr>
    </w:p>
    <w:bookmarkStart w:id="603" w:name="page604"/>
    <w:bookmarkEnd w:id="6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703770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149465" cy="70377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4" w:name="page605"/>
    <w:bookmarkEnd w:id="604"/>
    <w:p>
      <w:pPr>
        <w:jc w:val="center"/>
        <w:ind w:right="-89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Attachment B</w:t>
      </w:r>
    </w:p>
    <w:p>
      <w:pPr>
        <w:spacing w:after="0" w:line="225" w:lineRule="exact"/>
        <w:rPr>
          <w:sz w:val="20"/>
          <w:szCs w:val="20"/>
          <w:color w:val="auto"/>
        </w:rPr>
      </w:pPr>
    </w:p>
    <w:p>
      <w:pPr>
        <w:ind w:left="4556"/>
        <w:spacing w:after="0"/>
        <w:rPr>
          <w:sz w:val="20"/>
          <w:szCs w:val="20"/>
          <w:color w:val="auto"/>
        </w:rPr>
      </w:pPr>
      <w:r>
        <w:rPr>
          <w:rFonts w:ascii="Times New Roman" w:cs="Times New Roman" w:eastAsia="Times New Roman" w:hAnsi="Times New Roman"/>
          <w:sz w:val="18"/>
          <w:szCs w:val="18"/>
          <w:b w:val="1"/>
          <w:bCs w:val="1"/>
          <w:color w:val="auto"/>
        </w:rPr>
        <w:t>Tenant Improvements</w:t>
      </w:r>
    </w:p>
    <w:p>
      <w:pPr>
        <w:spacing w:after="0" w:line="135" w:lineRule="exact"/>
        <w:rPr>
          <w:sz w:val="20"/>
          <w:szCs w:val="20"/>
          <w:color w:val="auto"/>
        </w:rPr>
      </w:pPr>
    </w:p>
    <w:p>
      <w:pPr>
        <w:ind w:left="316" w:hanging="316"/>
        <w:spacing w:after="0"/>
        <w:tabs>
          <w:tab w:leader="none" w:pos="316"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existing Tech. Offices</w:t>
      </w:r>
    </w:p>
    <w:p>
      <w:pPr>
        <w:spacing w:after="0" w:line="13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two exterior exits</w:t>
      </w:r>
    </w:p>
    <w:p>
      <w:pPr>
        <w:spacing w:after="0" w:line="13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front office area per architectural dwgs.</w:t>
      </w:r>
    </w:p>
    <w:p>
      <w:pPr>
        <w:spacing w:after="0" w:line="13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three fume hoods per chemistry laboratory and infill with lab. Benches</w:t>
      </w:r>
    </w:p>
    <w:p>
      <w:pPr>
        <w:spacing w:after="0" w:line="13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isolation dampers to fume hoods in biology area.</w:t>
      </w:r>
    </w:p>
    <w:p>
      <w:pPr>
        <w:spacing w:after="0" w:line="13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Upgrade back-up generator and expand service to labs.</w:t>
      </w:r>
    </w:p>
    <w:p>
      <w:pPr>
        <w:spacing w:after="0" w:line="13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 carpet and paint</w:t>
      </w:r>
    </w:p>
    <w:p>
      <w:pPr>
        <w:spacing w:after="0" w:line="13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5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Recommission HVAC system and add VFD’s for electrical consumption efficiency.</w:t>
      </w:r>
    </w:p>
    <w:p>
      <w:pPr>
        <w:spacing w:after="0" w:line="142" w:lineRule="exact"/>
        <w:rPr>
          <w:rFonts w:ascii="Times New Roman" w:cs="Times New Roman" w:eastAsia="Times New Roman" w:hAnsi="Times New Roman"/>
          <w:sz w:val="17"/>
          <w:szCs w:val="17"/>
          <w:color w:val="auto"/>
        </w:rPr>
      </w:pPr>
    </w:p>
    <w:p>
      <w:pPr>
        <w:ind w:left="316" w:hanging="316"/>
        <w:spacing w:after="0"/>
        <w:tabs>
          <w:tab w:leader="none" w:pos="316"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Recommission BMS system</w:t>
      </w:r>
    </w:p>
    <w:p>
      <w:pPr>
        <w:spacing w:after="0" w:line="13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multi-stall restrooms</w:t>
      </w:r>
    </w:p>
    <w:p>
      <w:pPr>
        <w:spacing w:after="0" w:line="13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separation between Tenants</w:t>
      </w:r>
    </w:p>
    <w:p>
      <w:pPr>
        <w:spacing w:after="0" w:line="130" w:lineRule="exact"/>
        <w:rPr>
          <w:rFonts w:ascii="Times New Roman" w:cs="Times New Roman" w:eastAsia="Times New Roman" w:hAnsi="Times New Roman"/>
          <w:sz w:val="18"/>
          <w:szCs w:val="18"/>
          <w:color w:val="auto"/>
        </w:rPr>
      </w:pPr>
    </w:p>
    <w:p>
      <w:pPr>
        <w:ind w:left="316" w:hanging="316"/>
        <w:spacing w:after="0"/>
        <w:tabs>
          <w:tab w:leader="none" w:pos="316" w:val="left"/>
        </w:tabs>
        <w:numPr>
          <w:ilvl w:val="0"/>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Reuse existing doors where applicable</w:t>
      </w:r>
    </w:p>
    <w:p>
      <w:pPr>
        <w:sectPr>
          <w:pgSz w:w="11900" w:h="16838" w:orient="portrait"/>
          <w:cols w:equalWidth="0" w:num="1">
            <w:col w:w="9915"/>
          </w:cols>
          <w:pgMar w:left="544" w:top="265" w:right="1440" w:bottom="1440" w:gutter="0" w:footer="0" w:header="0"/>
        </w:sectPr>
      </w:pPr>
    </w:p>
    <w:bookmarkStart w:id="605" w:name="page606"/>
    <w:bookmarkEnd w:id="605"/>
    <w:p>
      <w:pPr>
        <w:jc w:val="center"/>
        <w:ind w:right="-17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FIRST AMENDMENT TO LEASE</w:t>
      </w:r>
    </w:p>
    <w:p>
      <w:pPr>
        <w:spacing w:after="0" w:line="225" w:lineRule="exact"/>
        <w:rPr>
          <w:sz w:val="20"/>
          <w:szCs w:val="20"/>
          <w:color w:val="auto"/>
        </w:rPr>
      </w:pPr>
    </w:p>
    <w:p>
      <w:pPr>
        <w:jc w:val="both"/>
        <w:ind w:right="1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FIRST AMENDMENT TO LEASE dated April </w:t>
      </w:r>
      <w:r>
        <w:rPr>
          <w:rFonts w:ascii="Times New Roman" w:cs="Times New Roman" w:eastAsia="Times New Roman" w:hAnsi="Times New Roman"/>
          <w:sz w:val="18"/>
          <w:szCs w:val="18"/>
          <w:u w:val="single" w:color="auto"/>
          <w:color w:val="auto"/>
        </w:rPr>
        <w:t>24</w:t>
      </w:r>
      <w:r>
        <w:rPr>
          <w:rFonts w:ascii="Times New Roman" w:cs="Times New Roman" w:eastAsia="Times New Roman" w:hAnsi="Times New Roman"/>
          <w:sz w:val="18"/>
          <w:szCs w:val="18"/>
          <w:color w:val="auto"/>
        </w:rPr>
        <w:t>, 2017 by and between Cedar Brook 2005, L.P. having an office at 4A Cedar Brook Drive, Cranbury, New Jersey 08512 (“Landlord”) and PMV Pharmaceuticals, Inc. having an office at 8 Clarke Drive, Cranbury, New Jersey 08512 (“Tenant”).</w:t>
      </w:r>
    </w:p>
    <w:p>
      <w:pPr>
        <w:spacing w:after="0" w:line="39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WITNESSETH:</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WHEREAS, the parties entered into a Lease Agreement dated March 3, 2015 (“Lease”) for a portion of 5 Cedar Brook Drive, Cranbury, New Jersey 08512; and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WHEREAS, the Tenant requires additional space within the Building and both parties wish to modify the Lease to allow for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expansion.</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NOW, THEREFORE, the parties hereto covenant and agree as follows;</w:t>
      </w:r>
    </w:p>
    <w:p>
      <w:pPr>
        <w:spacing w:after="0" w:line="131" w:lineRule="exact"/>
        <w:rPr>
          <w:sz w:val="20"/>
          <w:szCs w:val="20"/>
          <w:color w:val="auto"/>
        </w:rPr>
      </w:pPr>
    </w:p>
    <w:p>
      <w:pPr>
        <w:ind w:left="960" w:hanging="532"/>
        <w:spacing w:after="0" w:line="282" w:lineRule="auto"/>
        <w:tabs>
          <w:tab w:leader="none" w:pos="960"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shall be modified to add the 5,794 square feet of contiguous space to the Leased Premises so that the revised Leased Premises are as shown on the attached drawing. The total area occupied by Tenant shall be 18,446 square feet including all common areas.</w:t>
      </w:r>
    </w:p>
    <w:p>
      <w:pPr>
        <w:spacing w:after="0" w:line="67"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pay $22.00 per square foot on the additional areas added to the Leased Premises for a new annual Base Rent of $380,508.00 payable monthly in the amount of $31,709.00.</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construction required for the fit-out of this shall be performed by the Landlord as listed below:</w:t>
      </w:r>
    </w:p>
    <w:p>
      <w:pPr>
        <w:spacing w:after="0" w:line="130" w:lineRule="exact"/>
        <w:rPr>
          <w:rFonts w:ascii="Times New Roman" w:cs="Times New Roman" w:eastAsia="Times New Roman" w:hAnsi="Times New Roman"/>
          <w:sz w:val="18"/>
          <w:szCs w:val="18"/>
          <w:color w:val="auto"/>
        </w:rPr>
      </w:pPr>
    </w:p>
    <w:p>
      <w:pPr>
        <w:ind w:left="2080" w:right="500" w:hanging="653"/>
        <w:spacing w:after="0" w:line="282" w:lineRule="auto"/>
        <w:tabs>
          <w:tab w:leader="none" w:pos="2080" w:val="left"/>
        </w:tabs>
        <w:numPr>
          <w:ilvl w:val="1"/>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bring the existed laboratory space up to existing operating conditions including laboratory benches, plumbing, electrical and HVAC.</w:t>
      </w:r>
    </w:p>
    <w:p>
      <w:pPr>
        <w:spacing w:after="0" w:line="67" w:lineRule="exact"/>
        <w:rPr>
          <w:rFonts w:ascii="Times New Roman" w:cs="Times New Roman" w:eastAsia="Times New Roman" w:hAnsi="Times New Roman"/>
          <w:sz w:val="18"/>
          <w:szCs w:val="18"/>
          <w:color w:val="auto"/>
        </w:rPr>
      </w:pPr>
    </w:p>
    <w:p>
      <w:pPr>
        <w:ind w:left="2080" w:hanging="653"/>
        <w:spacing w:after="0"/>
        <w:tabs>
          <w:tab w:leader="none" w:pos="2080" w:val="left"/>
        </w:tabs>
        <w:numPr>
          <w:ilvl w:val="1"/>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modify the existing laboratory rooms to conform with the size shown on the attached drawing.</w:t>
      </w:r>
    </w:p>
    <w:p>
      <w:pPr>
        <w:spacing w:after="0" w:line="130" w:lineRule="exact"/>
        <w:rPr>
          <w:rFonts w:ascii="Times New Roman" w:cs="Times New Roman" w:eastAsia="Times New Roman" w:hAnsi="Times New Roman"/>
          <w:sz w:val="18"/>
          <w:szCs w:val="18"/>
          <w:color w:val="auto"/>
        </w:rPr>
      </w:pPr>
    </w:p>
    <w:p>
      <w:pPr>
        <w:ind w:left="2080" w:hanging="653"/>
        <w:spacing w:after="0"/>
        <w:tabs>
          <w:tab w:leader="none" w:pos="2080" w:val="left"/>
        </w:tabs>
        <w:numPr>
          <w:ilvl w:val="1"/>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flooring shall be VCT to match as close as reasonably possible the existing VCT.</w:t>
      </w:r>
    </w:p>
    <w:p>
      <w:pPr>
        <w:sectPr>
          <w:pgSz w:w="11900" w:h="16838" w:orient="portrait"/>
          <w:cols w:equalWidth="0" w:num="1">
            <w:col w:w="10820"/>
          </w:cols>
          <w:pgMar w:left="440" w:top="269" w:right="639" w:bottom="1440" w:gutter="0" w:footer="0" w:header="0"/>
        </w:sectPr>
      </w:pPr>
    </w:p>
    <w:bookmarkStart w:id="606" w:name="page607"/>
    <w:bookmarkEnd w:id="606"/>
    <w:p>
      <w:pPr>
        <w:ind w:left="1660" w:hanging="653"/>
        <w:spacing w:after="0"/>
        <w:tabs>
          <w:tab w:leader="none" w:pos="1660" w:val="left"/>
        </w:tabs>
        <w:numPr>
          <w:ilvl w:val="1"/>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All existing electrical outlets shall be brought up to normal operating conditions.</w:t>
      </w:r>
    </w:p>
    <w:p>
      <w:pPr>
        <w:spacing w:after="0" w:line="130" w:lineRule="exact"/>
        <w:rPr>
          <w:rFonts w:ascii="Times New Roman" w:cs="Times New Roman" w:eastAsia="Times New Roman" w:hAnsi="Times New Roman"/>
          <w:sz w:val="18"/>
          <w:szCs w:val="18"/>
          <w:color w:val="auto"/>
        </w:rPr>
      </w:pPr>
    </w:p>
    <w:p>
      <w:pPr>
        <w:ind w:left="1660" w:right="300" w:hanging="653"/>
        <w:spacing w:after="0" w:line="282" w:lineRule="auto"/>
        <w:tabs>
          <w:tab w:leader="none" w:pos="1660" w:val="left"/>
        </w:tabs>
        <w:numPr>
          <w:ilvl w:val="1"/>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adding additional fume hoods, including cost of HVAC modifications, plumbing and electrical shall be the responsibility of the Tenant.</w:t>
      </w:r>
    </w:p>
    <w:p>
      <w:pPr>
        <w:spacing w:after="0" w:line="67" w:lineRule="exact"/>
        <w:rPr>
          <w:rFonts w:ascii="Times New Roman" w:cs="Times New Roman" w:eastAsia="Times New Roman" w:hAnsi="Times New Roman"/>
          <w:sz w:val="18"/>
          <w:szCs w:val="18"/>
          <w:color w:val="auto"/>
        </w:rPr>
      </w:pPr>
    </w:p>
    <w:p>
      <w:pPr>
        <w:ind w:left="1660" w:hanging="653"/>
        <w:spacing w:after="0"/>
        <w:tabs>
          <w:tab w:leader="none" w:pos="1660" w:val="left"/>
        </w:tabs>
        <w:numPr>
          <w:ilvl w:val="1"/>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laboratories shall be designed so that no modifications to the underground plumbing shall be required.</w:t>
      </w:r>
    </w:p>
    <w:p>
      <w:pPr>
        <w:spacing w:after="0" w:line="130" w:lineRule="exact"/>
        <w:rPr>
          <w:rFonts w:ascii="Times New Roman" w:cs="Times New Roman" w:eastAsia="Times New Roman" w:hAnsi="Times New Roman"/>
          <w:sz w:val="18"/>
          <w:szCs w:val="18"/>
          <w:color w:val="auto"/>
        </w:rPr>
      </w:pPr>
    </w:p>
    <w:p>
      <w:pPr>
        <w:ind w:left="1660" w:hanging="653"/>
        <w:spacing w:after="0"/>
        <w:tabs>
          <w:tab w:leader="none" w:pos="1660" w:val="left"/>
        </w:tabs>
        <w:numPr>
          <w:ilvl w:val="1"/>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the DI water system shall be paid for by the Tenant.</w:t>
      </w:r>
    </w:p>
    <w:p>
      <w:pPr>
        <w:spacing w:after="0" w:line="130" w:lineRule="exact"/>
        <w:rPr>
          <w:rFonts w:ascii="Times New Roman" w:cs="Times New Roman" w:eastAsia="Times New Roman" w:hAnsi="Times New Roman"/>
          <w:sz w:val="18"/>
          <w:szCs w:val="18"/>
          <w:color w:val="auto"/>
        </w:rPr>
      </w:pPr>
    </w:p>
    <w:p>
      <w:pPr>
        <w:ind w:left="540" w:hanging="532"/>
        <w:spacing w:after="0" w:line="282" w:lineRule="auto"/>
        <w:tabs>
          <w:tab w:leader="none" w:pos="540"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shall be extended so that the termination date for the initially occupied areas and the expanded area shall be five (5) years from the issuance of a CO/TCO/CA for the expanded area.</w:t>
      </w:r>
    </w:p>
    <w:p>
      <w:pPr>
        <w:spacing w:after="0" w:line="67" w:lineRule="exact"/>
        <w:rPr>
          <w:rFonts w:ascii="Times New Roman" w:cs="Times New Roman" w:eastAsia="Times New Roman" w:hAnsi="Times New Roman"/>
          <w:sz w:val="18"/>
          <w:szCs w:val="18"/>
          <w:color w:val="auto"/>
        </w:rPr>
      </w:pPr>
    </w:p>
    <w:p>
      <w:pPr>
        <w:ind w:left="560" w:right="80" w:hanging="552"/>
        <w:spacing w:after="0" w:line="516" w:lineRule="auto"/>
        <w:tabs>
          <w:tab w:leader="none" w:pos="541"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herein referred to, all other terms and conditions of the Lease shall remain in full force and effect, unimpaired and unmodified. IN WITNESS, WHEREOF, the parties hereto have hereunto set the hands on the date first written above.</w:t>
      </w:r>
    </w:p>
    <w:p>
      <w:pPr>
        <w:spacing w:after="0" w:line="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Joe 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794635"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Cedar Brook 2005, L.P.</w:t>
      </w:r>
    </w:p>
    <w:p>
      <w:pPr>
        <w:spacing w:after="0" w:line="225"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David H. Mack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794635"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PMV Pharmaceuticals, Inc.</w:t>
      </w:r>
    </w:p>
    <w:p>
      <w:pPr>
        <w:spacing w:after="0" w:line="158"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480"/>
          </w:cols>
          <w:pgMar w:left="860" w:top="269" w:right="559" w:bottom="1440" w:gutter="0" w:footer="0" w:header="0"/>
        </w:sectPr>
      </w:pPr>
    </w:p>
    <w:bookmarkStart w:id="607" w:name="page608"/>
    <w:bookmarkEnd w:id="607"/>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We consent to the reference to our firm under the caption “Experts” and to the use of our report dated June 26, 2020 in the Registration Statement (Form S-1) and related Prospectus of PMV Pharmaceuticals, Inc. for the registration of shares of its common stock.</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4, 2020</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A2ECCA"/>
    <w:multiLevelType w:val="hybridMultilevel"/>
    <w:lvl w:ilvl="0">
      <w:lvlJc w:val="left"/>
      <w:lvlText w:val="(%1)"/>
      <w:numFmt w:val="decimal"/>
      <w:start w:val="1"/>
    </w:lvl>
  </w:abstractNum>
  <w:abstractNum w:abstractNumId="1">
    <w:nsid w:val="4D5C4899"/>
    <w:multiLevelType w:val="hybridMultilevel"/>
    <w:lvl w:ilvl="0">
      <w:lvlJc w:val="left"/>
      <w:lvlText w:val="(%1)"/>
      <w:numFmt w:val="decimal"/>
      <w:start w:val="1"/>
    </w:lvl>
  </w:abstractNum>
  <w:abstractNum w:abstractNumId="2">
    <w:nsid w:val="3C3B72B2"/>
    <w:multiLevelType w:val="hybridMultilevel"/>
    <w:lvl w:ilvl="0">
      <w:lvlJc w:val="left"/>
      <w:lvlText w:val="(%1)"/>
      <w:numFmt w:val="decimal"/>
      <w:start w:val="1"/>
    </w:lvl>
  </w:abstractNum>
  <w:abstractNum w:abstractNumId="3">
    <w:nsid w:val="155EC4C2"/>
    <w:multiLevelType w:val="hybridMultilevel"/>
    <w:lvl w:ilvl="0">
      <w:lvlJc w:val="left"/>
      <w:lvlText w:val="•"/>
      <w:numFmt w:val="bullet"/>
      <w:start w:val="1"/>
    </w:lvl>
  </w:abstractNum>
  <w:abstractNum w:abstractNumId="4">
    <w:nsid w:val="65D2A137"/>
    <w:multiLevelType w:val="hybridMultilevel"/>
    <w:lvl w:ilvl="0">
      <w:lvlJc w:val="left"/>
      <w:lvlText w:val="•"/>
      <w:numFmt w:val="bullet"/>
      <w:start w:val="1"/>
    </w:lvl>
  </w:abstractNum>
  <w:abstractNum w:abstractNumId="5">
    <w:nsid w:val="6EBB1F2A"/>
    <w:multiLevelType w:val="hybridMultilevel"/>
    <w:lvl w:ilvl="0">
      <w:lvlJc w:val="left"/>
      <w:lvlText w:val="•"/>
      <w:numFmt w:val="bullet"/>
      <w:start w:val="1"/>
    </w:lvl>
  </w:abstractNum>
  <w:abstractNum w:abstractNumId="6">
    <w:nsid w:val="6FBF29CB"/>
    <w:multiLevelType w:val="hybridMultilevel"/>
    <w:lvl w:ilvl="0">
      <w:lvlJc w:val="left"/>
      <w:lvlText w:val="•"/>
      <w:numFmt w:val="bullet"/>
      <w:start w:val="1"/>
    </w:lvl>
  </w:abstractNum>
  <w:abstractNum w:abstractNumId="7">
    <w:nsid w:val="550B8808"/>
    <w:multiLevelType w:val="hybridMultilevel"/>
    <w:lvl w:ilvl="0">
      <w:lvlJc w:val="left"/>
      <w:lvlText w:val="•"/>
      <w:numFmt w:val="bullet"/>
      <w:start w:val="1"/>
    </w:lvl>
  </w:abstractNum>
  <w:abstractNum w:abstractNumId="8">
    <w:nsid w:val="34CC3ACF"/>
    <w:multiLevelType w:val="hybridMultilevel"/>
    <w:lvl w:ilvl="0">
      <w:lvlJc w:val="left"/>
      <w:lvlText w:val="•"/>
      <w:numFmt w:val="bullet"/>
      <w:start w:val="1"/>
    </w:lvl>
  </w:abstractNum>
  <w:abstractNum w:abstractNumId="9">
    <w:nsid w:val="4E556261"/>
    <w:multiLevelType w:val="hybridMultilevel"/>
    <w:lvl w:ilvl="0">
      <w:lvlJc w:val="left"/>
      <w:lvlText w:val="•"/>
      <w:numFmt w:val="bullet"/>
      <w:start w:val="1"/>
    </w:lvl>
  </w:abstractNum>
  <w:abstractNum w:abstractNumId="10">
    <w:nsid w:val="4C672FC9"/>
    <w:multiLevelType w:val="hybridMultilevel"/>
    <w:lvl w:ilvl="0">
      <w:lvlJc w:val="left"/>
      <w:lvlText w:val="•"/>
      <w:numFmt w:val="bullet"/>
      <w:start w:val="1"/>
    </w:lvl>
  </w:abstractNum>
  <w:abstractNum w:abstractNumId="11">
    <w:nsid w:val="52A311C3"/>
    <w:multiLevelType w:val="hybridMultilevel"/>
    <w:lvl w:ilvl="0">
      <w:lvlJc w:val="left"/>
      <w:lvlText w:val="(%1)"/>
      <w:numFmt w:val="decimal"/>
      <w:start w:val="1"/>
    </w:lvl>
  </w:abstractNum>
  <w:abstractNum w:abstractNumId="12">
    <w:nsid w:val="44EF6B80"/>
    <w:multiLevelType w:val="hybridMultilevel"/>
    <w:lvl w:ilvl="0">
      <w:lvlJc w:val="left"/>
      <w:lvlText w:val="(%1)"/>
      <w:numFmt w:val="decimal"/>
      <w:start w:val="1"/>
    </w:lvl>
  </w:abstractNum>
  <w:abstractNum w:abstractNumId="13">
    <w:nsid w:val="12FCDE5E"/>
    <w:multiLevelType w:val="hybridMultilevel"/>
    <w:lvl w:ilvl="0">
      <w:lvlJc w:val="left"/>
      <w:lvlText w:val="(%1)"/>
      <w:numFmt w:val="decimal"/>
      <w:start w:val="3"/>
    </w:lvl>
  </w:abstractNum>
  <w:abstractNum w:abstractNumId="14">
    <w:nsid w:val="4A1D606E"/>
    <w:multiLevelType w:val="hybridMultilevel"/>
    <w:lvl w:ilvl="0">
      <w:lvlJc w:val="left"/>
      <w:lvlText w:val="•"/>
      <w:numFmt w:val="bullet"/>
      <w:start w:val="1"/>
    </w:lvl>
  </w:abstractNum>
  <w:abstractNum w:abstractNumId="15">
    <w:nsid w:val="4382503"/>
    <w:multiLevelType w:val="hybridMultilevel"/>
    <w:lvl w:ilvl="0">
      <w:lvlJc w:val="left"/>
      <w:lvlText w:val="•"/>
      <w:numFmt w:val="bullet"/>
      <w:start w:val="1"/>
    </w:lvl>
  </w:abstractNum>
  <w:abstractNum w:abstractNumId="16">
    <w:nsid w:val="59B76E28"/>
    <w:multiLevelType w:val="hybridMultilevel"/>
    <w:lvl w:ilvl="0">
      <w:lvlJc w:val="left"/>
      <w:lvlText w:val="•"/>
      <w:numFmt w:val="bullet"/>
      <w:start w:val="1"/>
    </w:lvl>
  </w:abstractNum>
  <w:abstractNum w:abstractNumId="17">
    <w:nsid w:val="4252C2DA"/>
    <w:multiLevelType w:val="hybridMultilevel"/>
    <w:lvl w:ilvl="0">
      <w:lvlJc w:val="left"/>
      <w:lvlText w:val="•"/>
      <w:numFmt w:val="bullet"/>
      <w:start w:val="1"/>
    </w:lvl>
  </w:abstractNum>
  <w:abstractNum w:abstractNumId="18">
    <w:nsid w:val="6A92EF4C"/>
    <w:multiLevelType w:val="hybridMultilevel"/>
    <w:lvl w:ilvl="0">
      <w:lvlJc w:val="left"/>
      <w:lvlText w:val="•"/>
      <w:numFmt w:val="bullet"/>
      <w:start w:val="1"/>
    </w:lvl>
  </w:abstractNum>
  <w:abstractNum w:abstractNumId="19">
    <w:nsid w:val="41ED20D7"/>
    <w:multiLevelType w:val="hybridMultilevel"/>
    <w:lvl w:ilvl="0">
      <w:lvlJc w:val="left"/>
      <w:lvlText w:val="•"/>
      <w:numFmt w:val="bullet"/>
      <w:start w:val="1"/>
    </w:lvl>
  </w:abstractNum>
  <w:abstractNum w:abstractNumId="20">
    <w:nsid w:val="E6B3F6A"/>
    <w:multiLevelType w:val="hybridMultilevel"/>
    <w:lvl w:ilvl="0">
      <w:lvlJc w:val="left"/>
      <w:lvlText w:val="•"/>
      <w:numFmt w:val="bullet"/>
      <w:start w:val="1"/>
    </w:lvl>
  </w:abstractNum>
  <w:abstractNum w:abstractNumId="21">
    <w:nsid w:val="3EB21819"/>
    <w:multiLevelType w:val="hybridMultilevel"/>
    <w:lvl w:ilvl="0">
      <w:lvlJc w:val="left"/>
      <w:lvlText w:val="•"/>
      <w:numFmt w:val="bullet"/>
      <w:start w:val="1"/>
    </w:lvl>
  </w:abstractNum>
  <w:abstractNum w:abstractNumId="22">
    <w:nsid w:val="41531DED"/>
    <w:multiLevelType w:val="hybridMultilevel"/>
    <w:lvl w:ilvl="0">
      <w:lvlJc w:val="left"/>
      <w:lvlText w:val="•"/>
      <w:numFmt w:val="bullet"/>
      <w:start w:val="1"/>
    </w:lvl>
  </w:abstractNum>
  <w:abstractNum w:abstractNumId="23">
    <w:nsid w:val="6353CD2"/>
    <w:multiLevelType w:val="hybridMultilevel"/>
    <w:lvl w:ilvl="0">
      <w:lvlJc w:val="left"/>
      <w:lvlText w:val="•"/>
      <w:numFmt w:val="bullet"/>
      <w:start w:val="1"/>
    </w:lvl>
  </w:abstractNum>
  <w:abstractNum w:abstractNumId="24">
    <w:nsid w:val="683CAAD3"/>
    <w:multiLevelType w:val="hybridMultilevel"/>
    <w:lvl w:ilvl="0">
      <w:lvlJc w:val="left"/>
      <w:lvlText w:val="•"/>
      <w:numFmt w:val="bullet"/>
      <w:start w:val="1"/>
    </w:lvl>
  </w:abstractNum>
  <w:abstractNum w:abstractNumId="25">
    <w:nsid w:val="313C7C99"/>
    <w:multiLevelType w:val="hybridMultilevel"/>
    <w:lvl w:ilvl="0">
      <w:lvlJc w:val="left"/>
      <w:lvlText w:val="•"/>
      <w:numFmt w:val="bullet"/>
      <w:start w:val="1"/>
    </w:lvl>
  </w:abstractNum>
  <w:abstractNum w:abstractNumId="26">
    <w:nsid w:val="519EB94C"/>
    <w:multiLevelType w:val="hybridMultilevel"/>
    <w:lvl w:ilvl="0">
      <w:lvlJc w:val="left"/>
      <w:lvlText w:val="•"/>
      <w:numFmt w:val="bullet"/>
      <w:start w:val="1"/>
    </w:lvl>
  </w:abstractNum>
  <w:abstractNum w:abstractNumId="27">
    <w:nsid w:val="39DF2579"/>
    <w:multiLevelType w:val="hybridMultilevel"/>
    <w:lvl w:ilvl="0">
      <w:lvlJc w:val="left"/>
      <w:lvlText w:val="•"/>
      <w:numFmt w:val="bullet"/>
      <w:start w:val="1"/>
    </w:lvl>
  </w:abstractNum>
  <w:abstractNum w:abstractNumId="28">
    <w:nsid w:val="126E008B"/>
    <w:multiLevelType w:val="hybridMultilevel"/>
    <w:lvl w:ilvl="0">
      <w:lvlJc w:val="left"/>
      <w:lvlText w:val="•"/>
      <w:numFmt w:val="bullet"/>
      <w:start w:val="1"/>
    </w:lvl>
  </w:abstractNum>
  <w:abstractNum w:abstractNumId="29">
    <w:nsid w:val="34DFBC00"/>
    <w:multiLevelType w:val="hybridMultilevel"/>
    <w:lvl w:ilvl="0">
      <w:lvlJc w:val="left"/>
      <w:lvlText w:val="•"/>
      <w:numFmt w:val="bullet"/>
      <w:start w:val="1"/>
    </w:lvl>
  </w:abstractNum>
  <w:abstractNum w:abstractNumId="30">
    <w:nsid w:val="1F9EC322"/>
    <w:multiLevelType w:val="hybridMultilevel"/>
    <w:lvl w:ilvl="0">
      <w:lvlJc w:val="left"/>
      <w:lvlText w:val="•"/>
      <w:numFmt w:val="bullet"/>
      <w:start w:val="1"/>
    </w:lvl>
  </w:abstractNum>
  <w:abstractNum w:abstractNumId="31">
    <w:nsid w:val="3410ED56"/>
    <w:multiLevelType w:val="hybridMultilevel"/>
    <w:lvl w:ilvl="0">
      <w:lvlJc w:val="left"/>
      <w:lvlText w:val="•"/>
      <w:numFmt w:val="bullet"/>
      <w:start w:val="1"/>
    </w:lvl>
  </w:abstractNum>
  <w:abstractNum w:abstractNumId="32">
    <w:nsid w:val="23C049A"/>
    <w:multiLevelType w:val="hybridMultilevel"/>
    <w:lvl w:ilvl="0">
      <w:lvlJc w:val="left"/>
      <w:lvlText w:val="•"/>
      <w:numFmt w:val="bullet"/>
      <w:start w:val="1"/>
    </w:lvl>
  </w:abstractNum>
  <w:abstractNum w:abstractNumId="33">
    <w:nsid w:val="5BDA35D4"/>
    <w:multiLevelType w:val="hybridMultilevel"/>
    <w:lvl w:ilvl="0">
      <w:lvlJc w:val="left"/>
      <w:lvlText w:val="•"/>
      <w:numFmt w:val="bullet"/>
      <w:start w:val="1"/>
    </w:lvl>
  </w:abstractNum>
  <w:abstractNum w:abstractNumId="34">
    <w:nsid w:val="496FB218"/>
    <w:multiLevelType w:val="hybridMultilevel"/>
    <w:lvl w:ilvl="0">
      <w:lvlJc w:val="left"/>
      <w:lvlText w:val="•"/>
      <w:numFmt w:val="bullet"/>
      <w:start w:val="1"/>
    </w:lvl>
  </w:abstractNum>
  <w:abstractNum w:abstractNumId="35">
    <w:nsid w:val="680EA5D1"/>
    <w:multiLevelType w:val="hybridMultilevel"/>
    <w:lvl w:ilvl="0">
      <w:lvlJc w:val="left"/>
      <w:lvlText w:val="(%1)"/>
      <w:numFmt w:val="lowerRoman"/>
      <w:start w:val="1"/>
    </w:lvl>
  </w:abstractNum>
  <w:abstractNum w:abstractNumId="36">
    <w:nsid w:val="4A9554FE"/>
    <w:multiLevelType w:val="hybridMultilevel"/>
    <w:lvl w:ilvl="0">
      <w:lvlJc w:val="left"/>
      <w:lvlText w:val="•"/>
      <w:numFmt w:val="bullet"/>
      <w:start w:val="1"/>
    </w:lvl>
  </w:abstractNum>
  <w:abstractNum w:abstractNumId="37">
    <w:nsid w:val="392EDBE4"/>
    <w:multiLevelType w:val="hybridMultilevel"/>
    <w:lvl w:ilvl="0">
      <w:lvlJc w:val="left"/>
      <w:lvlText w:val="•"/>
      <w:numFmt w:val="bullet"/>
      <w:start w:val="1"/>
    </w:lvl>
  </w:abstractNum>
  <w:abstractNum w:abstractNumId="38">
    <w:nsid w:val="3D1A2DD9"/>
    <w:multiLevelType w:val="hybridMultilevel"/>
    <w:lvl w:ilvl="0">
      <w:lvlJc w:val="left"/>
      <w:lvlText w:val="•"/>
      <w:numFmt w:val="bullet"/>
      <w:start w:val="1"/>
    </w:lvl>
  </w:abstractNum>
  <w:abstractNum w:abstractNumId="39">
    <w:nsid w:val="7F618FCD"/>
    <w:multiLevelType w:val="hybridMultilevel"/>
    <w:lvl w:ilvl="0">
      <w:lvlJc w:val="left"/>
      <w:lvlText w:val="•"/>
      <w:numFmt w:val="bullet"/>
      <w:start w:val="1"/>
    </w:lvl>
  </w:abstractNum>
  <w:abstractNum w:abstractNumId="40">
    <w:nsid w:val="7843E45"/>
    <w:multiLevelType w:val="hybridMultilevel"/>
    <w:lvl w:ilvl="0">
      <w:lvlJc w:val="left"/>
      <w:lvlText w:val="•"/>
      <w:numFmt w:val="bullet"/>
      <w:start w:val="1"/>
    </w:lvl>
  </w:abstractNum>
  <w:abstractNum w:abstractNumId="41">
    <w:nsid w:val="9815DA3"/>
    <w:multiLevelType w:val="hybridMultilevel"/>
    <w:lvl w:ilvl="0">
      <w:lvlJc w:val="left"/>
      <w:lvlText w:val="•"/>
      <w:numFmt w:val="bullet"/>
      <w:start w:val="1"/>
    </w:lvl>
  </w:abstractNum>
  <w:abstractNum w:abstractNumId="42">
    <w:nsid w:val="5204A191"/>
    <w:multiLevelType w:val="hybridMultilevel"/>
    <w:lvl w:ilvl="0">
      <w:lvlJc w:val="left"/>
      <w:lvlText w:val="•"/>
      <w:numFmt w:val="bullet"/>
      <w:start w:val="1"/>
    </w:lvl>
  </w:abstractNum>
  <w:abstractNum w:abstractNumId="43">
    <w:nsid w:val="4C73A9C6"/>
    <w:multiLevelType w:val="hybridMultilevel"/>
    <w:lvl w:ilvl="0">
      <w:lvlJc w:val="left"/>
      <w:lvlText w:val="•"/>
      <w:numFmt w:val="bullet"/>
      <w:start w:val="1"/>
    </w:lvl>
  </w:abstractNum>
  <w:abstractNum w:abstractNumId="44">
    <w:nsid w:val="1C7E3C01"/>
    <w:multiLevelType w:val="hybridMultilevel"/>
    <w:lvl w:ilvl="0">
      <w:lvlJc w:val="left"/>
      <w:lvlText w:val="•"/>
      <w:numFmt w:val="bullet"/>
      <w:start w:val="1"/>
    </w:lvl>
  </w:abstractNum>
  <w:abstractNum w:abstractNumId="45">
    <w:nsid w:val="1C2201FF"/>
    <w:multiLevelType w:val="hybridMultilevel"/>
    <w:lvl w:ilvl="0">
      <w:lvlJc w:val="left"/>
      <w:lvlText w:val="•"/>
      <w:numFmt w:val="bullet"/>
      <w:start w:val="1"/>
    </w:lvl>
  </w:abstractNum>
  <w:abstractNum w:abstractNumId="46">
    <w:nsid w:val="50ABCEC9"/>
    <w:multiLevelType w:val="hybridMultilevel"/>
    <w:lvl w:ilvl="0">
      <w:lvlJc w:val="left"/>
      <w:lvlText w:val="•"/>
      <w:numFmt w:val="bullet"/>
      <w:start w:val="1"/>
    </w:lvl>
  </w:abstractNum>
  <w:abstractNum w:abstractNumId="47">
    <w:nsid w:val="7635AA2A"/>
    <w:multiLevelType w:val="hybridMultilevel"/>
    <w:lvl w:ilvl="0">
      <w:lvlJc w:val="left"/>
      <w:lvlText w:val="•"/>
      <w:numFmt w:val="bullet"/>
      <w:start w:val="1"/>
    </w:lvl>
  </w:abstractNum>
  <w:abstractNum w:abstractNumId="48">
    <w:nsid w:val="5E74C4D9"/>
    <w:multiLevelType w:val="hybridMultilevel"/>
    <w:lvl w:ilvl="0">
      <w:lvlJc w:val="left"/>
      <w:lvlText w:val="•"/>
      <w:numFmt w:val="bullet"/>
      <w:start w:val="1"/>
    </w:lvl>
  </w:abstractNum>
  <w:abstractNum w:abstractNumId="49">
    <w:nsid w:val="3B3EBE15"/>
    <w:multiLevelType w:val="hybridMultilevel"/>
    <w:lvl w:ilvl="0">
      <w:lvlJc w:val="left"/>
      <w:lvlText w:val="•"/>
      <w:numFmt w:val="bullet"/>
      <w:start w:val="1"/>
    </w:lvl>
  </w:abstractNum>
  <w:abstractNum w:abstractNumId="50">
    <w:nsid w:val="3822CB01"/>
    <w:multiLevelType w:val="hybridMultilevel"/>
    <w:lvl w:ilvl="0">
      <w:lvlJc w:val="left"/>
      <w:lvlText w:val="•"/>
      <w:numFmt w:val="bullet"/>
      <w:start w:val="1"/>
    </w:lvl>
  </w:abstractNum>
  <w:abstractNum w:abstractNumId="51">
    <w:nsid w:val="6CE00443"/>
    <w:multiLevelType w:val="hybridMultilevel"/>
    <w:lvl w:ilvl="0">
      <w:lvlJc w:val="left"/>
      <w:lvlText w:val="•"/>
      <w:numFmt w:val="bullet"/>
      <w:start w:val="1"/>
    </w:lvl>
  </w:abstractNum>
  <w:abstractNum w:abstractNumId="52">
    <w:nsid w:val="79F0D62F"/>
    <w:multiLevelType w:val="hybridMultilevel"/>
    <w:lvl w:ilvl="0">
      <w:lvlJc w:val="left"/>
      <w:lvlText w:val="•"/>
      <w:numFmt w:val="bullet"/>
      <w:start w:val="1"/>
    </w:lvl>
  </w:abstractNum>
  <w:abstractNum w:abstractNumId="53">
    <w:nsid w:val="7975E8EE"/>
    <w:multiLevelType w:val="hybridMultilevel"/>
    <w:lvl w:ilvl="0">
      <w:lvlJc w:val="left"/>
      <w:lvlText w:val="•"/>
      <w:numFmt w:val="bullet"/>
      <w:start w:val="1"/>
    </w:lvl>
  </w:abstractNum>
  <w:abstractNum w:abstractNumId="54">
    <w:nsid w:val="73154115"/>
    <w:multiLevelType w:val="hybridMultilevel"/>
    <w:lvl w:ilvl="0">
      <w:lvlJc w:val="left"/>
      <w:lvlText w:val="•"/>
      <w:numFmt w:val="bullet"/>
      <w:start w:val="1"/>
    </w:lvl>
  </w:abstractNum>
  <w:abstractNum w:abstractNumId="55">
    <w:nsid w:val="622D8102"/>
    <w:multiLevelType w:val="hybridMultilevel"/>
    <w:lvl w:ilvl="0">
      <w:lvlJc w:val="left"/>
      <w:lvlText w:val="•"/>
      <w:numFmt w:val="bullet"/>
      <w:start w:val="1"/>
    </w:lvl>
  </w:abstractNum>
  <w:abstractNum w:abstractNumId="56">
    <w:nsid w:val="2AB26587"/>
    <w:multiLevelType w:val="hybridMultilevel"/>
    <w:lvl w:ilvl="0">
      <w:lvlJc w:val="left"/>
      <w:lvlText w:val="•"/>
      <w:numFmt w:val="bullet"/>
      <w:start w:val="1"/>
    </w:lvl>
  </w:abstractNum>
  <w:abstractNum w:abstractNumId="57">
    <w:nsid w:val="44B3FA61"/>
    <w:multiLevelType w:val="hybridMultilevel"/>
    <w:lvl w:ilvl="0">
      <w:lvlJc w:val="left"/>
      <w:lvlText w:val="•"/>
      <w:numFmt w:val="bullet"/>
      <w:start w:val="1"/>
    </w:lvl>
  </w:abstractNum>
  <w:abstractNum w:abstractNumId="58">
    <w:nsid w:val="1C0CA67C"/>
    <w:multiLevelType w:val="hybridMultilevel"/>
    <w:lvl w:ilvl="0">
      <w:lvlJc w:val="left"/>
      <w:lvlText w:val="•"/>
      <w:numFmt w:val="bullet"/>
      <w:start w:val="1"/>
    </w:lvl>
  </w:abstractNum>
  <w:abstractNum w:abstractNumId="59">
    <w:nsid w:val="3D206613"/>
    <w:multiLevelType w:val="hybridMultilevel"/>
    <w:lvl w:ilvl="0">
      <w:lvlJc w:val="left"/>
      <w:lvlText w:val="•"/>
      <w:numFmt w:val="bullet"/>
      <w:start w:val="1"/>
    </w:lvl>
  </w:abstractNum>
  <w:abstractNum w:abstractNumId="60">
    <w:nsid w:val="7993B662"/>
    <w:multiLevelType w:val="hybridMultilevel"/>
    <w:lvl w:ilvl="0">
      <w:lvlJc w:val="left"/>
      <w:lvlText w:val="•"/>
      <w:numFmt w:val="bullet"/>
      <w:start w:val="1"/>
    </w:lvl>
  </w:abstractNum>
  <w:abstractNum w:abstractNumId="61">
    <w:nsid w:val="3BAB699E"/>
    <w:multiLevelType w:val="hybridMultilevel"/>
    <w:lvl w:ilvl="0">
      <w:lvlJc w:val="left"/>
      <w:lvlText w:val="(%1)"/>
      <w:numFmt w:val="decimal"/>
      <w:start w:val="1"/>
    </w:lvl>
  </w:abstractNum>
  <w:abstractNum w:abstractNumId="62">
    <w:nsid w:val="71315369"/>
    <w:multiLevelType w:val="hybridMultilevel"/>
    <w:lvl w:ilvl="0">
      <w:lvlJc w:val="left"/>
      <w:lvlText w:val="(%1)"/>
      <w:numFmt w:val="decimal"/>
      <w:start w:val="1"/>
    </w:lvl>
  </w:abstractNum>
  <w:abstractNum w:abstractNumId="63">
    <w:nsid w:val="7BCFBAFC"/>
    <w:multiLevelType w:val="hybridMultilevel"/>
    <w:lvl w:ilvl="0">
      <w:lvlJc w:val="left"/>
      <w:lvlText w:val="•"/>
      <w:numFmt w:val="bullet"/>
      <w:start w:val="1"/>
    </w:lvl>
  </w:abstractNum>
  <w:abstractNum w:abstractNumId="64">
    <w:nsid w:val="17859F72"/>
    <w:multiLevelType w:val="hybridMultilevel"/>
    <w:lvl w:ilvl="0">
      <w:lvlJc w:val="left"/>
      <w:lvlText w:val="•"/>
      <w:numFmt w:val="bullet"/>
      <w:start w:val="1"/>
    </w:lvl>
  </w:abstractNum>
  <w:abstractNum w:abstractNumId="65">
    <w:nsid w:val="3AA10581"/>
    <w:multiLevelType w:val="hybridMultilevel"/>
    <w:lvl w:ilvl="0">
      <w:lvlJc w:val="left"/>
      <w:lvlText w:val="•"/>
      <w:numFmt w:val="bullet"/>
      <w:start w:val="1"/>
    </w:lvl>
  </w:abstractNum>
  <w:abstractNum w:abstractNumId="66">
    <w:nsid w:val="63DE60CD"/>
    <w:multiLevelType w:val="hybridMultilevel"/>
    <w:lvl w:ilvl="0">
      <w:lvlJc w:val="left"/>
      <w:lvlText w:val="•"/>
      <w:numFmt w:val="bullet"/>
      <w:start w:val="1"/>
    </w:lvl>
  </w:abstractNum>
  <w:abstractNum w:abstractNumId="67">
    <w:nsid w:val="621AF471"/>
    <w:multiLevelType w:val="hybridMultilevel"/>
    <w:lvl w:ilvl="0">
      <w:lvlJc w:val="left"/>
      <w:lvlText w:val="•"/>
      <w:numFmt w:val="bullet"/>
      <w:start w:val="1"/>
    </w:lvl>
  </w:abstractNum>
  <w:abstractNum w:abstractNumId="68">
    <w:nsid w:val="73CFE165"/>
    <w:multiLevelType w:val="hybridMultilevel"/>
    <w:lvl w:ilvl="0">
      <w:lvlJc w:val="left"/>
      <w:lvlText w:val="•"/>
      <w:numFmt w:val="bullet"/>
      <w:start w:val="1"/>
    </w:lvl>
  </w:abstractNum>
  <w:abstractNum w:abstractNumId="69">
    <w:nsid w:val="20F88EA6"/>
    <w:multiLevelType w:val="hybridMultilevel"/>
    <w:lvl w:ilvl="0">
      <w:lvlJc w:val="left"/>
      <w:lvlText w:val="•"/>
      <w:numFmt w:val="bullet"/>
      <w:start w:val="1"/>
    </w:lvl>
  </w:abstractNum>
  <w:abstractNum w:abstractNumId="70">
    <w:nsid w:val="617C843E"/>
    <w:multiLevelType w:val="hybridMultilevel"/>
    <w:lvl w:ilvl="0">
      <w:lvlJc w:val="left"/>
      <w:lvlText w:val="$"/>
      <w:numFmt w:val="bullet"/>
      <w:start w:val="1"/>
    </w:lvl>
  </w:abstractNum>
  <w:abstractNum w:abstractNumId="71">
    <w:nsid w:val="7B541FAB"/>
    <w:multiLevelType w:val="hybridMultilevel"/>
    <w:lvl w:ilvl="0">
      <w:lvlJc w:val="left"/>
      <w:lvlText w:val="•"/>
      <w:numFmt w:val="bullet"/>
      <w:start w:val="1"/>
    </w:lvl>
  </w:abstractNum>
  <w:abstractNum w:abstractNumId="72">
    <w:nsid w:val="2A79EC49"/>
    <w:multiLevelType w:val="hybridMultilevel"/>
    <w:lvl w:ilvl="0">
      <w:lvlJc w:val="left"/>
      <w:lvlText w:val="•"/>
      <w:numFmt w:val="bullet"/>
      <w:start w:val="1"/>
    </w:lvl>
  </w:abstractNum>
  <w:abstractNum w:abstractNumId="73">
    <w:nsid w:val="338125CF"/>
    <w:multiLevelType w:val="hybridMultilevel"/>
    <w:lvl w:ilvl="0">
      <w:lvlJc w:val="left"/>
      <w:lvlText w:val="•"/>
      <w:numFmt w:val="bullet"/>
      <w:start w:val="1"/>
    </w:lvl>
  </w:abstractNum>
  <w:abstractNum w:abstractNumId="74">
    <w:nsid w:val="47C7C971"/>
    <w:multiLevelType w:val="hybridMultilevel"/>
    <w:lvl w:ilvl="0">
      <w:lvlJc w:val="left"/>
      <w:lvlText w:val="(%1)"/>
      <w:numFmt w:val="decimal"/>
      <w:start w:val="1"/>
    </w:lvl>
  </w:abstractNum>
  <w:abstractNum w:abstractNumId="75">
    <w:nsid w:val="46F8284B"/>
    <w:multiLevelType w:val="hybridMultilevel"/>
    <w:lvl w:ilvl="0">
      <w:lvlJc w:val="left"/>
      <w:lvlText w:val="•"/>
      <w:numFmt w:val="bullet"/>
      <w:start w:val="1"/>
    </w:lvl>
  </w:abstractNum>
  <w:abstractNum w:abstractNumId="76">
    <w:nsid w:val="4FA327CE"/>
    <w:multiLevelType w:val="hybridMultilevel"/>
    <w:lvl w:ilvl="0">
      <w:lvlJc w:val="left"/>
      <w:lvlText w:val="•"/>
      <w:numFmt w:val="bullet"/>
      <w:start w:val="1"/>
    </w:lvl>
  </w:abstractNum>
  <w:abstractNum w:abstractNumId="77">
    <w:nsid w:val="1873983A"/>
    <w:multiLevelType w:val="hybridMultilevel"/>
    <w:lvl w:ilvl="0">
      <w:lvlJc w:val="left"/>
      <w:lvlText w:val="•"/>
      <w:numFmt w:val="bullet"/>
      <w:start w:val="1"/>
    </w:lvl>
  </w:abstractNum>
  <w:abstractNum w:abstractNumId="78">
    <w:nsid w:val="3D2DD275"/>
    <w:multiLevelType w:val="hybridMultilevel"/>
    <w:lvl w:ilvl="0">
      <w:lvlJc w:val="left"/>
      <w:lvlText w:val="•"/>
      <w:numFmt w:val="bullet"/>
      <w:start w:val="1"/>
    </w:lvl>
  </w:abstractNum>
  <w:abstractNum w:abstractNumId="79">
    <w:nsid w:val="2E17ECA7"/>
    <w:multiLevelType w:val="hybridMultilevel"/>
    <w:lvl w:ilvl="0">
      <w:lvlJc w:val="left"/>
      <w:lvlText w:val="•"/>
      <w:numFmt w:val="bullet"/>
      <w:start w:val="1"/>
    </w:lvl>
  </w:abstractNum>
  <w:abstractNum w:abstractNumId="80">
    <w:nsid w:val="53B2564F"/>
    <w:multiLevelType w:val="hybridMultilevel"/>
    <w:lvl w:ilvl="0">
      <w:lvlJc w:val="left"/>
      <w:lvlText w:val="•"/>
      <w:numFmt w:val="bullet"/>
      <w:start w:val="1"/>
    </w:lvl>
  </w:abstractNum>
  <w:abstractNum w:abstractNumId="81">
    <w:nsid w:val="75509D76"/>
    <w:multiLevelType w:val="hybridMultilevel"/>
    <w:lvl w:ilvl="0">
      <w:lvlJc w:val="left"/>
      <w:lvlText w:val="•"/>
      <w:numFmt w:val="bullet"/>
      <w:start w:val="1"/>
    </w:lvl>
  </w:abstractNum>
  <w:abstractNum w:abstractNumId="82">
    <w:nsid w:val="1AF7F0EA"/>
    <w:multiLevelType w:val="hybridMultilevel"/>
    <w:lvl w:ilvl="0">
      <w:lvlJc w:val="left"/>
      <w:lvlText w:val="(%1)"/>
      <w:numFmt w:val="decimal"/>
      <w:start w:val="1"/>
    </w:lvl>
  </w:abstractNum>
  <w:abstractNum w:abstractNumId="83">
    <w:nsid w:val="4DA32C7E"/>
    <w:multiLevelType w:val="hybridMultilevel"/>
    <w:lvl w:ilvl="0">
      <w:lvlJc w:val="left"/>
      <w:lvlText w:val="•"/>
      <w:numFmt w:val="bullet"/>
      <w:start w:val="1"/>
    </w:lvl>
  </w:abstractNum>
  <w:abstractNum w:abstractNumId="84">
    <w:nsid w:val="6EC68664"/>
    <w:multiLevelType w:val="hybridMultilevel"/>
    <w:lvl w:ilvl="0">
      <w:lvlJc w:val="left"/>
      <w:lvlText w:val="•"/>
      <w:numFmt w:val="bullet"/>
      <w:start w:val="1"/>
    </w:lvl>
  </w:abstractNum>
  <w:abstractNum w:abstractNumId="85">
    <w:nsid w:val="E0D31FF"/>
    <w:multiLevelType w:val="hybridMultilevel"/>
    <w:lvl w:ilvl="0">
      <w:lvlJc w:val="left"/>
      <w:lvlText w:val="•"/>
      <w:numFmt w:val="bullet"/>
      <w:start w:val="1"/>
    </w:lvl>
  </w:abstractNum>
  <w:abstractNum w:abstractNumId="86">
    <w:nsid w:val="2FD0AD81"/>
    <w:multiLevelType w:val="hybridMultilevel"/>
    <w:lvl w:ilvl="0">
      <w:lvlJc w:val="left"/>
      <w:lvlText w:val="•"/>
      <w:numFmt w:val="bullet"/>
      <w:start w:val="1"/>
    </w:lvl>
  </w:abstractNum>
  <w:abstractNum w:abstractNumId="87">
    <w:nsid w:val="1978EBEB"/>
    <w:multiLevelType w:val="hybridMultilevel"/>
    <w:lvl w:ilvl="0">
      <w:lvlJc w:val="left"/>
      <w:lvlText w:val="(%1)"/>
      <w:numFmt w:val="decimal"/>
      <w:start w:val="1"/>
    </w:lvl>
  </w:abstractNum>
  <w:abstractNum w:abstractNumId="88">
    <w:nsid w:val="52C12C61"/>
    <w:multiLevelType w:val="hybridMultilevel"/>
    <w:lvl w:ilvl="0">
      <w:lvlJc w:val="left"/>
      <w:lvlText w:val="•"/>
      <w:numFmt w:val="bullet"/>
      <w:start w:val="1"/>
    </w:lvl>
  </w:abstractNum>
  <w:abstractNum w:abstractNumId="89">
    <w:nsid w:val="4BDD53FD"/>
    <w:multiLevelType w:val="hybridMultilevel"/>
    <w:lvl w:ilvl="0">
      <w:lvlJc w:val="left"/>
      <w:lvlText w:val="•"/>
      <w:numFmt w:val="bullet"/>
      <w:start w:val="1"/>
    </w:lvl>
  </w:abstractNum>
  <w:abstractNum w:abstractNumId="90">
    <w:nsid w:val="569951FE"/>
    <w:multiLevelType w:val="hybridMultilevel"/>
    <w:lvl w:ilvl="0">
      <w:lvlJc w:val="left"/>
      <w:lvlText w:val="•"/>
      <w:numFmt w:val="bullet"/>
      <w:start w:val="1"/>
    </w:lvl>
  </w:abstractNum>
  <w:abstractNum w:abstractNumId="91">
    <w:nsid w:val="4C54E2C3"/>
    <w:multiLevelType w:val="hybridMultilevel"/>
    <w:lvl w:ilvl="0">
      <w:lvlJc w:val="left"/>
      <w:lvlText w:val="•"/>
      <w:numFmt w:val="bullet"/>
      <w:start w:val="1"/>
    </w:lvl>
  </w:abstractNum>
  <w:abstractNum w:abstractNumId="92">
    <w:nsid w:val="788BD9B"/>
    <w:multiLevelType w:val="hybridMultilevel"/>
    <w:lvl w:ilvl="0">
      <w:lvlJc w:val="left"/>
      <w:lvlText w:val="•"/>
      <w:numFmt w:val="bullet"/>
      <w:start w:val="1"/>
    </w:lvl>
  </w:abstractNum>
  <w:abstractNum w:abstractNumId="93">
    <w:nsid w:val="47CAA567"/>
    <w:multiLevelType w:val="hybridMultilevel"/>
    <w:lvl w:ilvl="0">
      <w:lvlJc w:val="left"/>
      <w:lvlText w:val="•"/>
      <w:numFmt w:val="bullet"/>
      <w:start w:val="1"/>
    </w:lvl>
  </w:abstractNum>
  <w:abstractNum w:abstractNumId="94">
    <w:nsid w:val="48249DBF"/>
    <w:multiLevelType w:val="hybridMultilevel"/>
    <w:lvl w:ilvl="0">
      <w:lvlJc w:val="left"/>
      <w:lvlText w:val="(%1)"/>
      <w:numFmt w:val="decimal"/>
      <w:start w:val="1"/>
    </w:lvl>
  </w:abstractNum>
  <w:abstractNum w:abstractNumId="95">
    <w:nsid w:val="1F0E5D0D"/>
    <w:multiLevelType w:val="hybridMultilevel"/>
    <w:lvl w:ilvl="0">
      <w:lvlJc w:val="left"/>
      <w:lvlText w:val="•"/>
      <w:numFmt w:val="bullet"/>
      <w:start w:val="1"/>
    </w:lvl>
  </w:abstractNum>
  <w:abstractNum w:abstractNumId="96">
    <w:nsid w:val="26BAAE9"/>
    <w:multiLevelType w:val="hybridMultilevel"/>
    <w:lvl w:ilvl="0">
      <w:lvlJc w:val="left"/>
      <w:lvlText w:val="(%1)"/>
      <w:numFmt w:val="decimal"/>
      <w:start w:val="1"/>
    </w:lvl>
  </w:abstractNum>
  <w:abstractNum w:abstractNumId="97">
    <w:nsid w:val="2C02FE8C"/>
    <w:multiLevelType w:val="hybridMultilevel"/>
    <w:lvl w:ilvl="0">
      <w:lvlJc w:val="left"/>
      <w:lvlText w:val="(%1)"/>
      <w:numFmt w:val="decimal"/>
      <w:start w:val="1"/>
    </w:lvl>
  </w:abstractNum>
  <w:abstractNum w:abstractNumId="98">
    <w:nsid w:val="129517E"/>
    <w:multiLevelType w:val="hybridMultilevel"/>
    <w:lvl w:ilvl="0">
      <w:lvlJc w:val="left"/>
      <w:lvlText w:val="•"/>
      <w:numFmt w:val="bullet"/>
      <w:start w:val="1"/>
    </w:lvl>
  </w:abstractNum>
  <w:abstractNum w:abstractNumId="99">
    <w:nsid w:val="763B8C4E"/>
    <w:multiLevelType w:val="hybridMultilevel"/>
    <w:lvl w:ilvl="0">
      <w:lvlJc w:val="left"/>
      <w:lvlText w:val="•"/>
      <w:numFmt w:val="bullet"/>
      <w:start w:val="1"/>
    </w:lvl>
  </w:abstractNum>
  <w:abstractNum w:abstractNumId="100">
    <w:nsid w:val="4CFB8D32"/>
    <w:multiLevelType w:val="hybridMultilevel"/>
    <w:lvl w:ilvl="0">
      <w:lvlJc w:val="left"/>
      <w:lvlText w:val="•"/>
      <w:numFmt w:val="bullet"/>
      <w:start w:val="1"/>
    </w:lvl>
  </w:abstractNum>
  <w:abstractNum w:abstractNumId="101">
    <w:nsid w:val="62A5D5BD"/>
    <w:multiLevelType w:val="hybridMultilevel"/>
    <w:lvl w:ilvl="0">
      <w:lvlJc w:val="left"/>
      <w:lvlText w:val="•"/>
      <w:numFmt w:val="bullet"/>
      <w:start w:val="1"/>
    </w:lvl>
  </w:abstractNum>
  <w:abstractNum w:abstractNumId="102">
    <w:nsid w:val="718FABF9"/>
    <w:multiLevelType w:val="hybridMultilevel"/>
    <w:lvl w:ilvl="0">
      <w:lvlJc w:val="left"/>
      <w:lvlText w:val="•"/>
      <w:numFmt w:val="bullet"/>
      <w:start w:val="1"/>
    </w:lvl>
  </w:abstractNum>
  <w:abstractNum w:abstractNumId="103">
    <w:nsid w:val="7775797C"/>
    <w:multiLevelType w:val="hybridMultilevel"/>
    <w:lvl w:ilvl="0">
      <w:lvlJc w:val="left"/>
      <w:lvlText w:val="(%1)"/>
      <w:numFmt w:val="decimal"/>
      <w:start w:val="1"/>
    </w:lvl>
  </w:abstractNum>
  <w:abstractNum w:abstractNumId="104">
    <w:nsid w:val="1626FB8C"/>
    <w:multiLevelType w:val="hybridMultilevel"/>
    <w:lvl w:ilvl="0">
      <w:lvlJc w:val="left"/>
      <w:lvlText w:val="(%1)"/>
      <w:numFmt w:val="decimal"/>
      <w:start w:val="3"/>
    </w:lvl>
  </w:abstractNum>
  <w:abstractNum w:abstractNumId="105">
    <w:nsid w:val="3957756A"/>
    <w:multiLevelType w:val="hybridMultilevel"/>
    <w:lvl w:ilvl="0">
      <w:lvlJc w:val="left"/>
      <w:lvlText w:val="(%1)"/>
      <w:numFmt w:val="lowerRoman"/>
      <w:start w:val="1"/>
    </w:lvl>
  </w:abstractNum>
  <w:abstractNum w:abstractNumId="106">
    <w:nsid w:val="3E6DA1C7"/>
    <w:multiLevelType w:val="hybridMultilevel"/>
    <w:lvl w:ilvl="0">
      <w:lvlJc w:val="left"/>
      <w:lvlText w:val="•"/>
      <w:numFmt w:val="bullet"/>
      <w:start w:val="1"/>
    </w:lvl>
  </w:abstractNum>
  <w:abstractNum w:abstractNumId="107">
    <w:nsid w:val="65CA235B"/>
    <w:multiLevelType w:val="hybridMultilevel"/>
    <w:lvl w:ilvl="0">
      <w:lvlJc w:val="left"/>
      <w:lvlText w:val="•"/>
      <w:numFmt w:val="bullet"/>
      <w:start w:val="1"/>
    </w:lvl>
  </w:abstractNum>
  <w:abstractNum w:abstractNumId="108">
    <w:nsid w:val="51CB0DA4"/>
    <w:multiLevelType w:val="hybridMultilevel"/>
    <w:lvl w:ilvl="0">
      <w:lvlJc w:val="left"/>
      <w:lvlText w:val="(%1)"/>
      <w:numFmt w:val="decimal"/>
      <w:start w:val="1"/>
    </w:lvl>
  </w:abstractNum>
  <w:abstractNum w:abstractNumId="109">
    <w:nsid w:val="7B9B743C"/>
    <w:multiLevelType w:val="hybridMultilevel"/>
    <w:lvl w:ilvl="0">
      <w:lvlJc w:val="left"/>
      <w:lvlText w:val="•"/>
      <w:numFmt w:val="bullet"/>
      <w:start w:val="1"/>
    </w:lvl>
  </w:abstractNum>
  <w:abstractNum w:abstractNumId="110">
    <w:nsid w:val="13E21002"/>
    <w:multiLevelType w:val="hybridMultilevel"/>
    <w:lvl w:ilvl="0">
      <w:lvlJc w:val="left"/>
      <w:lvlText w:val="*"/>
      <w:numFmt w:val="bullet"/>
      <w:start w:val="1"/>
    </w:lvl>
  </w:abstractNum>
  <w:abstractNum w:abstractNumId="111">
    <w:nsid w:val="257D63F4"/>
    <w:multiLevelType w:val="hybridMultilevel"/>
    <w:lvl w:ilvl="0">
      <w:lvlJc w:val="left"/>
      <w:lvlText w:val="(%1)"/>
      <w:numFmt w:val="decimal"/>
      <w:start w:val="1"/>
    </w:lvl>
  </w:abstractNum>
  <w:abstractNum w:abstractNumId="112">
    <w:nsid w:val="70EC11B2"/>
    <w:multiLevelType w:val="hybridMultilevel"/>
    <w:lvl w:ilvl="0">
      <w:lvlJc w:val="left"/>
      <w:lvlText w:val="(%1)"/>
      <w:numFmt w:val="decimal"/>
      <w:start w:val="5"/>
    </w:lvl>
  </w:abstractNum>
  <w:abstractNum w:abstractNumId="113">
    <w:nsid w:val="2EDA00ED"/>
    <w:multiLevelType w:val="hybridMultilevel"/>
    <w:lvl w:ilvl="0">
      <w:lvlJc w:val="left"/>
      <w:lvlText w:val="(%1)"/>
      <w:numFmt w:val="lowerRoman"/>
      <w:start w:val="2"/>
    </w:lvl>
  </w:abstractNum>
  <w:abstractNum w:abstractNumId="114">
    <w:nsid w:val="73209072"/>
    <w:multiLevelType w:val="hybridMultilevel"/>
    <w:lvl w:ilvl="0">
      <w:lvlJc w:val="left"/>
      <w:lvlText w:val="•"/>
      <w:numFmt w:val="bullet"/>
      <w:start w:val="1"/>
    </w:lvl>
  </w:abstractNum>
  <w:abstractNum w:abstractNumId="115">
    <w:nsid w:val="5FB29816"/>
    <w:multiLevelType w:val="hybridMultilevel"/>
    <w:lvl w:ilvl="0">
      <w:lvlJc w:val="left"/>
      <w:lvlText w:val="•"/>
      <w:numFmt w:val="bullet"/>
      <w:start w:val="1"/>
    </w:lvl>
  </w:abstractNum>
  <w:abstractNum w:abstractNumId="116">
    <w:nsid w:val="3CE732EC"/>
    <w:multiLevelType w:val="hybridMultilevel"/>
    <w:lvl w:ilvl="0">
      <w:lvlJc w:val="left"/>
      <w:lvlText w:val="•"/>
      <w:numFmt w:val="bullet"/>
      <w:start w:val="1"/>
    </w:lvl>
  </w:abstractNum>
  <w:abstractNum w:abstractNumId="117">
    <w:nsid w:val="22F13DF3"/>
    <w:multiLevelType w:val="hybridMultilevel"/>
    <w:lvl w:ilvl="0">
      <w:lvlJc w:val="left"/>
      <w:lvlText w:val="•"/>
      <w:numFmt w:val="bullet"/>
      <w:start w:val="1"/>
    </w:lvl>
  </w:abstractNum>
  <w:abstractNum w:abstractNumId="118">
    <w:nsid w:val="792B8401"/>
    <w:multiLevelType w:val="hybridMultilevel"/>
    <w:lvl w:ilvl="0">
      <w:lvlJc w:val="left"/>
      <w:lvlText w:val="•"/>
      <w:numFmt w:val="bullet"/>
      <w:start w:val="1"/>
    </w:lvl>
  </w:abstractNum>
  <w:abstractNum w:abstractNumId="119">
    <w:nsid w:val="FA85F4D"/>
    <w:multiLevelType w:val="hybridMultilevel"/>
    <w:lvl w:ilvl="0">
      <w:lvlJc w:val="left"/>
      <w:lvlText w:val="•"/>
      <w:numFmt w:val="bullet"/>
      <w:start w:val="1"/>
    </w:lvl>
  </w:abstractNum>
  <w:abstractNum w:abstractNumId="120">
    <w:nsid w:val="6ECE91F0"/>
    <w:multiLevelType w:val="hybridMultilevel"/>
    <w:lvl w:ilvl="0">
      <w:lvlJc w:val="left"/>
      <w:lvlText w:val="•"/>
      <w:numFmt w:val="bullet"/>
      <w:start w:val="1"/>
    </w:lvl>
  </w:abstractNum>
  <w:abstractNum w:abstractNumId="121">
    <w:nsid w:val="4FC4D600"/>
    <w:multiLevelType w:val="hybridMultilevel"/>
    <w:lvl w:ilvl="0">
      <w:lvlJc w:val="left"/>
      <w:lvlText w:val="%1."/>
      <w:numFmt w:val="decimal"/>
      <w:start w:val="2"/>
    </w:lvl>
  </w:abstractNum>
  <w:abstractNum w:abstractNumId="122">
    <w:nsid w:val="5BFD4210"/>
    <w:multiLevelType w:val="hybridMultilevel"/>
    <w:lvl w:ilvl="0">
      <w:lvlJc w:val="left"/>
      <w:lvlText w:val="•"/>
      <w:numFmt w:val="bullet"/>
      <w:start w:val="1"/>
    </w:lvl>
  </w:abstractNum>
  <w:abstractNum w:abstractNumId="123">
    <w:nsid w:val="76574F8B"/>
    <w:multiLevelType w:val="hybridMultilevel"/>
    <w:lvl w:ilvl="0">
      <w:lvlJc w:val="left"/>
      <w:lvlText w:val="(%1)"/>
      <w:numFmt w:val="lowerRoman"/>
      <w:start w:val="2"/>
    </w:lvl>
  </w:abstractNum>
  <w:abstractNum w:abstractNumId="124">
    <w:nsid w:val="178F7B67"/>
    <w:multiLevelType w:val="hybridMultilevel"/>
    <w:lvl w:ilvl="0">
      <w:lvlJc w:val="left"/>
      <w:lvlText w:val="(%1)"/>
      <w:numFmt w:val="lowerRoman"/>
      <w:start w:val="2"/>
    </w:lvl>
  </w:abstractNum>
  <w:abstractNum w:abstractNumId="125">
    <w:nsid w:val="2421DFCF"/>
    <w:multiLevelType w:val="hybridMultilevel"/>
    <w:lvl w:ilvl="0">
      <w:lvlJc w:val="left"/>
      <w:lvlText w:val="*"/>
      <w:numFmt w:val="bullet"/>
      <w:start w:val="1"/>
    </w:lvl>
  </w:abstractNum>
  <w:abstractNum w:abstractNumId="126">
    <w:nsid w:val="1565AC99"/>
    <w:multiLevelType w:val="hybridMultilevel"/>
    <w:lvl w:ilvl="0">
      <w:lvlJc w:val="left"/>
      <w:lvlText w:val="(%1)"/>
      <w:numFmt w:val="lowerRoman"/>
      <w:start w:val="1"/>
    </w:lvl>
  </w:abstractNum>
  <w:abstractNum w:abstractNumId="127">
    <w:nsid w:val="19FB2650"/>
    <w:multiLevelType w:val="hybridMultilevel"/>
    <w:lvl w:ilvl="0">
      <w:lvlJc w:val="left"/>
      <w:lvlText w:val="(%1)"/>
      <w:numFmt w:val="lowerLetter"/>
      <w:start w:val="1"/>
    </w:lvl>
  </w:abstractNum>
  <w:abstractNum w:abstractNumId="128">
    <w:nsid w:val="5024DE5B"/>
    <w:multiLevelType w:val="hybridMultilevel"/>
    <w:lvl w:ilvl="0">
      <w:lvlJc w:val="left"/>
      <w:lvlText w:val="(%1)"/>
      <w:numFmt w:val="lowerLetter"/>
      <w:start w:val="3"/>
    </w:lvl>
  </w:abstractNum>
  <w:abstractNum w:abstractNumId="129">
    <w:nsid w:val="168EFE17"/>
    <w:multiLevelType w:val="hybridMultilevel"/>
    <w:lvl w:ilvl="0">
      <w:lvlJc w:val="left"/>
      <w:lvlText w:val="(%1)"/>
      <w:numFmt w:val="decimal"/>
      <w:start w:val="1"/>
    </w:lvl>
  </w:abstractNum>
  <w:abstractNum w:abstractNumId="130">
    <w:nsid w:val="1036B29F"/>
    <w:multiLevelType w:val="hybridMultilevel"/>
    <w:lvl w:ilvl="0">
      <w:lvlJc w:val="left"/>
      <w:lvlText w:val="+"/>
      <w:numFmt w:val="bullet"/>
      <w:start w:val="1"/>
    </w:lvl>
  </w:abstractNum>
  <w:abstractNum w:abstractNumId="131">
    <w:nsid w:val="1D206B8E"/>
    <w:multiLevelType w:val="hybridMultilevel"/>
    <w:lvl w:ilvl="0">
      <w:lvlJc w:val="left"/>
      <w:lvlText w:val="%1."/>
      <w:numFmt w:val="decimal"/>
      <w:start w:val="1"/>
    </w:lvl>
  </w:abstractNum>
  <w:abstractNum w:abstractNumId="132">
    <w:nsid w:val="7934D3D4"/>
    <w:multiLevelType w:val="hybridMultilevel"/>
    <w:lvl w:ilvl="0">
      <w:lvlJc w:val="left"/>
      <w:lvlText w:val="%1."/>
      <w:numFmt w:val="decimal"/>
      <w:start w:val="1"/>
    </w:lvl>
    <w:lvl w:ilvl="1">
      <w:lvlJc w:val="left"/>
      <w:lvlText w:val="(%2)"/>
      <w:numFmt w:val="lowerLetter"/>
      <w:start w:val="1"/>
    </w:lvl>
  </w:abstractNum>
  <w:abstractNum w:abstractNumId="133">
    <w:nsid w:val="1C65E98"/>
    <w:multiLevelType w:val="hybridMultilevel"/>
    <w:lvl w:ilvl="0">
      <w:lvlJc w:val="left"/>
      <w:lvlText w:val="%1"/>
      <w:numFmt w:val="lowerLetter"/>
      <w:start w:val="1"/>
    </w:lvl>
    <w:lvl w:ilvl="1">
      <w:lvlJc w:val="left"/>
      <w:lvlText w:val="(%2)"/>
      <w:numFmt w:val="lowerLetter"/>
      <w:start w:val="4"/>
    </w:lvl>
  </w:abstractNum>
  <w:abstractNum w:abstractNumId="134">
    <w:nsid w:val="1495E50A"/>
    <w:multiLevelType w:val="hybridMultilevel"/>
    <w:lvl w:ilvl="0">
      <w:lvlJc w:val="left"/>
      <w:lvlText w:val="(%1)"/>
      <w:numFmt w:val="lowerLetter"/>
      <w:start w:val="35"/>
    </w:lvl>
    <w:lvl w:ilvl="1">
      <w:lvlJc w:val="left"/>
      <w:lvlText w:val="(%2)"/>
      <w:numFmt w:val="lowerLetter"/>
      <w:start w:val="5"/>
    </w:lvl>
  </w:abstractNum>
  <w:abstractNum w:abstractNumId="135">
    <w:nsid w:val="F5BCF61"/>
    <w:multiLevelType w:val="hybridMultilevel"/>
    <w:lvl w:ilvl="0">
      <w:lvlJc w:val="left"/>
      <w:lvlText w:val="%1"/>
      <w:numFmt w:val="decimal"/>
      <w:start w:val="1"/>
    </w:lvl>
    <w:lvl w:ilvl="1">
      <w:lvlJc w:val="left"/>
      <w:lvlText w:val="(%2)"/>
      <w:numFmt w:val="lowerLetter"/>
      <w:start w:val="13"/>
    </w:lvl>
  </w:abstractNum>
  <w:abstractNum w:abstractNumId="136">
    <w:nsid w:val="3B1DD403"/>
    <w:multiLevelType w:val="hybridMultilevel"/>
    <w:lvl w:ilvl="0">
      <w:lvlJc w:val="left"/>
      <w:lvlText w:val="%1."/>
      <w:numFmt w:val="decimal"/>
      <w:start w:val="2"/>
    </w:lvl>
    <w:lvl w:ilvl="1">
      <w:lvlJc w:val="left"/>
      <w:lvlText w:val="(%2)"/>
      <w:numFmt w:val="lowerLetter"/>
      <w:start w:val="1"/>
    </w:lvl>
  </w:abstractNum>
  <w:abstractNum w:abstractNumId="137">
    <w:nsid w:val="530386D1"/>
    <w:multiLevelType w:val="hybridMultilevel"/>
    <w:lvl w:ilvl="0">
      <w:lvlJc w:val="left"/>
      <w:lvlText w:val="%1"/>
      <w:numFmt w:val="decimal"/>
      <w:start w:val="1"/>
    </w:lvl>
    <w:lvl w:ilvl="1">
      <w:lvlJc w:val="left"/>
      <w:lvlText w:val="(%2)"/>
      <w:numFmt w:val="lowerLetter"/>
      <w:start w:val="5"/>
    </w:lvl>
  </w:abstractNum>
  <w:abstractNum w:abstractNumId="138">
    <w:nsid w:val="7525F2BC"/>
    <w:multiLevelType w:val="hybridMultilevel"/>
    <w:lvl w:ilvl="0">
      <w:lvlJc w:val="left"/>
      <w:lvlText w:val="%1."/>
      <w:numFmt w:val="decimal"/>
      <w:start w:val="3"/>
    </w:lvl>
    <w:lvl w:ilvl="1">
      <w:lvlJc w:val="left"/>
      <w:lvlText w:val="(%2)"/>
      <w:numFmt w:val="lowerLetter"/>
      <w:start w:val="1"/>
    </w:lvl>
  </w:abstractNum>
  <w:abstractNum w:abstractNumId="139">
    <w:nsid w:val="CE8E1A7"/>
    <w:multiLevelType w:val="hybridMultilevel"/>
    <w:lvl w:ilvl="0">
      <w:lvlJc w:val="left"/>
      <w:lvlText w:val="(%1)"/>
      <w:numFmt w:val="lowerLetter"/>
      <w:start w:val="4"/>
    </w:lvl>
  </w:abstractNum>
  <w:abstractNum w:abstractNumId="140">
    <w:nsid w:val="4E9EFB0D"/>
    <w:multiLevelType w:val="hybridMultilevel"/>
    <w:lvl w:ilvl="0">
      <w:lvlJc w:val="left"/>
      <w:lvlText w:val="(%1)"/>
      <w:numFmt w:val="lowerLetter"/>
      <w:start w:val="6"/>
    </w:lvl>
    <w:lvl w:ilvl="1">
      <w:lvlJc w:val="left"/>
      <w:lvlText w:val="(%2)"/>
      <w:numFmt w:val="lowerRoman"/>
      <w:start w:val="1"/>
    </w:lvl>
  </w:abstractNum>
  <w:abstractNum w:abstractNumId="141">
    <w:nsid w:val="90802BE"/>
    <w:multiLevelType w:val="hybridMultilevel"/>
    <w:lvl w:ilvl="0">
      <w:lvlJc w:val="left"/>
      <w:lvlText w:val="(%1)"/>
      <w:numFmt w:val="lowerLetter"/>
      <w:start w:val="35"/>
    </w:lvl>
    <w:lvl w:ilvl="1">
      <w:lvlJc w:val="left"/>
      <w:lvlText w:val="%2."/>
      <w:numFmt w:val="decimal"/>
      <w:start w:val="4"/>
    </w:lvl>
    <w:lvl w:ilvl="2">
      <w:lvlJc w:val="left"/>
      <w:lvlText w:val="(%3)"/>
      <w:numFmt w:val="lowerLetter"/>
      <w:start w:val="1"/>
    </w:lvl>
  </w:abstractNum>
  <w:abstractNum w:abstractNumId="142">
    <w:nsid w:val="3266459B"/>
    <w:multiLevelType w:val="hybridMultilevel"/>
    <w:lvl w:ilvl="0">
      <w:lvlJc w:val="left"/>
      <w:lvlText w:val="(%1)"/>
      <w:numFmt w:val="lowerLetter"/>
      <w:start w:val="2"/>
    </w:lvl>
  </w:abstractNum>
  <w:abstractNum w:abstractNumId="143">
    <w:nsid w:val="3F8B0CBF"/>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abstractNum>
  <w:abstractNum w:abstractNumId="144">
    <w:nsid w:val="37E203AB"/>
    <w:multiLevelType w:val="hybridMultilevel"/>
    <w:lvl w:ilvl="0">
      <w:lvlJc w:val="left"/>
      <w:lvlText w:val="%1"/>
      <w:numFmt w:val="lowerRoman"/>
      <w:start w:val="1"/>
    </w:lvl>
    <w:lvl w:ilvl="1">
      <w:lvlJc w:val="left"/>
      <w:lvlText w:val="(%2)"/>
      <w:numFmt w:val="decimal"/>
      <w:start w:val="5"/>
    </w:lvl>
  </w:abstractNum>
  <w:abstractNum w:abstractNumId="145">
    <w:nsid w:val="2586D60E"/>
    <w:multiLevelType w:val="hybridMultilevel"/>
    <w:lvl w:ilvl="0">
      <w:lvlJc w:val="left"/>
      <w:lvlText w:val="(%1)"/>
      <w:numFmt w:val="lowerRoman"/>
      <w:start w:val="2"/>
    </w:lvl>
    <w:lvl w:ilvl="1">
      <w:lvlJc w:val="left"/>
      <w:lvlText w:val="(%2)"/>
      <w:numFmt w:val="decimal"/>
      <w:start w:val="1"/>
    </w:lvl>
  </w:abstractNum>
  <w:abstractNum w:abstractNumId="146">
    <w:nsid w:val="1F3DA4D5"/>
    <w:multiLevelType w:val="hybridMultilevel"/>
    <w:lvl w:ilvl="0">
      <w:lvlJc w:val="left"/>
      <w:lvlText w:val="%1"/>
      <w:numFmt w:val="lowerRoman"/>
      <w:start w:val="1"/>
    </w:lvl>
    <w:lvl w:ilvl="1">
      <w:lvlJc w:val="left"/>
      <w:lvlText w:val="(%2)"/>
      <w:numFmt w:val="decimal"/>
      <w:start w:val="2"/>
    </w:lvl>
    <w:lvl w:ilvl="2">
      <w:lvlJc w:val="left"/>
      <w:lvlText w:val="(%3)"/>
      <w:numFmt w:val="lowerLetter"/>
      <w:start w:val="1"/>
    </w:lvl>
  </w:abstractNum>
  <w:abstractNum w:abstractNumId="147">
    <w:nsid w:val="74C93698"/>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148">
    <w:nsid w:val="48781401"/>
    <w:multiLevelType w:val="hybridMultilevel"/>
    <w:lvl w:ilvl="0">
      <w:lvlJc w:val="left"/>
      <w:lvlText w:val="%1"/>
      <w:numFmt w:val="lowerLetter"/>
      <w:start w:val="1"/>
    </w:lvl>
    <w:lvl w:ilvl="1">
      <w:lvlJc w:val="left"/>
      <w:lvlText w:val="(%2)"/>
      <w:numFmt w:val="lowerLetter"/>
      <w:start w:val="22"/>
    </w:lvl>
    <w:lvl w:ilvl="2">
      <w:lvlJc w:val="left"/>
      <w:lvlText w:val="(%3)"/>
      <w:numFmt w:val="decimal"/>
      <w:start w:val="1"/>
    </w:lvl>
    <w:lvl w:ilvl="3">
      <w:lvlJc w:val="left"/>
      <w:lvlText w:val="(%4)"/>
      <w:numFmt w:val="lowerLetter"/>
      <w:start w:val="1"/>
    </w:lvl>
  </w:abstractNum>
  <w:abstractNum w:abstractNumId="149">
    <w:nsid w:val="186928D6"/>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2"/>
    </w:lvl>
    <w:lvl w:ilvl="3">
      <w:lvlJc w:val="left"/>
      <w:lvlText w:val="(%4)"/>
      <w:numFmt w:val="lowerLetter"/>
      <w:start w:val="24"/>
    </w:lvl>
  </w:abstractNum>
  <w:abstractNum w:abstractNumId="150">
    <w:nsid w:val="47195E5"/>
    <w:multiLevelType w:val="hybridMultilevel"/>
    <w:lvl w:ilvl="0">
      <w:lvlJc w:val="left"/>
      <w:lvlText w:val="%1"/>
      <w:numFmt w:val="lowerLetter"/>
      <w:start w:val="1"/>
    </w:lvl>
    <w:lvl w:ilvl="1">
      <w:lvlJc w:val="left"/>
      <w:lvlText w:val="(%2)"/>
      <w:numFmt w:val="lowerLetter"/>
      <w:start w:val="25"/>
    </w:lvl>
  </w:abstractNum>
  <w:abstractNum w:abstractNumId="151">
    <w:nsid w:val="3746A5F2"/>
    <w:multiLevelType w:val="hybridMultilevel"/>
    <w:lvl w:ilvl="0">
      <w:lvlJc w:val="left"/>
      <w:lvlText w:val="(%1)"/>
      <w:numFmt w:val="lowerLetter"/>
      <w:start w:val="5"/>
    </w:lvl>
    <w:lvl w:ilvl="1">
      <w:lvlJc w:val="left"/>
      <w:lvlText w:val="%2"/>
      <w:numFmt w:val="lowerLetter"/>
      <w:start w:val="1"/>
    </w:lvl>
  </w:abstractNum>
  <w:abstractNum w:abstractNumId="152">
    <w:nsid w:val="682DFED6"/>
    <w:multiLevelType w:val="hybridMultilevel"/>
    <w:lvl w:ilvl="0">
      <w:lvlJc w:val="left"/>
      <w:lvlText w:val="(%1)"/>
      <w:numFmt w:val="lowerLetter"/>
      <w:start w:val="9"/>
    </w:lvl>
    <w:lvl w:ilvl="1">
      <w:lvlJc w:val="left"/>
      <w:lvlText w:val="(%2)"/>
      <w:numFmt w:val="lowerRoman"/>
      <w:start w:val="1"/>
    </w:lvl>
  </w:abstractNum>
  <w:abstractNum w:abstractNumId="153">
    <w:nsid w:val="606ED7F6"/>
    <w:multiLevelType w:val="hybridMultilevel"/>
    <w:lvl w:ilvl="0">
      <w:lvlJc w:val="left"/>
      <w:lvlText w:val="(%1)"/>
      <w:numFmt w:val="lowerLetter"/>
      <w:start w:val="11"/>
    </w:lvl>
  </w:abstractNum>
  <w:abstractNum w:abstractNumId="154">
    <w:nsid w:val="2D9DF57D"/>
    <w:multiLevelType w:val="hybridMultilevel"/>
    <w:lvl w:ilvl="0">
      <w:lvlJc w:val="left"/>
      <w:lvlText w:val="%1."/>
      <w:numFmt w:val="decimal"/>
      <w:start w:val="5"/>
    </w:lvl>
    <w:lvl w:ilvl="1">
      <w:lvlJc w:val="left"/>
      <w:lvlText w:val="(%2)"/>
      <w:numFmt w:val="lowerLetter"/>
      <w:start w:val="1"/>
    </w:lvl>
  </w:abstractNum>
  <w:abstractNum w:abstractNumId="155">
    <w:nsid w:val="7FBD7A3E"/>
    <w:multiLevelType w:val="hybridMultilevel"/>
    <w:lvl w:ilvl="0">
      <w:lvlJc w:val="left"/>
      <w:lvlText w:val="(%1)"/>
      <w:numFmt w:val="lowerLetter"/>
      <w:start w:val="2"/>
    </w:lvl>
  </w:abstractNum>
  <w:abstractNum w:abstractNumId="156">
    <w:nsid w:val="490B7C5"/>
    <w:multiLevelType w:val="hybridMultilevel"/>
    <w:lvl w:ilvl="0">
      <w:lvlJc w:val="left"/>
      <w:lvlText w:val="%1"/>
      <w:numFmt w:val="decimal"/>
      <w:start w:val="1"/>
    </w:lvl>
    <w:lvl w:ilvl="1">
      <w:lvlJc w:val="left"/>
      <w:lvlText w:val="(%2)"/>
      <w:numFmt w:val="lowerLetter"/>
      <w:start w:val="13"/>
    </w:lvl>
  </w:abstractNum>
  <w:abstractNum w:abstractNumId="157">
    <w:nsid w:val="4303A216"/>
    <w:multiLevelType w:val="hybridMultilevel"/>
    <w:lvl w:ilvl="0">
      <w:lvlJc w:val="left"/>
      <w:lvlText w:val="%1."/>
      <w:numFmt w:val="decimal"/>
      <w:start w:val="7"/>
    </w:lvl>
    <w:lvl w:ilvl="1">
      <w:lvlJc w:val="left"/>
      <w:lvlText w:val="(%2)"/>
      <w:numFmt w:val="lowerLetter"/>
      <w:start w:val="1"/>
    </w:lvl>
  </w:abstractNum>
  <w:abstractNum w:abstractNumId="158">
    <w:nsid w:val="19B8A08E"/>
    <w:multiLevelType w:val="hybridMultilevel"/>
    <w:lvl w:ilvl="0">
      <w:lvlJc w:val="left"/>
      <w:lvlText w:val="%1."/>
      <w:numFmt w:val="decimal"/>
      <w:start w:val="10"/>
    </w:lvl>
    <w:lvl w:ilvl="1">
      <w:lvlJc w:val="left"/>
      <w:lvlText w:val="(%2)"/>
      <w:numFmt w:val="lowerLetter"/>
      <w:start w:val="1"/>
    </w:lvl>
  </w:abstractNum>
  <w:abstractNum w:abstractNumId="159">
    <w:nsid w:val="54B59621"/>
    <w:multiLevelType w:val="hybridMultilevel"/>
    <w:lvl w:ilvl="0">
      <w:lvlJc w:val="left"/>
      <w:lvlText w:val="%1."/>
      <w:numFmt w:val="decimal"/>
      <w:start w:val="1"/>
    </w:lvl>
  </w:abstractNum>
  <w:abstractNum w:abstractNumId="160">
    <w:nsid w:val="5992A02E"/>
    <w:multiLevelType w:val="hybridMultilevel"/>
    <w:lvl w:ilvl="0">
      <w:lvlJc w:val="left"/>
      <w:lvlText w:val="(%1)"/>
      <w:numFmt w:val="lowerRoman"/>
      <w:start w:val="1"/>
    </w:lvl>
  </w:abstractNum>
  <w:abstractNum w:abstractNumId="161">
    <w:nsid w:val="29EF532D"/>
    <w:multiLevelType w:val="hybridMultilevel"/>
    <w:lvl w:ilvl="0">
      <w:lvlJc w:val="left"/>
      <w:lvlText w:val="(%1)"/>
      <w:numFmt w:val="lowerRoman"/>
      <w:start w:val="1"/>
    </w:lvl>
  </w:abstractNum>
  <w:abstractNum w:abstractNumId="162">
    <w:nsid w:val="71D601AF"/>
    <w:multiLevelType w:val="hybridMultilevel"/>
    <w:lvl w:ilvl="0">
      <w:lvlJc w:val="left"/>
      <w:lvlText w:val="(%1)"/>
      <w:numFmt w:val="lowerRoman"/>
      <w:start w:val="1"/>
    </w:lvl>
  </w:abstractNum>
  <w:abstractNum w:abstractNumId="163">
    <w:nsid w:val="52C77402"/>
    <w:multiLevelType w:val="hybridMultilevel"/>
    <w:lvl w:ilvl="0">
      <w:lvlJc w:val="left"/>
      <w:lvlText w:val="(%1)"/>
      <w:numFmt w:val="lowerRoman"/>
      <w:start w:val="1"/>
    </w:lvl>
  </w:abstractNum>
  <w:abstractNum w:abstractNumId="164">
    <w:nsid w:val="2BB5B1C6"/>
    <w:multiLevelType w:val="hybridMultilevel"/>
    <w:lvl w:ilvl="0">
      <w:lvlJc w:val="left"/>
      <w:lvlText w:val="(%1)"/>
      <w:numFmt w:val="lowerRoman"/>
      <w:start w:val="1"/>
    </w:lvl>
  </w:abstractNum>
  <w:abstractNum w:abstractNumId="165">
    <w:nsid w:val="66BE6B9"/>
    <w:multiLevelType w:val="hybridMultilevel"/>
    <w:lvl w:ilvl="0">
      <w:lvlJc w:val="left"/>
      <w:lvlText w:val="(%1)"/>
      <w:numFmt w:val="lowerRoman"/>
      <w:start w:val="1"/>
    </w:lvl>
  </w:abstractNum>
  <w:abstractNum w:abstractNumId="166">
    <w:nsid w:val="62234363"/>
    <w:multiLevelType w:val="hybridMultilevel"/>
    <w:lvl w:ilvl="0">
      <w:lvlJc w:val="left"/>
      <w:lvlText w:val="(%1)"/>
      <w:numFmt w:val="lowerRoman"/>
      <w:start w:val="1"/>
    </w:lvl>
  </w:abstractNum>
  <w:abstractNum w:abstractNumId="167">
    <w:nsid w:val="66D385C9"/>
    <w:multiLevelType w:val="hybridMultilevel"/>
    <w:lvl w:ilvl="0">
      <w:lvlJc w:val="left"/>
      <w:lvlText w:val="(%1)"/>
      <w:numFmt w:val="lowerRoman"/>
      <w:start w:val="1"/>
    </w:lvl>
  </w:abstractNum>
  <w:abstractNum w:abstractNumId="168">
    <w:nsid w:val="596F6D8A"/>
    <w:multiLevelType w:val="hybridMultilevel"/>
    <w:lvl w:ilvl="0">
      <w:lvlJc w:val="left"/>
      <w:lvlText w:val="(%1)"/>
      <w:numFmt w:val="lowerRoman"/>
      <w:start w:val="2"/>
    </w:lvl>
  </w:abstractNum>
  <w:abstractNum w:abstractNumId="169">
    <w:nsid w:val="5749361F"/>
    <w:multiLevelType w:val="hybridMultilevel"/>
    <w:lvl w:ilvl="0">
      <w:lvlJc w:val="left"/>
      <w:lvlText w:val="%1"/>
      <w:numFmt w:val="upperLetter"/>
      <w:start w:val="1"/>
    </w:lvl>
    <w:lvl w:ilvl="1">
      <w:lvlJc w:val="left"/>
      <w:lvlText w:val="(%2)"/>
      <w:numFmt w:val="lowerRoman"/>
      <w:start w:val="1"/>
    </w:lvl>
  </w:abstractNum>
  <w:abstractNum w:abstractNumId="170">
    <w:nsid w:val="73BC6770"/>
    <w:multiLevelType w:val="hybridMultilevel"/>
    <w:lvl w:ilvl="0">
      <w:lvlJc w:val="left"/>
      <w:lvlText w:val="(%1)"/>
      <w:numFmt w:val="upperLetter"/>
      <w:start w:val="1"/>
    </w:lvl>
    <w:lvl w:ilvl="1">
      <w:lvlJc w:val="left"/>
      <w:lvlText w:val="(%2)"/>
      <w:numFmt w:val="lowerRoman"/>
      <w:start w:val="4"/>
    </w:lvl>
  </w:abstractNum>
  <w:abstractNum w:abstractNumId="171">
    <w:nsid w:val="280E6897"/>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172">
    <w:nsid w:val="605138DE"/>
    <w:multiLevelType w:val="hybridMultilevel"/>
    <w:lvl w:ilvl="0">
      <w:lvlJc w:val="left"/>
      <w:lvlText w:val="(%1)"/>
      <w:numFmt w:val="lowerRoman"/>
      <w:start w:val="4"/>
    </w:lvl>
    <w:lvl w:ilvl="1">
      <w:lvlJc w:val="left"/>
      <w:lvlText w:val="%2"/>
      <w:numFmt w:val="lowerLetter"/>
      <w:start w:val="1"/>
    </w:lvl>
    <w:lvl w:ilvl="2">
      <w:lvlJc w:val="left"/>
      <w:lvlText w:val="-"/>
      <w:numFmt w:val="bullet"/>
      <w:start w:val="1"/>
    </w:lvl>
  </w:abstractNum>
  <w:abstractNum w:abstractNumId="173">
    <w:nsid w:val="2622AD0C"/>
    <w:multiLevelType w:val="hybridMultilevel"/>
    <w:lvl w:ilvl="0">
      <w:lvlJc w:val="left"/>
      <w:lvlText w:val="(%1)"/>
      <w:numFmt w:val="lowerLetter"/>
      <w:start w:val="2"/>
    </w:lvl>
  </w:abstractNum>
  <w:abstractNum w:abstractNumId="174">
    <w:nsid w:val="6799755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75">
    <w:nsid w:val="18333C8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76">
    <w:nsid w:val="4BA9831A"/>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2"/>
    </w:lvl>
    <w:lvl w:ilvl="3">
      <w:lvlJc w:val="left"/>
      <w:lvlText w:val="-"/>
      <w:numFmt w:val="bullet"/>
      <w:start w:val="1"/>
    </w:lvl>
  </w:abstractNum>
  <w:abstractNum w:abstractNumId="177">
    <w:nsid w:val="6D71A2B"/>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1"/>
    </w:lvl>
    <w:lvl w:ilvl="3">
      <w:lvlJc w:val="left"/>
      <w:lvlText w:val="-"/>
      <w:numFmt w:val="bullet"/>
      <w:start w:val="1"/>
    </w:lvl>
  </w:abstractNum>
  <w:abstractNum w:abstractNumId="178">
    <w:nsid w:val="CFC7321"/>
    <w:multiLevelType w:val="hybridMultilevel"/>
    <w:lvl w:ilvl="0">
      <w:lvlJc w:val="left"/>
      <w:lvlText w:val="(%1)"/>
      <w:numFmt w:val="upperLetter"/>
      <w:start w:val="1"/>
    </w:lvl>
    <w:lvl w:ilvl="1">
      <w:lvlJc w:val="left"/>
      <w:lvlText w:val="-"/>
      <w:numFmt w:val="bullet"/>
      <w:start w:val="1"/>
    </w:lvl>
  </w:abstractNum>
  <w:abstractNum w:abstractNumId="179">
    <w:nsid w:val="1421971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9"/>
    </w:lvl>
    <w:lvl w:ilvl="3">
      <w:lvlJc w:val="left"/>
      <w:lvlText w:val="-"/>
      <w:numFmt w:val="bullet"/>
      <w:start w:val="1"/>
    </w:lvl>
  </w:abstractNum>
  <w:abstractNum w:abstractNumId="180">
    <w:nsid w:val="1F404301"/>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lvl w:ilvl="3">
      <w:lvlJc w:val="left"/>
      <w:lvlText w:val="-"/>
      <w:numFmt w:val="bullet"/>
      <w:start w:val="1"/>
    </w:lvl>
  </w:abstractNum>
  <w:abstractNum w:abstractNumId="181">
    <w:nsid w:val="116E0907"/>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182">
    <w:nsid w:val="4B683D0D"/>
    <w:multiLevelType w:val="hybridMultilevel"/>
    <w:lvl w:ilvl="0">
      <w:lvlJc w:val="left"/>
      <w:lvlText w:val="(%1)"/>
      <w:numFmt w:val="lowerLetter"/>
      <w:start w:val="22"/>
    </w:lvl>
    <w:lvl w:ilvl="1">
      <w:lvlJc w:val="left"/>
      <w:lvlText w:val="(%2)"/>
      <w:numFmt w:val="lowerLetter"/>
      <w:start w:val="3"/>
    </w:lvl>
    <w:lvl w:ilvl="2">
      <w:lvlJc w:val="left"/>
      <w:lvlText w:val="(%3)"/>
      <w:numFmt w:val="lowerRoman"/>
      <w:start w:val="1"/>
    </w:lvl>
    <w:lvl w:ilvl="3">
      <w:lvlJc w:val="left"/>
      <w:lvlText w:val="(%4)"/>
      <w:numFmt w:val="decimal"/>
      <w:start w:val="1"/>
    </w:lvl>
    <w:lvl w:ilvl="4">
      <w:lvlJc w:val="left"/>
      <w:lvlText w:val="-"/>
      <w:numFmt w:val="bullet"/>
      <w:start w:val="1"/>
    </w:lvl>
  </w:abstractNum>
  <w:abstractNum w:abstractNumId="183">
    <w:nsid w:val="76E41D8"/>
    <w:multiLevelType w:val="hybridMultilevel"/>
    <w:lvl w:ilvl="0">
      <w:lvlJc w:val="left"/>
      <w:lvlText w:val="(%1)"/>
      <w:numFmt w:val="lowerRoman"/>
      <w:start w:val="3"/>
    </w:lvl>
  </w:abstractNum>
  <w:abstractNum w:abstractNumId="184">
    <w:nsid w:val="71DCE0FD"/>
    <w:multiLevelType w:val="hybridMultilevel"/>
    <w:lvl w:ilvl="0">
      <w:lvlJc w:val="left"/>
      <w:lvlText w:val="(%1)"/>
      <w:numFmt w:val="lowerLetter"/>
      <w:start w:val="1"/>
    </w:lvl>
  </w:abstractNum>
  <w:abstractNum w:abstractNumId="185">
    <w:nsid w:val="7906328B"/>
    <w:multiLevelType w:val="hybridMultilevel"/>
    <w:lvl w:ilvl="0">
      <w:lvlJc w:val="left"/>
      <w:lvlText w:val="(%1)"/>
      <w:numFmt w:val="lowerLetter"/>
      <w:start w:val="1"/>
    </w:lvl>
  </w:abstractNum>
  <w:abstractNum w:abstractNumId="186">
    <w:nsid w:val="72BBC16"/>
    <w:multiLevelType w:val="hybridMultilevel"/>
    <w:lvl w:ilvl="0">
      <w:lvlJc w:val="left"/>
      <w:lvlText w:val="(%1)"/>
      <w:numFmt w:val="lowerLetter"/>
      <w:start w:val="1"/>
    </w:lvl>
  </w:abstractNum>
  <w:abstractNum w:abstractNumId="187">
    <w:nsid w:val="766D98C2"/>
    <w:multiLevelType w:val="hybridMultilevel"/>
    <w:lvl w:ilvl="0">
      <w:lvlJc w:val="left"/>
      <w:lvlText w:val="(%1)"/>
      <w:numFmt w:val="lowerRoman"/>
      <w:start w:val="3"/>
    </w:lvl>
  </w:abstractNum>
  <w:abstractNum w:abstractNumId="188">
    <w:nsid w:val="3C09D4A1"/>
    <w:multiLevelType w:val="hybridMultilevel"/>
    <w:lvl w:ilvl="0">
      <w:lvlJc w:val="left"/>
      <w:lvlText w:val="(%1)"/>
      <w:numFmt w:val="lowerLetter"/>
      <w:start w:val="1"/>
    </w:lvl>
  </w:abstractNum>
  <w:abstractNum w:abstractNumId="189">
    <w:nsid w:val="20E45CA4"/>
    <w:multiLevelType w:val="hybridMultilevel"/>
    <w:lvl w:ilvl="0">
      <w:lvlJc w:val="left"/>
      <w:lvlText w:val="(%1)"/>
      <w:numFmt w:val="lowerLetter"/>
      <w:start w:val="1"/>
    </w:lvl>
  </w:abstractNum>
  <w:abstractNum w:abstractNumId="190">
    <w:nsid w:val="4B232EE3"/>
    <w:multiLevelType w:val="hybridMultilevel"/>
    <w:lvl w:ilvl="0">
      <w:lvlJc w:val="left"/>
      <w:lvlText w:val="(%1)"/>
      <w:numFmt w:val="lowerLetter"/>
      <w:start w:val="1"/>
    </w:lvl>
  </w:abstractNum>
  <w:abstractNum w:abstractNumId="191">
    <w:nsid w:val="159C74CF"/>
    <w:multiLevelType w:val="hybridMultilevel"/>
    <w:lvl w:ilvl="0">
      <w:lvlJc w:val="left"/>
      <w:lvlText w:val="(%1)"/>
      <w:numFmt w:val="lowerLetter"/>
      <w:start w:val="2"/>
    </w:lvl>
  </w:abstractNum>
  <w:abstractNum w:abstractNumId="192">
    <w:nsid w:val="4AD3AFD2"/>
    <w:multiLevelType w:val="hybridMultilevel"/>
    <w:lvl w:ilvl="0">
      <w:lvlJc w:val="left"/>
      <w:lvlText w:val="%1"/>
      <w:numFmt w:val="lowerRoman"/>
      <w:start w:val="1"/>
    </w:lvl>
    <w:lvl w:ilvl="1">
      <w:lvlJc w:val="left"/>
      <w:lvlText w:val="(%2)"/>
      <w:numFmt w:val="lowerLetter"/>
      <w:start w:val="13"/>
    </w:lvl>
  </w:abstractNum>
  <w:abstractNum w:abstractNumId="193">
    <w:nsid w:val="3CF93092"/>
    <w:multiLevelType w:val="hybridMultilevel"/>
    <w:lvl w:ilvl="0">
      <w:lvlJc w:val="left"/>
      <w:lvlText w:val="(%1)"/>
      <w:numFmt w:val="lowerRoman"/>
      <w:start w:val="4"/>
    </w:lvl>
    <w:lvl w:ilvl="1">
      <w:lvlJc w:val="left"/>
      <w:lvlText w:val="%2"/>
      <w:numFmt w:val="lowerLetter"/>
      <w:start w:val="1"/>
    </w:lvl>
  </w:abstractNum>
  <w:abstractNum w:abstractNumId="194">
    <w:nsid w:val="6863E8D2"/>
    <w:multiLevelType w:val="hybridMultilevel"/>
    <w:lvl w:ilvl="0">
      <w:lvlJc w:val="left"/>
      <w:lvlText w:val="(%1)"/>
      <w:numFmt w:val="lowerLetter"/>
      <w:start w:val="22"/>
    </w:lvl>
  </w:abstractNum>
  <w:abstractNum w:abstractNumId="195">
    <w:nsid w:val="76896198"/>
    <w:multiLevelType w:val="hybridMultilevel"/>
    <w:lvl w:ilvl="0">
      <w:lvlJc w:val="left"/>
      <w:lvlText w:val="(%1)"/>
      <w:numFmt w:val="lowerLetter"/>
      <w:start w:val="27"/>
    </w:lvl>
  </w:abstractNum>
  <w:abstractNum w:abstractNumId="196">
    <w:nsid w:val="4365174B"/>
    <w:multiLevelType w:val="hybridMultilevel"/>
    <w:lvl w:ilvl="0">
      <w:lvlJc w:val="left"/>
      <w:lvlText w:val="(%1)"/>
      <w:numFmt w:val="lowerLetter"/>
      <w:start w:val="34"/>
    </w:lvl>
  </w:abstractNum>
  <w:abstractNum w:abstractNumId="197">
    <w:nsid w:val="4A872C35"/>
    <w:multiLevelType w:val="hybridMultilevel"/>
    <w:lvl w:ilvl="0">
      <w:lvlJc w:val="left"/>
      <w:lvlText w:val="(%1)"/>
      <w:numFmt w:val="lowerLetter"/>
      <w:start w:val="1"/>
    </w:lvl>
    <w:lvl w:ilvl="1">
      <w:lvlJc w:val="left"/>
      <w:lvlText w:val="(%2)"/>
      <w:numFmt w:val="lowerRoman"/>
      <w:start w:val="1"/>
    </w:lvl>
  </w:abstractNum>
  <w:abstractNum w:abstractNumId="198">
    <w:nsid w:val="5D5CE761"/>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99">
    <w:nsid w:val="1CD484D5"/>
    <w:multiLevelType w:val="hybridMultilevel"/>
    <w:lvl w:ilvl="0">
      <w:lvlJc w:val="left"/>
      <w:lvlText w:val="(%1)"/>
      <w:numFmt w:val="lowerRoman"/>
      <w:start w:val="10"/>
    </w:lvl>
    <w:lvl w:ilvl="1">
      <w:lvlJc w:val="left"/>
      <w:lvlText w:val="(%2)"/>
      <w:numFmt w:val="lowerLetter"/>
      <w:start w:val="2"/>
    </w:lvl>
    <w:lvl w:ilvl="2">
      <w:lvlJc w:val="left"/>
      <w:lvlText w:val="(%3)"/>
      <w:numFmt w:val="lowerRoman"/>
      <w:start w:val="4"/>
    </w:lvl>
  </w:abstractNum>
  <w:abstractNum w:abstractNumId="200">
    <w:nsid w:val="21D06255"/>
    <w:multiLevelType w:val="hybridMultilevel"/>
    <w:lvl w:ilvl="0">
      <w:lvlJc w:val="left"/>
      <w:lvlText w:val="(%1)"/>
      <w:numFmt w:val="lowerLetter"/>
      <w:start w:val="1"/>
    </w:lvl>
  </w:abstractNum>
  <w:abstractNum w:abstractNumId="201">
    <w:nsid w:val="51194ED1"/>
    <w:multiLevelType w:val="hybridMultilevel"/>
    <w:lvl w:ilvl="0">
      <w:lvlJc w:val="left"/>
      <w:lvlText w:val="(%1)"/>
      <w:numFmt w:val="lowerRoman"/>
      <w:start w:val="1"/>
    </w:lvl>
  </w:abstractNum>
  <w:abstractNum w:abstractNumId="202">
    <w:nsid w:val="44E2ED6C"/>
    <w:multiLevelType w:val="hybridMultilevel"/>
    <w:lvl w:ilvl="0">
      <w:lvlJc w:val="left"/>
      <w:lvlText w:val="%1"/>
      <w:numFmt w:val="lowerLetter"/>
      <w:start w:val="1"/>
    </w:lvl>
    <w:lvl w:ilvl="1">
      <w:lvlJc w:val="left"/>
      <w:lvlText w:val="(%2)"/>
      <w:numFmt w:val="lowerLetter"/>
      <w:start w:val="35"/>
    </w:lvl>
  </w:abstractNum>
  <w:abstractNum w:abstractNumId="203">
    <w:nsid w:val="2219B33"/>
    <w:multiLevelType w:val="hybridMultilevel"/>
    <w:lvl w:ilvl="0">
      <w:lvlJc w:val="left"/>
      <w:lvlText w:val="(%1)"/>
      <w:numFmt w:val="lowerLetter"/>
      <w:start w:val="2"/>
    </w:lvl>
    <w:lvl w:ilvl="1">
      <w:lvlJc w:val="left"/>
      <w:lvlText w:val="%2"/>
      <w:numFmt w:val="lowerLetter"/>
      <w:start w:val="1"/>
    </w:lvl>
  </w:abstractNum>
  <w:abstractNum w:abstractNumId="204">
    <w:nsid w:val="773BFBDD"/>
    <w:multiLevelType w:val="hybridMultilevel"/>
    <w:lvl w:ilvl="0">
      <w:lvlJc w:val="left"/>
      <w:lvlText w:val="(%1)"/>
      <w:numFmt w:val="lowerLetter"/>
      <w:start w:val="3"/>
    </w:lvl>
  </w:abstractNum>
  <w:abstractNum w:abstractNumId="205">
    <w:nsid w:val="2C7C62C2"/>
    <w:multiLevelType w:val="hybridMultilevel"/>
    <w:lvl w:ilvl="0">
      <w:lvlJc w:val="left"/>
      <w:lvlText w:val="(%1)"/>
      <w:numFmt w:val="lowerLetter"/>
      <w:start w:val="1"/>
    </w:lvl>
    <w:lvl w:ilvl="1">
      <w:lvlJc w:val="left"/>
      <w:lvlText w:val="(%2)"/>
      <w:numFmt w:val="lowerRoman"/>
      <w:start w:val="1"/>
    </w:lvl>
  </w:abstractNum>
  <w:abstractNum w:abstractNumId="206">
    <w:nsid w:val="1A54D7BC"/>
    <w:multiLevelType w:val="hybridMultilevel"/>
    <w:lvl w:ilvl="0">
      <w:lvlJc w:val="left"/>
      <w:lvlText w:val="(%1)"/>
      <w:numFmt w:val="lowerLetter"/>
      <w:start w:val="1"/>
    </w:lvl>
  </w:abstractNum>
  <w:abstractNum w:abstractNumId="207">
    <w:nsid w:val="42E57EF7"/>
    <w:multiLevelType w:val="hybridMultilevel"/>
    <w:lvl w:ilvl="0">
      <w:lvlJc w:val="left"/>
      <w:lvlText w:val="(%1)"/>
      <w:numFmt w:val="lowerLetter"/>
      <w:start w:val="6"/>
    </w:lvl>
  </w:abstractNum>
  <w:abstractNum w:abstractNumId="208">
    <w:nsid w:val="33537CED"/>
    <w:multiLevelType w:val="hybridMultilevel"/>
    <w:lvl w:ilvl="0">
      <w:lvlJc w:val="left"/>
      <w:lvlText w:val="(%1)"/>
      <w:numFmt w:val="lowerLetter"/>
      <w:start w:val="12"/>
    </w:lvl>
  </w:abstractNum>
  <w:abstractNum w:abstractNumId="209">
    <w:nsid w:val="27514ADE"/>
    <w:multiLevelType w:val="hybridMultilevel"/>
    <w:lvl w:ilvl="0">
      <w:lvlJc w:val="left"/>
      <w:lvlText w:val="(%1)"/>
      <w:numFmt w:val="lowerLetter"/>
      <w:start w:val="1"/>
    </w:lvl>
  </w:abstractNum>
  <w:abstractNum w:abstractNumId="210">
    <w:nsid w:val="57071613"/>
    <w:multiLevelType w:val="hybridMultilevel"/>
    <w:lvl w:ilvl="0">
      <w:lvlJc w:val="left"/>
      <w:lvlText w:val="(%1)"/>
      <w:numFmt w:val="lowerLetter"/>
      <w:start w:val="2"/>
    </w:lvl>
  </w:abstractNum>
  <w:abstractNum w:abstractNumId="211">
    <w:nsid w:val="5293BFEF"/>
    <w:multiLevelType w:val="hybridMultilevel"/>
    <w:lvl w:ilvl="0">
      <w:lvlJc w:val="left"/>
      <w:lvlText w:val="(%1)"/>
      <w:numFmt w:val="lowerLetter"/>
      <w:start w:val="5"/>
    </w:lvl>
  </w:abstractNum>
  <w:abstractNum w:abstractNumId="212">
    <w:nsid w:val="38BF53E5"/>
    <w:multiLevelType w:val="hybridMultilevel"/>
    <w:lvl w:ilvl="0">
      <w:lvlJc w:val="left"/>
      <w:lvlText w:val="(%1)"/>
      <w:numFmt w:val="lowerLetter"/>
      <w:start w:val="1"/>
    </w:lvl>
    <w:lvl w:ilvl="1">
      <w:lvlJc w:val="left"/>
      <w:lvlText w:val="(%2)"/>
      <w:numFmt w:val="lowerRoman"/>
      <w:start w:val="1"/>
    </w:lvl>
  </w:abstractNum>
  <w:abstractNum w:abstractNumId="213">
    <w:nsid w:val="226F5320"/>
    <w:multiLevelType w:val="hybridMultilevel"/>
    <w:lvl w:ilvl="0">
      <w:lvlJc w:val="left"/>
      <w:lvlText w:val="(%1)"/>
      <w:numFmt w:val="lowerLetter"/>
      <w:start w:val="2"/>
    </w:lvl>
  </w:abstractNum>
  <w:abstractNum w:abstractNumId="214">
    <w:nsid w:val="5A0201C7"/>
    <w:multiLevelType w:val="hybridMultilevel"/>
    <w:lvl w:ilvl="0">
      <w:lvlJc w:val="left"/>
      <w:lvlText w:val="(%1)"/>
      <w:numFmt w:val="lowerLetter"/>
      <w:start w:val="4"/>
    </w:lvl>
  </w:abstractNum>
  <w:abstractNum w:abstractNumId="215">
    <w:nsid w:val="2A9C34E2"/>
    <w:multiLevelType w:val="hybridMultilevel"/>
    <w:lvl w:ilvl="0">
      <w:lvlJc w:val="left"/>
      <w:lvlText w:val="(%1)"/>
      <w:numFmt w:val="lowerLetter"/>
      <w:start w:val="1"/>
    </w:lvl>
  </w:abstractNum>
  <w:abstractNum w:abstractNumId="216">
    <w:nsid w:val="1B7585AB"/>
    <w:multiLevelType w:val="hybridMultilevel"/>
    <w:lvl w:ilvl="0">
      <w:lvlJc w:val="left"/>
      <w:lvlText w:val="(%1)"/>
      <w:numFmt w:val="lowerLetter"/>
      <w:start w:val="3"/>
    </w:lvl>
  </w:abstractNum>
  <w:abstractNum w:abstractNumId="217">
    <w:nsid w:val="612DBDDD"/>
    <w:multiLevelType w:val="hybridMultilevel"/>
    <w:lvl w:ilvl="0">
      <w:lvlJc w:val="left"/>
      <w:lvlText w:val="(%1)"/>
      <w:numFmt w:val="lowerRoman"/>
      <w:start w:val="2"/>
    </w:lvl>
  </w:abstractNum>
  <w:abstractNum w:abstractNumId="218">
    <w:nsid w:val="2109CDA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219">
    <w:nsid w:val="577F5A4D"/>
    <w:multiLevelType w:val="hybridMultilevel"/>
    <w:lvl w:ilvl="0">
      <w:lvlJc w:val="left"/>
      <w:lvlText w:val="(%1)"/>
      <w:numFmt w:val="decimal"/>
      <w:start w:val="180"/>
    </w:lvl>
    <w:lvl w:ilvl="1">
      <w:lvlJc w:val="left"/>
      <w:lvlText w:val="%2"/>
      <w:numFmt w:val="lowerLetter"/>
      <w:start w:val="1"/>
    </w:lvl>
    <w:lvl w:ilvl="2">
      <w:lvlJc w:val="left"/>
      <w:lvlText w:val="(%3)"/>
      <w:numFmt w:val="lowerLetter"/>
      <w:start w:val="35"/>
    </w:lvl>
  </w:abstractNum>
  <w:abstractNum w:abstractNumId="220">
    <w:nsid w:val="2121A81"/>
    <w:multiLevelType w:val="hybridMultilevel"/>
    <w:lvl w:ilvl="0">
      <w:lvlJc w:val="left"/>
      <w:lvlText w:val="%1"/>
      <w:numFmt w:val="lowerLetter"/>
      <w:start w:val="1"/>
    </w:lvl>
    <w:lvl w:ilvl="1">
      <w:lvlJc w:val="left"/>
      <w:lvlText w:val="(%2)"/>
      <w:numFmt w:val="lowerRoman"/>
      <w:start w:val="3"/>
    </w:lvl>
  </w:abstractNum>
  <w:abstractNum w:abstractNumId="221">
    <w:nsid w:val="6C2CFC88"/>
    <w:multiLevelType w:val="hybridMultilevel"/>
    <w:lvl w:ilvl="0">
      <w:lvlJc w:val="left"/>
      <w:lvlText w:val="(%1)"/>
      <w:numFmt w:val="lowerLetter"/>
      <w:start w:val="2"/>
    </w:lvl>
    <w:lvl w:ilvl="1">
      <w:lvlJc w:val="left"/>
      <w:lvlText w:val="%2"/>
      <w:numFmt w:val="lowerRoman"/>
      <w:start w:val="1"/>
    </w:lvl>
  </w:abstractNum>
  <w:abstractNum w:abstractNumId="222">
    <w:nsid w:val="6D1BCF1C"/>
    <w:multiLevelType w:val="hybridMultilevel"/>
    <w:lvl w:ilvl="0">
      <w:lvlJc w:val="left"/>
      <w:lvlText w:val="(%1)"/>
      <w:numFmt w:val="lowerLetter"/>
      <w:start w:val="1"/>
    </w:lvl>
  </w:abstractNum>
  <w:abstractNum w:abstractNumId="223">
    <w:nsid w:val="4CE5CA53"/>
    <w:multiLevelType w:val="hybridMultilevel"/>
    <w:lvl w:ilvl="0">
      <w:lvlJc w:val="left"/>
      <w:lvlText w:val="(%1)"/>
      <w:numFmt w:val="lowerLetter"/>
      <w:start w:val="6"/>
    </w:lvl>
  </w:abstractNum>
  <w:abstractNum w:abstractNumId="224">
    <w:nsid w:val="29262D1A"/>
    <w:multiLevelType w:val="hybridMultilevel"/>
    <w:lvl w:ilvl="0">
      <w:lvlJc w:val="left"/>
      <w:lvlText w:val="%1"/>
      <w:numFmt w:val="decimal"/>
      <w:start w:val="1"/>
    </w:lvl>
    <w:lvl w:ilvl="1">
      <w:lvlJc w:val="left"/>
      <w:lvlText w:val="(%2)"/>
      <w:numFmt w:val="lowerLetter"/>
      <w:start w:val="1"/>
    </w:lvl>
  </w:abstractNum>
  <w:abstractNum w:abstractNumId="225">
    <w:nsid w:val="557FB7EE"/>
    <w:multiLevelType w:val="hybridMultilevel"/>
    <w:lvl w:ilvl="0">
      <w:lvlJc w:val="left"/>
      <w:lvlText w:val="(%1)"/>
      <w:numFmt w:val="decimal"/>
      <w:start w:val="14"/>
    </w:lvl>
    <w:lvl w:ilvl="1">
      <w:lvlJc w:val="left"/>
      <w:lvlText w:val="%2"/>
      <w:numFmt w:val="lowerLetter"/>
      <w:start w:val="1"/>
    </w:lvl>
  </w:abstractNum>
  <w:abstractNum w:abstractNumId="226">
    <w:nsid w:val="436F2BEB"/>
    <w:multiLevelType w:val="hybridMultilevel"/>
    <w:lvl w:ilvl="0">
      <w:lvlJc w:val="left"/>
      <w:lvlText w:val="(%1)"/>
      <w:numFmt w:val="lowerLetter"/>
      <w:start w:val="4"/>
    </w:lvl>
  </w:abstractNum>
  <w:abstractNum w:abstractNumId="227">
    <w:nsid w:val="6C8B4466"/>
    <w:multiLevelType w:val="hybridMultilevel"/>
    <w:lvl w:ilvl="0">
      <w:lvlJc w:val="left"/>
      <w:lvlText w:val="(%1)"/>
      <w:numFmt w:val="lowerLetter"/>
      <w:start w:val="1"/>
    </w:lvl>
  </w:abstractNum>
  <w:abstractNum w:abstractNumId="228">
    <w:nsid w:val="2006E42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29">
    <w:nsid w:val="20CC134C"/>
    <w:multiLevelType w:val="hybridMultilevel"/>
    <w:lvl w:ilvl="0">
      <w:lvlJc w:val="left"/>
      <w:lvlText w:val="(%1)"/>
      <w:numFmt w:val="lowerRoman"/>
      <w:start w:val="3"/>
    </w:lvl>
  </w:abstractNum>
  <w:abstractNum w:abstractNumId="230">
    <w:nsid w:val="95FC93B"/>
    <w:multiLevelType w:val="hybridMultilevel"/>
    <w:lvl w:ilvl="0">
      <w:lvlJc w:val="left"/>
      <w:lvlText w:val="%1"/>
      <w:numFmt w:val="lowerLetter"/>
      <w:start w:val="1"/>
    </w:lvl>
    <w:lvl w:ilvl="1">
      <w:lvlJc w:val="left"/>
      <w:lvlText w:val="(%2)"/>
      <w:numFmt w:val="decimal"/>
      <w:start w:val="1"/>
    </w:lvl>
  </w:abstractNum>
  <w:abstractNum w:abstractNumId="231">
    <w:nsid w:val="41D74679"/>
    <w:multiLevelType w:val="hybridMultilevel"/>
    <w:lvl w:ilvl="0">
      <w:lvlJc w:val="left"/>
      <w:lvlText w:val="(%1)"/>
      <w:numFmt w:val="lowerLetter"/>
      <w:start w:val="2"/>
    </w:lvl>
    <w:lvl w:ilvl="1">
      <w:lvlJc w:val="left"/>
      <w:lvlText w:val="%2"/>
      <w:numFmt w:val="decimal"/>
      <w:start w:val="1"/>
    </w:lvl>
  </w:abstractNum>
  <w:abstractNum w:abstractNumId="232">
    <w:nsid w:val="71E5621E"/>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7"/>
    </w:lvl>
  </w:abstractNum>
  <w:abstractNum w:abstractNumId="233">
    <w:nsid w:val="4E42B6A8"/>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34">
    <w:nsid w:val="43F8E1AC"/>
    <w:multiLevelType w:val="hybridMultilevel"/>
    <w:lvl w:ilvl="0">
      <w:lvlJc w:val="left"/>
      <w:lvlText w:val="%1."/>
      <w:numFmt w:val="decimal"/>
      <w:start w:val="7"/>
    </w:lvl>
    <w:lvl w:ilvl="1">
      <w:lvlJc w:val="left"/>
      <w:lvlText w:val="(%2)"/>
      <w:numFmt w:val="lowerLetter"/>
      <w:start w:val="1"/>
    </w:lvl>
  </w:abstractNum>
  <w:abstractNum w:abstractNumId="235">
    <w:nsid w:val="69215DFB"/>
    <w:multiLevelType w:val="hybridMultilevel"/>
    <w:lvl w:ilvl="0">
      <w:lvlJc w:val="left"/>
      <w:lvlText w:val="%1"/>
      <w:numFmt w:val="decimal"/>
      <w:start w:val="1"/>
    </w:lvl>
    <w:lvl w:ilvl="1">
      <w:lvlJc w:val="left"/>
      <w:lvlText w:val="(%2)"/>
      <w:numFmt w:val="lowerLetter"/>
      <w:start w:val="2"/>
    </w:lvl>
  </w:abstractNum>
  <w:abstractNum w:abstractNumId="236">
    <w:nsid w:val="7ABF196A"/>
    <w:multiLevelType w:val="hybridMultilevel"/>
    <w:lvl w:ilvl="0">
      <w:lvlJc w:val="left"/>
      <w:lvlText w:val="%1."/>
      <w:numFmt w:val="decimal"/>
      <w:start w:val="10"/>
    </w:lvl>
    <w:lvl w:ilvl="1">
      <w:lvlJc w:val="left"/>
      <w:lvlText w:val="(%2)"/>
      <w:numFmt w:val="lowerLetter"/>
      <w:start w:val="1"/>
    </w:lvl>
  </w:abstractNum>
  <w:abstractNum w:abstractNumId="237">
    <w:nsid w:val="5E4DB968"/>
    <w:multiLevelType w:val="hybridMultilevel"/>
    <w:lvl w:ilvl="0">
      <w:lvlJc w:val="left"/>
      <w:lvlText w:val="(%1)"/>
      <w:numFmt w:val="lowerLetter"/>
      <w:start w:val="2"/>
    </w:lvl>
  </w:abstractNum>
  <w:abstractNum w:abstractNumId="238">
    <w:nsid w:val="2C06DCF3"/>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abstractNum>
  <w:abstractNum w:abstractNumId="239">
    <w:nsid w:val="2E129658"/>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240">
    <w:nsid w:val="59F0446"/>
    <w:multiLevelType w:val="hybridMultilevel"/>
    <w:lvl w:ilvl="0">
      <w:lvlJc w:val="left"/>
      <w:lvlText w:val="(%1)"/>
      <w:numFmt w:val="lowerLetter"/>
      <w:start w:val="22"/>
    </w:lvl>
    <w:lvl w:ilvl="1">
      <w:lvlJc w:val="left"/>
      <w:lvlText w:val="%2"/>
      <w:numFmt w:val="decimal"/>
      <w:start w:val="1"/>
    </w:lvl>
    <w:lvl w:ilvl="2">
      <w:lvlJc w:val="left"/>
      <w:lvlText w:val="(%3)"/>
      <w:numFmt w:val="lowerLetter"/>
      <w:start w:val="2"/>
    </w:lvl>
  </w:abstractNum>
  <w:abstractNum w:abstractNumId="241">
    <w:nsid w:val="30DF306"/>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242">
    <w:nsid w:val="A65647"/>
    <w:multiLevelType w:val="hybridMultilevel"/>
    <w:lvl w:ilvl="0">
      <w:lvlJc w:val="left"/>
      <w:lvlText w:val="(%1)"/>
      <w:numFmt w:val="lowerLetter"/>
      <w:start w:val="35"/>
    </w:lvl>
    <w:lvl w:ilvl="1">
      <w:lvlJc w:val="left"/>
      <w:lvlText w:val="%2."/>
      <w:numFmt w:val="decimal"/>
      <w:start w:val="12"/>
    </w:lvl>
    <w:lvl w:ilvl="2">
      <w:lvlJc w:val="left"/>
      <w:lvlText w:val="(%3)"/>
      <w:numFmt w:val="lowerLetter"/>
      <w:start w:val="4"/>
    </w:lvl>
  </w:abstractNum>
  <w:abstractNum w:abstractNumId="243">
    <w:nsid w:val="3E5E582B"/>
    <w:multiLevelType w:val="hybridMultilevel"/>
    <w:lvl w:ilvl="0">
      <w:lvlJc w:val="left"/>
      <w:lvlText w:val="%1."/>
      <w:numFmt w:val="decimal"/>
      <w:start w:val="15"/>
    </w:lvl>
  </w:abstractNum>
  <w:abstractNum w:abstractNumId="244">
    <w:nsid w:val="257D4626"/>
    <w:multiLevelType w:val="hybridMultilevel"/>
    <w:lvl w:ilvl="0">
      <w:lvlJc w:val="left"/>
      <w:lvlText w:val="%1."/>
      <w:numFmt w:val="decimal"/>
      <w:start w:val="20"/>
    </w:lvl>
  </w:abstractNum>
  <w:abstractNum w:abstractNumId="245">
    <w:nsid w:val="5AA8580E"/>
    <w:multiLevelType w:val="hybridMultilevel"/>
    <w:lvl w:ilvl="0">
      <w:lvlJc w:val="left"/>
      <w:lvlText w:val="%1."/>
      <w:numFmt w:val="decimal"/>
      <w:start w:val="26"/>
    </w:lvl>
    <w:lvl w:ilvl="1">
      <w:lvlJc w:val="left"/>
      <w:lvlText w:val="(%2)"/>
      <w:numFmt w:val="lowerLetter"/>
      <w:start w:val="1"/>
    </w:lvl>
  </w:abstractNum>
  <w:abstractNum w:abstractNumId="246">
    <w:nsid w:val="68FA8D0D"/>
    <w:multiLevelType w:val="hybridMultilevel"/>
    <w:lvl w:ilvl="0">
      <w:lvlJc w:val="left"/>
      <w:lvlText w:val="%1"/>
      <w:numFmt w:val="lowerRoman"/>
      <w:start w:val="1"/>
    </w:lvl>
    <w:lvl w:ilvl="1">
      <w:lvlJc w:val="left"/>
      <w:lvlText w:val="%2."/>
      <w:numFmt w:val="decimal"/>
      <w:start w:val="27"/>
    </w:lvl>
  </w:abstractNum>
  <w:abstractNum w:abstractNumId="247">
    <w:nsid w:val="40F2CBD2"/>
    <w:multiLevelType w:val="hybridMultilevel"/>
    <w:lvl w:ilvl="0">
      <w:lvlJc w:val="left"/>
      <w:lvlText w:val="(%1)"/>
      <w:numFmt w:val="lowerRoman"/>
      <w:start w:val="5"/>
    </w:lvl>
    <w:lvl w:ilvl="1">
      <w:lvlJc w:val="left"/>
      <w:lvlText w:val="%2."/>
      <w:numFmt w:val="decimal"/>
      <w:start w:val="28"/>
    </w:lvl>
  </w:abstractNum>
  <w:abstractNum w:abstractNumId="248">
    <w:nsid w:val="3BD615EB"/>
    <w:multiLevelType w:val="hybridMultilevel"/>
    <w:lvl w:ilvl="0">
      <w:lvlJc w:val="left"/>
      <w:lvlText w:val="%1."/>
      <w:numFmt w:val="decimal"/>
      <w:start w:val="29"/>
    </w:lvl>
  </w:abstractNum>
  <w:abstractNum w:abstractNumId="249">
    <w:nsid w:val="A045AB2"/>
    <w:multiLevelType w:val="hybridMultilevel"/>
    <w:lvl w:ilvl="0">
      <w:lvlJc w:val="left"/>
      <w:lvlText w:val="%1."/>
      <w:numFmt w:val="decimal"/>
      <w:start w:val="1"/>
    </w:lvl>
    <w:lvl w:ilvl="1">
      <w:lvlJc w:val="left"/>
      <w:lvlText w:val="•"/>
      <w:numFmt w:val="bullet"/>
      <w:start w:val="1"/>
    </w:lvl>
  </w:abstractNum>
  <w:abstractNum w:abstractNumId="250">
    <w:nsid w:val="1872261F"/>
    <w:multiLevelType w:val="hybridMultilevel"/>
    <w:lvl w:ilvl="0">
      <w:lvlJc w:val="left"/>
      <w:lvlText w:val="%1."/>
      <w:numFmt w:val="decimal"/>
      <w:start w:val="2"/>
    </w:lvl>
    <w:lvl w:ilvl="1">
      <w:lvlJc w:val="left"/>
      <w:lvlText w:val="(%2)"/>
      <w:numFmt w:val="lowerLetter"/>
      <w:start w:val="1"/>
    </w:lvl>
  </w:abstractNum>
  <w:abstractNum w:abstractNumId="251">
    <w:nsid w:val="3DE8306C"/>
    <w:multiLevelType w:val="hybridMultilevel"/>
    <w:lvl w:ilvl="0">
      <w:lvlJc w:val="left"/>
      <w:lvlText w:val="(%1)"/>
      <w:numFmt w:val="lowerLetter"/>
      <w:start w:val="6"/>
    </w:lvl>
    <w:lvl w:ilvl="1">
      <w:lvlJc w:val="left"/>
      <w:lvlText w:val="(%2)"/>
      <w:numFmt w:val="lowerRoman"/>
      <w:start w:val="1"/>
    </w:lvl>
  </w:abstractNum>
  <w:abstractNum w:abstractNumId="252">
    <w:nsid w:val="7631573A"/>
    <w:multiLevelType w:val="hybridMultilevel"/>
    <w:lvl w:ilvl="0">
      <w:lvlJc w:val="left"/>
      <w:lvlText w:val="(%1)"/>
      <w:numFmt w:val="lowerLetter"/>
      <w:start w:val="7"/>
    </w:lvl>
    <w:lvl w:ilvl="1">
      <w:lvlJc w:val="left"/>
      <w:lvlText w:val="(%2)"/>
      <w:numFmt w:val="lowerLetter"/>
      <w:start w:val="9"/>
    </w:lvl>
  </w:abstractNum>
  <w:abstractNum w:abstractNumId="253">
    <w:nsid w:val="58DF53B"/>
    <w:multiLevelType w:val="hybridMultilevel"/>
    <w:lvl w:ilvl="0">
      <w:lvlJc w:val="left"/>
      <w:lvlText w:val="%1"/>
      <w:numFmt w:val="lowerLetter"/>
      <w:start w:val="1"/>
    </w:lvl>
    <w:lvl w:ilvl="1">
      <w:lvlJc w:val="left"/>
      <w:lvlText w:val="(%2)"/>
      <w:numFmt w:val="lowerRoman"/>
      <w:start w:val="2"/>
    </w:lvl>
  </w:abstractNum>
  <w:abstractNum w:abstractNumId="254">
    <w:nsid w:val="ACDFAC0"/>
    <w:multiLevelType w:val="hybridMultilevel"/>
    <w:lvl w:ilvl="0">
      <w:lvlJc w:val="left"/>
      <w:lvlText w:val="(%1)"/>
      <w:numFmt w:val="lowerLetter"/>
      <w:start w:val="18"/>
    </w:lvl>
    <w:lvl w:ilvl="1">
      <w:lvlJc w:val="left"/>
      <w:lvlText w:val="%2"/>
      <w:numFmt w:val="lowerRoman"/>
      <w:start w:val="1"/>
    </w:lvl>
  </w:abstractNum>
  <w:abstractNum w:abstractNumId="255">
    <w:nsid w:val="1F578454"/>
    <w:multiLevelType w:val="hybridMultilevel"/>
    <w:lvl w:ilvl="0">
      <w:lvlJc w:val="left"/>
      <w:lvlText w:val="(%1)"/>
      <w:numFmt w:val="lowerLetter"/>
      <w:start w:val="27"/>
    </w:lvl>
  </w:abstractNum>
  <w:abstractNum w:abstractNumId="256">
    <w:nsid w:val="5B0DAD2A"/>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257">
    <w:nsid w:val="4E3D26AB"/>
    <w:multiLevelType w:val="hybridMultilevel"/>
    <w:lvl w:ilvl="0">
      <w:lvlJc w:val="left"/>
      <w:lvlText w:val="(%1)"/>
      <w:numFmt w:val="lowerLetter"/>
      <w:start w:val="2"/>
    </w:lvl>
    <w:lvl w:ilvl="1">
      <w:lvlJc w:val="left"/>
      <w:lvlText w:val="(%2)"/>
      <w:numFmt w:val="lowerRoman"/>
      <w:start w:val="1"/>
    </w:lvl>
  </w:abstractNum>
  <w:abstractNum w:abstractNumId="258">
    <w:nsid w:val="BE2C8BA"/>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259">
    <w:nsid w:val="7B14914E"/>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9"/>
    </w:lvl>
  </w:abstractNum>
  <w:abstractNum w:abstractNumId="260">
    <w:nsid w:val="6F0939F8"/>
    <w:multiLevelType w:val="hybridMultilevel"/>
    <w:lvl w:ilvl="0">
      <w:lvlJc w:val="left"/>
      <w:lvlText w:val="%1"/>
      <w:numFmt w:val="lowerLetter"/>
      <w:start w:val="1"/>
    </w:lvl>
    <w:lvl w:ilvl="1">
      <w:lvlJc w:val="left"/>
      <w:lvlText w:val="(%2)"/>
      <w:numFmt w:val="lowerRoman"/>
      <w:start w:val="2"/>
    </w:lvl>
  </w:abstractNum>
  <w:abstractNum w:abstractNumId="261">
    <w:nsid w:val="154291F6"/>
    <w:multiLevelType w:val="hybridMultilevel"/>
    <w:lvl w:ilvl="0">
      <w:lvlJc w:val="left"/>
      <w:lvlText w:val="(%1)"/>
      <w:numFmt w:val="lowerLetter"/>
      <w:start w:val="6"/>
    </w:lvl>
    <w:lvl w:ilvl="1">
      <w:lvlJc w:val="left"/>
      <w:lvlText w:val="(%2)"/>
      <w:numFmt w:val="lowerRoman"/>
      <w:start w:val="1"/>
    </w:lvl>
  </w:abstractNum>
  <w:abstractNum w:abstractNumId="262">
    <w:nsid w:val="3CEBD7C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263">
    <w:nsid w:val="60EE9C16"/>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64">
    <w:nsid w:val="6385489E"/>
    <w:multiLevelType w:val="hybridMultilevel"/>
    <w:lvl w:ilvl="0">
      <w:lvlJc w:val="left"/>
      <w:lvlText w:val="(%1)"/>
      <w:numFmt w:val="lowerLetter"/>
      <w:start w:val="4"/>
    </w:lvl>
    <w:lvl w:ilvl="1">
      <w:lvlJc w:val="left"/>
      <w:lvlText w:val="(%2)"/>
      <w:numFmt w:val="lowerRoman"/>
      <w:start w:val="1"/>
    </w:lvl>
  </w:abstractNum>
  <w:abstractNum w:abstractNumId="265">
    <w:nsid w:val="E4B973"/>
    <w:multiLevelType w:val="hybridMultilevel"/>
    <w:lvl w:ilvl="0">
      <w:lvlJc w:val="left"/>
      <w:lvlText w:val="%1."/>
      <w:numFmt w:val="decimal"/>
      <w:start w:val="8"/>
    </w:lvl>
    <w:lvl w:ilvl="1">
      <w:lvlJc w:val="left"/>
      <w:lvlText w:val="(%2)"/>
      <w:numFmt w:val="lowerLetter"/>
      <w:start w:val="1"/>
    </w:lvl>
  </w:abstractNum>
  <w:abstractNum w:abstractNumId="266">
    <w:nsid w:val="4A0FFA11"/>
    <w:multiLevelType w:val="hybridMultilevel"/>
    <w:lvl w:ilvl="0">
      <w:lvlJc w:val="left"/>
      <w:lvlText w:val="%1"/>
      <w:numFmt w:val="decimal"/>
      <w:start w:val="1"/>
    </w:lvl>
    <w:lvl w:ilvl="1">
      <w:lvlJc w:val="left"/>
      <w:lvlText w:val="(%2)"/>
      <w:numFmt w:val="lowerLetter"/>
      <w:start w:val="5"/>
    </w:lvl>
  </w:abstractNum>
  <w:abstractNum w:abstractNumId="267">
    <w:nsid w:val="5E446208"/>
    <w:multiLevelType w:val="hybridMultilevel"/>
    <w:lvl w:ilvl="0">
      <w:lvlJc w:val="left"/>
      <w:lvlText w:val="%1."/>
      <w:numFmt w:val="decimal"/>
      <w:start w:val="9"/>
    </w:lvl>
    <w:lvl w:ilvl="1">
      <w:lvlJc w:val="left"/>
      <w:lvlText w:val="(%2)"/>
      <w:numFmt w:val="lowerLetter"/>
      <w:start w:val="1"/>
    </w:lvl>
  </w:abstractNum>
  <w:abstractNum w:abstractNumId="268">
    <w:nsid w:val="5F3272DB"/>
    <w:multiLevelType w:val="hybridMultilevel"/>
    <w:lvl w:ilvl="0">
      <w:lvlJc w:val="left"/>
      <w:lvlText w:val="%1."/>
      <w:numFmt w:val="decimal"/>
      <w:start w:val="10"/>
    </w:lvl>
    <w:lvl w:ilvl="1">
      <w:lvlJc w:val="left"/>
      <w:lvlText w:val="(%2)"/>
      <w:numFmt w:val="lowerLetter"/>
      <w:start w:val="1"/>
    </w:lvl>
  </w:abstractNum>
  <w:abstractNum w:abstractNumId="269">
    <w:nsid w:val="7616D704"/>
    <w:multiLevelType w:val="hybridMultilevel"/>
    <w:lvl w:ilvl="0">
      <w:lvlJc w:val="left"/>
      <w:lvlText w:val="%1."/>
      <w:numFmt w:val="decimal"/>
      <w:start w:val="13"/>
    </w:lvl>
    <w:lvl w:ilvl="1">
      <w:lvlJc w:val="left"/>
      <w:lvlText w:val="(%2)"/>
      <w:numFmt w:val="lowerLetter"/>
      <w:start w:val="1"/>
    </w:lvl>
  </w:abstractNum>
  <w:abstractNum w:abstractNumId="270">
    <w:nsid w:val="C56F860"/>
    <w:multiLevelType w:val="hybridMultilevel"/>
    <w:lvl w:ilvl="0">
      <w:lvlJc w:val="left"/>
      <w:lvlText w:val="%1."/>
      <w:numFmt w:val="decimal"/>
      <w:start w:val="14"/>
    </w:lvl>
    <w:lvl w:ilvl="1">
      <w:lvlJc w:val="left"/>
      <w:lvlText w:val="(%2)"/>
      <w:numFmt w:val="lowerLetter"/>
      <w:start w:val="1"/>
    </w:lvl>
  </w:abstractNum>
  <w:abstractNum w:abstractNumId="271">
    <w:nsid w:val="64D17722"/>
    <w:multiLevelType w:val="hybridMultilevel"/>
    <w:lvl w:ilvl="0">
      <w:lvlJc w:val="left"/>
      <w:lvlText w:val="%1."/>
      <w:numFmt w:val="decimal"/>
      <w:start w:val="15"/>
    </w:lvl>
    <w:lvl w:ilvl="1">
      <w:lvlJc w:val="left"/>
      <w:lvlText w:val="(%2)"/>
      <w:numFmt w:val="lowerLetter"/>
      <w:start w:val="1"/>
    </w:lvl>
  </w:abstractNum>
  <w:abstractNum w:abstractNumId="272">
    <w:nsid w:val="7924CA0A"/>
    <w:multiLevelType w:val="hybridMultilevel"/>
    <w:lvl w:ilvl="0">
      <w:lvlJc w:val="left"/>
      <w:lvlText w:val="%1"/>
      <w:numFmt w:val="decimal"/>
      <w:start w:val="1"/>
    </w:lvl>
    <w:lvl w:ilvl="1">
      <w:lvlJc w:val="left"/>
      <w:lvlText w:val="%2."/>
      <w:numFmt w:val="decimal"/>
      <w:start w:val="19"/>
    </w:lvl>
    <w:lvl w:ilvl="2">
      <w:lvlJc w:val="left"/>
      <w:lvlText w:val="(%3)"/>
      <w:numFmt w:val="lowerLetter"/>
      <w:start w:val="1"/>
    </w:lvl>
  </w:abstractNum>
  <w:abstractNum w:abstractNumId="273">
    <w:nsid w:val="CFD4EA7"/>
    <w:multiLevelType w:val="hybridMultilevel"/>
    <w:lvl w:ilvl="0">
      <w:lvlJc w:val="left"/>
      <w:lvlText w:val="(%1)"/>
      <w:numFmt w:val="decimal"/>
      <w:start w:val="500"/>
    </w:lvl>
    <w:lvl w:ilvl="1">
      <w:lvlJc w:val="left"/>
      <w:lvlText w:val="%2"/>
      <w:numFmt w:val="decimal"/>
      <w:start w:val="1"/>
    </w:lvl>
    <w:lvl w:ilvl="2">
      <w:lvlJc w:val="left"/>
      <w:lvlText w:val="%3"/>
      <w:numFmt w:val="lowerLetter"/>
      <w:start w:val="1"/>
    </w:lvl>
  </w:abstractNum>
  <w:abstractNum w:abstractNumId="274">
    <w:nsid w:val="232FCF4D"/>
    <w:multiLevelType w:val="hybridMultilevel"/>
    <w:lvl w:ilvl="0">
      <w:lvlJc w:val="left"/>
      <w:lvlText w:val="(%1)"/>
      <w:numFmt w:val="decimal"/>
      <w:start w:val="6"/>
    </w:lvl>
    <w:lvl w:ilvl="1">
      <w:lvlJc w:val="left"/>
      <w:lvlText w:val="%2"/>
      <w:numFmt w:val="decimal"/>
      <w:start w:val="1"/>
    </w:lvl>
    <w:lvl w:ilvl="2">
      <w:lvlJc w:val="left"/>
      <w:lvlText w:val="%3"/>
      <w:numFmt w:val="lowerLetter"/>
      <w:start w:val="1"/>
    </w:lvl>
  </w:abstractNum>
  <w:abstractNum w:abstractNumId="275">
    <w:nsid w:val="1EA21031"/>
    <w:multiLevelType w:val="hybridMultilevel"/>
    <w:lvl w:ilvl="0">
      <w:lvlJc w:val="left"/>
      <w:lvlText w:val="%1."/>
      <w:numFmt w:val="upperLetter"/>
      <w:start w:val="9"/>
    </w:lvl>
  </w:abstractNum>
  <w:abstractNum w:abstractNumId="276">
    <w:nsid w:val="67A5A6B5"/>
    <w:multiLevelType w:val="hybridMultilevel"/>
    <w:lvl w:ilvl="0">
      <w:lvlJc w:val="left"/>
      <w:lvlText w:val="%1."/>
      <w:numFmt w:val="upperLetter"/>
      <w:start w:val="35"/>
    </w:lvl>
    <w:lvl w:ilvl="1">
      <w:lvlJc w:val="left"/>
      <w:lvlText w:val="%2."/>
      <w:numFmt w:val="decimal"/>
      <w:start w:val="1"/>
    </w:lvl>
  </w:abstractNum>
  <w:abstractNum w:abstractNumId="277">
    <w:nsid w:val="C2A5C5B"/>
    <w:multiLevelType w:val="hybridMultilevel"/>
    <w:lvl w:ilvl="0">
      <w:lvlJc w:val="left"/>
      <w:lvlText w:val="%1."/>
      <w:numFmt w:val="decimal"/>
      <w:start w:val="2"/>
    </w:lvl>
    <w:lvl w:ilvl="1">
      <w:lvlJc w:val="left"/>
      <w:lvlText w:val="(%2)"/>
      <w:numFmt w:val="lowerLetter"/>
      <w:start w:val="1"/>
    </w:lvl>
  </w:abstractNum>
  <w:abstractNum w:abstractNumId="278">
    <w:nsid w:val="5F94DC03"/>
    <w:multiLevelType w:val="hybridMultilevel"/>
    <w:lvl w:ilvl="0">
      <w:lvlJc w:val="left"/>
      <w:lvlText w:val="%1."/>
      <w:numFmt w:val="decimal"/>
      <w:start w:val="3"/>
    </w:lvl>
  </w:abstractNum>
  <w:abstractNum w:abstractNumId="279">
    <w:nsid w:val="237BBCA0"/>
    <w:multiLevelType w:val="hybridMultilevel"/>
    <w:lvl w:ilvl="0">
      <w:lvlJc w:val="left"/>
      <w:lvlText w:val="%1."/>
      <w:numFmt w:val="decimal"/>
      <w:start w:val="5"/>
    </w:lvl>
    <w:lvl w:ilvl="1">
      <w:lvlJc w:val="left"/>
      <w:lvlText w:val="(%2)"/>
      <w:numFmt w:val="lowerLetter"/>
      <w:start w:val="1"/>
    </w:lvl>
  </w:abstractNum>
  <w:abstractNum w:abstractNumId="280">
    <w:nsid w:val="162EB70D"/>
    <w:multiLevelType w:val="hybridMultilevel"/>
    <w:lvl w:ilvl="0">
      <w:lvlJc w:val="left"/>
      <w:lvlText w:val="%1"/>
      <w:numFmt w:val="decimal"/>
      <w:start w:val="1"/>
    </w:lvl>
    <w:lvl w:ilvl="1">
      <w:lvlJc w:val="left"/>
      <w:lvlText w:val="(%2)"/>
      <w:numFmt w:val="lowerLetter"/>
      <w:start w:val="4"/>
    </w:lvl>
  </w:abstractNum>
  <w:abstractNum w:abstractNumId="281">
    <w:nsid w:val="78070222"/>
    <w:multiLevelType w:val="hybridMultilevel"/>
    <w:lvl w:ilvl="0">
      <w:lvlJc w:val="left"/>
      <w:lvlText w:val="%1."/>
      <w:numFmt w:val="decimal"/>
      <w:start w:val="6"/>
    </w:lvl>
    <w:lvl w:ilvl="1">
      <w:lvlJc w:val="left"/>
      <w:lvlText w:val="(%2)"/>
      <w:numFmt w:val="lowerLetter"/>
      <w:start w:val="1"/>
    </w:lvl>
  </w:abstractNum>
  <w:abstractNum w:abstractNumId="282">
    <w:nsid w:val="6163ED0D"/>
    <w:multiLevelType w:val="hybridMultilevel"/>
    <w:lvl w:ilvl="0">
      <w:lvlJc w:val="left"/>
      <w:lvlText w:val="%1"/>
      <w:numFmt w:val="decimal"/>
      <w:start w:val="1"/>
    </w:lvl>
    <w:lvl w:ilvl="1">
      <w:lvlJc w:val="left"/>
      <w:lvlText w:val="(%2)"/>
      <w:numFmt w:val="lowerLetter"/>
      <w:start w:val="3"/>
    </w:lvl>
  </w:abstractNum>
  <w:abstractNum w:abstractNumId="283">
    <w:nsid w:val="C600E47"/>
    <w:multiLevelType w:val="hybridMultilevel"/>
    <w:lvl w:ilvl="0">
      <w:lvlJc w:val="left"/>
      <w:lvlText w:val="%1."/>
      <w:numFmt w:val="decimal"/>
      <w:start w:val="10"/>
    </w:lvl>
    <w:lvl w:ilvl="1">
      <w:lvlJc w:val="left"/>
      <w:lvlText w:val="%2"/>
      <w:numFmt w:val="lowerLetter"/>
      <w:start w:val="1"/>
    </w:lvl>
  </w:abstractNum>
  <w:abstractNum w:abstractNumId="284">
    <w:nsid w:val="7D94F75D"/>
    <w:multiLevelType w:val="hybridMultilevel"/>
    <w:lvl w:ilvl="0">
      <w:lvlJc w:val="left"/>
      <w:lvlText w:val="%1."/>
      <w:numFmt w:val="decimal"/>
      <w:start w:val="2"/>
    </w:lvl>
    <w:lvl w:ilvl="1">
      <w:lvlJc w:val="left"/>
      <w:lvlText w:val="(%2)"/>
      <w:numFmt w:val="lowerLetter"/>
      <w:start w:val="1"/>
    </w:lvl>
  </w:abstractNum>
  <w:abstractNum w:abstractNumId="285">
    <w:nsid w:val="6C31E7CD"/>
    <w:multiLevelType w:val="hybridMultilevel"/>
    <w:lvl w:ilvl="0">
      <w:lvlJc w:val="left"/>
      <w:lvlText w:val="%1"/>
      <w:numFmt w:val="decimal"/>
      <w:start w:val="1"/>
    </w:lvl>
    <w:lvl w:ilvl="1">
      <w:lvlJc w:val="left"/>
      <w:lvlText w:val="(%2)"/>
      <w:numFmt w:val="lowerLetter"/>
      <w:start w:val="2"/>
    </w:lvl>
  </w:abstractNum>
  <w:abstractNum w:abstractNumId="286">
    <w:nsid w:val="2BB7929B"/>
    <w:multiLevelType w:val="hybridMultilevel"/>
    <w:lvl w:ilvl="0">
      <w:lvlJc w:val="left"/>
      <w:lvlText w:val="(%1)"/>
      <w:numFmt w:val="decimal"/>
      <w:start w:val="120"/>
    </w:lvl>
    <w:lvl w:ilvl="1">
      <w:lvlJc w:val="left"/>
      <w:lvlText w:val="(%2)"/>
      <w:numFmt w:val="lowerLetter"/>
      <w:start w:val="6"/>
    </w:lvl>
  </w:abstractNum>
  <w:abstractNum w:abstractNumId="287">
    <w:nsid w:val="58A2A487"/>
    <w:multiLevelType w:val="hybridMultilevel"/>
    <w:lvl w:ilvl="0">
      <w:lvlJc w:val="left"/>
      <w:lvlText w:val="%1."/>
      <w:numFmt w:val="decimal"/>
      <w:start w:val="6"/>
    </w:lvl>
    <w:lvl w:ilvl="1">
      <w:lvlJc w:val="left"/>
      <w:lvlText w:val="(%2)"/>
      <w:numFmt w:val="lowerLetter"/>
      <w:start w:val="1"/>
    </w:lvl>
  </w:abstractNum>
  <w:abstractNum w:abstractNumId="288">
    <w:nsid w:val="3A6F0E78"/>
    <w:multiLevelType w:val="hybridMultilevel"/>
    <w:lvl w:ilvl="0">
      <w:lvlJc w:val="left"/>
      <w:lvlText w:val="(%1)"/>
      <w:numFmt w:val="lowerLetter"/>
      <w:start w:val="2"/>
    </w:lvl>
  </w:abstractNum>
  <w:abstractNum w:abstractNumId="289">
    <w:nsid w:val="379A5B56"/>
    <w:multiLevelType w:val="hybridMultilevel"/>
    <w:lvl w:ilvl="0">
      <w:lvlJc w:val="left"/>
      <w:lvlText w:val="%1."/>
      <w:numFmt w:val="decimal"/>
      <w:start w:val="8"/>
    </w:lvl>
  </w:abstractNum>
  <w:abstractNum w:abstractNumId="290">
    <w:nsid w:val="53B735D5"/>
    <w:multiLevelType w:val="hybridMultilevel"/>
    <w:lvl w:ilvl="0">
      <w:lvlJc w:val="left"/>
      <w:lvlText w:val="(%1)"/>
      <w:numFmt w:val="lowerLetter"/>
      <w:start w:val="1"/>
    </w:lvl>
  </w:abstractNum>
  <w:abstractNum w:abstractNumId="291">
    <w:nsid w:val="29784870"/>
    <w:multiLevelType w:val="hybridMultilevel"/>
    <w:lvl w:ilvl="0">
      <w:lvlJc w:val="left"/>
      <w:lvlText w:val="(%1)"/>
      <w:numFmt w:val="decimal"/>
      <w:start w:val="2"/>
    </w:lvl>
  </w:abstractNum>
  <w:abstractNum w:abstractNumId="292">
    <w:nsid w:val="4CDCED4C"/>
    <w:multiLevelType w:val="hybridMultilevel"/>
    <w:lvl w:ilvl="0">
      <w:lvlJc w:val="left"/>
      <w:lvlText w:val="(%1)"/>
      <w:numFmt w:val="lowerLetter"/>
      <w:start w:val="4"/>
    </w:lvl>
  </w:abstractNum>
  <w:abstractNum w:abstractNumId="293">
    <w:nsid w:val="10A30D9C"/>
    <w:multiLevelType w:val="hybridMultilevel"/>
    <w:lvl w:ilvl="0">
      <w:lvlJc w:val="left"/>
      <w:lvlText w:val="%1."/>
      <w:numFmt w:val="upperLetter"/>
      <w:start w:val="1"/>
    </w:lvl>
    <w:lvl w:ilvl="1">
      <w:lvlJc w:val="left"/>
      <w:lvlText w:val="%2."/>
      <w:numFmt w:val="decimal"/>
      <w:start w:val="1"/>
    </w:lvl>
  </w:abstractNum>
  <w:abstractNum w:abstractNumId="294">
    <w:nsid w:val="A66E486"/>
    <w:multiLevelType w:val="hybridMultilevel"/>
    <w:lvl w:ilvl="0">
      <w:lvlJc w:val="left"/>
      <w:lvlText w:val="(%1)"/>
      <w:numFmt w:val="lowerLetter"/>
      <w:start w:val="32"/>
    </w:lvl>
  </w:abstractNum>
  <w:abstractNum w:abstractNumId="295">
    <w:nsid w:val="306235EA"/>
    <w:multiLevelType w:val="hybridMultilevel"/>
    <w:lvl w:ilvl="0">
      <w:lvlJc w:val="left"/>
      <w:lvlText w:val="%1"/>
      <w:numFmt w:val="upperLetter"/>
      <w:start w:val="1"/>
    </w:lvl>
    <w:lvl w:ilvl="1">
      <w:lvlJc w:val="left"/>
      <w:lvlText w:val="(%2)"/>
      <w:numFmt w:val="lowerRoman"/>
      <w:start w:val="2"/>
    </w:lvl>
  </w:abstractNum>
  <w:abstractNum w:abstractNumId="296">
    <w:nsid w:val="1187C70F"/>
    <w:multiLevelType w:val="hybridMultilevel"/>
    <w:lvl w:ilvl="0">
      <w:lvlJc w:val="left"/>
      <w:lvlText w:val="%1."/>
      <w:numFmt w:val="upperLetter"/>
      <w:start w:val="2"/>
    </w:lvl>
    <w:lvl w:ilvl="1">
      <w:lvlJc w:val="left"/>
      <w:lvlText w:val="%2"/>
      <w:numFmt w:val="lowerRoman"/>
      <w:start w:val="1"/>
    </w:lvl>
  </w:abstractNum>
  <w:abstractNum w:abstractNumId="297">
    <w:nsid w:val="5476DE98"/>
    <w:multiLevelType w:val="hybridMultilevel"/>
    <w:lvl w:ilvl="0">
      <w:lvlJc w:val="left"/>
      <w:lvlText w:val="%1."/>
      <w:numFmt w:val="decimal"/>
      <w:start w:val="1"/>
    </w:lvl>
    <w:lvl w:ilvl="1">
      <w:lvlJc w:val="left"/>
      <w:lvlText w:val="•"/>
      <w:numFmt w:val="bullet"/>
      <w:start w:val="1"/>
    </w:lvl>
  </w:abstractNum>
  <w:abstractNum w:abstractNumId="298">
    <w:nsid w:val="EA697F2"/>
    <w:multiLevelType w:val="hybridMultilevel"/>
    <w:lvl w:ilvl="0">
      <w:lvlJc w:val="left"/>
      <w:lvlText w:val="%1."/>
      <w:numFmt w:val="decimal"/>
      <w:start w:val="2"/>
    </w:lvl>
    <w:lvl w:ilvl="1">
      <w:lvlJc w:val="left"/>
      <w:lvlText w:val="(%2)"/>
      <w:numFmt w:val="lowerLetter"/>
      <w:start w:val="1"/>
    </w:lvl>
  </w:abstractNum>
  <w:abstractNum w:abstractNumId="299">
    <w:nsid w:val="70BA39EB"/>
    <w:multiLevelType w:val="hybridMultilevel"/>
    <w:lvl w:ilvl="0">
      <w:lvlJc w:val="left"/>
      <w:lvlText w:val="(%1)"/>
      <w:numFmt w:val="lowerLetter"/>
      <w:start w:val="2"/>
    </w:lvl>
    <w:lvl w:ilvl="1">
      <w:lvlJc w:val="left"/>
      <w:lvlText w:val="(%2)"/>
      <w:numFmt w:val="lowerLetter"/>
      <w:start w:val="9"/>
    </w:lvl>
  </w:abstractNum>
  <w:abstractNum w:abstractNumId="300">
    <w:nsid w:val="4A8DB59C"/>
    <w:multiLevelType w:val="hybridMultilevel"/>
    <w:lvl w:ilvl="0">
      <w:lvlJc w:val="left"/>
      <w:lvlText w:val="(%1)"/>
      <w:numFmt w:val="lowerRoman"/>
      <w:start w:val="2"/>
    </w:lvl>
  </w:abstractNum>
  <w:abstractNum w:abstractNumId="301">
    <w:nsid w:val="1AFD9053"/>
    <w:multiLevelType w:val="hybridMultilevel"/>
    <w:lvl w:ilvl="0">
      <w:lvlJc w:val="left"/>
      <w:lvlText w:val="(%1)"/>
      <w:numFmt w:val="lowerLetter"/>
      <w:start w:val="7"/>
    </w:lvl>
    <w:lvl w:ilvl="1">
      <w:lvlJc w:val="left"/>
      <w:lvlText w:val="-"/>
      <w:numFmt w:val="bullet"/>
      <w:start w:val="1"/>
    </w:lvl>
  </w:abstractNum>
  <w:abstractNum w:abstractNumId="302">
    <w:nsid w:val="558BB10D"/>
    <w:multiLevelType w:val="hybridMultilevel"/>
    <w:lvl w:ilvl="0">
      <w:lvlJc w:val="left"/>
      <w:lvlText w:val="(%1)"/>
      <w:numFmt w:val="lowerLetter"/>
      <w:start w:val="17"/>
    </w:lvl>
    <w:lvl w:ilvl="1">
      <w:lvlJc w:val="left"/>
      <w:lvlText w:val="(%2)"/>
      <w:numFmt w:val="lowerRoman"/>
      <w:start w:val="1"/>
    </w:lvl>
  </w:abstractNum>
  <w:abstractNum w:abstractNumId="303">
    <w:nsid w:val="43B27FA7"/>
    <w:multiLevelType w:val="hybridMultilevel"/>
    <w:lvl w:ilvl="0">
      <w:lvlJc w:val="left"/>
      <w:lvlText w:val="(%1)"/>
      <w:numFmt w:val="lowerLetter"/>
      <w:start w:val="18"/>
    </w:lvl>
    <w:lvl w:ilvl="1">
      <w:lvlJc w:val="left"/>
      <w:lvlText w:val="-"/>
      <w:numFmt w:val="bullet"/>
      <w:start w:val="1"/>
    </w:lvl>
  </w:abstractNum>
  <w:abstractNum w:abstractNumId="304">
    <w:nsid w:val="27FADEFA"/>
    <w:multiLevelType w:val="hybridMultilevel"/>
    <w:lvl w:ilvl="0">
      <w:lvlJc w:val="left"/>
      <w:lvlText w:val="(%1)"/>
      <w:numFmt w:val="lowerLetter"/>
      <w:start w:val="26"/>
    </w:lvl>
  </w:abstractNum>
  <w:abstractNum w:abstractNumId="305">
    <w:nsid w:val="78BB805A"/>
    <w:multiLevelType w:val="hybridMultilevel"/>
    <w:lvl w:ilvl="0">
      <w:lvlJc w:val="left"/>
      <w:lvlText w:val="(%1)"/>
      <w:numFmt w:val="lowerLetter"/>
      <w:start w:val="27"/>
    </w:lvl>
    <w:lvl w:ilvl="1">
      <w:lvlJc w:val="left"/>
      <w:lvlText w:val="-"/>
      <w:numFmt w:val="bullet"/>
      <w:start w:val="1"/>
    </w:lvl>
  </w:abstractNum>
  <w:abstractNum w:abstractNumId="306">
    <w:nsid w:val="62548FD8"/>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lvl w:ilvl="3">
      <w:lvlJc w:val="left"/>
      <w:lvlText w:val="-"/>
      <w:numFmt w:val="bullet"/>
      <w:start w:val="1"/>
    </w:lvl>
  </w:abstractNum>
  <w:abstractNum w:abstractNumId="307">
    <w:nsid w:val="FA085B0"/>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3"/>
    </w:lvl>
    <w:lvl w:ilvl="3">
      <w:lvlJc w:val="left"/>
      <w:lvlText w:val="-"/>
      <w:numFmt w:val="bullet"/>
      <w:start w:val="1"/>
    </w:lvl>
  </w:abstractNum>
  <w:abstractNum w:abstractNumId="308">
    <w:nsid w:val="4E5DCB5"/>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
      <w:numFmt w:val="bullet"/>
      <w:start w:val="1"/>
    </w:lvl>
  </w:abstractNum>
  <w:abstractNum w:abstractNumId="309">
    <w:nsid w:val="41E96BD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310">
    <w:nsid w:val="331C4250"/>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9"/>
    </w:lvl>
    <w:lvl w:ilvl="4">
      <w:lvlJc w:val="left"/>
      <w:lvlText w:val="-"/>
      <w:numFmt w:val="bullet"/>
      <w:start w:val="1"/>
    </w:lvl>
  </w:abstractNum>
  <w:abstractNum w:abstractNumId="311">
    <w:nsid w:val="1B1493C2"/>
    <w:multiLevelType w:val="hybridMultilevel"/>
    <w:lvl w:ilvl="0">
      <w:lvlJc w:val="left"/>
      <w:lvlText w:val="%1"/>
      <w:numFmt w:val="decimal"/>
      <w:start w:val="1"/>
    </w:lvl>
    <w:lvl w:ilvl="1">
      <w:lvlJc w:val="left"/>
      <w:lvlText w:val="%2"/>
      <w:numFmt w:val="decimal"/>
      <w:start w:val="1"/>
    </w:lvl>
    <w:lvl w:ilvl="2">
      <w:lvlJc w:val="left"/>
      <w:lvlText w:val="(%3)"/>
      <w:numFmt w:val="lowerLetter"/>
      <w:start w:val="3"/>
    </w:lvl>
    <w:lvl w:ilvl="3">
      <w:lvlJc w:val="left"/>
      <w:lvlText w:val="%4"/>
      <w:numFmt w:val="lowerRoman"/>
      <w:start w:val="1"/>
    </w:lvl>
    <w:lvl w:ilvl="4">
      <w:lvlJc w:val="left"/>
      <w:lvlText w:val="-"/>
      <w:numFmt w:val="bullet"/>
      <w:start w:val="1"/>
    </w:lvl>
  </w:abstractNum>
  <w:abstractNum w:abstractNumId="312">
    <w:nsid w:val="39F06DFD"/>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lvl w:ilvl="3">
      <w:lvlJc w:val="left"/>
      <w:lvlText w:val="%4"/>
      <w:numFmt w:val="lowerRoman"/>
      <w:start w:val="1"/>
    </w:lvl>
    <w:lvl w:ilvl="4">
      <w:lvlJc w:val="left"/>
      <w:lvlText w:val="-"/>
      <w:numFmt w:val="bullet"/>
      <w:start w:val="1"/>
    </w:lvl>
  </w:abstractNum>
  <w:abstractNum w:abstractNumId="313">
    <w:nsid w:val="14802F5D"/>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lvl w:ilvl="3">
      <w:lvlJc w:val="left"/>
      <w:lvlText w:val="%4"/>
      <w:numFmt w:val="lowerRoman"/>
      <w:start w:val="1"/>
    </w:lvl>
    <w:lvl w:ilvl="4">
      <w:lvlJc w:val="left"/>
      <w:lvlText w:val="-"/>
      <w:numFmt w:val="bullet"/>
      <w:start w:val="1"/>
    </w:lvl>
  </w:abstractNum>
  <w:abstractNum w:abstractNumId="314">
    <w:nsid w:val="2774A209"/>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lvl w:ilvl="3">
      <w:lvlJc w:val="left"/>
      <w:lvlText w:val="(%4)"/>
      <w:numFmt w:val="upperLetter"/>
      <w:start w:val="1"/>
    </w:lvl>
    <w:lvl w:ilvl="4">
      <w:lvlJc w:val="left"/>
      <w:lvlText w:val="-"/>
      <w:numFmt w:val="bullet"/>
      <w:start w:val="1"/>
    </w:lvl>
  </w:abstractNum>
  <w:abstractNum w:abstractNumId="315">
    <w:nsid w:val="3785655A"/>
    <w:multiLevelType w:val="hybridMultilevel"/>
    <w:lvl w:ilvl="0">
      <w:lvlJc w:val="left"/>
      <w:lvlText w:val="(%1)"/>
      <w:numFmt w:val="lowerRoman"/>
      <w:start w:val="2"/>
    </w:lvl>
    <w:lvl w:ilvl="1">
      <w:lvlJc w:val="left"/>
      <w:lvlText w:val="-"/>
      <w:numFmt w:val="bullet"/>
      <w:start w:val="1"/>
    </w:lvl>
  </w:abstractNum>
  <w:abstractNum w:abstractNumId="316">
    <w:nsid w:val="B2172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lvl w:ilvl="3">
      <w:lvlJc w:val="left"/>
      <w:lvlText w:val="(%4)"/>
      <w:numFmt w:val="decimal"/>
      <w:start w:val="1"/>
    </w:lvl>
    <w:lvl w:ilvl="4">
      <w:lvlJc w:val="left"/>
      <w:lvlText w:val="-"/>
      <w:numFmt w:val="bullet"/>
      <w:start w:val="1"/>
    </w:lvl>
  </w:abstractNum>
  <w:abstractNum w:abstractNumId="317">
    <w:nsid w:val="532C34A5"/>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1"/>
    </w:lvl>
    <w:lvl w:ilvl="3">
      <w:lvlJc w:val="left"/>
      <w:lvlText w:val="%4"/>
      <w:numFmt w:val="decimal"/>
      <w:start w:val="1"/>
    </w:lvl>
    <w:lvl w:ilvl="4">
      <w:lvlJc w:val="left"/>
      <w:lvlText w:val="-"/>
      <w:numFmt w:val="bullet"/>
      <w:start w:val="1"/>
    </w:lvl>
  </w:abstractNum>
  <w:abstractNum w:abstractNumId="318">
    <w:nsid w:val="102809E2"/>
    <w:multiLevelType w:val="hybridMultilevel"/>
    <w:lvl w:ilvl="0">
      <w:lvlJc w:val="left"/>
      <w:lvlText w:val="%1"/>
      <w:numFmt w:val="decimal"/>
      <w:start w:val="1"/>
    </w:lvl>
    <w:lvl w:ilvl="1">
      <w:lvlJc w:val="left"/>
      <w:lvlText w:val="(%2)"/>
      <w:numFmt w:val="lowerLetter"/>
      <w:start w:val="5"/>
    </w:lvl>
  </w:abstractNum>
  <w:abstractNum w:abstractNumId="319">
    <w:nsid w:val="3B2125A3"/>
    <w:multiLevelType w:val="hybridMultilevel"/>
    <w:lvl w:ilvl="0">
      <w:lvlJc w:val="left"/>
      <w:lvlText w:val="%1."/>
      <w:numFmt w:val="decimal"/>
      <w:start w:val="8"/>
    </w:lvl>
    <w:lvl w:ilvl="1">
      <w:lvlJc w:val="left"/>
      <w:lvlText w:val="(%2)"/>
      <w:numFmt w:val="lowerLetter"/>
      <w:start w:val="1"/>
    </w:lvl>
  </w:abstractNum>
  <w:abstractNum w:abstractNumId="320">
    <w:nsid w:val="AC68FFB"/>
    <w:multiLevelType w:val="hybridMultilevel"/>
    <w:lvl w:ilvl="0">
      <w:lvlJc w:val="left"/>
      <w:lvlText w:val="(%1)"/>
      <w:numFmt w:val="lowerLetter"/>
      <w:start w:val="5"/>
    </w:lvl>
    <w:lvl w:ilvl="1">
      <w:lvlJc w:val="left"/>
      <w:lvlText w:val="-"/>
      <w:numFmt w:val="bullet"/>
      <w:start w:val="1"/>
    </w:lvl>
  </w:abstractNum>
  <w:abstractNum w:abstractNumId="321">
    <w:nsid w:val="63DF3FB7"/>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322">
    <w:nsid w:val="64996E13"/>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323">
    <w:nsid w:val="57A37D47"/>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324">
    <w:nsid w:val="74824D54"/>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325">
    <w:nsid w:val="6F00529A"/>
    <w:multiLevelType w:val="hybridMultilevel"/>
    <w:lvl w:ilvl="0">
      <w:lvlJc w:val="left"/>
      <w:lvlText w:val="%1"/>
      <w:numFmt w:val="lowerLetter"/>
      <w:start w:val="1"/>
    </w:lvl>
    <w:lvl w:ilvl="1">
      <w:lvlJc w:val="left"/>
      <w:lvlText w:val="%2."/>
      <w:numFmt w:val="decimal"/>
      <w:start w:val="13"/>
    </w:lvl>
    <w:lvl w:ilvl="2">
      <w:lvlJc w:val="left"/>
      <w:lvlText w:val="(%3)"/>
      <w:numFmt w:val="lowerLetter"/>
      <w:start w:val="1"/>
    </w:lvl>
  </w:abstractNum>
  <w:abstractNum w:abstractNumId="326">
    <w:nsid w:val="805B331"/>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327">
    <w:nsid w:val="60A1463"/>
    <w:multiLevelType w:val="hybridMultilevel"/>
    <w:lvl w:ilvl="0">
      <w:lvlJc w:val="left"/>
      <w:lvlText w:val="(%1)"/>
      <w:numFmt w:val="lowerLetter"/>
      <w:start w:val="4"/>
    </w:lvl>
    <w:lvl w:ilvl="1">
      <w:lvlJc w:val="left"/>
      <w:lvlText w:val="-"/>
      <w:numFmt w:val="bullet"/>
      <w:start w:val="1"/>
    </w:lvl>
  </w:abstractNum>
  <w:abstractNum w:abstractNumId="328">
    <w:nsid w:val="43773132"/>
    <w:multiLevelType w:val="hybridMultilevel"/>
    <w:lvl w:ilvl="0">
      <w:lvlJc w:val="left"/>
      <w:lvlText w:val="%1."/>
      <w:numFmt w:val="decimal"/>
      <w:start w:val="15"/>
    </w:lvl>
    <w:lvl w:ilvl="1">
      <w:lvlJc w:val="left"/>
      <w:lvlText w:val="(%2)"/>
      <w:numFmt w:val="lowerLetter"/>
      <w:start w:val="1"/>
    </w:lvl>
    <w:lvl w:ilvl="2">
      <w:lvlJc w:val="left"/>
      <w:lvlText w:val="-"/>
      <w:numFmt w:val="bullet"/>
      <w:start w:val="1"/>
    </w:lvl>
  </w:abstractNum>
  <w:abstractNum w:abstractNumId="329">
    <w:nsid w:val="16AC4B23"/>
    <w:multiLevelType w:val="hybridMultilevel"/>
    <w:lvl w:ilvl="0">
      <w:lvlJc w:val="left"/>
      <w:lvlText w:val="%1"/>
      <w:numFmt w:val="lowerLetter"/>
      <w:start w:val="1"/>
    </w:lvl>
    <w:lvl w:ilvl="1">
      <w:lvlJc w:val="left"/>
      <w:lvlText w:val="%2."/>
      <w:numFmt w:val="decimal"/>
      <w:start w:val="17"/>
    </w:lvl>
    <w:lvl w:ilvl="2">
      <w:lvlJc w:val="left"/>
      <w:lvlText w:val="%3"/>
      <w:numFmt w:val="lowerLetter"/>
      <w:start w:val="1"/>
    </w:lvl>
    <w:lvl w:ilvl="3">
      <w:lvlJc w:val="left"/>
      <w:lvlText w:val="-"/>
      <w:numFmt w:val="bullet"/>
      <w:start w:val="1"/>
    </w:lvl>
  </w:abstractNum>
  <w:abstractNum w:abstractNumId="330">
    <w:nsid w:val="76C44E4E"/>
    <w:multiLevelType w:val="hybridMultilevel"/>
    <w:lvl w:ilvl="0">
      <w:lvlJc w:val="left"/>
      <w:lvlText w:val="(%1)"/>
      <w:numFmt w:val="lowerLetter"/>
      <w:start w:val="35"/>
    </w:lvl>
    <w:lvl w:ilvl="1">
      <w:lvlJc w:val="left"/>
      <w:lvlText w:val="%2."/>
      <w:numFmt w:val="decimal"/>
      <w:start w:val="19"/>
    </w:lvl>
    <w:lvl w:ilvl="2">
      <w:lvlJc w:val="left"/>
      <w:lvlText w:val="(%3)"/>
      <w:numFmt w:val="lowerLetter"/>
      <w:start w:val="1"/>
    </w:lvl>
    <w:lvl w:ilvl="3">
      <w:lvlJc w:val="left"/>
      <w:lvlText w:val="-"/>
      <w:numFmt w:val="bullet"/>
      <w:start w:val="1"/>
    </w:lvl>
  </w:abstractNum>
  <w:abstractNum w:abstractNumId="331">
    <w:nsid w:val="E04E6CE"/>
    <w:multiLevelType w:val="hybridMultilevel"/>
    <w:lvl w:ilvl="0">
      <w:lvlJc w:val="left"/>
      <w:lvlText w:val="%1."/>
      <w:numFmt w:val="decimal"/>
      <w:start w:val="22"/>
    </w:lvl>
    <w:lvl w:ilvl="1">
      <w:lvlJc w:val="left"/>
      <w:lvlText w:val="(%2)"/>
      <w:numFmt w:val="lowerLetter"/>
      <w:start w:val="1"/>
    </w:lvl>
  </w:abstractNum>
  <w:abstractNum w:abstractNumId="332">
    <w:nsid w:val="31A9DB76"/>
    <w:multiLevelType w:val="hybridMultilevel"/>
    <w:lvl w:ilvl="0">
      <w:lvlJc w:val="left"/>
      <w:lvlText w:val="(%1)"/>
      <w:numFmt w:val="decimal"/>
      <w:start w:val="3"/>
    </w:lvl>
  </w:abstractNum>
  <w:abstractNum w:abstractNumId="333">
    <w:nsid w:val="4C4FFF5B"/>
    <w:multiLevelType w:val="hybridMultilevel"/>
    <w:lvl w:ilvl="0">
      <w:lvlJc w:val="left"/>
      <w:lvlText w:val="%1."/>
      <w:numFmt w:val="decimal"/>
      <w:start w:val="1"/>
    </w:lvl>
    <w:lvl w:ilvl="1">
      <w:lvlJc w:val="left"/>
      <w:lvlText w:val="(%2)"/>
      <w:numFmt w:val="lowerLetter"/>
      <w:start w:val="1"/>
    </w:lvl>
  </w:abstractNum>
  <w:abstractNum w:abstractNumId="334">
    <w:nsid w:val="51B76675"/>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335">
    <w:nsid w:val="59A4BA71"/>
    <w:multiLevelType w:val="hybridMultilevel"/>
    <w:lvl w:ilvl="0">
      <w:lvlJc w:val="left"/>
      <w:lvlText w:val="(%1)"/>
      <w:numFmt w:val="lowerLetter"/>
      <w:start w:val="2"/>
    </w:lvl>
    <w:lvl w:ilvl="1">
      <w:lvlJc w:val="left"/>
      <w:lvlText w:val="-"/>
      <w:numFmt w:val="bullet"/>
      <w:start w:val="1"/>
    </w:lvl>
  </w:abstractNum>
  <w:abstractNum w:abstractNumId="336">
    <w:nsid w:val="450B7FB6"/>
    <w:multiLevelType w:val="hybridMultilevel"/>
    <w:lvl w:ilvl="0">
      <w:lvlJc w:val="left"/>
      <w:lvlText w:val="%1"/>
      <w:numFmt w:val="decimal"/>
      <w:start w:val="1"/>
    </w:lvl>
    <w:lvl w:ilvl="1">
      <w:lvlJc w:val="left"/>
      <w:lvlText w:val="(%2)"/>
      <w:numFmt w:val="lowerLetter"/>
      <w:start w:val="4"/>
    </w:lvl>
    <w:lvl w:ilvl="2">
      <w:lvlJc w:val="left"/>
      <w:lvlText w:val="-"/>
      <w:numFmt w:val="bullet"/>
      <w:start w:val="1"/>
    </w:lvl>
  </w:abstractNum>
  <w:abstractNum w:abstractNumId="337">
    <w:nsid w:val="340BF64D"/>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338">
    <w:nsid w:val="69454021"/>
    <w:multiLevelType w:val="hybridMultilevel"/>
    <w:lvl w:ilvl="0">
      <w:lvlJc w:val="left"/>
      <w:lvlText w:val="%1."/>
      <w:numFmt w:val="decimal"/>
      <w:start w:val="9"/>
    </w:lvl>
    <w:lvl w:ilvl="1">
      <w:lvlJc w:val="left"/>
      <w:lvlText w:val="(%2)"/>
      <w:numFmt w:val="lowerLetter"/>
      <w:start w:val="1"/>
    </w:lvl>
    <w:lvl w:ilvl="2">
      <w:lvlJc w:val="left"/>
      <w:lvlText w:val="-"/>
      <w:numFmt w:val="bullet"/>
      <w:start w:val="1"/>
    </w:lvl>
  </w:abstractNum>
  <w:abstractNum w:abstractNumId="339">
    <w:nsid w:val="49F15C6B"/>
    <w:multiLevelType w:val="hybridMultilevel"/>
    <w:lvl w:ilvl="0">
      <w:lvlJc w:val="left"/>
      <w:lvlText w:val="%1"/>
      <w:numFmt w:val="decimal"/>
      <w:start w:val="1"/>
    </w:lvl>
    <w:lvl w:ilvl="1">
      <w:lvlJc w:val="left"/>
      <w:lvlText w:val="(%2)"/>
      <w:numFmt w:val="lowerLetter"/>
      <w:start w:val="10"/>
    </w:lvl>
    <w:lvl w:ilvl="2">
      <w:lvlJc w:val="left"/>
      <w:lvlText w:val="(%3)"/>
      <w:numFmt w:val="lowerRoman"/>
      <w:start w:val="1"/>
    </w:lvl>
  </w:abstractNum>
  <w:abstractNum w:abstractNumId="340">
    <w:nsid w:val="75F56228"/>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341">
    <w:nsid w:val="1C618271"/>
    <w:multiLevelType w:val="hybridMultilevel"/>
    <w:lvl w:ilvl="0">
      <w:lvlJc w:val="left"/>
      <w:lvlText w:val="%1."/>
      <w:numFmt w:val="decimal"/>
      <w:start w:val="12"/>
    </w:lvl>
    <w:lvl w:ilvl="1">
      <w:lvlJc w:val="left"/>
      <w:lvlText w:val="-"/>
      <w:numFmt w:val="bullet"/>
      <w:start w:val="1"/>
    </w:lvl>
  </w:abstractNum>
  <w:abstractNum w:abstractNumId="342">
    <w:nsid w:val="6505F02E"/>
    <w:multiLevelType w:val="hybridMultilevel"/>
    <w:lvl w:ilvl="0">
      <w:lvlJc w:val="left"/>
      <w:lvlText w:val="%1."/>
      <w:numFmt w:val="decimal"/>
      <w:start w:val="15"/>
    </w:lvl>
    <w:lvl w:ilvl="1">
      <w:lvlJc w:val="left"/>
      <w:lvlText w:val="-"/>
      <w:numFmt w:val="bullet"/>
      <w:start w:val="1"/>
    </w:lvl>
  </w:abstractNum>
  <w:abstractNum w:abstractNumId="343">
    <w:nsid w:val="2FE5D025"/>
    <w:multiLevelType w:val="hybridMultilevel"/>
    <w:lvl w:ilvl="0">
      <w:lvlJc w:val="left"/>
      <w:lvlText w:val="%1."/>
      <w:numFmt w:val="decimal"/>
      <w:start w:val="22"/>
    </w:lvl>
    <w:lvl w:ilvl="1">
      <w:lvlJc w:val="left"/>
      <w:lvlText w:val="-"/>
      <w:numFmt w:val="bullet"/>
      <w:start w:val="1"/>
    </w:lvl>
  </w:abstractNum>
  <w:abstractNum w:abstractNumId="344">
    <w:nsid w:val="30E1B1CF"/>
    <w:multiLevelType w:val="hybridMultilevel"/>
    <w:lvl w:ilvl="0">
      <w:lvlJc w:val="left"/>
      <w:lvlText w:val="%1."/>
      <w:numFmt w:val="decimal"/>
      <w:start w:val="2"/>
    </w:lvl>
  </w:abstractNum>
  <w:abstractNum w:abstractNumId="345">
    <w:nsid w:val="C7A9237"/>
    <w:multiLevelType w:val="hybridMultilevel"/>
    <w:lvl w:ilvl="0">
      <w:lvlJc w:val="left"/>
      <w:lvlText w:val="%1."/>
      <w:numFmt w:val="decimal"/>
      <w:start w:val="6"/>
    </w:lvl>
  </w:abstractNum>
  <w:abstractNum w:abstractNumId="346">
    <w:nsid w:val="676B358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47">
    <w:nsid w:val="3193C8F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35"/>
    </w:lvl>
    <w:lvl w:ilvl="4">
      <w:lvlJc w:val="left"/>
      <w:lvlText w:val="-"/>
      <w:numFmt w:val="bullet"/>
      <w:start w:val="1"/>
    </w:lvl>
  </w:abstractNum>
  <w:abstractNum w:abstractNumId="348">
    <w:nsid w:val="5FA6C6DC"/>
    <w:multiLevelType w:val="hybridMultilevel"/>
    <w:lvl w:ilvl="0">
      <w:lvlJc w:val="left"/>
      <w:lvlText w:val="(%1)"/>
      <w:numFmt w:val="decimal"/>
      <w:start w:val="6"/>
    </w:lvl>
    <w:lvl w:ilvl="1">
      <w:lvlJc w:val="left"/>
      <w:lvlText w:val="%2."/>
      <w:numFmt w:val="decimal"/>
      <w:start w:val="4"/>
    </w:lvl>
    <w:lvl w:ilvl="2">
      <w:lvlJc w:val="left"/>
      <w:lvlText w:val="(%3)"/>
      <w:numFmt w:val="lowerLetter"/>
      <w:start w:val="1"/>
    </w:lvl>
    <w:lvl w:ilvl="3">
      <w:lvlJc w:val="left"/>
      <w:lvlText w:val="(%4)"/>
      <w:numFmt w:val="lowerLetter"/>
      <w:start w:val="3"/>
    </w:lvl>
    <w:lvl w:ilvl="4">
      <w:lvlJc w:val="left"/>
      <w:lvlText w:val="-"/>
      <w:numFmt w:val="bullet"/>
      <w:start w:val="1"/>
    </w:lvl>
  </w:abstractNum>
  <w:abstractNum w:abstractNumId="349">
    <w:nsid w:val="77933F62"/>
    <w:multiLevelType w:val="hybridMultilevel"/>
    <w:lvl w:ilvl="0">
      <w:lvlJc w:val="left"/>
      <w:lvlText w:val="(%1)"/>
      <w:numFmt w:val="lowerLetter"/>
      <w:start w:val="61"/>
    </w:lvl>
    <w:lvl w:ilvl="1">
      <w:lvlJc w:val="left"/>
      <w:lvlText w:val="(%2)"/>
      <w:numFmt w:val="lowerLetter"/>
      <w:start w:val="2"/>
    </w:lvl>
    <w:lvl w:ilvl="2">
      <w:lvlJc w:val="left"/>
      <w:lvlText w:val="-"/>
      <w:numFmt w:val="bullet"/>
      <w:start w:val="1"/>
    </w:lvl>
  </w:abstractNum>
  <w:abstractNum w:abstractNumId="350">
    <w:nsid w:val="6CB4EE9C"/>
    <w:multiLevelType w:val="hybridMultilevel"/>
    <w:lvl w:ilvl="0">
      <w:lvlJc w:val="left"/>
      <w:lvlText w:val="(%1)"/>
      <w:numFmt w:val="lowerLetter"/>
      <w:start w:val="22"/>
    </w:lvl>
    <w:lvl w:ilvl="1">
      <w:lvlJc w:val="left"/>
      <w:lvlText w:val="%2"/>
      <w:numFmt w:val="lowerLetter"/>
      <w:start w:val="1"/>
    </w:lvl>
    <w:lvl w:ilvl="2">
      <w:lvlJc w:val="left"/>
      <w:lvlText w:val="-"/>
      <w:numFmt w:val="bullet"/>
      <w:start w:val="1"/>
    </w:lvl>
  </w:abstractNum>
  <w:abstractNum w:abstractNumId="351">
    <w:nsid w:val="6A6D56D7"/>
    <w:multiLevelType w:val="hybridMultilevel"/>
    <w:lvl w:ilvl="0">
      <w:lvlJc w:val="left"/>
      <w:lvlText w:val="%1"/>
      <w:numFmt w:val="decimal"/>
      <w:start w:val="1"/>
    </w:lvl>
    <w:lvl w:ilvl="1">
      <w:lvlJc w:val="left"/>
      <w:lvlText w:val="(%2)"/>
      <w:numFmt w:val="lowerLetter"/>
      <w:start w:val="3"/>
    </w:lvl>
    <w:lvl w:ilvl="2">
      <w:lvlJc w:val="left"/>
      <w:lvlText w:val="-"/>
      <w:numFmt w:val="bullet"/>
      <w:start w:val="1"/>
    </w:lvl>
  </w:abstractNum>
  <w:abstractNum w:abstractNumId="352">
    <w:nsid w:val="5B727F19"/>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353">
    <w:nsid w:val="514E5CB0"/>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354">
    <w:nsid w:val="4210D41E"/>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lvl w:ilvl="3">
      <w:lvlJc w:val="left"/>
      <w:lvlText w:val="-"/>
      <w:numFmt w:val="bullet"/>
      <w:start w:val="1"/>
    </w:lvl>
  </w:abstractNum>
  <w:abstractNum w:abstractNumId="355">
    <w:nsid w:val="4FF4CC6D"/>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356">
    <w:nsid w:val="404EAF4A"/>
    <w:multiLevelType w:val="hybridMultilevel"/>
    <w:lvl w:ilvl="0">
      <w:lvlJc w:val="left"/>
      <w:lvlText w:val="%1."/>
      <w:numFmt w:val="decimal"/>
      <w:start w:val="12"/>
    </w:lvl>
  </w:abstractNum>
  <w:abstractNum w:abstractNumId="357">
    <w:nsid w:val="4A16874F"/>
    <w:multiLevelType w:val="hybridMultilevel"/>
    <w:lvl w:ilvl="0">
      <w:lvlJc w:val="left"/>
      <w:lvlText w:val="%1."/>
      <w:numFmt w:val="decimal"/>
      <w:start w:val="13"/>
    </w:lvl>
    <w:lvl w:ilvl="1">
      <w:lvlJc w:val="left"/>
      <w:lvlText w:val="-"/>
      <w:numFmt w:val="bullet"/>
      <w:start w:val="1"/>
    </w:lvl>
  </w:abstractNum>
  <w:abstractNum w:abstractNumId="358">
    <w:nsid w:val="55FEE0D1"/>
    <w:multiLevelType w:val="hybridMultilevel"/>
    <w:lvl w:ilvl="0">
      <w:lvlJc w:val="left"/>
      <w:lvlText w:val="%1."/>
      <w:numFmt w:val="decimal"/>
      <w:start w:val="14"/>
    </w:lvl>
    <w:lvl w:ilvl="1">
      <w:lvlJc w:val="left"/>
      <w:lvlText w:val="-"/>
      <w:numFmt w:val="bullet"/>
      <w:start w:val="1"/>
    </w:lvl>
  </w:abstractNum>
  <w:abstractNum w:abstractNumId="359">
    <w:nsid w:val="3C5E07C"/>
    <w:multiLevelType w:val="hybridMultilevel"/>
    <w:lvl w:ilvl="0">
      <w:lvlJc w:val="left"/>
      <w:lvlText w:val="%1."/>
      <w:numFmt w:val="decimal"/>
      <w:start w:val="21"/>
    </w:lvl>
    <w:lvl w:ilvl="1">
      <w:lvlJc w:val="left"/>
      <w:lvlText w:val="-"/>
      <w:numFmt w:val="bullet"/>
      <w:start w:val="1"/>
    </w:lvl>
  </w:abstractNum>
  <w:abstractNum w:abstractNumId="360">
    <w:nsid w:val="60C2D273"/>
    <w:multiLevelType w:val="hybridMultilevel"/>
    <w:lvl w:ilvl="0">
      <w:lvlJc w:val="left"/>
      <w:lvlText w:val="%1."/>
      <w:numFmt w:val="decimal"/>
      <w:start w:val="26"/>
    </w:lvl>
  </w:abstractNum>
  <w:abstractNum w:abstractNumId="361">
    <w:nsid w:val="4CC32F1F"/>
    <w:multiLevelType w:val="hybridMultilevel"/>
    <w:lvl w:ilvl="0">
      <w:lvlJc w:val="left"/>
      <w:lvlText w:val="%1."/>
      <w:numFmt w:val="decimal"/>
      <w:start w:val="1"/>
    </w:lvl>
    <w:lvl w:ilvl="1">
      <w:lvlJc w:val="left"/>
      <w:lvlText w:val="(%2)"/>
      <w:numFmt w:val="lowerLetter"/>
      <w:start w:val="1"/>
    </w:lvl>
  </w:abstractNum>
  <w:abstractNum w:abstractNumId="362">
    <w:nsid w:val="11CAC74A"/>
    <w:multiLevelType w:val="hybridMultilevel"/>
    <w:lvl w:ilvl="0">
      <w:lvlJc w:val="left"/>
      <w:lvlText w:val="%1"/>
      <w:numFmt w:val="decimal"/>
      <w:start w:val="1"/>
    </w:lvl>
    <w:lvl w:ilvl="1">
      <w:lvlJc w:val="left"/>
      <w:lvlText w:val="(%2)"/>
      <w:numFmt w:val="lowerLetter"/>
      <w:start w:val="7"/>
    </w:lvl>
    <w:lvl w:ilvl="2">
      <w:lvlJc w:val="left"/>
      <w:lvlText w:val="-"/>
      <w:numFmt w:val="bullet"/>
      <w:start w:val="1"/>
    </w:lvl>
  </w:abstractNum>
  <w:abstractNum w:abstractNumId="363">
    <w:nsid w:val="126CADE9"/>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364">
    <w:nsid w:val="19132E7B"/>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365">
    <w:nsid w:val="63822DC0"/>
    <w:multiLevelType w:val="hybridMultilevel"/>
    <w:lvl w:ilvl="0">
      <w:lvlJc w:val="left"/>
      <w:lvlText w:val="(%1)"/>
      <w:numFmt w:val="lowerLetter"/>
      <w:start w:val="2"/>
    </w:lvl>
    <w:lvl w:ilvl="1">
      <w:lvlJc w:val="left"/>
      <w:lvlText w:val="-"/>
      <w:numFmt w:val="bullet"/>
      <w:start w:val="1"/>
    </w:lvl>
  </w:abstractNum>
  <w:abstractNum w:abstractNumId="366">
    <w:nsid w:val="6C11685A"/>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367">
    <w:nsid w:val="5E1EAE31"/>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368">
    <w:nsid w:val="178E240D"/>
    <w:multiLevelType w:val="hybridMultilevel"/>
    <w:lvl w:ilvl="0">
      <w:lvlJc w:val="left"/>
      <w:lvlText w:val="%1."/>
      <w:numFmt w:val="decimal"/>
      <w:start w:val="11"/>
    </w:lvl>
  </w:abstractNum>
  <w:abstractNum w:abstractNumId="369">
    <w:nsid w:val="5556A87B"/>
    <w:multiLevelType w:val="hybridMultilevel"/>
    <w:lvl w:ilvl="0">
      <w:lvlJc w:val="left"/>
      <w:lvlText w:val="%1."/>
      <w:numFmt w:val="decimal"/>
      <w:start w:val="13"/>
    </w:lvl>
    <w:lvl w:ilvl="1">
      <w:lvlJc w:val="left"/>
      <w:lvlText w:val="-"/>
      <w:numFmt w:val="bullet"/>
      <w:start w:val="1"/>
    </w:lvl>
  </w:abstractNum>
  <w:abstractNum w:abstractNumId="370">
    <w:nsid w:val="28100A9C"/>
    <w:multiLevelType w:val="hybridMultilevel"/>
    <w:lvl w:ilvl="0">
      <w:lvlJc w:val="left"/>
      <w:lvlText w:val="%1."/>
      <w:numFmt w:val="decimal"/>
      <w:start w:val="19"/>
    </w:lvl>
    <w:lvl w:ilvl="1">
      <w:lvlJc w:val="left"/>
      <w:lvlText w:val="-"/>
      <w:numFmt w:val="bullet"/>
      <w:start w:val="1"/>
    </w:lvl>
  </w:abstractNum>
  <w:abstractNum w:abstractNumId="371">
    <w:nsid w:val="D838636"/>
    <w:multiLevelType w:val="hybridMultilevel"/>
    <w:lvl w:ilvl="0">
      <w:lvlJc w:val="left"/>
      <w:lvlText w:val="%1."/>
      <w:numFmt w:val="decimal"/>
      <w:start w:val="24"/>
    </w:lvl>
  </w:abstractNum>
  <w:abstractNum w:abstractNumId="372">
    <w:nsid w:val="71B82AE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373">
    <w:nsid w:val="D15FACA"/>
    <w:multiLevelType w:val="hybridMultilevel"/>
    <w:lvl w:ilvl="0">
      <w:lvlJc w:val="left"/>
      <w:lvlText w:val="(%1)"/>
      <w:numFmt w:val="lowerRoman"/>
      <w:start w:val="2"/>
    </w:lvl>
  </w:abstractNum>
  <w:abstractNum w:abstractNumId="374">
    <w:nsid w:val="3D69565B"/>
    <w:multiLevelType w:val="hybridMultilevel"/>
    <w:lvl w:ilvl="0">
      <w:lvlJc w:val="left"/>
      <w:lvlText w:val="(%1)"/>
      <w:numFmt w:val="lowerLetter"/>
      <w:start w:val="6"/>
    </w:lvl>
  </w:abstractNum>
  <w:abstractNum w:abstractNumId="375">
    <w:nsid w:val="2299DCBC"/>
    <w:multiLevelType w:val="hybridMultilevel"/>
    <w:lvl w:ilvl="0">
      <w:lvlJc w:val="left"/>
      <w:lvlText w:val="(%1)"/>
      <w:numFmt w:val="decimal"/>
      <w:start w:val="3"/>
    </w:lvl>
    <w:lvl w:ilvl="1">
      <w:lvlJc w:val="left"/>
      <w:lvlText w:val="(%2)"/>
      <w:numFmt w:val="lowerLetter"/>
      <w:start w:val="15"/>
    </w:lvl>
    <w:lvl w:ilvl="2">
      <w:lvlJc w:val="left"/>
      <w:lvlText w:val="(%3)"/>
      <w:numFmt w:val="lowerLetter"/>
      <w:start w:val="9"/>
    </w:lvl>
  </w:abstractNum>
  <w:abstractNum w:abstractNumId="376">
    <w:nsid w:val="19908D02"/>
    <w:multiLevelType w:val="hybridMultilevel"/>
    <w:lvl w:ilvl="0">
      <w:lvlJc w:val="left"/>
      <w:lvlText w:val="(%1)"/>
      <w:numFmt w:val="lowerRoman"/>
      <w:start w:val="2"/>
    </w:lvl>
  </w:abstractNum>
  <w:abstractNum w:abstractNumId="377">
    <w:nsid w:val="24D48BDB"/>
    <w:multiLevelType w:val="hybridMultilevel"/>
    <w:lvl w:ilvl="0">
      <w:lvlJc w:val="left"/>
      <w:lvlText w:val="(%1)"/>
      <w:numFmt w:val="lowerLetter"/>
      <w:start w:val="20"/>
    </w:lvl>
  </w:abstractNum>
  <w:abstractNum w:abstractNumId="378">
    <w:nsid w:val="542DA5B5"/>
    <w:multiLevelType w:val="hybridMultilevel"/>
    <w:lvl w:ilvl="0">
      <w:lvlJc w:val="left"/>
      <w:lvlText w:val="(%1)"/>
      <w:numFmt w:val="lowerLetter"/>
      <w:start w:val="25"/>
    </w:lvl>
  </w:abstractNum>
  <w:abstractNum w:abstractNumId="379">
    <w:nsid w:val="793753DE"/>
    <w:multiLevelType w:val="hybridMultilevel"/>
    <w:lvl w:ilvl="0">
      <w:lvlJc w:val="left"/>
      <w:lvlText w:val="(%1)"/>
      <w:numFmt w:val="lowerLetter"/>
      <w:start w:val="27"/>
    </w:lvl>
  </w:abstractNum>
  <w:abstractNum w:abstractNumId="380">
    <w:nsid w:val="1C67CB3D"/>
    <w:multiLevelType w:val="hybridMultilevel"/>
    <w:lvl w:ilvl="0">
      <w:lvlJc w:val="left"/>
      <w:lvlText w:val="%1."/>
      <w:numFmt w:val="decimal"/>
      <w:start w:val="3"/>
    </w:lvl>
  </w:abstractNum>
  <w:abstractNum w:abstractNumId="381">
    <w:nsid w:val="40E29452"/>
    <w:multiLevelType w:val="hybridMultilevel"/>
    <w:lvl w:ilvl="0">
      <w:lvlJc w:val="left"/>
      <w:lvlText w:val="%1"/>
      <w:numFmt w:val="decimal"/>
      <w:start w:val="1"/>
    </w:lvl>
    <w:lvl w:ilvl="1">
      <w:lvlJc w:val="left"/>
      <w:lvlText w:val="(%2)"/>
      <w:numFmt w:val="lowerLetter"/>
      <w:start w:val="1"/>
    </w:lvl>
  </w:abstractNum>
  <w:abstractNum w:abstractNumId="382">
    <w:nsid w:val="63A4AAB6"/>
    <w:multiLevelType w:val="hybridMultilevel"/>
    <w:lvl w:ilvl="0">
      <w:lvlJc w:val="left"/>
      <w:lvlText w:val="%1."/>
      <w:numFmt w:val="decimal"/>
      <w:start w:val="4"/>
    </w:lvl>
    <w:lvl w:ilvl="1">
      <w:lvlJc w:val="left"/>
      <w:lvlText w:val="%2"/>
      <w:numFmt w:val="lowerLetter"/>
      <w:start w:val="1"/>
    </w:lvl>
  </w:abstractNum>
  <w:abstractNum w:abstractNumId="383">
    <w:nsid w:val="77DA4A57"/>
    <w:multiLevelType w:val="hybridMultilevel"/>
    <w:lvl w:ilvl="0">
      <w:lvlJc w:val="left"/>
      <w:lvlText w:val="%1"/>
      <w:numFmt w:val="decimal"/>
      <w:start w:val="1"/>
    </w:lvl>
    <w:lvl w:ilvl="1">
      <w:lvlJc w:val="left"/>
      <w:lvlText w:val="%2."/>
      <w:numFmt w:val="decimal"/>
      <w:start w:val="5"/>
    </w:lvl>
    <w:lvl w:ilvl="2">
      <w:lvlJc w:val="left"/>
      <w:lvlText w:val="(%3)"/>
      <w:numFmt w:val="lowerLetter"/>
      <w:start w:val="1"/>
    </w:lvl>
  </w:abstractNum>
  <w:abstractNum w:abstractNumId="384">
    <w:nsid w:val="1230F102"/>
    <w:multiLevelType w:val="hybridMultilevel"/>
    <w:lvl w:ilvl="0">
      <w:lvlJc w:val="left"/>
      <w:lvlText w:val="(%1)"/>
      <w:numFmt w:val="decimal"/>
      <w:start w:val="10"/>
    </w:lvl>
    <w:lvl w:ilvl="1">
      <w:lvlJc w:val="left"/>
      <w:lvlText w:val="%2."/>
      <w:numFmt w:val="decimal"/>
      <w:start w:val="5"/>
    </w:lvl>
    <w:lvl w:ilvl="2">
      <w:lvlJc w:val="left"/>
      <w:lvlText w:val="(%3)"/>
      <w:numFmt w:val="lowerLetter"/>
      <w:start w:val="2"/>
    </w:lvl>
  </w:abstractNum>
  <w:abstractNum w:abstractNumId="385">
    <w:nsid w:val="25B57ED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86">
    <w:nsid w:val="47CF16C4"/>
    <w:multiLevelType w:val="hybridMultilevel"/>
    <w:lvl w:ilvl="0">
      <w:lvlJc w:val="left"/>
      <w:lvlText w:val="%1"/>
      <w:numFmt w:val="lowerLetter"/>
      <w:start w:val="1"/>
    </w:lvl>
    <w:lvl w:ilvl="1">
      <w:lvlJc w:val="left"/>
      <w:lvlText w:val="(%2)"/>
      <w:numFmt w:val="lowerLetter"/>
      <w:start w:val="4"/>
    </w:lvl>
  </w:abstractNum>
  <w:abstractNum w:abstractNumId="387">
    <w:nsid w:val="527FA04C"/>
    <w:multiLevelType w:val="hybridMultilevel"/>
    <w:lvl w:ilvl="0">
      <w:lvlJc w:val="left"/>
      <w:lvlText w:val="(%1)"/>
      <w:numFmt w:val="lowerLetter"/>
      <w:start w:val="4"/>
    </w:lvl>
    <w:lvl w:ilvl="1">
      <w:lvlJc w:val="left"/>
      <w:lvlText w:val="(%2)"/>
      <w:numFmt w:val="lowerLetter"/>
      <w:start w:val="5"/>
    </w:lvl>
  </w:abstractNum>
  <w:abstractNum w:abstractNumId="388">
    <w:nsid w:val="6FCC0624"/>
    <w:multiLevelType w:val="hybridMultilevel"/>
    <w:lvl w:ilvl="0">
      <w:lvlJc w:val="left"/>
      <w:lvlText w:val="%1."/>
      <w:numFmt w:val="decimal"/>
      <w:start w:val="7"/>
    </w:lvl>
    <w:lvl w:ilvl="1">
      <w:lvlJc w:val="left"/>
      <w:lvlText w:val="(%2)"/>
      <w:numFmt w:val="lowerLetter"/>
      <w:start w:val="1"/>
    </w:lvl>
  </w:abstractNum>
  <w:abstractNum w:abstractNumId="389">
    <w:nsid w:val="1DCDF795"/>
    <w:multiLevelType w:val="hybridMultilevel"/>
    <w:lvl w:ilvl="0">
      <w:lvlJc w:val="left"/>
      <w:lvlText w:val="%1"/>
      <w:numFmt w:val="decimal"/>
      <w:start w:val="1"/>
    </w:lvl>
    <w:lvl w:ilvl="1">
      <w:lvlJc w:val="left"/>
      <w:lvlText w:val="(%2)"/>
      <w:numFmt w:val="lowerLetter"/>
      <w:start w:val="2"/>
    </w:lvl>
  </w:abstractNum>
  <w:abstractNum w:abstractNumId="390">
    <w:nsid w:val="564580C8"/>
    <w:multiLevelType w:val="hybridMultilevel"/>
    <w:lvl w:ilvl="0">
      <w:lvlJc w:val="left"/>
      <w:lvlText w:val="%1."/>
      <w:numFmt w:val="decimal"/>
      <w:start w:val="9"/>
    </w:lvl>
    <w:lvl w:ilvl="1">
      <w:lvlJc w:val="left"/>
      <w:lvlText w:val="(%2)"/>
      <w:numFmt w:val="lowerLetter"/>
      <w:start w:val="1"/>
    </w:lvl>
  </w:abstractNum>
  <w:abstractNum w:abstractNumId="391">
    <w:nsid w:val="508ED897"/>
    <w:multiLevelType w:val="hybridMultilevel"/>
    <w:lvl w:ilvl="0">
      <w:lvlJc w:val="left"/>
      <w:lvlText w:val="%1"/>
      <w:numFmt w:val="decimal"/>
      <w:start w:val="1"/>
    </w:lvl>
    <w:lvl w:ilvl="1">
      <w:lvlJc w:val="left"/>
      <w:lvlText w:val="(%2)"/>
      <w:numFmt w:val="lowerLetter"/>
      <w:start w:val="2"/>
    </w:lvl>
  </w:abstractNum>
  <w:abstractNum w:abstractNumId="392">
    <w:nsid w:val="6A9126B5"/>
    <w:multiLevelType w:val="hybridMultilevel"/>
    <w:lvl w:ilvl="0">
      <w:lvlJc w:val="left"/>
      <w:lvlText w:val="%1."/>
      <w:numFmt w:val="decimal"/>
      <w:start w:val="11"/>
    </w:lvl>
    <w:lvl w:ilvl="1">
      <w:lvlJc w:val="left"/>
      <w:lvlText w:val="(%2)"/>
      <w:numFmt w:val="lowerLetter"/>
      <w:start w:val="1"/>
    </w:lvl>
  </w:abstractNum>
  <w:abstractNum w:abstractNumId="393">
    <w:nsid w:val="68104812"/>
    <w:multiLevelType w:val="hybridMultilevel"/>
    <w:lvl w:ilvl="0">
      <w:lvlJc w:val="left"/>
      <w:lvlText w:val="(%1)"/>
      <w:numFmt w:val="lowerLetter"/>
      <w:start w:val="35"/>
    </w:lvl>
    <w:lvl w:ilvl="1">
      <w:lvlJc w:val="left"/>
      <w:lvlText w:val="%2."/>
      <w:numFmt w:val="decimal"/>
      <w:start w:val="13"/>
    </w:lvl>
    <w:lvl w:ilvl="2">
      <w:lvlJc w:val="left"/>
      <w:lvlText w:val="(%3)"/>
      <w:numFmt w:val="lowerLetter"/>
      <w:start w:val="2"/>
    </w:lvl>
  </w:abstractNum>
  <w:abstractNum w:abstractNumId="394">
    <w:nsid w:val="62FB8680"/>
    <w:multiLevelType w:val="hybridMultilevel"/>
    <w:lvl w:ilvl="0">
      <w:lvlJc w:val="left"/>
      <w:lvlText w:val="%1."/>
      <w:numFmt w:val="decimal"/>
      <w:start w:val="15"/>
    </w:lvl>
    <w:lvl w:ilvl="1">
      <w:lvlJc w:val="left"/>
      <w:lvlText w:val="(%2)"/>
      <w:numFmt w:val="lowerLetter"/>
      <w:start w:val="1"/>
    </w:lvl>
  </w:abstractNum>
  <w:abstractNum w:abstractNumId="395">
    <w:nsid w:val="3A45530"/>
    <w:multiLevelType w:val="hybridMultilevel"/>
    <w:lvl w:ilvl="0">
      <w:lvlJc w:val="left"/>
      <w:lvlText w:val="%1"/>
      <w:numFmt w:val="decimal"/>
      <w:start w:val="1"/>
    </w:lvl>
    <w:lvl w:ilvl="1">
      <w:lvlJc w:val="left"/>
      <w:lvlText w:val="(%2)"/>
      <w:numFmt w:val="lowerLetter"/>
      <w:start w:val="3"/>
    </w:lvl>
  </w:abstractNum>
  <w:abstractNum w:abstractNumId="396">
    <w:nsid w:val="4B9275D2"/>
    <w:multiLevelType w:val="hybridMultilevel"/>
    <w:lvl w:ilvl="0">
      <w:lvlJc w:val="left"/>
      <w:lvlText w:val="%1."/>
      <w:numFmt w:val="decimal"/>
      <w:start w:val="19"/>
    </w:lvl>
    <w:lvl w:ilvl="1">
      <w:lvlJc w:val="left"/>
      <w:lvlText w:val="(%2)"/>
      <w:numFmt w:val="lowerLetter"/>
      <w:start w:val="1"/>
    </w:lvl>
  </w:abstractNum>
  <w:abstractNum w:abstractNumId="397">
    <w:nsid w:val="4F0CEEDB"/>
    <w:multiLevelType w:val="hybridMultilevel"/>
    <w:lvl w:ilvl="0">
      <w:lvlJc w:val="left"/>
      <w:lvlText w:val="(%1)"/>
      <w:numFmt w:val="lowerRoman"/>
      <w:start w:val="1"/>
    </w:lvl>
  </w:abstractNum>
  <w:abstractNum w:abstractNumId="398">
    <w:nsid w:val="61C30361"/>
    <w:multiLevelType w:val="hybridMultilevel"/>
    <w:lvl w:ilvl="0">
      <w:lvlJc w:val="left"/>
      <w:lvlText w:val="%1."/>
      <w:numFmt w:val="decimal"/>
      <w:start w:val="20"/>
    </w:lvl>
  </w:abstractNum>
  <w:abstractNum w:abstractNumId="399">
    <w:nsid w:val="632099E0"/>
    <w:multiLevelType w:val="hybridMultilevel"/>
    <w:lvl w:ilvl="0">
      <w:lvlJc w:val="left"/>
      <w:lvlText w:val="%1."/>
      <w:numFmt w:val="decimal"/>
      <w:start w:val="22"/>
    </w:lvl>
  </w:abstractNum>
  <w:abstractNum w:abstractNumId="400">
    <w:nsid w:val="24639756"/>
    <w:multiLevelType w:val="hybridMultilevel"/>
    <w:lvl w:ilvl="0">
      <w:lvlJc w:val="left"/>
      <w:lvlText w:val="%1."/>
      <w:numFmt w:val="decimal"/>
      <w:start w:val="23"/>
    </w:lvl>
  </w:abstractNum>
  <w:abstractNum w:abstractNumId="401">
    <w:nsid w:val="9D30DFD"/>
    <w:multiLevelType w:val="hybridMultilevel"/>
    <w:lvl w:ilvl="0">
      <w:lvlJc w:val="left"/>
      <w:lvlText w:val="%1."/>
      <w:numFmt w:val="decimal"/>
      <w:start w:val="26"/>
    </w:lvl>
  </w:abstractNum>
  <w:abstractNum w:abstractNumId="402">
    <w:nsid w:val="70A42016"/>
    <w:multiLevelType w:val="hybridMultilevel"/>
    <w:lvl w:ilvl="0">
      <w:lvlJc w:val="left"/>
      <w:lvlText w:val="%1."/>
      <w:numFmt w:val="decimal"/>
      <w:start w:val="3"/>
    </w:lvl>
  </w:abstractNum>
  <w:abstractNum w:abstractNumId="403">
    <w:nsid w:val="161BC243"/>
    <w:multiLevelType w:val="hybridMultilevel"/>
    <w:lvl w:ilvl="0">
      <w:lvlJc w:val="left"/>
      <w:lvlText w:val="%1."/>
      <w:numFmt w:val="decimal"/>
      <w:start w:val="6"/>
    </w:lvl>
  </w:abstractNum>
  <w:abstractNum w:abstractNumId="404">
    <w:nsid w:val="16E908C8"/>
    <w:multiLevelType w:val="hybridMultilevel"/>
    <w:lvl w:ilvl="0">
      <w:lvlJc w:val="left"/>
      <w:lvlText w:val="%1."/>
      <w:numFmt w:val="decimal"/>
      <w:start w:val="7"/>
    </w:lvl>
  </w:abstractNum>
  <w:abstractNum w:abstractNumId="405">
    <w:nsid w:val="2E0D7671"/>
    <w:multiLevelType w:val="hybridMultilevel"/>
    <w:lvl w:ilvl="0">
      <w:lvlJc w:val="left"/>
      <w:lvlText w:val=","/>
      <w:numFmt w:val="bullet"/>
      <w:start w:val="1"/>
    </w:lvl>
  </w:abstractNum>
  <w:abstractNum w:abstractNumId="406">
    <w:nsid w:val="38B59EFF"/>
    <w:multiLevelType w:val="hybridMultilevel"/>
    <w:lvl w:ilvl="0">
      <w:lvlJc w:val="left"/>
      <w:lvlText w:val="%1."/>
      <w:numFmt w:val="decimal"/>
      <w:start w:val="1"/>
    </w:lvl>
  </w:abstractNum>
  <w:abstractNum w:abstractNumId="407">
    <w:nsid w:val="307995CA"/>
    <w:multiLevelType w:val="hybridMultilevel"/>
    <w:lvl w:ilvl="0">
      <w:lvlJc w:val="left"/>
      <w:lvlText w:val="%1."/>
      <w:numFmt w:val="decimal"/>
      <w:start w:val="7"/>
    </w:lvl>
    <w:lvl w:ilvl="1">
      <w:lvlJc w:val="left"/>
      <w:lvlText w:val="%2."/>
      <w:numFmt w:val="lowerLetter"/>
      <w:start w:val="1"/>
    </w:lvl>
  </w:abstractNum>
  <w:abstractNum w:abstractNumId="408">
    <w:nsid w:val="52E2024D"/>
    <w:multiLevelType w:val="hybridMultilevel"/>
    <w:lvl w:ilvl="0">
      <w:lvlJc w:val="left"/>
      <w:lvlText w:val="%1."/>
      <w:numFmt w:val="decimal"/>
      <w:start w:val="1"/>
    </w:lvl>
  </w:abstractNum>
  <w:abstractNum w:abstractNumId="409">
    <w:nsid w:val="CE344B5"/>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410">
    <w:nsid w:val="29B0E9A8"/>
    <w:multiLevelType w:val="hybridMultilevel"/>
    <w:lvl w:ilvl="0">
      <w:lvlJc w:val="left"/>
      <w:lvlText w:val="%1."/>
      <w:numFmt w:val="decimal"/>
      <w:start w:val="1"/>
    </w:lvl>
  </w:abstractNum>
  <w:abstractNum w:abstractNumId="411">
    <w:nsid w:val="6F49CD8A"/>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412">
    <w:nsid w:val="4DC5D907"/>
    <w:multiLevelType w:val="hybridMultilevel"/>
    <w:lvl w:ilvl="0">
      <w:lvlJc w:val="left"/>
      <w:lvlText w:val="%1."/>
      <w:numFmt w:val="decimal"/>
      <w:start w:val="1"/>
    </w:lvl>
  </w:abstractNum>
  <w:abstractNum w:abstractNumId="413">
    <w:nsid w:val="D55945E"/>
    <w:multiLevelType w:val="hybridMultilevel"/>
    <w:lvl w:ilvl="0">
      <w:lvlJc w:val="left"/>
      <w:lvlText w:val="(%1)"/>
      <w:numFmt w:val="lowerRoman"/>
      <w:start w:val="1"/>
    </w:lvl>
    <w:lvl w:ilvl="1">
      <w:lvlJc w:val="left"/>
      <w:lvlText w:val="%2."/>
      <w:numFmt w:val="decimal"/>
      <w:start w:val="7"/>
    </w:lvl>
    <w:lvl w:ilvl="2">
      <w:lvlJc w:val="left"/>
      <w:lvlText w:val="%3."/>
      <w:numFmt w:val="lowerLetter"/>
      <w:start w:val="1"/>
    </w:lvl>
    <w:lvl w:ilvl="3">
      <w:lvlJc w:val="left"/>
      <w:lvlText w:val="*"/>
      <w:numFmt w:val="bullet"/>
      <w:start w:val="1"/>
    </w:lvl>
  </w:abstractNum>
  <w:abstractNum w:abstractNumId="414">
    <w:nsid w:val="672417E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15">
    <w:nsid w:val="5FF6CA09"/>
    <w:multiLevelType w:val="hybridMultilevel"/>
    <w:lvl w:ilvl="0">
      <w:lvlJc w:val="left"/>
      <w:lvlText w:val="(%1)"/>
      <w:numFmt w:val="lowerLetter"/>
      <w:start w:val="9"/>
    </w:lvl>
    <w:lvl w:ilvl="1">
      <w:lvlJc w:val="left"/>
      <w:lvlText w:val="%2."/>
      <w:numFmt w:val="decimal"/>
      <w:start w:val="2"/>
    </w:lvl>
    <w:lvl w:ilvl="2">
      <w:lvlJc w:val="left"/>
      <w:lvlText w:val="(%3)"/>
      <w:numFmt w:val="lowerLetter"/>
      <w:start w:val="1"/>
    </w:lvl>
  </w:abstractNum>
  <w:abstractNum w:abstractNumId="416">
    <w:nsid w:val="330B1333"/>
    <w:multiLevelType w:val="hybridMultilevel"/>
    <w:lvl w:ilvl="0">
      <w:lvlJc w:val="left"/>
      <w:lvlText w:val="%1"/>
      <w:numFmt w:val="decimal"/>
      <w:start w:val="1"/>
    </w:lvl>
    <w:lvl w:ilvl="1">
      <w:lvlJc w:val="left"/>
      <w:lvlText w:val="(%2)"/>
      <w:numFmt w:val="lowerLetter"/>
      <w:start w:val="11"/>
    </w:lvl>
  </w:abstractNum>
  <w:abstractNum w:abstractNumId="417">
    <w:nsid w:val="2EF32EA6"/>
    <w:multiLevelType w:val="hybridMultilevel"/>
    <w:lvl w:ilvl="0">
      <w:lvlJc w:val="left"/>
      <w:lvlText w:val="%1."/>
      <w:numFmt w:val="decimal"/>
      <w:start w:val="3"/>
    </w:lvl>
    <w:lvl w:ilvl="1">
      <w:lvlJc w:val="left"/>
      <w:lvlText w:val="(%2)"/>
      <w:numFmt w:val="lowerLetter"/>
      <w:start w:val="1"/>
    </w:lvl>
  </w:abstractNum>
  <w:abstractNum w:abstractNumId="418">
    <w:nsid w:val="32766A55"/>
    <w:multiLevelType w:val="hybridMultilevel"/>
    <w:lvl w:ilvl="0">
      <w:lvlJc w:val="left"/>
      <w:lvlText w:val="%1"/>
      <w:numFmt w:val="lowerRoman"/>
      <w:start w:val="1"/>
    </w:lvl>
    <w:lvl w:ilvl="1">
      <w:lvlJc w:val="left"/>
      <w:lvlText w:val="(%2)"/>
      <w:numFmt w:val="lowerLetter"/>
      <w:start w:val="5"/>
    </w:lvl>
  </w:abstractNum>
  <w:abstractNum w:abstractNumId="419">
    <w:nsid w:val="22D71957"/>
    <w:multiLevelType w:val="hybridMultilevel"/>
    <w:lvl w:ilvl="0">
      <w:lvlJc w:val="left"/>
      <w:lvlText w:val="(%1)"/>
      <w:numFmt w:val="lowerRoman"/>
      <w:start w:val="6"/>
    </w:lvl>
    <w:lvl w:ilvl="1">
      <w:lvlJc w:val="left"/>
      <w:lvlText w:val="%2"/>
      <w:numFmt w:val="lowerLetter"/>
      <w:start w:val="1"/>
    </w:lvl>
  </w:abstractNum>
  <w:abstractNum w:abstractNumId="420">
    <w:nsid w:val="4CC1263B"/>
    <w:multiLevelType w:val="hybridMultilevel"/>
    <w:lvl w:ilvl="0">
      <w:lvlJc w:val="left"/>
      <w:lvlText w:val="(%1)"/>
      <w:numFmt w:val="lowerRoman"/>
      <w:start w:val="36"/>
    </w:lvl>
    <w:lvl w:ilvl="1">
      <w:lvlJc w:val="left"/>
      <w:lvlText w:val="%2"/>
      <w:numFmt w:val="lowerLetter"/>
      <w:start w:val="1"/>
    </w:lvl>
  </w:abstractNum>
  <w:abstractNum w:abstractNumId="421">
    <w:nsid w:val="8BBEB1D"/>
    <w:multiLevelType w:val="hybridMultilevel"/>
    <w:lvl w:ilvl="0">
      <w:lvlJc w:val="left"/>
      <w:lvlText w:val="%1."/>
      <w:numFmt w:val="decimal"/>
      <w:start w:val="4"/>
    </w:lvl>
    <w:lvl w:ilvl="1">
      <w:lvlJc w:val="left"/>
      <w:lvlText w:val="(%2)"/>
      <w:numFmt w:val="lowerLetter"/>
      <w:start w:val="1"/>
    </w:lvl>
  </w:abstractNum>
  <w:abstractNum w:abstractNumId="422">
    <w:nsid w:val="7365F1EE"/>
    <w:multiLevelType w:val="hybridMultilevel"/>
    <w:lvl w:ilvl="0">
      <w:lvlJc w:val="left"/>
      <w:lvlText w:val="%1"/>
      <w:numFmt w:val="decimal"/>
      <w:start w:val="1"/>
    </w:lvl>
    <w:lvl w:ilvl="1">
      <w:lvlJc w:val="left"/>
      <w:lvlText w:val="(%2)"/>
      <w:numFmt w:val="lowerLetter"/>
      <w:start w:val="3"/>
    </w:lvl>
  </w:abstractNum>
  <w:abstractNum w:abstractNumId="423">
    <w:nsid w:val="37524CF0"/>
    <w:multiLevelType w:val="hybridMultilevel"/>
    <w:lvl w:ilvl="0">
      <w:lvlJc w:val="left"/>
      <w:lvlText w:val="%1."/>
      <w:numFmt w:val="decimal"/>
      <w:start w:val="5"/>
    </w:lvl>
    <w:lvl w:ilvl="1">
      <w:lvlJc w:val="left"/>
      <w:lvlText w:val="(%2)"/>
      <w:numFmt w:val="lowerLetter"/>
      <w:start w:val="1"/>
    </w:lvl>
  </w:abstractNum>
  <w:abstractNum w:abstractNumId="424">
    <w:nsid w:val="70CC332F"/>
    <w:multiLevelType w:val="hybridMultilevel"/>
    <w:lvl w:ilvl="0">
      <w:lvlJc w:val="left"/>
      <w:lvlText w:val="%1"/>
      <w:numFmt w:val="decimal"/>
      <w:start w:val="1"/>
    </w:lvl>
    <w:lvl w:ilvl="1">
      <w:lvlJc w:val="left"/>
      <w:lvlText w:val="(%2)"/>
      <w:numFmt w:val="lowerLetter"/>
      <w:start w:val="3"/>
    </w:lvl>
  </w:abstractNum>
  <w:abstractNum w:abstractNumId="425">
    <w:nsid w:val="5661786E"/>
    <w:multiLevelType w:val="hybridMultilevel"/>
    <w:lvl w:ilvl="0">
      <w:lvlJc w:val="left"/>
      <w:lvlText w:val="%1."/>
      <w:numFmt w:val="decimal"/>
      <w:start w:val="6"/>
    </w:lvl>
    <w:lvl w:ilvl="1">
      <w:lvlJc w:val="left"/>
      <w:lvlText w:val="(%2)"/>
      <w:numFmt w:val="lowerLetter"/>
      <w:start w:val="1"/>
    </w:lvl>
  </w:abstractNum>
  <w:abstractNum w:abstractNumId="426">
    <w:nsid w:val="3AF6A220"/>
    <w:multiLevelType w:val="hybridMultilevel"/>
    <w:lvl w:ilvl="0">
      <w:lvlJc w:val="left"/>
      <w:lvlText w:val="(%1)"/>
      <w:numFmt w:val="lowerLetter"/>
      <w:start w:val="3"/>
    </w:lvl>
    <w:lvl w:ilvl="1">
      <w:lvlJc w:val="left"/>
      <w:lvlText w:val="(%2)"/>
      <w:numFmt w:val="lowerLetter"/>
      <w:start w:val="3"/>
    </w:lvl>
    <w:lvl w:ilvl="2">
      <w:lvlJc w:val="left"/>
      <w:lvlText w:val="(%3)"/>
      <w:numFmt w:val="lowerRoman"/>
      <w:start w:val="1"/>
    </w:lvl>
    <w:lvl w:ilvl="3">
      <w:lvlJc w:val="left"/>
      <w:lvlText w:val="(%4)"/>
      <w:numFmt w:val="lowerRoman"/>
      <w:start w:val="1"/>
    </w:lvl>
  </w:abstractNum>
  <w:abstractNum w:abstractNumId="427">
    <w:nsid w:val="3C5EA902"/>
    <w:multiLevelType w:val="hybridMultilevel"/>
    <w:lvl w:ilvl="0">
      <w:lvlJc w:val="left"/>
      <w:lvlText w:val="%1."/>
      <w:numFmt w:val="decimal"/>
      <w:start w:val="7"/>
    </w:lvl>
    <w:lvl w:ilvl="1">
      <w:lvlJc w:val="left"/>
      <w:lvlText w:val="(%2)"/>
      <w:numFmt w:val="lowerLetter"/>
      <w:start w:val="1"/>
    </w:lvl>
  </w:abstractNum>
  <w:abstractNum w:abstractNumId="428">
    <w:nsid w:val="256E6749"/>
    <w:multiLevelType w:val="hybridMultilevel"/>
    <w:lvl w:ilvl="0">
      <w:lvlJc w:val="left"/>
      <w:lvlText w:val="(%1)"/>
      <w:numFmt w:val="lowerLetter"/>
      <w:start w:val="1"/>
    </w:lvl>
  </w:abstractNum>
  <w:abstractNum w:abstractNumId="429">
    <w:nsid w:val="1CB9A581"/>
    <w:multiLevelType w:val="hybridMultilevel"/>
    <w:lvl w:ilvl="0">
      <w:lvlJc w:val="left"/>
      <w:lvlText w:val="•"/>
      <w:numFmt w:val="bullet"/>
      <w:start w:val="1"/>
    </w:lvl>
  </w:abstractNum>
  <w:abstractNum w:abstractNumId="430">
    <w:nsid w:val="1F7F42E2"/>
    <w:multiLevelType w:val="hybridMultilevel"/>
    <w:lvl w:ilvl="0">
      <w:lvlJc w:val="left"/>
      <w:lvlText w:val="•"/>
      <w:numFmt w:val="bullet"/>
      <w:start w:val="1"/>
    </w:lvl>
  </w:abstractNum>
  <w:abstractNum w:abstractNumId="431">
    <w:nsid w:val="49D1FEA0"/>
    <w:multiLevelType w:val="hybridMultilevel"/>
    <w:lvl w:ilvl="0">
      <w:lvlJc w:val="left"/>
      <w:lvlText w:val="•"/>
      <w:numFmt w:val="bullet"/>
      <w:start w:val="1"/>
    </w:lvl>
  </w:abstractNum>
  <w:abstractNum w:abstractNumId="432">
    <w:nsid w:val="268CB37F"/>
    <w:multiLevelType w:val="hybridMultilevel"/>
    <w:lvl w:ilvl="0">
      <w:lvlJc w:val="left"/>
      <w:lvlText w:val="1"/>
      <w:numFmt w:val="bullet"/>
      <w:start w:val="1"/>
    </w:lvl>
  </w:abstractNum>
  <w:abstractNum w:abstractNumId="433">
    <w:nsid w:val="102362F8"/>
    <w:multiLevelType w:val="hybridMultilevel"/>
    <w:lvl w:ilvl="0">
      <w:lvlJc w:val="left"/>
      <w:lvlText w:val="•"/>
      <w:numFmt w:val="bullet"/>
      <w:start w:val="1"/>
    </w:lvl>
  </w:abstractNum>
  <w:abstractNum w:abstractNumId="434">
    <w:nsid w:val="5FEDC0E3"/>
    <w:multiLevelType w:val="hybridMultilevel"/>
    <w:lvl w:ilvl="0">
      <w:lvlJc w:val="left"/>
      <w:lvlText w:val="•"/>
      <w:numFmt w:val="bullet"/>
      <w:start w:val="1"/>
    </w:lvl>
  </w:abstractNum>
  <w:abstractNum w:abstractNumId="435">
    <w:nsid w:val="3D75BC47"/>
    <w:multiLevelType w:val="hybridMultilevel"/>
    <w:lvl w:ilvl="0">
      <w:lvlJc w:val="left"/>
      <w:lvlText w:val="•"/>
      <w:numFmt w:val="bullet"/>
      <w:start w:val="1"/>
    </w:lvl>
  </w:abstractNum>
  <w:abstractNum w:abstractNumId="436">
    <w:nsid w:val="3E30D969"/>
    <w:multiLevelType w:val="hybridMultilevel"/>
    <w:lvl w:ilvl="0">
      <w:lvlJc w:val="left"/>
      <w:lvlText w:val="•"/>
      <w:numFmt w:val="bullet"/>
      <w:start w:val="1"/>
    </w:lvl>
  </w:abstractNum>
  <w:abstractNum w:abstractNumId="437">
    <w:nsid w:val="18A35FE3"/>
    <w:multiLevelType w:val="hybridMultilevel"/>
    <w:lvl w:ilvl="0">
      <w:lvlJc w:val="left"/>
      <w:lvlText w:val="•"/>
      <w:numFmt w:val="bullet"/>
      <w:start w:val="1"/>
    </w:lvl>
  </w:abstractNum>
  <w:abstractNum w:abstractNumId="438">
    <w:nsid w:val="6DEF5211"/>
    <w:multiLevelType w:val="hybridMultilevel"/>
    <w:lvl w:ilvl="0">
      <w:lvlJc w:val="left"/>
      <w:lvlText w:val="•"/>
      <w:numFmt w:val="bullet"/>
      <w:start w:val="1"/>
    </w:lvl>
  </w:abstractNum>
  <w:abstractNum w:abstractNumId="439">
    <w:nsid w:val="1112DBB6"/>
    <w:multiLevelType w:val="hybridMultilevel"/>
    <w:lvl w:ilvl="0">
      <w:lvlJc w:val="left"/>
      <w:lvlText w:val="•"/>
      <w:numFmt w:val="bullet"/>
      <w:start w:val="1"/>
    </w:lvl>
  </w:abstractNum>
  <w:abstractNum w:abstractNumId="440">
    <w:nsid w:val="2586A498"/>
    <w:multiLevelType w:val="hybridMultilevel"/>
    <w:lvl w:ilvl="0">
      <w:lvlJc w:val="left"/>
      <w:lvlText w:val="•"/>
      <w:numFmt w:val="bullet"/>
      <w:start w:val="1"/>
    </w:lvl>
  </w:abstractNum>
  <w:abstractNum w:abstractNumId="441">
    <w:nsid w:val="17A03BB9"/>
    <w:multiLevelType w:val="hybridMultilevel"/>
    <w:lvl w:ilvl="0">
      <w:lvlJc w:val="left"/>
      <w:lvlText w:val="•"/>
      <w:numFmt w:val="bullet"/>
      <w:start w:val="1"/>
    </w:lvl>
  </w:abstractNum>
  <w:abstractNum w:abstractNumId="442">
    <w:nsid w:val="5CA941"/>
    <w:multiLevelType w:val="hybridMultilevel"/>
    <w:lvl w:ilvl="0">
      <w:lvlJc w:val="left"/>
      <w:lvlText w:val="•"/>
      <w:numFmt w:val="bullet"/>
      <w:start w:val="1"/>
    </w:lvl>
  </w:abstractNum>
  <w:abstractNum w:abstractNumId="443">
    <w:nsid w:val="734C7D9F"/>
    <w:multiLevelType w:val="hybridMultilevel"/>
    <w:lvl w:ilvl="0">
      <w:lvlJc w:val="left"/>
      <w:lvlText w:val="%1."/>
      <w:numFmt w:val="decimal"/>
      <w:start w:val="1"/>
    </w:lvl>
  </w:abstractNum>
  <w:abstractNum w:abstractNumId="444">
    <w:nsid w:val="24F5D018"/>
    <w:multiLevelType w:val="hybridMultilevel"/>
    <w:lvl w:ilvl="0">
      <w:lvlJc w:val="left"/>
      <w:lvlText w:val="%1."/>
      <w:numFmt w:val="decimal"/>
      <w:start w:val="2"/>
    </w:lvl>
  </w:abstractNum>
  <w:abstractNum w:abstractNumId="445">
    <w:nsid w:val="6780C122"/>
    <w:multiLevelType w:val="hybridMultilevel"/>
    <w:lvl w:ilvl="0">
      <w:lvlJc w:val="left"/>
      <w:lvlText w:val="(%1)"/>
      <w:numFmt w:val="lowerLetter"/>
      <w:start w:val="1"/>
    </w:lvl>
  </w:abstractNum>
  <w:abstractNum w:abstractNumId="446">
    <w:nsid w:val="534347A8"/>
    <w:multiLevelType w:val="hybridMultilevel"/>
    <w:lvl w:ilvl="0">
      <w:lvlJc w:val="left"/>
      <w:lvlText w:val="(%1)"/>
      <w:numFmt w:val="lowerLetter"/>
      <w:start w:val="3"/>
    </w:lvl>
  </w:abstractNum>
  <w:abstractNum w:abstractNumId="447">
    <w:nsid w:val="5800E34B"/>
    <w:multiLevelType w:val="hybridMultilevel"/>
    <w:lvl w:ilvl="0">
      <w:lvlJc w:val="left"/>
      <w:lvlText w:val="%1."/>
      <w:numFmt w:val="decimal"/>
      <w:start w:val="3"/>
    </w:lvl>
  </w:abstractNum>
  <w:abstractNum w:abstractNumId="448">
    <w:nsid w:val="1673EFC8"/>
    <w:multiLevelType w:val="hybridMultilevel"/>
    <w:lvl w:ilvl="0">
      <w:lvlJc w:val="left"/>
      <w:lvlText w:val="%1."/>
      <w:numFmt w:val="decimal"/>
      <w:start w:val="4"/>
    </w:lvl>
  </w:abstractNum>
  <w:abstractNum w:abstractNumId="449">
    <w:nsid w:val="5B9B1FD"/>
    <w:multiLevelType w:val="hybridMultilevel"/>
    <w:lvl w:ilvl="0">
      <w:lvlJc w:val="left"/>
      <w:lvlText w:val="%1."/>
      <w:numFmt w:val="decimal"/>
      <w:start w:val="5"/>
    </w:lvl>
  </w:abstractNum>
  <w:abstractNum w:abstractNumId="450">
    <w:nsid w:val="7AD7FCA2"/>
    <w:multiLevelType w:val="hybridMultilevel"/>
    <w:lvl w:ilvl="0">
      <w:lvlJc w:val="left"/>
      <w:lvlText w:val="%1."/>
      <w:numFmt w:val="decimal"/>
      <w:start w:val="6"/>
    </w:lvl>
  </w:abstractNum>
  <w:abstractNum w:abstractNumId="451">
    <w:nsid w:val="63351604"/>
    <w:multiLevelType w:val="hybridMultilevel"/>
    <w:lvl w:ilvl="0">
      <w:lvlJc w:val="left"/>
      <w:lvlText w:val="%1."/>
      <w:numFmt w:val="decimal"/>
      <w:start w:val="7"/>
    </w:lvl>
  </w:abstractNum>
  <w:abstractNum w:abstractNumId="452">
    <w:nsid w:val="E759D1A"/>
    <w:multiLevelType w:val="hybridMultilevel"/>
    <w:lvl w:ilvl="0">
      <w:lvlJc w:val="left"/>
      <w:lvlText w:val="%1."/>
      <w:numFmt w:val="decimal"/>
      <w:start w:val="1"/>
    </w:lvl>
  </w:abstractNum>
  <w:abstractNum w:abstractNumId="453">
    <w:nsid w:val="6E3DEE90"/>
    <w:multiLevelType w:val="hybridMultilevel"/>
    <w:lvl w:ilvl="0">
      <w:lvlJc w:val="left"/>
      <w:lvlText w:val="%1."/>
      <w:numFmt w:val="decimal"/>
      <w:start w:val="2"/>
    </w:lvl>
  </w:abstractNum>
  <w:abstractNum w:abstractNumId="454">
    <w:nsid w:val="1A8762F4"/>
    <w:multiLevelType w:val="hybridMultilevel"/>
    <w:lvl w:ilvl="0">
      <w:lvlJc w:val="left"/>
      <w:lvlText w:val="%1."/>
      <w:numFmt w:val="decimal"/>
      <w:start w:val="6"/>
    </w:lvl>
  </w:abstractNum>
  <w:abstractNum w:abstractNumId="455">
    <w:nsid w:val="7F41D049"/>
    <w:multiLevelType w:val="hybridMultilevel"/>
    <w:lvl w:ilvl="0">
      <w:lvlJc w:val="left"/>
      <w:lvlText w:val="%1."/>
      <w:numFmt w:val="decimal"/>
      <w:start w:val="1"/>
    </w:lvl>
  </w:abstractNum>
  <w:abstractNum w:abstractNumId="456">
    <w:nsid w:val="449F66FE"/>
    <w:multiLevelType w:val="hybridMultilevel"/>
    <w:lvl w:ilvl="0">
      <w:lvlJc w:val="left"/>
      <w:lvlText w:val="%1."/>
      <w:numFmt w:val="decimal"/>
      <w:start w:val="1"/>
    </w:lvl>
  </w:abstractNum>
  <w:abstractNum w:abstractNumId="457">
    <w:nsid w:val="557E0515"/>
    <w:multiLevelType w:val="hybridMultilevel"/>
    <w:lvl w:ilvl="0">
      <w:lvlJc w:val="left"/>
      <w:lvlText w:val="(%1)"/>
      <w:numFmt w:val="lowerLetter"/>
      <w:start w:val="2"/>
    </w:lvl>
  </w:abstractNum>
  <w:abstractNum w:abstractNumId="458">
    <w:nsid w:val="3BA0794B"/>
    <w:multiLevelType w:val="hybridMultilevel"/>
    <w:lvl w:ilvl="0">
      <w:lvlJc w:val="left"/>
      <w:lvlText w:val="%1."/>
      <w:numFmt w:val="decimal"/>
      <w:start w:val="2"/>
    </w:lvl>
  </w:abstractNum>
  <w:abstractNum w:abstractNumId="459">
    <w:nsid w:val="6A0DCE48"/>
    <w:multiLevelType w:val="hybridMultilevel"/>
    <w:lvl w:ilvl="0">
      <w:lvlJc w:val="left"/>
      <w:lvlText w:val="%1."/>
      <w:numFmt w:val="decimal"/>
      <w:start w:val="1"/>
    </w:lvl>
  </w:abstractNum>
  <w:abstractNum w:abstractNumId="460">
    <w:nsid w:val="7237AA96"/>
    <w:multiLevelType w:val="hybridMultilevel"/>
    <w:lvl w:ilvl="0">
      <w:lvlJc w:val="left"/>
      <w:lvlText w:val="%1."/>
      <w:numFmt w:val="decimal"/>
      <w:start w:val="2"/>
    </w:lvl>
  </w:abstractNum>
  <w:abstractNum w:abstractNumId="461">
    <w:nsid w:val="5B1FBC2D"/>
    <w:multiLevelType w:val="hybridMultilevel"/>
    <w:lvl w:ilvl="0">
      <w:lvlJc w:val="left"/>
      <w:lvlText w:val="%1."/>
      <w:numFmt w:val="decimal"/>
      <w:start w:val="6"/>
    </w:lvl>
  </w:abstractNum>
  <w:abstractNum w:abstractNumId="462">
    <w:nsid w:val="33DFCCE8"/>
    <w:multiLevelType w:val="hybridMultilevel"/>
    <w:lvl w:ilvl="0">
      <w:lvlJc w:val="left"/>
      <w:lvlText w:val="%1."/>
      <w:numFmt w:val="decimal"/>
      <w:start w:val="1"/>
    </w:lvl>
  </w:abstractNum>
  <w:abstractNum w:abstractNumId="463">
    <w:nsid w:val="18C45E15"/>
    <w:multiLevelType w:val="hybridMultilevel"/>
    <w:lvl w:ilvl="0">
      <w:lvlJc w:val="left"/>
      <w:lvlText w:val="%1."/>
      <w:numFmt w:val="decimal"/>
      <w:start w:val="1"/>
    </w:lvl>
  </w:abstractNum>
  <w:abstractNum w:abstractNumId="464">
    <w:nsid w:val="6B431F25"/>
    <w:multiLevelType w:val="hybridMultilevel"/>
    <w:lvl w:ilvl="0">
      <w:lvlJc w:val="left"/>
      <w:lvlText w:val="(%1)"/>
      <w:numFmt w:val="lowerLetter"/>
      <w:start w:val="2"/>
    </w:lvl>
  </w:abstractNum>
  <w:abstractNum w:abstractNumId="465">
    <w:nsid w:val="13CD8DCB"/>
    <w:multiLevelType w:val="hybridMultilevel"/>
    <w:lvl w:ilvl="0">
      <w:lvlJc w:val="left"/>
      <w:lvlText w:val="%1."/>
      <w:numFmt w:val="decimal"/>
      <w:start w:val="2"/>
    </w:lvl>
  </w:abstractNum>
  <w:abstractNum w:abstractNumId="466">
    <w:nsid w:val="563A1A5C"/>
    <w:multiLevelType w:val="hybridMultilevel"/>
    <w:lvl w:ilvl="0">
      <w:lvlJc w:val="left"/>
      <w:lvlText w:val="%1."/>
      <w:numFmt w:val="decimal"/>
      <w:start w:val="1"/>
    </w:lvl>
  </w:abstractNum>
  <w:abstractNum w:abstractNumId="467">
    <w:nsid w:val="2973F88F"/>
    <w:multiLevelType w:val="hybridMultilevel"/>
    <w:lvl w:ilvl="0">
      <w:lvlJc w:val="left"/>
      <w:lvlText w:val="%1."/>
      <w:numFmt w:val="decimal"/>
      <w:start w:val="2"/>
    </w:lvl>
  </w:abstractNum>
  <w:abstractNum w:abstractNumId="468">
    <w:nsid w:val="2C70EDAE"/>
    <w:multiLevelType w:val="hybridMultilevel"/>
    <w:lvl w:ilvl="0">
      <w:lvlJc w:val="left"/>
      <w:lvlText w:val="%1."/>
      <w:numFmt w:val="decimal"/>
      <w:start w:val="3"/>
    </w:lvl>
  </w:abstractNum>
  <w:abstractNum w:abstractNumId="469">
    <w:nsid w:val="44296C6D"/>
    <w:multiLevelType w:val="hybridMultilevel"/>
    <w:lvl w:ilvl="0">
      <w:lvlJc w:val="left"/>
      <w:lvlText w:val="%1."/>
      <w:numFmt w:val="decimal"/>
      <w:start w:val="4"/>
    </w:lvl>
  </w:abstractNum>
  <w:abstractNum w:abstractNumId="470">
    <w:nsid w:val="3A86D445"/>
    <w:multiLevelType w:val="hybridMultilevel"/>
    <w:lvl w:ilvl="0">
      <w:lvlJc w:val="left"/>
      <w:lvlText w:val="(%1)"/>
      <w:numFmt w:val="lowerLetter"/>
      <w:start w:val="1"/>
    </w:lvl>
  </w:abstractNum>
  <w:abstractNum w:abstractNumId="471">
    <w:nsid w:val="51F79246"/>
    <w:multiLevelType w:val="hybridMultilevel"/>
    <w:lvl w:ilvl="0">
      <w:lvlJc w:val="left"/>
      <w:lvlText w:val="%1."/>
      <w:numFmt w:val="decimal"/>
      <w:start w:val="5"/>
    </w:lvl>
  </w:abstractNum>
  <w:abstractNum w:abstractNumId="472">
    <w:nsid w:val="5BC9A827"/>
    <w:multiLevelType w:val="hybridMultilevel"/>
    <w:lvl w:ilvl="0">
      <w:lvlJc w:val="left"/>
      <w:lvlText w:val="%1."/>
      <w:numFmt w:val="decimal"/>
      <w:start w:val="6"/>
    </w:lvl>
  </w:abstractNum>
  <w:abstractNum w:abstractNumId="473">
    <w:nsid w:val="3AE37D86"/>
    <w:multiLevelType w:val="hybridMultilevel"/>
    <w:lvl w:ilvl="0">
      <w:lvlJc w:val="left"/>
      <w:lvlText w:val="%1."/>
      <w:numFmt w:val="decimal"/>
      <w:start w:val="7"/>
    </w:lvl>
  </w:abstractNum>
  <w:abstractNum w:abstractNumId="474">
    <w:nsid w:val="45440FE5"/>
    <w:multiLevelType w:val="hybridMultilevel"/>
    <w:lvl w:ilvl="0">
      <w:lvlJc w:val="left"/>
      <w:lvlText w:val="(%1)"/>
      <w:numFmt w:val="lowerLetter"/>
      <w:start w:val="1"/>
    </w:lvl>
  </w:abstractNum>
  <w:abstractNum w:abstractNumId="475">
    <w:nsid w:val="BF783F"/>
    <w:multiLevelType w:val="hybridMultilevel"/>
    <w:lvl w:ilvl="0">
      <w:lvlJc w:val="left"/>
      <w:lvlText w:val="%1."/>
      <w:numFmt w:val="decimal"/>
      <w:start w:val="8"/>
    </w:lvl>
  </w:abstractNum>
  <w:abstractNum w:abstractNumId="476">
    <w:nsid w:val="22643EA9"/>
    <w:multiLevelType w:val="hybridMultilevel"/>
    <w:lvl w:ilvl="0">
      <w:lvlJc w:val="left"/>
      <w:lvlText w:val="(%1)"/>
      <w:numFmt w:val="lowerLetter"/>
      <w:start w:val="1"/>
    </w:lvl>
    <w:lvl w:ilvl="1">
      <w:lvlJc w:val="left"/>
      <w:lvlText w:val="(%2)"/>
      <w:numFmt w:val="decimal"/>
      <w:start w:val="1"/>
    </w:lvl>
  </w:abstractNum>
  <w:abstractNum w:abstractNumId="477">
    <w:nsid w:val="1887578D"/>
    <w:multiLevelType w:val="hybridMultilevel"/>
    <w:lvl w:ilvl="0">
      <w:lvlJc w:val="left"/>
      <w:lvlText w:val="(%1)"/>
      <w:numFmt w:val="lowerLetter"/>
      <w:start w:val="2"/>
    </w:lvl>
  </w:abstractNum>
  <w:abstractNum w:abstractNumId="478">
    <w:nsid w:val="58C05B8A"/>
    <w:multiLevelType w:val="hybridMultilevel"/>
    <w:lvl w:ilvl="0">
      <w:lvlJc w:val="left"/>
      <w:lvlText w:val="(%1)"/>
      <w:numFmt w:val="lowerLetter"/>
      <w:start w:val="3"/>
    </w:lvl>
  </w:abstractNum>
  <w:abstractNum w:abstractNumId="479">
    <w:nsid w:val="38D82E71"/>
    <w:multiLevelType w:val="hybridMultilevel"/>
    <w:lvl w:ilvl="0">
      <w:lvlJc w:val="left"/>
      <w:lvlText w:val="%1."/>
      <w:numFmt w:val="decimal"/>
      <w:start w:val="9"/>
    </w:lvl>
  </w:abstractNum>
  <w:abstractNum w:abstractNumId="480">
    <w:nsid w:val="1E41098A"/>
    <w:multiLevelType w:val="hybridMultilevel"/>
    <w:lvl w:ilvl="0">
      <w:lvlJc w:val="left"/>
      <w:lvlText w:val="%1."/>
      <w:numFmt w:val="decimal"/>
      <w:start w:val="10"/>
    </w:lvl>
  </w:abstractNum>
  <w:abstractNum w:abstractNumId="481">
    <w:nsid w:val="5398582C"/>
    <w:multiLevelType w:val="hybridMultilevel"/>
    <w:lvl w:ilvl="0">
      <w:lvlJc w:val="left"/>
      <w:lvlText w:val="(%1)"/>
      <w:numFmt w:val="lowerLetter"/>
      <w:start w:val="61"/>
    </w:lvl>
    <w:lvl w:ilvl="1">
      <w:lvlJc w:val="left"/>
      <w:lvlText w:val="%2"/>
      <w:numFmt w:val="lowerLetter"/>
      <w:start w:val="1"/>
    </w:lvl>
  </w:abstractNum>
  <w:abstractNum w:abstractNumId="482">
    <w:nsid w:val="1C0D4475"/>
    <w:multiLevelType w:val="hybridMultilevel"/>
    <w:lvl w:ilvl="0">
      <w:lvlJc w:val="left"/>
      <w:lvlText w:val="(%1)"/>
      <w:numFmt w:val="lowerLetter"/>
      <w:start w:val="61"/>
    </w:lvl>
    <w:lvl w:ilvl="1">
      <w:lvlJc w:val="left"/>
      <w:lvlText w:val="(%2)"/>
      <w:numFmt w:val="lowerLetter"/>
      <w:start w:val="2"/>
    </w:lvl>
  </w:abstractNum>
  <w:abstractNum w:abstractNumId="483">
    <w:nsid w:val="2CB6A6A4"/>
    <w:multiLevelType w:val="hybridMultilevel"/>
    <w:lvl w:ilvl="0">
      <w:lvlJc w:val="left"/>
      <w:lvlText w:val="(%1)"/>
      <w:numFmt w:val="lowerLetter"/>
      <w:start w:val="35"/>
    </w:lvl>
    <w:lvl w:ilvl="1">
      <w:lvlJc w:val="left"/>
      <w:lvlText w:val="%2"/>
      <w:numFmt w:val="lowerLetter"/>
      <w:start w:val="1"/>
    </w:lvl>
  </w:abstractNum>
  <w:abstractNum w:abstractNumId="484">
    <w:nsid w:val="41D646BC"/>
    <w:multiLevelType w:val="hybridMultilevel"/>
    <w:lvl w:ilvl="0">
      <w:lvlJc w:val="left"/>
      <w:lvlText w:val="(%1)"/>
      <w:numFmt w:val="lowerLetter"/>
      <w:start w:val="3"/>
    </w:lvl>
  </w:abstractNum>
  <w:abstractNum w:abstractNumId="485">
    <w:nsid w:val="3694A76A"/>
    <w:multiLevelType w:val="hybridMultilevel"/>
    <w:lvl w:ilvl="0">
      <w:lvlJc w:val="left"/>
      <w:lvlText w:val="%1."/>
      <w:numFmt w:val="decimal"/>
      <w:start w:val="11"/>
    </w:lvl>
  </w:abstractNum>
  <w:abstractNum w:abstractNumId="486">
    <w:nsid w:val="2BF876EE"/>
    <w:multiLevelType w:val="hybridMultilevel"/>
    <w:lvl w:ilvl="0">
      <w:lvlJc w:val="left"/>
      <w:lvlText w:val="(%1)"/>
      <w:numFmt w:val="decimal"/>
      <w:start w:val="180"/>
    </w:lvl>
  </w:abstractNum>
  <w:abstractNum w:abstractNumId="487">
    <w:nsid w:val="675ADBA"/>
    <w:multiLevelType w:val="hybridMultilevel"/>
    <w:lvl w:ilvl="0">
      <w:lvlJc w:val="left"/>
      <w:lvlText w:val="(%1)"/>
      <w:numFmt w:val="lowerLetter"/>
      <w:start w:val="2"/>
    </w:lvl>
  </w:abstractNum>
  <w:abstractNum w:abstractNumId="488">
    <w:nsid w:val="C12AC7F"/>
    <w:multiLevelType w:val="hybridMultilevel"/>
    <w:lvl w:ilvl="0">
      <w:lvlJc w:val="left"/>
      <w:lvlText w:val="(%1)"/>
      <w:numFmt w:val="lowerLetter"/>
      <w:start w:val="22"/>
    </w:lvl>
    <w:lvl w:ilvl="1">
      <w:lvlJc w:val="left"/>
      <w:lvlText w:val="%2"/>
      <w:numFmt w:val="lowerLetter"/>
      <w:start w:val="1"/>
    </w:lvl>
  </w:abstractNum>
  <w:abstractNum w:abstractNumId="489">
    <w:nsid w:val="6798F039"/>
    <w:multiLevelType w:val="hybridMultilevel"/>
    <w:lvl w:ilvl="0">
      <w:lvlJc w:val="left"/>
      <w:lvlText w:val="(%1)"/>
      <w:numFmt w:val="lowerLetter"/>
      <w:start w:val="22"/>
    </w:lvl>
    <w:lvl w:ilvl="1">
      <w:lvlJc w:val="left"/>
      <w:lvlText w:val="(%2)"/>
      <w:numFmt w:val="lowerLetter"/>
      <w:start w:val="5"/>
    </w:lvl>
  </w:abstractNum>
  <w:abstractNum w:abstractNumId="490">
    <w:nsid w:val="70837C02"/>
    <w:multiLevelType w:val="hybridMultilevel"/>
    <w:lvl w:ilvl="0">
      <w:lvlJc w:val="left"/>
      <w:lvlText w:val="%1"/>
      <w:numFmt w:val="decimal"/>
      <w:start w:val="1"/>
    </w:lvl>
    <w:lvl w:ilvl="1">
      <w:lvlJc w:val="left"/>
      <w:lvlText w:val="(%2)"/>
      <w:numFmt w:val="lowerLetter"/>
      <w:start w:val="7"/>
    </w:lvl>
  </w:abstractNum>
  <w:abstractNum w:abstractNumId="491">
    <w:nsid w:val="7E4A5715"/>
    <w:multiLevelType w:val="hybridMultilevel"/>
    <w:lvl w:ilvl="0">
      <w:lvlJc w:val="left"/>
      <w:lvlText w:val="%1."/>
      <w:numFmt w:val="decimal"/>
      <w:start w:val="13"/>
    </w:lvl>
    <w:lvl w:ilvl="1">
      <w:lvlJc w:val="left"/>
      <w:lvlText w:val="%2"/>
      <w:numFmt w:val="lowerLetter"/>
      <w:start w:val="1"/>
    </w:lvl>
  </w:abstractNum>
  <w:abstractNum w:abstractNumId="492">
    <w:nsid w:val="42B8AC67"/>
    <w:multiLevelType w:val="hybridMultilevel"/>
    <w:lvl w:ilvl="0">
      <w:lvlJc w:val="left"/>
      <w:lvlText w:val="%1."/>
      <w:numFmt w:val="decimal"/>
      <w:start w:val="14"/>
    </w:lvl>
    <w:lvl w:ilvl="1">
      <w:lvlJc w:val="left"/>
      <w:lvlText w:val="(%2)"/>
      <w:numFmt w:val="lowerLetter"/>
      <w:start w:val="1"/>
    </w:lvl>
    <w:lvl w:ilvl="2">
      <w:lvlJc w:val="left"/>
      <w:lvlText w:val="(%3)"/>
      <w:numFmt w:val="decimal"/>
      <w:start w:val="2"/>
    </w:lvl>
  </w:abstractNum>
  <w:abstractNum w:abstractNumId="493">
    <w:nsid w:val="246348EA"/>
    <w:multiLevelType w:val="hybridMultilevel"/>
    <w:lvl w:ilvl="0">
      <w:lvlJc w:val="left"/>
      <w:lvlText w:val="(%1)"/>
      <w:numFmt w:val="lowerLetter"/>
      <w:start w:val="4"/>
    </w:lvl>
  </w:abstractNum>
  <w:abstractNum w:abstractNumId="494">
    <w:nsid w:val="170EB52B"/>
    <w:multiLevelType w:val="hybridMultilevel"/>
    <w:lvl w:ilvl="0">
      <w:lvlJc w:val="left"/>
      <w:lvlText w:val="(%1)"/>
      <w:numFmt w:val="lowerLetter"/>
      <w:start w:val="1"/>
    </w:lvl>
  </w:abstractNum>
  <w:abstractNum w:abstractNumId="495">
    <w:nsid w:val="2DFBCB8C"/>
    <w:multiLevelType w:val="hybridMultilevel"/>
    <w:lvl w:ilvl="0">
      <w:lvlJc w:val="left"/>
      <w:lvlText w:val="(%1)"/>
      <w:numFmt w:val="upperLetter"/>
      <w:start w:val="3"/>
    </w:lvl>
    <w:lvl w:ilvl="1">
      <w:lvlJc w:val="left"/>
      <w:lvlText w:val="%2."/>
      <w:numFmt w:val="decimal"/>
      <w:start w:val="15"/>
    </w:lvl>
    <w:lvl w:ilvl="2">
      <w:lvlJc w:val="left"/>
      <w:lvlText w:val="(%3)"/>
      <w:numFmt w:val="lowerLetter"/>
      <w:start w:val="1"/>
    </w:lvl>
    <w:lvl w:ilvl="3">
      <w:lvlJc w:val="left"/>
      <w:lvlText w:val="(%4)"/>
      <w:numFmt w:val="lowerRoman"/>
      <w:start w:val="1"/>
    </w:lvl>
  </w:abstractNum>
  <w:abstractNum w:abstractNumId="496">
    <w:nsid w:val="3830D6B6"/>
    <w:multiLevelType w:val="hybridMultilevel"/>
    <w:lvl w:ilvl="0">
      <w:lvlJc w:val="left"/>
      <w:lvlText w:val="%1."/>
      <w:numFmt w:val="decimal"/>
      <w:start w:val="16"/>
    </w:lvl>
  </w:abstractNum>
  <w:abstractNum w:abstractNumId="497">
    <w:nsid w:val="6D48CF87"/>
    <w:multiLevelType w:val="hybridMultilevel"/>
    <w:lvl w:ilvl="0">
      <w:lvlJc w:val="left"/>
      <w:lvlText w:val="%1."/>
      <w:numFmt w:val="decimal"/>
      <w:start w:val="17"/>
    </w:lvl>
  </w:abstractNum>
  <w:abstractNum w:abstractNumId="498">
    <w:nsid w:val="576FC41B"/>
    <w:multiLevelType w:val="hybridMultilevel"/>
    <w:lvl w:ilvl="0">
      <w:lvlJc w:val="left"/>
      <w:lvlText w:val="%1."/>
      <w:numFmt w:val="decimal"/>
      <w:start w:val="18"/>
    </w:lvl>
  </w:abstractNum>
  <w:abstractNum w:abstractNumId="499">
    <w:nsid w:val="64A1C464"/>
    <w:multiLevelType w:val="hybridMultilevel"/>
    <w:lvl w:ilvl="0">
      <w:lvlJc w:val="left"/>
      <w:lvlText w:val="%1."/>
      <w:numFmt w:val="decimal"/>
      <w:start w:val="19"/>
    </w:lvl>
  </w:abstractNum>
  <w:abstractNum w:abstractNumId="500">
    <w:nsid w:val="31723BF5"/>
    <w:multiLevelType w:val="hybridMultilevel"/>
    <w:lvl w:ilvl="0">
      <w:lvlJc w:val="left"/>
      <w:lvlText w:val="%1."/>
      <w:numFmt w:val="decimal"/>
      <w:start w:val="20"/>
    </w:lvl>
  </w:abstractNum>
  <w:abstractNum w:abstractNumId="501">
    <w:nsid w:val="11F69861"/>
    <w:multiLevelType w:val="hybridMultilevel"/>
    <w:lvl w:ilvl="0">
      <w:lvlJc w:val="left"/>
      <w:lvlText w:val="%1."/>
      <w:numFmt w:val="decimal"/>
      <w:start w:val="21"/>
    </w:lvl>
  </w:abstractNum>
  <w:abstractNum w:abstractNumId="502">
    <w:nsid w:val="369956AB"/>
    <w:multiLevelType w:val="hybridMultilevel"/>
    <w:lvl w:ilvl="0">
      <w:lvlJc w:val="left"/>
      <w:lvlText w:val="%1."/>
      <w:numFmt w:val="decimal"/>
      <w:start w:val="22"/>
    </w:lvl>
  </w:abstractNum>
  <w:abstractNum w:abstractNumId="503">
    <w:nsid w:val="D3BE41C"/>
    <w:multiLevelType w:val="hybridMultilevel"/>
    <w:lvl w:ilvl="0">
      <w:lvlJc w:val="left"/>
      <w:lvlText w:val="%1."/>
      <w:numFmt w:val="decimal"/>
      <w:start w:val="23"/>
    </w:lvl>
  </w:abstractNum>
  <w:abstractNum w:abstractNumId="504">
    <w:nsid w:val="4CDA15E7"/>
    <w:multiLevelType w:val="hybridMultilevel"/>
    <w:lvl w:ilvl="0">
      <w:lvlJc w:val="left"/>
      <w:lvlText w:val="%1."/>
      <w:numFmt w:val="decimal"/>
      <w:start w:val="24"/>
    </w:lvl>
  </w:abstractNum>
  <w:abstractNum w:abstractNumId="505">
    <w:nsid w:val="7BDD6690"/>
    <w:multiLevelType w:val="hybridMultilevel"/>
    <w:lvl w:ilvl="0">
      <w:lvlJc w:val="left"/>
      <w:lvlText w:val="%1."/>
      <w:numFmt w:val="decimal"/>
      <w:start w:val="25"/>
    </w:lvl>
  </w:abstractNum>
  <w:abstractNum w:abstractNumId="506">
    <w:nsid w:val="DFB5C5B"/>
    <w:multiLevelType w:val="hybridMultilevel"/>
    <w:lvl w:ilvl="0">
      <w:lvlJc w:val="left"/>
      <w:lvlText w:val="%1."/>
      <w:numFmt w:val="decimal"/>
      <w:start w:val="26"/>
    </w:lvl>
  </w:abstractNum>
  <w:abstractNum w:abstractNumId="507">
    <w:nsid w:val="6F3E5490"/>
    <w:multiLevelType w:val="hybridMultilevel"/>
    <w:lvl w:ilvl="0">
      <w:lvlJc w:val="left"/>
      <w:lvlText w:val="%1."/>
      <w:numFmt w:val="decimal"/>
      <w:start w:val="27"/>
    </w:lvl>
  </w:abstractNum>
  <w:abstractNum w:abstractNumId="508">
    <w:nsid w:val="1464BE1E"/>
    <w:multiLevelType w:val="hybridMultilevel"/>
    <w:lvl w:ilvl="0">
      <w:lvlJc w:val="left"/>
      <w:lvlText w:val="%1."/>
      <w:numFmt w:val="decimal"/>
      <w:start w:val="28"/>
    </w:lvl>
  </w:abstractNum>
  <w:abstractNum w:abstractNumId="509">
    <w:nsid w:val="66BBB7E5"/>
    <w:multiLevelType w:val="hybridMultilevel"/>
    <w:lvl w:ilvl="0">
      <w:lvlJc w:val="left"/>
      <w:lvlText w:val="%1."/>
      <w:numFmt w:val="decimal"/>
      <w:start w:val="29"/>
    </w:lvl>
  </w:abstractNum>
  <w:abstractNum w:abstractNumId="510">
    <w:nsid w:val="28168302"/>
    <w:multiLevelType w:val="hybridMultilevel"/>
    <w:lvl w:ilvl="0">
      <w:lvlJc w:val="left"/>
      <w:lvlText w:val="%1."/>
      <w:numFmt w:val="decimal"/>
      <w:start w:val="30"/>
    </w:lvl>
  </w:abstractNum>
  <w:abstractNum w:abstractNumId="511">
    <w:nsid w:val="32A5C7A8"/>
    <w:multiLevelType w:val="hybridMultilevel"/>
    <w:lvl w:ilvl="0">
      <w:lvlJc w:val="left"/>
      <w:lvlText w:val="%1."/>
      <w:numFmt w:val="decimal"/>
      <w:start w:val="31"/>
    </w:lvl>
  </w:abstractNum>
  <w:abstractNum w:abstractNumId="512">
    <w:nsid w:val="3A541011"/>
    <w:multiLevelType w:val="hybridMultilevel"/>
    <w:lvl w:ilvl="0">
      <w:lvlJc w:val="left"/>
      <w:lvlText w:val="%1."/>
      <w:numFmt w:val="decimal"/>
      <w:start w:val="32"/>
    </w:lvl>
  </w:abstractNum>
  <w:abstractNum w:abstractNumId="513">
    <w:nsid w:val="4423C777"/>
    <w:multiLevelType w:val="hybridMultilevel"/>
    <w:lvl w:ilvl="0">
      <w:lvlJc w:val="left"/>
      <w:lvlText w:val="%1."/>
      <w:numFmt w:val="decimal"/>
      <w:start w:val="33"/>
    </w:lvl>
  </w:abstractNum>
  <w:abstractNum w:abstractNumId="514">
    <w:nsid w:val="5F5C6E4D"/>
    <w:multiLevelType w:val="hybridMultilevel"/>
    <w:lvl w:ilvl="0">
      <w:lvlJc w:val="left"/>
      <w:lvlText w:val="%1."/>
      <w:numFmt w:val="decimal"/>
      <w:start w:val="34"/>
    </w:lvl>
  </w:abstractNum>
  <w:abstractNum w:abstractNumId="515">
    <w:nsid w:val="7C2A56CD"/>
    <w:multiLevelType w:val="hybridMultilevel"/>
    <w:lvl w:ilvl="0">
      <w:lvlJc w:val="left"/>
      <w:lvlText w:val="%1."/>
      <w:numFmt w:val="decimal"/>
      <w:start w:val="35"/>
    </w:lvl>
  </w:abstractNum>
  <w:abstractNum w:abstractNumId="516">
    <w:nsid w:val="7AB86EE1"/>
    <w:multiLevelType w:val="hybridMultilevel"/>
    <w:lvl w:ilvl="0">
      <w:lvlJc w:val="left"/>
      <w:lvlText w:val="%1."/>
      <w:numFmt w:val="decimal"/>
      <w:start w:val="36"/>
    </w:lvl>
  </w:abstractNum>
  <w:abstractNum w:abstractNumId="517">
    <w:nsid w:val="B54E53B"/>
    <w:multiLevelType w:val="hybridMultilevel"/>
    <w:lvl w:ilvl="0">
      <w:lvlJc w:val="left"/>
      <w:lvlText w:val="%1."/>
      <w:numFmt w:val="decimal"/>
      <w:start w:val="37"/>
    </w:lvl>
  </w:abstractNum>
  <w:abstractNum w:abstractNumId="518">
    <w:nsid w:val="2A00487"/>
    <w:multiLevelType w:val="hybridMultilevel"/>
    <w:lvl w:ilvl="0">
      <w:lvlJc w:val="left"/>
      <w:lvlText w:val="%1."/>
      <w:numFmt w:val="decimal"/>
      <w:start w:val="38"/>
    </w:lvl>
  </w:abstractNum>
  <w:abstractNum w:abstractNumId="519">
    <w:nsid w:val="6CB1B60"/>
    <w:multiLevelType w:val="hybridMultilevel"/>
    <w:lvl w:ilvl="0">
      <w:lvlJc w:val="left"/>
      <w:lvlText w:val="%1."/>
      <w:numFmt w:val="decimal"/>
      <w:start w:val="39"/>
    </w:lvl>
  </w:abstractNum>
  <w:abstractNum w:abstractNumId="520">
    <w:nsid w:val="72EDD574"/>
    <w:multiLevelType w:val="hybridMultilevel"/>
    <w:lvl w:ilvl="0">
      <w:lvlJc w:val="left"/>
      <w:lvlText w:val="%1."/>
      <w:numFmt w:val="decimal"/>
      <w:start w:val="40"/>
    </w:lvl>
  </w:abstractNum>
  <w:abstractNum w:abstractNumId="521">
    <w:nsid w:val="7323808A"/>
    <w:multiLevelType w:val="hybridMultilevel"/>
    <w:lvl w:ilvl="0">
      <w:lvlJc w:val="left"/>
      <w:lvlText w:val="%1."/>
      <w:numFmt w:val="decimal"/>
      <w:start w:val="41"/>
    </w:lvl>
  </w:abstractNum>
  <w:abstractNum w:abstractNumId="522">
    <w:nsid w:val="5157276"/>
    <w:multiLevelType w:val="hybridMultilevel"/>
    <w:lvl w:ilvl="0">
      <w:lvlJc w:val="left"/>
      <w:lvlText w:val="%1."/>
      <w:numFmt w:val="decimal"/>
      <w:start w:val="42"/>
    </w:lvl>
  </w:abstractNum>
  <w:abstractNum w:abstractNumId="523">
    <w:nsid w:val="35A681DB"/>
    <w:multiLevelType w:val="hybridMultilevel"/>
    <w:lvl w:ilvl="0">
      <w:lvlJc w:val="left"/>
      <w:lvlText w:val="%1."/>
      <w:numFmt w:val="decimal"/>
      <w:start w:val="43"/>
    </w:lvl>
  </w:abstractNum>
  <w:abstractNum w:abstractNumId="524">
    <w:nsid w:val="1786C974"/>
    <w:multiLevelType w:val="hybridMultilevel"/>
    <w:lvl w:ilvl="0">
      <w:lvlJc w:val="left"/>
      <w:lvlText w:val="%1."/>
      <w:numFmt w:val="decimal"/>
      <w:start w:val="44"/>
    </w:lvl>
  </w:abstractNum>
  <w:abstractNum w:abstractNumId="525">
    <w:nsid w:val="1C2427A1"/>
    <w:multiLevelType w:val="hybridMultilevel"/>
    <w:lvl w:ilvl="0">
      <w:lvlJc w:val="left"/>
      <w:lvlText w:val="(%1)"/>
      <w:numFmt w:val="lowerRoman"/>
      <w:start w:val="3"/>
    </w:lvl>
    <w:lvl w:ilvl="1">
      <w:lvlJc w:val="left"/>
      <w:lvlText w:val="%2."/>
      <w:numFmt w:val="decimal"/>
      <w:start w:val="45"/>
    </w:lvl>
  </w:abstractNum>
  <w:abstractNum w:abstractNumId="526">
    <w:nsid w:val="63A24D68"/>
    <w:multiLevelType w:val="hybridMultilevel"/>
    <w:lvl w:ilvl="0">
      <w:lvlJc w:val="left"/>
      <w:lvlText w:val="%1."/>
      <w:numFmt w:val="decimal"/>
      <w:start w:val="46"/>
    </w:lvl>
  </w:abstractNum>
  <w:abstractNum w:abstractNumId="527">
    <w:nsid w:val="4FB7A02A"/>
    <w:multiLevelType w:val="hybridMultilevel"/>
    <w:lvl w:ilvl="0">
      <w:lvlJc w:val="left"/>
      <w:lvlText w:val="•"/>
      <w:numFmt w:val="bullet"/>
      <w:start w:val="1"/>
    </w:lvl>
  </w:abstractNum>
  <w:abstractNum w:abstractNumId="528">
    <w:nsid w:val="96CF728"/>
    <w:multiLevelType w:val="hybridMultilevel"/>
    <w:lvl w:ilvl="0">
      <w:lvlJc w:val="left"/>
      <w:lvlText w:val="%1."/>
      <w:numFmt w:val="decimal"/>
      <w:start w:val="1"/>
    </w:lvl>
    <w:lvl w:ilvl="1">
      <w:lvlJc w:val="left"/>
      <w:lvlText w:val="•"/>
      <w:numFmt w:val="bullet"/>
      <w:start w:val="1"/>
    </w:lvl>
  </w:abstractNum>
  <w:abstractNum w:abstractNumId="529">
    <w:nsid w:val="3B121183"/>
    <w:multiLevelType w:val="hybridMultilevel"/>
    <w:lvl w:ilvl="0">
      <w:lvlJc w:val="left"/>
      <w:lvlText w:val="%1."/>
      <w:numFmt w:val="decimal"/>
      <w:start w:val="3"/>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jpeg"/><Relationship Id="rId187" Type="http://schemas.openxmlformats.org/officeDocument/2006/relationships/image" Target="media/image180.png"/><Relationship Id="rId188" Type="http://schemas.openxmlformats.org/officeDocument/2006/relationships/image" Target="media/image181.jpe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jpe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jpe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jpe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jpe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2020-09-04T15:49:07Z</dcterms:created>
  <dcterms:modified xsi:type="dcterms:W3CDTF">2020-09-04T15:49:07Z</dcterms:modified>
</cp:coreProperties>
</file>