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2" w:lineRule="exact"/>
        <w:rPr>
          <w:rFonts w:ascii="MS PGothic" w:cs="MS PGothic" w:eastAsia="MS PGothic" w:hAnsi="MS PGothic"/>
          <w:sz w:val="16"/>
          <w:szCs w:val="16"/>
          <w:color w:val="auto"/>
        </w:rPr>
      </w:pPr>
    </w:p>
    <w:p>
      <w:pPr>
        <w:ind w:left="392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-273050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rPr>
      </w:pPr>
    </w:p>
    <w:p>
      <w:pPr>
        <w:ind w:left="4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FROM</w:t>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-232410</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PMV PHARMACEUTICALS, INC.</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1" w:lineRule="exact"/>
        <w:rPr>
          <w:sz w:val="24"/>
          <w:szCs w:val="24"/>
          <w:color w:val="auto"/>
        </w:rPr>
      </w:pPr>
    </w:p>
    <w:tbl>
      <w:tblPr>
        <w:tblLayout w:type="fixed"/>
        <w:tblInd w:w="1780" w:type="dxa"/>
        <w:tblCellMar>
          <w:top w:w="0" w:type="dxa"/>
          <w:left w:w="0" w:type="dxa"/>
          <w:bottom w:w="0" w:type="dxa"/>
          <w:right w:w="0" w:type="dxa"/>
        </w:tblCellMar>
      </w:tblPr>
      <w:tr>
        <w:trPr>
          <w:trHeight w:val="198"/>
        </w:trPr>
        <w:tc>
          <w:tcPr>
            <w:tcW w:w="4120" w:type="dxa"/>
            <w:vAlign w:val="bottom"/>
          </w:tcPr>
          <w:p>
            <w:pPr>
              <w:jc w:val="center"/>
              <w:ind w:right="198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2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46-3218129</w:t>
            </w:r>
          </w:p>
        </w:tc>
      </w:tr>
      <w:tr>
        <w:trPr>
          <w:trHeight w:val="135"/>
        </w:trPr>
        <w:tc>
          <w:tcPr>
            <w:tcW w:w="4120" w:type="dxa"/>
            <w:vAlign w:val="bottom"/>
          </w:tcPr>
          <w:p>
            <w:pPr>
              <w:jc w:val="center"/>
              <w:ind w:right="1988"/>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8"/>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7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120" w:type="dxa"/>
            <w:vAlign w:val="bottom"/>
          </w:tcPr>
          <w:p>
            <w:pPr>
              <w:jc w:val="center"/>
              <w:ind w:right="1988"/>
              <w:spacing w:after="0"/>
              <w:rPr>
                <w:sz w:val="20"/>
                <w:szCs w:val="20"/>
                <w:color w:val="auto"/>
              </w:rPr>
            </w:pPr>
            <w:r>
              <w:rPr>
                <w:rFonts w:ascii="Times New Roman" w:cs="Times New Roman" w:eastAsia="Times New Roman" w:hAnsi="Times New Roman"/>
                <w:sz w:val="16"/>
                <w:szCs w:val="16"/>
                <w:b w:val="1"/>
                <w:bCs w:val="1"/>
                <w:color w:val="auto"/>
              </w:rPr>
              <w:t>8 Clarke Drive, Suite 3</w:t>
            </w:r>
          </w:p>
        </w:tc>
        <w:tc>
          <w:tcPr>
            <w:tcW w:w="3020" w:type="dxa"/>
            <w:vAlign w:val="bottom"/>
          </w:tcPr>
          <w:p>
            <w:pPr>
              <w:spacing w:after="0"/>
              <w:rPr>
                <w:sz w:val="18"/>
                <w:szCs w:val="18"/>
                <w:color w:val="auto"/>
              </w:rPr>
            </w:pPr>
          </w:p>
        </w:tc>
      </w:tr>
      <w:tr>
        <w:trPr>
          <w:trHeight w:val="198"/>
        </w:trPr>
        <w:tc>
          <w:tcPr>
            <w:tcW w:w="4120" w:type="dxa"/>
            <w:vAlign w:val="bottom"/>
          </w:tcPr>
          <w:p>
            <w:pPr>
              <w:jc w:val="center"/>
              <w:ind w:right="1968"/>
              <w:spacing w:after="0"/>
              <w:rPr>
                <w:sz w:val="20"/>
                <w:szCs w:val="20"/>
                <w:color w:val="auto"/>
              </w:rPr>
            </w:pPr>
            <w:r>
              <w:rPr>
                <w:rFonts w:ascii="Times New Roman" w:cs="Times New Roman" w:eastAsia="Times New Roman" w:hAnsi="Times New Roman"/>
                <w:sz w:val="16"/>
                <w:szCs w:val="16"/>
                <w:b w:val="1"/>
                <w:bCs w:val="1"/>
                <w:color w:val="auto"/>
                <w:w w:val="99"/>
              </w:rPr>
              <w:t>Cranbury, NJ</w:t>
            </w:r>
          </w:p>
        </w:tc>
        <w:tc>
          <w:tcPr>
            <w:tcW w:w="30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08512</w:t>
            </w:r>
          </w:p>
        </w:tc>
      </w:tr>
      <w:tr>
        <w:trPr>
          <w:trHeight w:val="166"/>
        </w:trPr>
        <w:tc>
          <w:tcPr>
            <w:tcW w:w="4120" w:type="dxa"/>
            <w:vAlign w:val="bottom"/>
          </w:tcPr>
          <w:p>
            <w:pPr>
              <w:jc w:val="center"/>
              <w:ind w:right="196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7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190"/>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5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4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Stock Market on December 31, 2020, was $1,920,312,921. The Registrant has elected to use December 31, 2020, which was the last business day of the Registrant’s most recently completed fiscal year, as the calculation date because on June 30, 2020 (the last business day of the Registrant’s most recently completed second fiscal quarter), the Registrant was a privately-held company. Shares of the Registrant's common stock held by each executive officer, director and holder of 10% or more of the outstanding common stock have been excluded because such persons may be deemed affiliates. This calculation does not reflect a determination that certain persons are affiliates of the Registrant for any other purpose.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28, 2021 was 44,782,566.</w:t>
      </w:r>
    </w:p>
    <w:p>
      <w:pPr>
        <w:spacing w:after="0" w:line="2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5"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2021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950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60" w:type="dxa"/>
            <w:vAlign w:val="bottom"/>
            <w:vMerge w:val="continue"/>
          </w:tcPr>
          <w:p>
            <w:pPr>
              <w:spacing w:after="0"/>
              <w:rPr>
                <w:sz w:val="18"/>
                <w:szCs w:val="18"/>
                <w:color w:val="auto"/>
              </w:rPr>
            </w:pPr>
          </w:p>
        </w:tc>
        <w:tc>
          <w:tcPr>
            <w:tcW w:w="9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Business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2"/>
        </w:trPr>
        <w:tc>
          <w:tcPr>
            <w:tcW w:w="96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w:t>
      </w:r>
    </w:p>
    <w:p>
      <w:pPr>
        <w:spacing w:after="0" w:line="187" w:lineRule="exact"/>
        <w:rPr>
          <w:sz w:val="20"/>
          <w:szCs w:val="20"/>
          <w:color w:val="auto"/>
        </w:rPr>
      </w:pPr>
    </w:p>
    <w:p>
      <w:pPr>
        <w:jc w:val="both"/>
        <w:ind w:right="340" w:firstLine="494"/>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“plans”, “anticipate”, “could”, “intend”, “target”, “project”, “contemplate”, “believe”, “estimate”, “predict”, “potential” or “continue” or the negative of these terms or other similar expressions. Forward-looking statements contained in this Annual Report include, but are not limited to, statements about:</w:t>
      </w:r>
    </w:p>
    <w:p>
      <w:pPr>
        <w:spacing w:after="0" w:line="68" w:lineRule="exact"/>
        <w:rPr>
          <w:sz w:val="20"/>
          <w:szCs w:val="20"/>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860" w:right="30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short-term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860" w:right="34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860" w:right="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any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expected to have certain p53 mutants and the number of patients that will enroll in our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860" w:right="32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860" w:right="4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53" w:lineRule="exact"/>
        <w:rPr>
          <w:rFonts w:ascii="Times New Roman" w:cs="Times New Roman" w:eastAsia="Times New Roman" w:hAnsi="Times New Roman"/>
          <w:sz w:val="18"/>
          <w:szCs w:val="18"/>
          <w:color w:val="auto"/>
        </w:rPr>
      </w:pPr>
    </w:p>
    <w:p>
      <w:pPr>
        <w:ind w:left="860" w:right="28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 w:name="page4"/>
    <w:bookmarkEnd w:id="3"/>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or other related disruptions on our business; and</w:t>
      </w:r>
    </w:p>
    <w:p>
      <w:pPr>
        <w:spacing w:after="0" w:line="117" w:lineRule="exact"/>
        <w:rPr>
          <w:rFonts w:ascii="Times New Roman" w:cs="Times New Roman" w:eastAsia="Times New Roman" w:hAnsi="Times New Roman"/>
          <w:sz w:val="18"/>
          <w:szCs w:val="18"/>
          <w:color w:val="auto"/>
        </w:rPr>
      </w:pPr>
    </w:p>
    <w:p>
      <w:pPr>
        <w:ind w:left="860" w:right="100" w:hanging="366"/>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an emerging growth company under the Jumpstart Our Business Startups Act of 2012, as amended.</w:t>
      </w:r>
    </w:p>
    <w:p>
      <w:pPr>
        <w:spacing w:after="0" w:line="162"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“Item 1A.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8"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lead product candidate, PC14586, is an orally available small molecule designed to potently and selectively correct p53 misfolding caused by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p53 mutation, Y220C, while sparing wild-type p53. The Y220C mutation is associated with 1.0-1.5% of all cancers, including breast,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cell lung cancer, or NSCLC, colorectal, pancreatic and ovarian cancers. PC14586 is designed to restore the wild-type conformation by occupying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crevice created by the tyrosine to cysteine mutation in amino acid position 220. While we are in the early stages of discovery and development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and our novel approach is unproven, we are initially pursuing a tumor-agnostic development strategy and initiated a Phase 1/2 clinical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 in October 2020. Our strategy is to seek approval under an accelerated pathway, and we believe our Phase 1/2 clinical trial has the potential to serve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pivotal study. In October 2020, we were granted U.S. Food and Drug Administration, or the FDA, Fast Track designation of PC14586 for the treatment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with locally advanced or metastatic solid tumors that have a p53 Y220C mutation. We dosed our first patient in this clinical trial in the fourth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2020. We cannot guarantee that the FDA will agree with this strategy of utilizing the Phase 1/2 clinical trial as a pivotal study, which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us to conduct additional clinical trials prior to seeking FDA approval. In addition, we are leveraging our precision oncology platform to develop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pipeline of oral small molecule product candidates that structurally correct other p53 hotspot mutations to restore their wild-type function.</w:t>
      </w:r>
    </w:p>
    <w:p>
      <w:pPr>
        <w:spacing w:after="0" w:line="207" w:lineRule="exact"/>
        <w:rPr>
          <w:sz w:val="20"/>
          <w:szCs w:val="20"/>
          <w:color w:val="auto"/>
        </w:rPr>
      </w:pPr>
    </w:p>
    <w:p>
      <w:pPr>
        <w:ind w:right="100" w:firstLine="494"/>
        <w:spacing w:after="0" w:line="255" w:lineRule="auto"/>
        <w:rPr>
          <w:sz w:val="20"/>
          <w:szCs w:val="20"/>
          <w:color w:val="auto"/>
        </w:rPr>
      </w:pPr>
      <w:r>
        <w:rPr>
          <w:rFonts w:ascii="Times New Roman" w:cs="Times New Roman" w:eastAsia="Times New Roman" w:hAnsi="Times New Roman"/>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innovation engine consists of three complementary drivers:</w:t>
      </w:r>
    </w:p>
    <w:p>
      <w:pPr>
        <w:spacing w:after="0" w:line="117" w:lineRule="exact"/>
        <w:rPr>
          <w:sz w:val="20"/>
          <w:szCs w:val="20"/>
          <w:color w:val="auto"/>
        </w:rPr>
      </w:pPr>
    </w:p>
    <w:p>
      <w:pPr>
        <w:ind w:left="860" w:hanging="36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understanding of, and leadership in, p53 biology that enable unique insights into targeting individual mutations;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structure-based oral small molecule product candidates that selectively target and correct specific p53 mutants; and</w:t>
      </w:r>
    </w:p>
    <w:p>
      <w:pPr>
        <w:spacing w:after="0" w:line="117" w:lineRule="exact"/>
        <w:rPr>
          <w:rFonts w:ascii="Times New Roman" w:cs="Times New Roman" w:eastAsia="Times New Roman" w:hAnsi="Times New Roman"/>
          <w:sz w:val="18"/>
          <w:szCs w:val="18"/>
          <w:color w:val="auto"/>
        </w:rPr>
      </w:pPr>
    </w:p>
    <w:p>
      <w:pPr>
        <w:ind w:left="860" w:right="20" w:hanging="36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assays, screens, preclinical model systems and biomarkers that enable us to assess and optimize selective small molecule product candidates for specific p53 mutants.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PC14586 and Pipeline</w:t>
      </w:r>
    </w:p>
    <w:p>
      <w:pPr>
        <w:spacing w:after="0" w:line="229" w:lineRule="exact"/>
        <w:rPr>
          <w:sz w:val="20"/>
          <w:szCs w:val="20"/>
          <w:color w:val="auto"/>
        </w:rPr>
      </w:pPr>
    </w:p>
    <w:p>
      <w:pPr>
        <w:ind w:right="380" w:firstLine="494"/>
        <w:spacing w:after="0" w:line="266"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149225</wp:posOffset>
            </wp:positionV>
            <wp:extent cx="5314950" cy="1800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1495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Discovery, we screen compounds against biological assays to identify lead compounds with selective activity to our specific mutant p53 target of interest.</w:t>
      </w:r>
    </w:p>
    <w:p>
      <w:pPr>
        <w:spacing w:after="0" w:line="95" w:lineRule="exact"/>
        <w:rPr>
          <w:rFonts w:ascii="Times New Roman" w:cs="Times New Roman" w:eastAsia="Times New Roman" w:hAnsi="Times New Roman"/>
          <w:sz w:val="14"/>
          <w:szCs w:val="14"/>
          <w:color w:val="auto"/>
        </w:rPr>
      </w:pPr>
    </w:p>
    <w:p>
      <w:pPr>
        <w:ind w:left="380" w:right="380" w:hanging="372"/>
        <w:spacing w:after="0" w:line="261"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Lead Optimization, we modify the lead compound to improve potency, selectivity, pharmacokinetic and toxicity parameters and physical chemical properties important for clinical development.</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IND-Enabling Studies, we conduct preclinical studies, in accordance with Good Laboratory Practice, or GLP, required for an IND submission to the FDA.</w:t>
      </w:r>
    </w:p>
    <w:p>
      <w:pPr>
        <w:spacing w:after="0" w:line="208"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FDA, and we are not aware of any other products in clinical development, that selectively target the p53 Y220C mutation.</w:t>
      </w:r>
    </w:p>
    <w:p>
      <w:pPr>
        <w:spacing w:after="0" w:line="180" w:lineRule="exact"/>
        <w:rPr>
          <w:sz w:val="20"/>
          <w:szCs w:val="20"/>
          <w:color w:val="auto"/>
        </w:rPr>
      </w:pPr>
    </w:p>
    <w:p>
      <w:pPr>
        <w:ind w:right="140" w:firstLine="494"/>
        <w:spacing w:after="0" w:line="255" w:lineRule="auto"/>
        <w:rPr>
          <w:sz w:val="20"/>
          <w:szCs w:val="20"/>
          <w:color w:val="auto"/>
        </w:rPr>
      </w:pPr>
      <w:r>
        <w:rPr>
          <w:rFonts w:ascii="Times New Roman" w:cs="Times New Roman" w:eastAsia="Times New Roman" w:hAnsi="Times New Roman"/>
          <w:sz w:val="18"/>
          <w:szCs w:val="18"/>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primarily functions in cells with the p53 Y220C mutation) and exhibited robust anti-tumor activity evidenced by potent tumor growth inhibition, or TGI, and strong tumor regression as a single agent. In these studies, PC14586 also induced the expression of Macrophage Inhibitory Cytokine-1, or MIC-1, which is an established biomarker for wild-type p53 activity that can be measured non-invasively in the blood in animal models as well as in humans. Further, preclinical studies have demonstrated significant synergistic effects in combination with anti-PD-1 therapy.</w:t>
      </w:r>
    </w:p>
    <w:p>
      <w:pPr>
        <w:spacing w:after="0" w:line="189"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We initiated a Phase 1/2 clinical trial for PC14586 in October 2020. In addition, we were granted FDA Fast Track designation of PC14586 for the treatment of patients with locally advanced or metastatic solid tumors that have a p53 Y220C mutation in October 2020. We dosed our first patient in this clinical trial in the fourth quarter of 2020. The Phase 1 portion of the trial is designed to evaluate escalating doses of PC14586 to determine the maximum tolerated dose, or MTD, and recommended Phase 2 dose of PC14586 when administered orally to patients on a once daily dosing schedule. Safety, tolerability and effects on biomarkers such as MIC-1 will also be assessed. The Phase 1 portion is also designed to assess preliminary anti-tumor efficacy in patients with advanced solid tumors that have the p53 Y220C mutation. In the Phase 2 portion, we plan to evaluate the objective response rate, or ORR, and duration of response, or DoR, in patients with advanced solid tumors that have the p53 Y220C mutation. We initially intend to pursue an accelerated approval on the basis of this Phase 1/2 clinical trial for a tumor-agnostic indication for PC14586, subject to discussions with FDA and other health authorities.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6" w:name="page7"/>
    <w:bookmarkEnd w:id="6"/>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We believe the mechanism of action employed by PC14586 to structurally correct a specific p53 mutant and restore wild-type p53 activity could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Our vision is to become a leading precision oncology company by designing, developing and commercializing novel precision medicines for every patient with a tumor containing a p53 mutation.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68" w:lineRule="exact"/>
        <w:rPr>
          <w:sz w:val="20"/>
          <w:szCs w:val="20"/>
          <w:color w:val="auto"/>
        </w:rPr>
      </w:pPr>
    </w:p>
    <w:p>
      <w:pPr>
        <w:ind w:left="860" w:right="20" w:hanging="366"/>
        <w:spacing w:after="0" w:line="254"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Advancing our lead product candidate, PC14586, as a tumor-agnostic, oral small molecule single-agent therapy for cancer patients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designed PC14586 to be an orally available, tumor-agnostic therapeutic and, if approved, we believe it could become the first agent to address the p53 Y220C mutation-defined patient population. In October 2020, we initiated a Phase 1/2 clinical trial for PC14586 in multiple solid tumors with the p53 Y220C mutation. We plan to conduct our clinical trials in this genetically-defined patient population and leverage learnings from recently approved tumor-agnostic drugs to inform the clinical and regulatory pathways for PC14586. If successful in achieving clinically meaningful anti-tumor efficacy in patients with p53 Y220C mutations across a range of solid tumor types, we plan to meet with regulatory authorities to discuss the potential to pursue approval for a tumor-agnostic label under the FDA’s accelerated approval pathway. In addition to the recent Fast Track designation by the FDA, we also plan to explore pursuing other expedited regulatory pathways, such as breakthrough therapy designation and orphan drug designation for PC14586.</w:t>
      </w:r>
    </w:p>
    <w:p>
      <w:pPr>
        <w:spacing w:after="0" w:line="80" w:lineRule="exact"/>
        <w:rPr>
          <w:rFonts w:ascii="Times New Roman" w:cs="Times New Roman" w:eastAsia="Times New Roman" w:hAnsi="Times New Roman"/>
          <w:sz w:val="18"/>
          <w:szCs w:val="18"/>
          <w:color w:val="auto"/>
        </w:rPr>
      </w:pPr>
    </w:p>
    <w:p>
      <w:pPr>
        <w:ind w:left="860" w:hanging="366"/>
        <w:spacing w:after="0" w:line="255"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Harnessing the power of our precision oncology platform to discover and develop additional differentiated product candidates that are designed to precisely target p53 mutations in cancer</w:t>
      </w:r>
      <w:r>
        <w:rPr>
          <w:rFonts w:ascii="Times New Roman" w:cs="Times New Roman" w:eastAsia="Times New Roman" w:hAnsi="Times New Roman"/>
          <w:sz w:val="18"/>
          <w:szCs w:val="18"/>
          <w:color w:val="auto"/>
        </w:rPr>
        <w:t>. We believe that the general principles for our PC14586 Y220C program can be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including our R273H program. In an ongoing effort to bring forward new product candidates, we plan to continue to invest in our precision oncology platform, including our high-throughput screens that allow for quantitative visualization of the conversion from mutant to wild-type p53 in a dose-dependent manner.</w:t>
      </w:r>
    </w:p>
    <w:p>
      <w:pPr>
        <w:spacing w:after="0" w:line="76" w:lineRule="exact"/>
        <w:rPr>
          <w:rFonts w:ascii="Times New Roman" w:cs="Times New Roman" w:eastAsia="Times New Roman" w:hAnsi="Times New Roman"/>
          <w:sz w:val="18"/>
          <w:szCs w:val="18"/>
          <w:color w:val="auto"/>
        </w:rPr>
      </w:pPr>
    </w:p>
    <w:p>
      <w:pPr>
        <w:ind w:left="860" w:right="20" w:hanging="366"/>
        <w:spacing w:after="0" w:line="254"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Leveraging the advantages of precision medicine and our expertise in p53 biology to pursue accelerated approval of our product candidates</w:t>
      </w:r>
      <w:r>
        <w:rPr>
          <w:rFonts w:ascii="Times New Roman" w:cs="Times New Roman" w:eastAsia="Times New Roman" w:hAnsi="Times New Roman"/>
          <w:sz w:val="18"/>
          <w:szCs w:val="18"/>
          <w:color w:val="auto"/>
        </w:rPr>
        <w:t>. For our lead product candidate, PC14586, we are actively working with physicians and leading academic centers to enroll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p53 Y220C mutation identified through NGS in our Phase 1/2 clinical trial. In order to rapidly confirm mechanistic and clinical proof of concept, we utilize assays to measure target engagement and biomarkers, as well as assess clinical responses in patients. We expect this strategy, which we also plan to replicate for our other future product candidates, will enable a rapid determination of target engagement and has potential to serve as a predictive marker of efficacy, thereby providing clear decision points for clinical development and efficient advancement of our product candidates towards approval. If we obtain early and encouraging clinical results, we may seek breakthrough therapy designation from the FDA, which, if granted, is intended to expedite clinical development and regulatory review. We intend to maximize the benefit of our product candidates by pursuing a tumor-agnostic approach.</w:t>
      </w:r>
    </w:p>
    <w:p>
      <w:pPr>
        <w:spacing w:after="0" w:line="80" w:lineRule="exact"/>
        <w:rPr>
          <w:rFonts w:ascii="Times New Roman" w:cs="Times New Roman" w:eastAsia="Times New Roman" w:hAnsi="Times New Roman"/>
          <w:sz w:val="18"/>
          <w:szCs w:val="18"/>
          <w:color w:val="auto"/>
        </w:rPr>
      </w:pPr>
    </w:p>
    <w:p>
      <w:pPr>
        <w:ind w:left="860" w:right="40" w:hanging="366"/>
        <w:spacing w:after="0" w:line="268"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Identifying and exploring combination therapy approaches for our product candidates</w:t>
      </w:r>
      <w:r>
        <w:rPr>
          <w:rFonts w:ascii="Times New Roman" w:cs="Times New Roman" w:eastAsia="Times New Roman" w:hAnsi="Times New Roman"/>
          <w:sz w:val="18"/>
          <w:szCs w:val="18"/>
          <w:color w:val="auto"/>
        </w:rPr>
        <w:t>. Though PC14586 has demonstrated clear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robust tumor regression as a single agent in preclinical animal models, we believe that the mechanism of correcting the structure of mutant p53 can be complementary to</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 w:name="page8"/>
    <w:bookmarkEnd w:id="7"/>
    <w:p>
      <w:pPr>
        <w:ind w:left="860" w:right="20"/>
        <w:spacing w:after="0" w:line="256" w:lineRule="auto"/>
        <w:rPr>
          <w:sz w:val="20"/>
          <w:szCs w:val="20"/>
          <w:color w:val="auto"/>
        </w:rPr>
      </w:pPr>
      <w:r>
        <w:rPr>
          <w:rFonts w:ascii="Times New Roman" w:cs="Times New Roman" w:eastAsia="Times New Roman" w:hAnsi="Times New Roman"/>
          <w:sz w:val="18"/>
          <w:szCs w:val="18"/>
          <w:color w:val="auto"/>
        </w:rPr>
        <w:t>other oncology therapies. Leveraging our expertise in p53 biology, chemistry and cancer pharmacology, we plan to identify and explore combination strategies with multiple cancer therapies. For example, chemotherapy and radiation therapy, approaches that result in DNA damage, upregulate p53 and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History and Team</w:t>
      </w:r>
    </w:p>
    <w:p>
      <w:pPr>
        <w:spacing w:after="0" w:line="229"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We believe we have established a leadership position in the discovery and development of oral small molecule therapies targeting mutant p53. Founded in 2013 by David Mack, Ph.D., Arnold Levine, Ph.D. and Thomas Shenk, Ph.D.,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w:t>
      </w:r>
    </w:p>
    <w:p>
      <w:pPr>
        <w:spacing w:after="0" w:line="180"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We have assembled a team with significant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Leila Alland, M.D., our Chief Medical Officer, is an oncologist with 20 years of experience developing oncology products in the biopharmaceutical industry, most recently as Chief Medical Officer of Affimed. Deepika Jalota, Pharm.D., our Chief Regulatory and Quality Assurance Officer, was previously Vice President in Oncology Regulatory Affairs at Bayer and led the tumor-agnostic regulatory strategy for larotrectinib (Vitrakvi) in collaboration with Loxo Oncology.</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company was founded and continues to be supported by world-class scientific advisors, including our scientific advisory board, or SAB:</w:t>
      </w:r>
    </w:p>
    <w:p>
      <w:pPr>
        <w:spacing w:after="0" w:line="117" w:lineRule="exact"/>
        <w:rPr>
          <w:sz w:val="20"/>
          <w:szCs w:val="20"/>
          <w:color w:val="auto"/>
        </w:rPr>
      </w:pPr>
    </w:p>
    <w:p>
      <w:pPr>
        <w:ind w:left="860" w:right="200" w:hanging="366"/>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Lowe, Ph.D.—Chair, Cancer Biology and Genetics Program, Sloan Kettering Institute, Chair, Geoffrey Beene Cancer Research Center, Memorial Sloan Kettering and co-founder of ORIC Pharmaceuticals (Nasdaq: ORIC);</w:t>
      </w:r>
    </w:p>
    <w:p>
      <w:pPr>
        <w:spacing w:after="0" w:line="53" w:lineRule="exact"/>
        <w:rPr>
          <w:rFonts w:ascii="Times New Roman" w:cs="Times New Roman" w:eastAsia="Times New Roman" w:hAnsi="Times New Roman"/>
          <w:sz w:val="18"/>
          <w:szCs w:val="18"/>
          <w:color w:val="auto"/>
        </w:rPr>
      </w:pPr>
    </w:p>
    <w:p>
      <w:pPr>
        <w:ind w:left="860" w:right="100" w:hanging="366"/>
        <w:spacing w:after="0" w:line="266"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Heyman, Ph.D.—Vice Chair of the Board of Trustees at the Salk Institute, former Chief Executive Officer of Aragon Pharmaceuticals (acquired by Johnson &amp; Johnson (NYSE: JNJ)), co-founder and former Chief Executive Officer of Seragon Pharmaceuticals (acquired by Roche Genentech), and co-founder, Chairman and former Chief Executive Officer of ORIC Pharmaceuticals (Nasdaq: ORIC);</w:t>
      </w:r>
    </w:p>
    <w:p>
      <w:pPr>
        <w:spacing w:after="0" w:line="67" w:lineRule="exact"/>
        <w:rPr>
          <w:rFonts w:ascii="Times New Roman" w:cs="Times New Roman" w:eastAsia="Times New Roman" w:hAnsi="Times New Roman"/>
          <w:sz w:val="18"/>
          <w:szCs w:val="18"/>
          <w:color w:val="auto"/>
        </w:rPr>
      </w:pPr>
    </w:p>
    <w:p>
      <w:pPr>
        <w:ind w:left="860" w:right="20" w:hanging="366"/>
        <w:spacing w:after="0" w:line="261"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Jung, Ph.D.—Distinguished Professor of Chemistry and Biochemistry at University of California, Los Angeles, and co-founder of Aragon Pharmaceuticals (acquired by Johnson &amp; Johnson (NYSE: JNJ)) and Seragon Pharmaceuticals (acquired by Roche Genentech), and co-discovered Xtandi, an FDA-approved prostate cancer drug licensed to Medivation (acquired by Pfizer (NYSE: PFE)), and Erleada, an FDA-approved prostate cancer drug developed by Aragon Pharmaceuticals and acquired by Johnson &amp; Johnson;</w:t>
      </w:r>
    </w:p>
    <w:p>
      <w:pPr>
        <w:spacing w:after="0" w:line="71"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Arnold Levine, Ph.D.—Professor Emeritus, School of Natural Sciences Biology, Institute of Advanced Studies;</w:t>
      </w:r>
    </w:p>
    <w:p>
      <w:pPr>
        <w:spacing w:after="0" w:line="14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Guillermina Lozano, Ph.D. —Chair, Department of Genetics, The University of Texas MD Anderson Cancer Center;</w:t>
      </w:r>
    </w:p>
    <w:p>
      <w:pPr>
        <w:spacing w:after="0" w:line="144" w:lineRule="exact"/>
        <w:rPr>
          <w:rFonts w:ascii="Times New Roman" w:cs="Times New Roman" w:eastAsia="Times New Roman" w:hAnsi="Times New Roman"/>
          <w:sz w:val="18"/>
          <w:szCs w:val="18"/>
          <w:color w:val="auto"/>
        </w:rPr>
      </w:pPr>
    </w:p>
    <w:p>
      <w:pPr>
        <w:ind w:left="860" w:right="360" w:hanging="366"/>
        <w:spacing w:after="0" w:line="266"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McCormick, Ph.D., F.R.S.—Professor at the UCSF Helen Diller Comprehensive Cancer Center, co-founder of Bridge Bio and Onyx Pharmaceuticals and initiated and led drug discovery efforts that led to approval of Nexavar, an FDA-approved drug for liver, thyroid and kidney cancer;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left="860" w:hanging="366"/>
        <w:spacing w:after="0" w:line="258"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Sawyers, M.D.—Marie-Josee and Henry R. Kravis Chair in Human Oncology and Pathogenesis, Memorial Sloan Kettering, co-founder of Aragon Pharmaceuticals (acquired by Johnson &amp; Johnson (NYSE: JNJ)), Seragon Pharmaceuticals (acquired by Roche Genentech), and ORIC Pharmaceuticals (Nasdaq: ORIC), and member of the board of directors of Novartis (NYSE: NVS), and co-discovered Xtandi, an FDA-approved prostate cancer drug licensed to Medivation and Erleada, an FDA-approved prostate cancer drug developed by Aragon Pharmaceuticals and acquired by Johnson &amp; Johnson;</w:t>
      </w:r>
    </w:p>
    <w:p>
      <w:pPr>
        <w:spacing w:after="0" w:line="75"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Shenk, Ph.D.—James A. Elkins Professor of Life Sciences in the Department of Molecular Biology at Princeton University; and</w:t>
      </w:r>
    </w:p>
    <w:p>
      <w:pPr>
        <w:spacing w:after="0" w:line="144" w:lineRule="exact"/>
        <w:rPr>
          <w:rFonts w:ascii="Times New Roman" w:cs="Times New Roman" w:eastAsia="Times New Roman" w:hAnsi="Times New Roman"/>
          <w:sz w:val="18"/>
          <w:szCs w:val="18"/>
          <w:color w:val="auto"/>
        </w:rPr>
      </w:pPr>
    </w:p>
    <w:p>
      <w:pPr>
        <w:ind w:left="860" w:right="100" w:hanging="366"/>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Karen Vousden, Ph.D.—Chief Scientist at Cancer Research UK (CRUK), Group Leader at the Francis Crick Institute and member of the board of directors of Bristol-Myers Squibb (NYSE: BMY).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Background on Targeted Therapies</w:t>
      </w:r>
    </w:p>
    <w:p>
      <w:pPr>
        <w:spacing w:after="0" w:line="229" w:lineRule="exact"/>
        <w:rPr>
          <w:sz w:val="20"/>
          <w:szCs w:val="20"/>
          <w:color w:val="auto"/>
        </w:rPr>
      </w:pPr>
    </w:p>
    <w:p>
      <w:pPr>
        <w:ind w:right="240" w:firstLine="494"/>
        <w:spacing w:after="0" w:line="261" w:lineRule="auto"/>
        <w:rPr>
          <w:sz w:val="20"/>
          <w:szCs w:val="20"/>
          <w:color w:val="auto"/>
        </w:rPr>
      </w:pPr>
      <w:r>
        <w:rPr>
          <w:rFonts w:ascii="Times New Roman" w:cs="Times New Roman" w:eastAsia="Times New Roman" w:hAnsi="Times New Roman"/>
          <w:sz w:val="18"/>
          <w:szCs w:val="18"/>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80"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and Qinlock, in GIST (Deciphera), all received approvals within five years of first dosing in humans. This time period is significantly reduced compared to conventional drug development timelines. Despite this progress, a recent analysis found that only 8% of patients with metastatic cancer have tumors with genetic profiles eligible for treatment with an approved targeted agent, which leaves a large opportunity for precision oncology.</w:t>
      </w:r>
    </w:p>
    <w:p>
      <w:pPr>
        <w:spacing w:after="0" w:line="192"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the pembrolizumab, or Keytruda, approval in metastatic microsatellite instability-high, or MSI-high, or deficient mismatch repair, or dMMR, solid tumors. We believe that these approvals represent a fundamental shift in the development of targeted therapies and will increasingly lead to cancer being characterized for treatment in a genetic, rather than in a tumor-specific, manner.</w:t>
      </w:r>
    </w:p>
    <w:p>
      <w:pPr>
        <w:spacing w:after="0" w:line="187"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The widespread recognition that cancer is a genetic disease, as much as it is a disease defined by histology or anatomical location, has driven the increased use of genetic sequencing, which is now employed by 75% of oncologists in the United States. As technology advances in DNA sequencing,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 Given the high prevalence of p53 mutations in cancers, we believe that the best way to address p53-driven cancers is by targeting individual p53 mutations using a precision oncology approach and significantly expand the scope of patients who can benefit from targeted therapies.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Background on p53, the Most Frequently Mutated Gene in Human Cancer</w:t>
      </w:r>
    </w:p>
    <w:p>
      <w:pPr>
        <w:spacing w:after="0" w:line="229" w:lineRule="exact"/>
        <w:rPr>
          <w:sz w:val="20"/>
          <w:szCs w:val="20"/>
          <w:color w:val="auto"/>
        </w:rPr>
      </w:pPr>
    </w:p>
    <w:p>
      <w:pPr>
        <w:ind w:right="180" w:firstLine="494"/>
        <w:spacing w:after="0" w:line="258" w:lineRule="auto"/>
        <w:rPr>
          <w:sz w:val="20"/>
          <w:szCs w:val="20"/>
          <w:color w:val="auto"/>
        </w:rPr>
      </w:pPr>
      <w:r>
        <w:rPr>
          <w:rFonts w:ascii="Times New Roman" w:cs="Times New Roman" w:eastAsia="Times New Roman" w:hAnsi="Times New Roman"/>
          <w:sz w:val="18"/>
          <w:szCs w:val="18"/>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83"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80"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 malignant cells or eliminates 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83" w:lineRule="exact"/>
        <w:rPr>
          <w:sz w:val="20"/>
          <w:szCs w:val="20"/>
          <w:color w:val="auto"/>
        </w:rPr>
      </w:pPr>
    </w:p>
    <w:p>
      <w:pPr>
        <w:ind w:right="120" w:firstLine="494"/>
        <w:spacing w:after="0" w:line="257" w:lineRule="auto"/>
        <w:rPr>
          <w:sz w:val="20"/>
          <w:szCs w:val="20"/>
          <w:color w:val="auto"/>
        </w:rPr>
      </w:pPr>
      <w:r>
        <w:rPr>
          <w:rFonts w:ascii="Times New Roman" w:cs="Times New Roman" w:eastAsia="Times New Roman" w:hAnsi="Times New Roman"/>
          <w:sz w:val="18"/>
          <w:szCs w:val="18"/>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w:t>
      </w:r>
    </w:p>
    <w:p>
      <w:pPr>
        <w:spacing w:after="0" w:line="1"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7"/>
          <w:szCs w:val="17"/>
          <w:color w:val="auto"/>
        </w:rPr>
        <w:t>selective manner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regardless of which p53 mutation the tumor is harboring) are likely to face significant challenges, as a “one size fits all” drug is unlikely to address all p53 mutants and could have the potential for off-target toxicities. We are initially focusing on targeting the p53 hotspot mutations.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Focus: Top Ten Most Frequent p53 Mutations</w:t>
      </w:r>
    </w:p>
    <w:p>
      <w:pPr>
        <w:spacing w:after="0" w:line="295" w:lineRule="exact"/>
        <w:rPr>
          <w:sz w:val="20"/>
          <w:szCs w:val="20"/>
          <w:color w:val="auto"/>
        </w:rPr>
      </w:pPr>
    </w:p>
    <w:tbl>
      <w:tblPr>
        <w:tblLayout w:type="fixed"/>
        <w:tblInd w:w="470" w:type="dxa"/>
        <w:tblCellMar>
          <w:top w:w="0" w:type="dxa"/>
          <w:left w:w="0" w:type="dxa"/>
          <w:bottom w:w="0" w:type="dxa"/>
          <w:right w:w="0" w:type="dxa"/>
        </w:tblCellMar>
      </w:tblPr>
      <w:tr>
        <w:trPr>
          <w:trHeight w:val="223"/>
        </w:trPr>
        <w:tc>
          <w:tcPr>
            <w:tcW w:w="5280" w:type="dxa"/>
            <w:vAlign w:val="bottom"/>
            <w:tcBorders>
              <w:top w:val="single" w:sz="8" w:color="auto"/>
              <w:left w:val="single" w:sz="8" w:color="auto"/>
              <w:bottom w:val="single" w:sz="8" w:color="0C0C0C"/>
            </w:tcBorders>
            <w:shd w:val="clear" w:color="auto" w:fill="0C0C0C"/>
          </w:tcPr>
          <w:p>
            <w:pPr>
              <w:ind w:left="2040"/>
              <w:spacing w:after="0"/>
              <w:rPr>
                <w:sz w:val="20"/>
                <w:szCs w:val="20"/>
                <w:color w:val="auto"/>
              </w:rPr>
            </w:pPr>
            <w:r>
              <w:rPr>
                <w:rFonts w:ascii="Times New Roman" w:cs="Times New Roman" w:eastAsia="Times New Roman" w:hAnsi="Times New Roman"/>
                <w:sz w:val="14"/>
                <w:szCs w:val="14"/>
                <w:b w:val="1"/>
                <w:bCs w:val="1"/>
                <w:color w:val="FFFFFF"/>
              </w:rPr>
              <w:t>p53 Hotspot Mutation</w:t>
            </w:r>
          </w:p>
        </w:tc>
        <w:tc>
          <w:tcPr>
            <w:tcW w:w="5080" w:type="dxa"/>
            <w:vAlign w:val="bottom"/>
            <w:tcBorders>
              <w:top w:val="single" w:sz="8" w:color="auto"/>
              <w:bottom w:val="single" w:sz="8" w:color="0C0C0C"/>
              <w:right w:val="single" w:sz="8" w:color="auto"/>
            </w:tcBorders>
            <w:shd w:val="clear" w:color="auto" w:fill="0C0C0C"/>
          </w:tcPr>
          <w:p>
            <w:pPr>
              <w:jc w:val="center"/>
              <w:ind w:left="152"/>
              <w:spacing w:after="0"/>
              <w:rPr>
                <w:sz w:val="20"/>
                <w:szCs w:val="20"/>
                <w:color w:val="auto"/>
              </w:rPr>
            </w:pPr>
            <w:r>
              <w:rPr>
                <w:rFonts w:ascii="Times New Roman" w:cs="Times New Roman" w:eastAsia="Times New Roman" w:hAnsi="Times New Roman"/>
                <w:sz w:val="14"/>
                <w:szCs w:val="14"/>
                <w:b w:val="1"/>
                <w:bCs w:val="1"/>
                <w:color w:val="FFFFFF"/>
              </w:rPr>
              <w:t>Frequency Among p53 Mutations</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R175H</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5.6%</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R248Q</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4.4%</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R273H</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4.0%</w:t>
            </w:r>
          </w:p>
        </w:tc>
      </w:tr>
      <w:tr>
        <w:trPr>
          <w:trHeight w:val="256"/>
        </w:trPr>
        <w:tc>
          <w:tcPr>
            <w:tcW w:w="52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R248W</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3.5%</w:t>
            </w:r>
          </w:p>
        </w:tc>
      </w:tr>
      <w:tr>
        <w:trPr>
          <w:trHeight w:val="257"/>
        </w:trPr>
        <w:tc>
          <w:tcPr>
            <w:tcW w:w="5280" w:type="dxa"/>
            <w:vAlign w:val="bottom"/>
            <w:tcBorders>
              <w:left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8"/>
              </w:rPr>
              <w:t>R273C</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3.3%</w:t>
            </w:r>
          </w:p>
        </w:tc>
      </w:tr>
      <w:tr>
        <w:trPr>
          <w:trHeight w:val="257"/>
        </w:trPr>
        <w:tc>
          <w:tcPr>
            <w:tcW w:w="52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R282W</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2.8%</w:t>
            </w:r>
          </w:p>
        </w:tc>
      </w:tr>
      <w:tr>
        <w:trPr>
          <w:trHeight w:val="257"/>
        </w:trPr>
        <w:tc>
          <w:tcPr>
            <w:tcW w:w="5280" w:type="dxa"/>
            <w:vAlign w:val="bottom"/>
            <w:tcBorders>
              <w:left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rPr>
              <w:t>G245S</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2.1%</w:t>
            </w:r>
          </w:p>
        </w:tc>
      </w:tr>
      <w:tr>
        <w:trPr>
          <w:trHeight w:val="256"/>
        </w:trPr>
        <w:tc>
          <w:tcPr>
            <w:tcW w:w="52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R249S</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2.0%</w:t>
            </w:r>
          </w:p>
        </w:tc>
      </w:tr>
      <w:tr>
        <w:trPr>
          <w:trHeight w:val="257"/>
        </w:trPr>
        <w:tc>
          <w:tcPr>
            <w:tcW w:w="5280" w:type="dxa"/>
            <w:vAlign w:val="bottom"/>
            <w:tcBorders>
              <w:left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8"/>
              </w:rPr>
              <w:t>Y220C</w:t>
            </w:r>
          </w:p>
        </w:tc>
        <w:tc>
          <w:tcPr>
            <w:tcW w:w="5080" w:type="dxa"/>
            <w:vAlign w:val="bottom"/>
            <w:tcBorders>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1.8%</w:t>
            </w:r>
          </w:p>
        </w:tc>
      </w:tr>
      <w:tr>
        <w:trPr>
          <w:trHeight w:val="257"/>
        </w:trPr>
        <w:tc>
          <w:tcPr>
            <w:tcW w:w="5280" w:type="dxa"/>
            <w:vAlign w:val="bottom"/>
            <w:tcBorders>
              <w:left w:val="single" w:sz="8" w:color="auto"/>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rPr>
              <w:t>V157F</w:t>
            </w:r>
          </w:p>
        </w:tc>
        <w:tc>
          <w:tcPr>
            <w:tcW w:w="5080" w:type="dxa"/>
            <w:vAlign w:val="bottom"/>
            <w:tcBorders>
              <w:bottom w:val="single" w:sz="8" w:color="auto"/>
              <w:right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1.0%</w:t>
            </w: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Approach to Targeting p53</w:t>
      </w:r>
    </w:p>
    <w:p>
      <w:pPr>
        <w:spacing w:after="0" w:line="229"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Our goal is to bring precision oncology therapies to a greater number of patients. Decades of research on p53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therapeutic strategy to target p53.</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drug development efforts leverage our understanding that:</w:t>
      </w:r>
    </w:p>
    <w:p>
      <w:pPr>
        <w:spacing w:after="0" w:line="117" w:lineRule="exact"/>
        <w:rPr>
          <w:sz w:val="20"/>
          <w:szCs w:val="20"/>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mutations throughout the p53 protein can drive tumor formation and growth;</w:t>
      </w:r>
    </w:p>
    <w:p>
      <w:pPr>
        <w:spacing w:after="0" w:line="144" w:lineRule="exact"/>
        <w:rPr>
          <w:rFonts w:ascii="Times New Roman" w:cs="Times New Roman" w:eastAsia="Times New Roman" w:hAnsi="Times New Roman"/>
          <w:sz w:val="18"/>
          <w:szCs w:val="18"/>
          <w:color w:val="auto"/>
        </w:rPr>
      </w:pPr>
    </w:p>
    <w:p>
      <w:pPr>
        <w:ind w:left="860" w:right="700" w:hanging="366"/>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mutant p53 protein resulting from a specific mutation can potentially be structurally corrected by a selective small molecule, thereby reactivating wild-type p53 activity; and</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p53 hotspot mutations comprise approximately 30% of all p53 mutations and each p53 hotspot mutation represents an individual therapeutic target for drug discovery and development.</w:t>
      </w:r>
    </w:p>
    <w:p>
      <w:pPr>
        <w:spacing w:after="0" w:line="162"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We believe this will allow us to design and develop potential therapies for patients for whom there are currently no targeted treatment options.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Innovation Engine</w:t>
      </w:r>
    </w:p>
    <w:p>
      <w:pPr>
        <w:spacing w:after="0" w:line="229"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We have built an innovation engine that allows us to discover and develop potential targeted therapies for mutant p53-driven cancers. This engine consists of three complementary drivers:</w:t>
      </w:r>
    </w:p>
    <w:p>
      <w:pPr>
        <w:spacing w:after="0" w:line="50" w:lineRule="exact"/>
        <w:rPr>
          <w:sz w:val="20"/>
          <w:szCs w:val="20"/>
          <w:color w:val="auto"/>
        </w:rPr>
      </w:pPr>
    </w:p>
    <w:p>
      <w:pPr>
        <w:ind w:left="860" w:right="280" w:hanging="366"/>
        <w:spacing w:after="0" w:line="259"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 understanding of, and leadership in, p53 biology that enable unique insights into targeting individual mutations.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leveraged more than four decades of research experience and developed unique insights into p53 biology, a field that was discovered and established by our co-founder Dr. Arnold Levine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ind w:left="860" w:right="100"/>
        <w:spacing w:after="0" w:line="282" w:lineRule="auto"/>
        <w:rPr>
          <w:sz w:val="20"/>
          <w:szCs w:val="20"/>
          <w:color w:val="auto"/>
        </w:rPr>
      </w:pPr>
      <w:r>
        <w:rPr>
          <w:rFonts w:ascii="Times New Roman" w:cs="Times New Roman" w:eastAsia="Times New Roman" w:hAnsi="Times New Roman"/>
          <w:sz w:val="18"/>
          <w:szCs w:val="18"/>
          <w:color w:val="auto"/>
        </w:rPr>
        <w:t>unlikely to address all p53 mutants. Based on our experience and expertise, we are developing oral small molecules that each selectively target a specific p53 hotspot mutation.</w:t>
      </w:r>
    </w:p>
    <w:p>
      <w:pPr>
        <w:spacing w:after="0" w:line="50" w:lineRule="exact"/>
        <w:rPr>
          <w:sz w:val="20"/>
          <w:szCs w:val="20"/>
          <w:color w:val="auto"/>
        </w:rPr>
      </w:pPr>
    </w:p>
    <w:p>
      <w:pPr>
        <w:ind w:left="860" w:right="160" w:hanging="366"/>
        <w:spacing w:after="0" w:line="257"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design structure-based oral small molecule product candidates that selectively target and correct specific p53 mutants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Designing molecules for p53 mutants requires an intricate understanding of the p53 protein structure and the 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w:t>
      </w:r>
    </w:p>
    <w:p>
      <w:pPr>
        <w:spacing w:after="0" w:line="74" w:lineRule="exact"/>
        <w:rPr>
          <w:rFonts w:ascii="Times New Roman" w:cs="Times New Roman" w:eastAsia="Times New Roman" w:hAnsi="Times New Roman"/>
          <w:sz w:val="18"/>
          <w:szCs w:val="18"/>
          <w:color w:val="auto"/>
        </w:rPr>
      </w:pPr>
    </w:p>
    <w:p>
      <w:pPr>
        <w:ind w:left="860" w:right="80" w:hanging="366"/>
        <w:spacing w:after="0" w:line="257"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Assays, screens, preclinical model systems and biomarkers that enable us to assess and optimize selective small molecule product candidates for specific p53 mutants. </w:t>
      </w:r>
      <w:r>
        <w:rPr>
          <w:rFonts w:ascii="Times New Roman" w:cs="Times New Roman" w:eastAsia="Times New Roman" w:hAnsi="Times New Roman"/>
          <w:sz w:val="18"/>
          <w:szCs w:val="18"/>
          <w:color w:val="auto"/>
        </w:rPr>
        <w:t>We test our product candidates across a diverse set of human cancer cells based on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understanding of bioinformatics 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We develop innovative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to advance potential therapeutic programs for translation to the clinic.</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Product Candidate and Development Programs</w:t>
      </w:r>
    </w:p>
    <w:p>
      <w:pPr>
        <w:spacing w:after="0" w:line="229"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 small molecule product candidates that structurally correct other p53 hotspot mutations to restore their wild-type function.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123190</wp:posOffset>
            </wp:positionV>
            <wp:extent cx="5314950" cy="1800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495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Discovery, we screen compounds against biological assays to identify lead compounds with selective activity to our specific mutant p53 target of interest.</w:t>
      </w:r>
    </w:p>
    <w:p>
      <w:pPr>
        <w:spacing w:after="0" w:line="95" w:lineRule="exact"/>
        <w:rPr>
          <w:rFonts w:ascii="Times New Roman" w:cs="Times New Roman" w:eastAsia="Times New Roman" w:hAnsi="Times New Roman"/>
          <w:sz w:val="14"/>
          <w:szCs w:val="14"/>
          <w:color w:val="auto"/>
        </w:rPr>
      </w:pPr>
    </w:p>
    <w:p>
      <w:pPr>
        <w:ind w:left="380" w:right="400" w:hanging="372"/>
        <w:spacing w:after="0" w:line="26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Lead Optimization, we modify the lead compound to improve potency, selectivity, pharmacokinetic and toxicity parameters and physical chemical properties important for clinical development.</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IND-Enabling Studies, we conduct preclinical studies, in accordance with GLP required for an IND submission to the FDA.</w:t>
      </w:r>
    </w:p>
    <w:p>
      <w:pPr>
        <w:spacing w:after="0" w:line="208" w:lineRule="exact"/>
        <w:rPr>
          <w:sz w:val="20"/>
          <w:szCs w:val="20"/>
          <w:color w:val="auto"/>
        </w:rPr>
      </w:pPr>
    </w:p>
    <w:p>
      <w:pPr>
        <w:jc w:val="both"/>
        <w:ind w:right="40" w:firstLine="494"/>
        <w:spacing w:after="0" w:line="258" w:lineRule="auto"/>
        <w:rPr>
          <w:sz w:val="20"/>
          <w:szCs w:val="20"/>
          <w:color w:val="auto"/>
        </w:rPr>
      </w:pPr>
      <w:r>
        <w:rPr>
          <w:rFonts w:ascii="Times New Roman" w:cs="Times New Roman" w:eastAsia="Times New Roman" w:hAnsi="Times New Roman"/>
          <w:sz w:val="18"/>
          <w:szCs w:val="18"/>
          <w:color w:val="auto"/>
        </w:rPr>
        <w:t>We expect to initially seek approval of our product candidates in most instances, including with PC14586, at least as a second line therapy or for the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18"/>
          <w:szCs w:val="18"/>
          <w:color w:val="auto"/>
        </w:rPr>
        <w:t>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PC14586: A Selective Structural Corrector of p53 Y220C Mutations</w:t>
      </w:r>
    </w:p>
    <w:p>
      <w:pPr>
        <w:spacing w:after="0" w:line="121"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p53 is the most widely mutated gene in human cancers. The vast majority of these mutations occur as a result of missense mutations that are found in the DNA binding domain. p53 Y220C mutations are found in approximately 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80"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83"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 as shown below for the Y220C mutation.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8"/>
          <w:szCs w:val="18"/>
          <w:b w:val="1"/>
          <w:bCs w:val="1"/>
          <w:color w:val="auto"/>
        </w:rPr>
        <w:t>Y220C Mutant Cancer Cell Lines Contain Large Pools of Mutant p53 Y220C Target Protein Relative to Normal (Wild-type p53)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382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9493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60" w:firstLine="494"/>
        <w:spacing w:after="0" w:line="261" w:lineRule="auto"/>
        <w:rPr>
          <w:sz w:val="20"/>
          <w:szCs w:val="20"/>
          <w:color w:val="auto"/>
        </w:rPr>
      </w:pPr>
      <w:r>
        <w:rPr>
          <w:rFonts w:ascii="Times New Roman" w:cs="Times New Roman" w:eastAsia="Times New Roman" w:hAnsi="Times New Roman"/>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4" w:name="page15"/>
    <w:bookmarkEnd w:id="14"/>
    <w:p>
      <w:pPr>
        <w:ind w:right="400"/>
        <w:spacing w:after="0" w:line="282" w:lineRule="auto"/>
        <w:rPr>
          <w:sz w:val="20"/>
          <w:szCs w:val="20"/>
          <w:color w:val="auto"/>
        </w:rPr>
      </w:pPr>
      <w:r>
        <w:rPr>
          <w:rFonts w:ascii="Times New Roman" w:cs="Times New Roman" w:eastAsia="Times New Roman" w:hAnsi="Times New Roman"/>
          <w:sz w:val="18"/>
          <w:szCs w:val="18"/>
          <w:color w:val="auto"/>
        </w:rPr>
        <w:t>p53 Y220C protein with PC14586 bound in the crevice created by the Y220C mutation. By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114300</wp:posOffset>
            </wp:positionV>
            <wp:extent cx="5194935" cy="2948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9493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 xml:space="preserve">In preclinical studies, we have demonstrated that PC14586 rapidly converts the large protein pool of mutant p53 Y220C protein to wild-type structure. As seen in the graphic below,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PC14586 Demonstrated Structural Conversion from Mutant p53 to Wild-type p53 </w:t>
      </w:r>
      <w:r>
        <w:rPr>
          <w:rFonts w:ascii="Times New Roman" w:cs="Times New Roman" w:eastAsia="Times New Roman" w:hAnsi="Times New Roman"/>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156845</wp:posOffset>
            </wp:positionV>
            <wp:extent cx="2503170" cy="1954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317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15" w:name="page16"/>
    <w:bookmarkEnd w:id="15"/>
    <w:p>
      <w:pPr>
        <w:ind w:firstLine="494"/>
        <w:spacing w:after="0" w:line="261" w:lineRule="auto"/>
        <w:rPr>
          <w:sz w:val="20"/>
          <w:szCs w:val="20"/>
          <w:color w:val="auto"/>
        </w:rPr>
      </w:pPr>
      <w:r>
        <w:rPr>
          <w:rFonts w:ascii="Times New Roman" w:cs="Times New Roman" w:eastAsia="Times New Roman" w:hAnsi="Times New Roman"/>
          <w:sz w:val="18"/>
          <w:szCs w:val="18"/>
          <w:color w:val="auto"/>
        </w:rPr>
        <w:t>PC14586 selectively binds to the crevice created by the Y220C mutation as this molecule does not bind to wild-type p53 or other p53 mutations, including R273H, R273C, R175H, G245S, R248Q and R282W, as demonstrated by the lack of activity (as measured by p21 and MDM2 gene expression seen in the below diagrams). PC14586 only binds to the crevice created by the Y220C mutation, and none of the other tested p53 hotspot mutations, as illustrated by gene expression changes in the Y220C cell line when PC14586 is added in increasing concentrations.</w:t>
      </w:r>
    </w:p>
    <w:p>
      <w:pPr>
        <w:spacing w:after="0" w:line="180"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28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156845</wp:posOffset>
            </wp:positionV>
            <wp:extent cx="5194935" cy="1903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9493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In Vivo Data</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PC14586 exhibited single-agent anti-tumor activity in a dose-dependent manner against mutant p53 Y220C tumors, evidenced by both potent TGI and tumor regression. Oral once-daily dosing over 21 days of PC14586 was well tolerated in nude mice (ten mice per dosing group) bearing p53 Y220C NUGC3 xenograft tumors up to 100 mg/kg, as evidenced by the lack of body weight loss, which is the generally accepted surrogate for toxicity in mice. PC14586 demonstrated dose-dependent TGI at daily doses ranging from 25 mg/kg to 50 mg/kg and robust tumor regression at 100 mg/kg daily.</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162" w:right="539" w:bottom="1440" w:gutter="0" w:footer="0" w:header="0"/>
        </w:sectPr>
      </w:pPr>
    </w:p>
    <w:bookmarkStart w:id="16" w:name="page17"/>
    <w:bookmarkEnd w:id="1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156845</wp:posOffset>
            </wp:positionV>
            <wp:extent cx="5194935" cy="2537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9493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In preclinical animal studies, PC14586 exhibited fast absorption and a durable plasma exposure, which resulted in robust target engagement that correlated with compound exposure levels. Target engagement was demonstrated by the decrease in mutant p53 Y220C and the increase in the wild-type conformation.</w:t>
      </w:r>
    </w:p>
    <w:p>
      <w:pPr>
        <w:spacing w:after="0" w:line="176" w:lineRule="exact"/>
        <w:rPr>
          <w:sz w:val="20"/>
          <w:szCs w:val="20"/>
          <w:color w:val="auto"/>
        </w:rPr>
      </w:pPr>
    </w:p>
    <w:p>
      <w:pPr>
        <w:ind w:right="80" w:firstLine="494"/>
        <w:spacing w:after="0" w:line="312" w:lineRule="auto"/>
        <w:rPr>
          <w:sz w:val="20"/>
          <w:szCs w:val="20"/>
          <w:color w:val="auto"/>
        </w:rPr>
      </w:pPr>
      <w:r>
        <w:rPr>
          <w:rFonts w:ascii="Times New Roman" w:cs="Times New Roman" w:eastAsia="Times New Roman" w:hAnsi="Times New Roman"/>
          <w:sz w:val="17"/>
          <w:szCs w:val="17"/>
          <w:color w:val="auto"/>
        </w:rPr>
        <w:t>Along with tumor regression, in acute dose pharmacokinetic/pharmacodynamic, or PK/PD, studies, oral administration of PC14586 to xenograft mice bearing the NUGC3 (p53 Y220C) tumors resulted in conversion of mutant p53 protein to a wild-type p53 structure as illustrated in the figure below.</w:t>
      </w:r>
    </w:p>
    <w:p>
      <w:pPr>
        <w:spacing w:after="0" w:line="140"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In the mutant p53 structure chart below, the amount of mutant p53 decreased at 8 hours after PC14586 administration on day 1 (QDx1), and the amount of mutant p53 rose by the 24 hour time point compared to the 8 hour time point in the QDx1 portion of the x-axis. When another dose of PC14586 was administered on day 2 (QDx2), the amount of mutant p53 decreased at the 8 hour time point and rose again by the 24 hour time point. The pattern was repeated on the fourth (QDx4) and sixth day (QDx6) of dosing. In all the PC14586 datapoints, the amount of mutant p53 was less than in the vehicle dosing.</w:t>
      </w:r>
    </w:p>
    <w:p>
      <w:pPr>
        <w:spacing w:after="0" w:line="183"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In the wild-type p53 structure chart below, the amount of wild-type p53 increased at 8 hours after PC14586 administration on day 1 (QDx1) and the amount of wild-type p53 decreased by the 24 hour time point compared to the 8 hour time point in the QDx1 portion of the x-axis. The pattern was repeated over the second (QDx2), fourth (QDx4) and sixth (QDx6) days of dosing. In all the PC14586 datapoints, the amount of wild-type p53 was greater than in the vehicle dosing.</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7" w:name="page18"/>
    <w:bookmarkEnd w:id="17"/>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When viewed together, the two charts below show an increase in wild-type p53 corresponding to a decrease in mutant p53 at each of the PC14586 administration time points, which indicate the conversion of mutant p53 to wild-type p53 with the administration of PC14586.</w:t>
      </w: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In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Studies, PC14586 Converted Mutant p53 Protein to a Wild-type p53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156845</wp:posOffset>
            </wp:positionV>
            <wp:extent cx="5194935" cy="1937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493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Additionally, functional p53 activity in the tumor tissue was also demonstrated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induction of wild-type p53 downstream targets). As illustrated in the figure below, PC14586 was observed to induce the expression of the p53 downstream target MIC-1, a clinically validated secreted biomarker of wild-type p53 activity. The administration of PC14586 was associated with an increase in MIC-1 plasma concentration in comparison to the vehicle dosing.</w:t>
      </w: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PC14586 Increased Plasma Concentration of MIC-1, a Clinically Validated Secreted Biomarker of Wild-type p53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156845</wp:posOffset>
            </wp:positionV>
            <wp:extent cx="1817370" cy="2194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737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 that we expect to see in the clinic, as compared to mouse xenograft models</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18" w:name="page19"/>
    <w:bookmarkEnd w:id="18"/>
    <w:p>
      <w:pPr>
        <w:ind w:right="300"/>
        <w:spacing w:after="0" w:line="261" w:lineRule="auto"/>
        <w:rPr>
          <w:sz w:val="20"/>
          <w:szCs w:val="20"/>
          <w:color w:val="auto"/>
        </w:rPr>
      </w:pPr>
      <w:r>
        <w:rPr>
          <w:rFonts w:ascii="Times New Roman" w:cs="Times New Roman" w:eastAsia="Times New Roman" w:hAnsi="Times New Roman"/>
          <w:sz w:val="18"/>
          <w:szCs w:val="18"/>
          <w:color w:val="auto"/>
        </w:rPr>
        <w:t>that incorporate human tumors in mice with no immune system. While some patients with cancer may have weakened immune systems, we believe that few patients have severely or fully dysfunctional immunocompromised systems, and therefore a syngeneic model may better represent the patient population than an immunocompromised mouse model. In addition, with an intact immune system, this model allows us to test anti-tumor activity of PC14586 in combination with immune checkpoint inhibitors.</w:t>
      </w:r>
    </w:p>
    <w:p>
      <w:pPr>
        <w:spacing w:after="0" w:line="180"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the vehicle.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156845</wp:posOffset>
            </wp:positionV>
            <wp:extent cx="4766310" cy="1817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631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Note: Each line represents each mouse where each group has 10 mice</w:t>
      </w:r>
    </w:p>
    <w:p>
      <w:pPr>
        <w:spacing w:after="0" w:line="266" w:lineRule="exact"/>
        <w:rPr>
          <w:sz w:val="20"/>
          <w:szCs w:val="20"/>
          <w:color w:val="auto"/>
        </w:rPr>
      </w:pPr>
    </w:p>
    <w:tbl>
      <w:tblPr>
        <w:tblLayout w:type="fixed"/>
        <w:tblInd w:w="1830" w:type="dxa"/>
        <w:tblCellMar>
          <w:top w:w="0" w:type="dxa"/>
          <w:left w:w="0" w:type="dxa"/>
          <w:bottom w:w="0" w:type="dxa"/>
          <w:right w:w="0" w:type="dxa"/>
        </w:tblCellMar>
      </w:tblPr>
      <w:tr>
        <w:trPr>
          <w:trHeight w:val="164"/>
        </w:trPr>
        <w:tc>
          <w:tcPr>
            <w:tcW w:w="3900" w:type="dxa"/>
            <w:vAlign w:val="bottom"/>
            <w:tcBorders>
              <w:top w:val="single" w:sz="8" w:color="auto"/>
              <w:left w:val="single" w:sz="8" w:color="auto"/>
            </w:tcBorders>
            <w:vMerge w:val="restart"/>
            <w:shd w:val="clear" w:color="auto" w:fill="0C0C0C"/>
          </w:tcPr>
          <w:p>
            <w:pPr>
              <w:jc w:val="center"/>
              <w:ind w:left="56"/>
              <w:spacing w:after="0"/>
              <w:rPr>
                <w:sz w:val="20"/>
                <w:szCs w:val="20"/>
                <w:color w:val="auto"/>
              </w:rPr>
            </w:pPr>
            <w:r>
              <w:rPr>
                <w:rFonts w:ascii="Times New Roman" w:cs="Times New Roman" w:eastAsia="Times New Roman" w:hAnsi="Times New Roman"/>
                <w:sz w:val="14"/>
                <w:szCs w:val="14"/>
                <w:b w:val="1"/>
                <w:bCs w:val="1"/>
                <w:color w:val="FFFFFF"/>
              </w:rPr>
              <w:t>Group</w:t>
            </w:r>
          </w:p>
        </w:tc>
        <w:tc>
          <w:tcPr>
            <w:tcW w:w="3740" w:type="dxa"/>
            <w:vAlign w:val="bottom"/>
            <w:tcBorders>
              <w:top w:val="single" w:sz="8" w:color="auto"/>
              <w:right w:val="single" w:sz="8" w:color="auto"/>
            </w:tcBorders>
            <w:shd w:val="clear" w:color="auto" w:fill="0C0C0C"/>
          </w:tcPr>
          <w:p>
            <w:pPr>
              <w:jc w:val="center"/>
              <w:ind w:left="159"/>
              <w:spacing w:after="0"/>
              <w:rPr>
                <w:sz w:val="20"/>
                <w:szCs w:val="20"/>
                <w:color w:val="auto"/>
              </w:rPr>
            </w:pPr>
            <w:r>
              <w:rPr>
                <w:rFonts w:ascii="Times New Roman" w:cs="Times New Roman" w:eastAsia="Times New Roman" w:hAnsi="Times New Roman"/>
                <w:sz w:val="14"/>
                <w:szCs w:val="14"/>
                <w:b w:val="1"/>
                <w:bCs w:val="1"/>
                <w:color w:val="FFFFFF"/>
              </w:rPr>
              <w:t>Median Survival Time</w:t>
            </w:r>
          </w:p>
        </w:tc>
        <w:tc>
          <w:tcPr>
            <w:tcW w:w="0" w:type="dxa"/>
            <w:vAlign w:val="bottom"/>
          </w:tcPr>
          <w:p>
            <w:pPr>
              <w:spacing w:after="0"/>
              <w:rPr>
                <w:sz w:val="1"/>
                <w:szCs w:val="1"/>
                <w:color w:val="auto"/>
              </w:rPr>
            </w:pPr>
          </w:p>
        </w:tc>
      </w:tr>
      <w:tr>
        <w:trPr>
          <w:trHeight w:val="207"/>
        </w:trPr>
        <w:tc>
          <w:tcPr>
            <w:tcW w:w="3900" w:type="dxa"/>
            <w:vAlign w:val="bottom"/>
            <w:tcBorders>
              <w:left w:val="single" w:sz="8" w:color="auto"/>
              <w:bottom w:val="single" w:sz="8" w:color="0C0C0C"/>
            </w:tcBorders>
            <w:vMerge w:val="continue"/>
            <w:shd w:val="clear" w:color="auto" w:fill="0C0C0C"/>
          </w:tcPr>
          <w:p>
            <w:pPr>
              <w:spacing w:after="0"/>
              <w:rPr>
                <w:sz w:val="18"/>
                <w:szCs w:val="18"/>
                <w:color w:val="auto"/>
              </w:rPr>
            </w:pPr>
          </w:p>
        </w:tc>
        <w:tc>
          <w:tcPr>
            <w:tcW w:w="3740" w:type="dxa"/>
            <w:vAlign w:val="bottom"/>
            <w:tcBorders>
              <w:bottom w:val="single" w:sz="8" w:color="0C0C0C"/>
              <w:right w:val="single" w:sz="8" w:color="auto"/>
            </w:tcBorders>
            <w:shd w:val="clear" w:color="auto" w:fill="0C0C0C"/>
          </w:tcPr>
          <w:p>
            <w:pPr>
              <w:jc w:val="center"/>
              <w:ind w:left="139"/>
              <w:spacing w:after="0"/>
              <w:rPr>
                <w:sz w:val="20"/>
                <w:szCs w:val="20"/>
                <w:color w:val="auto"/>
              </w:rPr>
            </w:pPr>
            <w:r>
              <w:rPr>
                <w:rFonts w:ascii="Times New Roman" w:cs="Times New Roman" w:eastAsia="Times New Roman" w:hAnsi="Times New Roman"/>
                <w:sz w:val="14"/>
                <w:szCs w:val="14"/>
                <w:b w:val="1"/>
                <w:bCs w:val="1"/>
                <w:color w:val="FFFFFF"/>
              </w:rPr>
              <w:t>(Days)</w:t>
            </w:r>
          </w:p>
        </w:tc>
        <w:tc>
          <w:tcPr>
            <w:tcW w:w="0" w:type="dxa"/>
            <w:vAlign w:val="bottom"/>
          </w:tcPr>
          <w:p>
            <w:pPr>
              <w:spacing w:after="0"/>
              <w:rPr>
                <w:sz w:val="1"/>
                <w:szCs w:val="1"/>
                <w:color w:val="auto"/>
              </w:rPr>
            </w:pPr>
          </w:p>
        </w:tc>
      </w:tr>
      <w:tr>
        <w:trPr>
          <w:trHeight w:val="257"/>
        </w:trPr>
        <w:tc>
          <w:tcPr>
            <w:tcW w:w="3900" w:type="dxa"/>
            <w:vAlign w:val="bottom"/>
            <w:tcBorders>
              <w:lef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6"/>
              </w:rPr>
              <w:t>Vehicle</w:t>
            </w:r>
          </w:p>
        </w:tc>
        <w:tc>
          <w:tcPr>
            <w:tcW w:w="3740" w:type="dxa"/>
            <w:vAlign w:val="bottom"/>
            <w:tcBorders>
              <w:right w:val="single" w:sz="8" w:color="auto"/>
            </w:tcBorders>
          </w:tcPr>
          <w:p>
            <w:pPr>
              <w:jc w:val="right"/>
              <w:ind w:right="1579"/>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54"/>
        </w:trPr>
        <w:tc>
          <w:tcPr>
            <w:tcW w:w="3900" w:type="dxa"/>
            <w:vAlign w:val="bottom"/>
            <w:tcBorders>
              <w:left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PC14586 100 mg/kg</w:t>
            </w:r>
          </w:p>
        </w:tc>
        <w:tc>
          <w:tcPr>
            <w:tcW w:w="3740" w:type="dxa"/>
            <w:vAlign w:val="bottom"/>
            <w:tcBorders>
              <w:right w:val="single" w:sz="8" w:color="auto"/>
            </w:tcBorders>
          </w:tcPr>
          <w:p>
            <w:pPr>
              <w:jc w:val="right"/>
              <w:ind w:right="1479"/>
              <w:spacing w:after="0"/>
              <w:rPr>
                <w:sz w:val="20"/>
                <w:szCs w:val="20"/>
                <w:color w:val="auto"/>
              </w:rPr>
            </w:pPr>
            <w:r>
              <w:rPr>
                <w:rFonts w:ascii="Times New Roman" w:cs="Times New Roman" w:eastAsia="Times New Roman" w:hAnsi="Times New Roman"/>
                <w:sz w:val="18"/>
                <w:szCs w:val="18"/>
                <w:color w:val="auto"/>
              </w:rPr>
              <w:t>&gt;156</w:t>
            </w:r>
          </w:p>
        </w:tc>
        <w:tc>
          <w:tcPr>
            <w:tcW w:w="0" w:type="dxa"/>
            <w:vAlign w:val="bottom"/>
          </w:tcPr>
          <w:p>
            <w:pPr>
              <w:spacing w:after="0"/>
              <w:rPr>
                <w:sz w:val="1"/>
                <w:szCs w:val="1"/>
                <w:color w:val="auto"/>
              </w:rPr>
            </w:pPr>
          </w:p>
        </w:tc>
      </w:tr>
      <w:tr>
        <w:trPr>
          <w:trHeight w:val="54"/>
        </w:trPr>
        <w:tc>
          <w:tcPr>
            <w:tcW w:w="3900" w:type="dxa"/>
            <w:vAlign w:val="bottom"/>
            <w:tcBorders>
              <w:left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Note: Dosing ceased on day 70 in the PC14586 arm.</w:t>
      </w:r>
    </w:p>
    <w:p>
      <w:pPr>
        <w:spacing w:after="0" w:line="227"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PC14586 also exhibited anti-tumor activity in combination with anti-PD-1 therapy in syngeneic mouse models with the human p53 Y220C mutation. The scientific rationale for such a combination comes from the emerging literature suggesting an interplay between p53 and the immune system, which is the key mechanism of action of cancer immunotherapies such as anti-PD-1 antibodies.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 PC14586 combined with anti-PD-1 treatment exceeded 156 days, even though drug treatment was discontinued on day 70, compared with median survival of only 24 days for anti-PD-1 treatment alone.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156845</wp:posOffset>
            </wp:positionV>
            <wp:extent cx="4749165" cy="2931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491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Note: Each line represents each mouse where each group has 10 mice</w:t>
      </w:r>
    </w:p>
    <w:p>
      <w:pPr>
        <w:spacing w:after="0" w:line="200" w:lineRule="exact"/>
        <w:rPr>
          <w:sz w:val="20"/>
          <w:szCs w:val="20"/>
          <w:color w:val="auto"/>
        </w:rPr>
      </w:pP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223"/>
        </w:trPr>
        <w:tc>
          <w:tcPr>
            <w:tcW w:w="5960" w:type="dxa"/>
            <w:vAlign w:val="bottom"/>
            <w:tcBorders>
              <w:top w:val="single" w:sz="8" w:color="auto"/>
              <w:left w:val="single" w:sz="8" w:color="auto"/>
              <w:bottom w:val="single" w:sz="8" w:color="0C0C0C"/>
            </w:tcBorders>
            <w:gridSpan w:val="2"/>
            <w:shd w:val="clear" w:color="auto" w:fill="0C0C0C"/>
          </w:tcPr>
          <w:p>
            <w:pPr>
              <w:jc w:val="center"/>
              <w:ind w:left="74"/>
              <w:spacing w:after="0"/>
              <w:rPr>
                <w:sz w:val="20"/>
                <w:szCs w:val="20"/>
                <w:color w:val="auto"/>
              </w:rPr>
            </w:pPr>
            <w:r>
              <w:rPr>
                <w:rFonts w:ascii="Times New Roman" w:cs="Times New Roman" w:eastAsia="Times New Roman" w:hAnsi="Times New Roman"/>
                <w:sz w:val="14"/>
                <w:szCs w:val="14"/>
                <w:b w:val="1"/>
                <w:bCs w:val="1"/>
                <w:color w:val="FFFFFF"/>
              </w:rPr>
              <w:t>Group</w:t>
            </w:r>
          </w:p>
        </w:tc>
        <w:tc>
          <w:tcPr>
            <w:tcW w:w="4160" w:type="dxa"/>
            <w:vAlign w:val="bottom"/>
            <w:tcBorders>
              <w:top w:val="single" w:sz="8" w:color="auto"/>
              <w:bottom w:val="single" w:sz="8" w:color="0C0C0C"/>
              <w:right w:val="single" w:sz="8" w:color="auto"/>
            </w:tcBorders>
            <w:shd w:val="clear" w:color="auto" w:fill="0C0C0C"/>
          </w:tcPr>
          <w:p>
            <w:pPr>
              <w:ind w:left="2140"/>
              <w:spacing w:after="0"/>
              <w:rPr>
                <w:sz w:val="20"/>
                <w:szCs w:val="20"/>
                <w:color w:val="auto"/>
              </w:rPr>
            </w:pPr>
            <w:r>
              <w:rPr>
                <w:rFonts w:ascii="Times New Roman" w:cs="Times New Roman" w:eastAsia="Times New Roman" w:hAnsi="Times New Roman"/>
                <w:sz w:val="14"/>
                <w:szCs w:val="14"/>
                <w:b w:val="1"/>
                <w:bCs w:val="1"/>
                <w:color w:val="FFFFFF"/>
              </w:rPr>
              <w:t>Median Survival Time (Days)</w:t>
            </w:r>
          </w:p>
        </w:tc>
      </w:tr>
      <w:tr>
        <w:trPr>
          <w:trHeight w:val="216"/>
        </w:trPr>
        <w:tc>
          <w:tcPr>
            <w:tcW w:w="5960" w:type="dxa"/>
            <w:vAlign w:val="bottom"/>
            <w:tcBorders>
              <w:left w:val="single" w:sz="8" w:color="auto"/>
              <w:bottom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6"/>
              </w:rPr>
              <w:t>Vehicle</w:t>
            </w:r>
          </w:p>
        </w:tc>
        <w:tc>
          <w:tcPr>
            <w:tcW w:w="4160" w:type="dxa"/>
            <w:vAlign w:val="bottom"/>
            <w:tcBorders>
              <w:bottom w:val="single" w:sz="8" w:color="auto"/>
              <w:right w:val="single" w:sz="8" w:color="auto"/>
            </w:tcBorders>
          </w:tcPr>
          <w:p>
            <w:pPr>
              <w:jc w:val="center"/>
              <w:ind w:left="2014"/>
              <w:spacing w:after="0"/>
              <w:rPr>
                <w:sz w:val="20"/>
                <w:szCs w:val="20"/>
                <w:color w:val="auto"/>
              </w:rPr>
            </w:pPr>
            <w:r>
              <w:rPr>
                <w:rFonts w:ascii="Times New Roman" w:cs="Times New Roman" w:eastAsia="Times New Roman" w:hAnsi="Times New Roman"/>
                <w:sz w:val="18"/>
                <w:szCs w:val="18"/>
                <w:color w:val="auto"/>
                <w:w w:val="99"/>
              </w:rPr>
              <w:t>17</w:t>
            </w:r>
          </w:p>
        </w:tc>
      </w:tr>
      <w:tr>
        <w:trPr>
          <w:trHeight w:val="209"/>
        </w:trPr>
        <w:tc>
          <w:tcPr>
            <w:tcW w:w="30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Anti-PD-1</w:t>
            </w:r>
          </w:p>
        </w:tc>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 mg/kg</w:t>
            </w:r>
          </w:p>
        </w:tc>
        <w:tc>
          <w:tcPr>
            <w:tcW w:w="4160" w:type="dxa"/>
            <w:vAlign w:val="bottom"/>
            <w:tcBorders>
              <w:bottom w:val="single" w:sz="8" w:color="auto"/>
              <w:right w:val="single" w:sz="8" w:color="auto"/>
            </w:tcBorders>
          </w:tcPr>
          <w:p>
            <w:pPr>
              <w:jc w:val="center"/>
              <w:ind w:left="2014"/>
              <w:spacing w:after="0"/>
              <w:rPr>
                <w:sz w:val="20"/>
                <w:szCs w:val="20"/>
                <w:color w:val="auto"/>
              </w:rPr>
            </w:pPr>
            <w:r>
              <w:rPr>
                <w:rFonts w:ascii="Times New Roman" w:cs="Times New Roman" w:eastAsia="Times New Roman" w:hAnsi="Times New Roman"/>
                <w:sz w:val="18"/>
                <w:szCs w:val="18"/>
                <w:color w:val="auto"/>
                <w:w w:val="99"/>
              </w:rPr>
              <w:t>24</w:t>
            </w:r>
          </w:p>
        </w:tc>
      </w:tr>
      <w:tr>
        <w:trPr>
          <w:trHeight w:val="210"/>
        </w:trPr>
        <w:tc>
          <w:tcPr>
            <w:tcW w:w="30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PC14586</w:t>
            </w:r>
          </w:p>
        </w:tc>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50 mg/kg</w:t>
            </w:r>
          </w:p>
        </w:tc>
        <w:tc>
          <w:tcPr>
            <w:tcW w:w="4160" w:type="dxa"/>
            <w:vAlign w:val="bottom"/>
            <w:tcBorders>
              <w:bottom w:val="single" w:sz="8" w:color="auto"/>
              <w:right w:val="single" w:sz="8" w:color="auto"/>
            </w:tcBorders>
          </w:tcPr>
          <w:p>
            <w:pPr>
              <w:jc w:val="center"/>
              <w:ind w:left="2014"/>
              <w:spacing w:after="0"/>
              <w:rPr>
                <w:sz w:val="20"/>
                <w:szCs w:val="20"/>
                <w:color w:val="auto"/>
              </w:rPr>
            </w:pPr>
            <w:r>
              <w:rPr>
                <w:rFonts w:ascii="Times New Roman" w:cs="Times New Roman" w:eastAsia="Times New Roman" w:hAnsi="Times New Roman"/>
                <w:sz w:val="18"/>
                <w:szCs w:val="18"/>
                <w:color w:val="auto"/>
                <w:w w:val="99"/>
              </w:rPr>
              <w:t>28</w:t>
            </w:r>
          </w:p>
        </w:tc>
      </w:tr>
      <w:tr>
        <w:trPr>
          <w:trHeight w:val="210"/>
        </w:trPr>
        <w:tc>
          <w:tcPr>
            <w:tcW w:w="5960" w:type="dxa"/>
            <w:vAlign w:val="bottom"/>
            <w:tcBorders>
              <w:left w:val="single" w:sz="8" w:color="auto"/>
              <w:bottom w:val="single" w:sz="8" w:color="auto"/>
            </w:tcBorders>
            <w:gridSpan w:val="2"/>
          </w:tcPr>
          <w:p>
            <w:pPr>
              <w:jc w:val="center"/>
              <w:ind w:left="74"/>
              <w:spacing w:after="0"/>
              <w:rPr>
                <w:sz w:val="20"/>
                <w:szCs w:val="20"/>
                <w:color w:val="auto"/>
              </w:rPr>
            </w:pPr>
            <w:r>
              <w:rPr>
                <w:rFonts w:ascii="Times New Roman" w:cs="Times New Roman" w:eastAsia="Times New Roman" w:hAnsi="Times New Roman"/>
                <w:sz w:val="18"/>
                <w:szCs w:val="18"/>
                <w:color w:val="auto"/>
                <w:w w:val="99"/>
              </w:rPr>
              <w:t>PC14586 50 mg/kg + Anti-PD-1 200 mg/kg</w:t>
            </w:r>
          </w:p>
        </w:tc>
        <w:tc>
          <w:tcPr>
            <w:tcW w:w="4160" w:type="dxa"/>
            <w:vAlign w:val="bottom"/>
            <w:tcBorders>
              <w:bottom w:val="single" w:sz="8" w:color="auto"/>
              <w:right w:val="single" w:sz="8" w:color="auto"/>
            </w:tcBorders>
          </w:tcPr>
          <w:p>
            <w:pPr>
              <w:jc w:val="center"/>
              <w:ind w:left="2014"/>
              <w:spacing w:after="0"/>
              <w:rPr>
                <w:sz w:val="20"/>
                <w:szCs w:val="20"/>
                <w:color w:val="auto"/>
              </w:rPr>
            </w:pPr>
            <w:r>
              <w:rPr>
                <w:rFonts w:ascii="Times New Roman" w:cs="Times New Roman" w:eastAsia="Times New Roman" w:hAnsi="Times New Roman"/>
                <w:sz w:val="18"/>
                <w:szCs w:val="18"/>
                <w:color w:val="auto"/>
              </w:rPr>
              <w:t>&gt;156</w:t>
            </w:r>
          </w:p>
        </w:tc>
      </w:tr>
    </w:tbl>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Note: Dosing ceased on day 70 in the PC14586 + Anti-PD-1 arm.</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2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We initiated a Phase 1/2 clinical trial for PC14586 in October 2020. In addition, we were granted FDA Fast Track designation of PC14586 for the treatment of patients with locally advanced or metastatic solid tumors with a p53 Y220C mutation in October 2020. We dosed our first patient in this clinical trial in the fourth quarter of 2020. While we are in the early stages of discovery and development of our product candidates and our novel approach is unproven, we are initially pursuing a tumor-agnostic development strategy.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However, based on the pivotal studies conducted by other companies to support the approval of other products, such as studies conducted by Agios (Idhifa) and Blueprint Medicines (Ayvakit), as well as the pivotal studies announced by other companies for their product candidates, including Amgen (sotorasib), Mirati (adagrasib) and Black Diamond Therapeutics (BDTX-189), we believe our Phase 1/2 clinical trial has the potential to serve as a pivotal study. In our Phase 1/2 clinical trial, we plan to enroll patients with advanced solid tumors that harbor the p53 Y220C mutation, characterized by NGS of either a solid or blood-based (circulating tumor DNA) biopsy.</w:t>
      </w:r>
    </w:p>
    <w:p>
      <w:pPr>
        <w:spacing w:after="0" w:line="192"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The Phase 1 portion is designed to evaluate escalating oral doses of PC14586 to determine the MTD and recommended Phase 2 dose of PC14586 when administered orally to patients on a once daily dosing schedule, 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0" w:name="page21"/>
    <w:bookmarkEnd w:id="20"/>
    <w:p>
      <w:pPr>
        <w:spacing w:after="0" w:line="256" w:lineRule="auto"/>
        <w:rPr>
          <w:sz w:val="20"/>
          <w:szCs w:val="20"/>
          <w:color w:val="auto"/>
        </w:rPr>
      </w:pPr>
      <w:r>
        <w:rPr>
          <w:rFonts w:ascii="Times New Roman" w:cs="Times New Roman" w:eastAsia="Times New Roman" w:hAnsi="Times New Roman"/>
          <w:sz w:val="18"/>
          <w:szCs w:val="18"/>
          <w:color w:val="auto"/>
        </w:rPr>
        <w:t>well as to assess safety, tolerability and effects on biomarkers such as MIC-1. The Phase 1 portion is also designed to assess preliminary anti-tumor efficacy in patients with advanced solid tumors that have the p53 Y220C mutation. The trial is planned to primarily evaluate once daily dosing, but may also assess more frequent dosing schedules, such as twice daily, if the drug pharmacology or patient tolerability suggest this could be a more efficacious approach. In the Phase 1 portion, we plan to enroll up to 30 patients with locally advanced or metastatic solid tumors that have the p53 Y220C mutation determined using NGS, whose disease has progressed during or after prior standard of care therapy. Multiple biomarker assays will be used in the trial to assess on target and on mechanism activity, and preliminary clinical efficacy in patients will also be assessed.</w:t>
      </w:r>
    </w:p>
    <w:p>
      <w:pPr>
        <w:spacing w:after="0" w:line="187"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The Phase 2 portion of the Phase 1/2 clinical trial is expected to enroll up to 100 patients. We expect to enroll a population with a variety of locally advanced or metastatic cancers including breast, NSCLC, colorectal, pancreatic and ovarian cancer. The planned primary objective of the Phase 2 portion is to evaluate the anti-tumor efficacy of PC14586 in patients with the p53 Y220C mutation, as shown by objective response rate. Other secondary endpoints planned to be assessed include the duration of response, progression free survival, overall survival and endpoints to evaluate the safety and tolerability of PC14586.</w:t>
      </w:r>
    </w:p>
    <w:p>
      <w:pPr>
        <w:spacing w:after="0" w:line="183"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Patient blood and tumor samples will be collected prior to the start of study treatment for retrospective, confirmatory mutation testing using a central clinical trial assay. In addition, blood and tumor samples will be collected and stored to facilitate future development of a companion diagnostic test.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PC14586 Phase 1/2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3522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firstLine="494"/>
        <w:spacing w:after="0" w:line="261" w:lineRule="auto"/>
        <w:rPr>
          <w:sz w:val="20"/>
          <w:szCs w:val="20"/>
          <w:color w:val="auto"/>
        </w:rPr>
      </w:pPr>
      <w:r>
        <w:rPr>
          <w:rFonts w:ascii="Times New Roman" w:cs="Times New Roman" w:eastAsia="Times New Roman" w:hAnsi="Times New Roman"/>
          <w:sz w:val="18"/>
          <w:szCs w:val="18"/>
          <w:color w:val="auto"/>
        </w:rPr>
        <w:t>If the data from our Phase 1/2 clinical trial show robust activity across the tumor types, we initially intend to pursue an approval from the FDA under the accelerated approval pathway for a tumor-agnostic indication. This strategy is based on approval pathways utilized by pembrolizumab (Keytruda)</w:t>
      </w:r>
    </w:p>
    <w:p>
      <w:pPr>
        <w:ind w:right="80"/>
        <w:spacing w:after="0" w:line="252" w:lineRule="auto"/>
        <w:rPr>
          <w:sz w:val="20"/>
          <w:szCs w:val="20"/>
          <w:color w:val="auto"/>
        </w:rPr>
      </w:pPr>
      <w:r>
        <w:rPr>
          <w:rFonts w:ascii="Times New Roman" w:cs="Times New Roman" w:eastAsia="Times New Roman" w:hAnsi="Times New Roman"/>
          <w:sz w:val="18"/>
          <w:szCs w:val="18"/>
          <w:color w:val="auto"/>
        </w:rPr>
        <w:t>in MSI-high/dMMR cancers and larotrectinib (Vitrakvi) and entrectinib (Rozlytrek) in NTRK gene fusion cancers. If we observe clinical benefit in certain tumor or cancer types but do not have sufficient data or powering to support a tumor-agnostic indication from the Phase 1/2 clinical trial, we may seek a tumor or cancer specific label and evaluate additional trials to pursue a broader labeling for PC14586. We believe that the results of the Phase 1/2 clinical trial in PC14586 with respect to the endpoints of ORR and DoR, along with the safety data from the clinical trial, have the potential to support approval of a new drug application, or NDA, subject to discussions with FDA and provided we can obtain data from a sufficient sample size across the tumor types. While accelerated approval cannot be guaranteed, if we obtain accelerated approval, we anticipate that the FDA will require the conduct of a post-approval commitment to confirm clinical benefit.</w:t>
      </w:r>
    </w:p>
    <w:p>
      <w:pPr>
        <w:spacing w:after="0" w:line="188" w:lineRule="exact"/>
        <w:rPr>
          <w:sz w:val="20"/>
          <w:szCs w:val="20"/>
          <w:color w:val="auto"/>
        </w:rPr>
      </w:pPr>
    </w:p>
    <w:p>
      <w:pPr>
        <w:jc w:val="both"/>
        <w:ind w:right="100" w:firstLine="494"/>
        <w:spacing w:after="0" w:line="272" w:lineRule="auto"/>
        <w:rPr>
          <w:sz w:val="20"/>
          <w:szCs w:val="20"/>
          <w:color w:val="auto"/>
        </w:rPr>
      </w:pPr>
      <w:r>
        <w:rPr>
          <w:rFonts w:ascii="Times New Roman" w:cs="Times New Roman" w:eastAsia="Times New Roman" w:hAnsi="Times New Roman"/>
          <w:sz w:val="17"/>
          <w:szCs w:val="17"/>
          <w:color w:val="auto"/>
        </w:rPr>
        <w:t>We may also seek orphan drug or breakthrough therapy designation from the FDA. In addition, we may engage in health authority interactions with agencies outside the United States such as in Europe and Japan, for example. We plan to collaborate with a partner to develop a companion diagnostic test. Further, we expect to initially seek approval of our product candidates, in most instances, including with PC14586, at least as a second line therapy.</w:t>
      </w:r>
    </w:p>
    <w:p>
      <w:pPr>
        <w:spacing w:after="0" w:line="2"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Subsequently, depending on the nature of the clinical data and experience with any approved products or product candidates, if any, we may pursue approval as an earlier line therapy and potentially as a first line therapy.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R273H: Our Second Program</w:t>
      </w:r>
    </w:p>
    <w:p>
      <w:pPr>
        <w:spacing w:after="0" w:line="121"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R273H is the third most frequent p53 mutation and is found in approximately 4% of all p53 mutations. The R273H mutation results from arginine being substituted by a histidine at amino acid position 273 and is considered a DNA contact mutation. DNA contact mutations affect residues involved directly in DNA-p53 binding but do not alter the p53 protein structure. R273 is one of the most frequently altered residues in human cancer (6.4% of all somatic mutations), with the alteration to a histidine (R273H) being the most common of the R273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125730</wp:posOffset>
            </wp:positionV>
            <wp:extent cx="5143500" cy="4217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00" w:firstLine="494"/>
        <w:spacing w:after="0" w:line="266" w:lineRule="auto"/>
        <w:rPr>
          <w:sz w:val="20"/>
          <w:szCs w:val="20"/>
          <w:color w:val="auto"/>
        </w:rPr>
      </w:pPr>
      <w:r>
        <w:rPr>
          <w:rFonts w:ascii="Times New Roman" w:cs="Times New Roman" w:eastAsia="Times New Roman" w:hAnsi="Times New Roman"/>
          <w:sz w:val="18"/>
          <w:szCs w:val="18"/>
          <w:color w:val="auto"/>
        </w:rPr>
        <w:t>The R273H mutation causes a decrease in binding between the p53 protein and DNA, resulting in its inability to activate transcription of p53 target genes. We are generating molecules designed to enhance and restore the binding of the p53 protein and DNA. Our R273H program continues to progress towards lead optimization, as we have identified potential candidates from our screening campaigns.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Pipeline Programs</w:t>
      </w:r>
    </w:p>
    <w:p>
      <w:pPr>
        <w:spacing w:after="0" w:line="229"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162" w:lineRule="exact"/>
        <w:rPr>
          <w:sz w:val="20"/>
          <w:szCs w:val="20"/>
          <w:color w:val="auto"/>
        </w:rPr>
      </w:pPr>
    </w:p>
    <w:p>
      <w:pPr>
        <w:jc w:val="both"/>
        <w:ind w:right="200" w:firstLine="494"/>
        <w:spacing w:after="0" w:line="266" w:lineRule="auto"/>
        <w:rPr>
          <w:sz w:val="20"/>
          <w:szCs w:val="20"/>
          <w:color w:val="auto"/>
        </w:rPr>
      </w:pPr>
      <w:r>
        <w:rPr>
          <w:rFonts w:ascii="Times New Roman" w:cs="Times New Roman" w:eastAsia="Times New Roman" w:hAnsi="Times New Roman"/>
          <w:sz w:val="18"/>
          <w:szCs w:val="18"/>
          <w:color w:val="auto"/>
        </w:rPr>
        <w:t>We are able to utilize the same general principles and similar drug discovery methods developed from our PC14586 Y220C program across other p53 hotspot mutations to facilitate the discovery of additional new product candidates. We study the structural and functional properties of the target. We use assays, screens, preclinical model</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3" w:name="page24"/>
    <w:bookmarkEnd w:id="23"/>
    <w:p>
      <w:pPr>
        <w:ind w:right="80"/>
        <w:spacing w:after="0" w:line="261" w:lineRule="auto"/>
        <w:rPr>
          <w:sz w:val="20"/>
          <w:szCs w:val="20"/>
          <w:color w:val="auto"/>
        </w:rPr>
      </w:pPr>
      <w:r>
        <w:rPr>
          <w:rFonts w:ascii="Times New Roman" w:cs="Times New Roman" w:eastAsia="Times New Roman" w:hAnsi="Times New Roman"/>
          <w:sz w:val="18"/>
          <w:szCs w:val="18"/>
          <w:color w:val="auto"/>
        </w:rPr>
        <w:t>systems and biomarkers to assess and optimize selective small molecules for specific p53 mutants. Specifically, many of the efficiencies from assays and model systems developed for our PC14586 Y220C program are being 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0" w:firstLine="49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7"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therapies targeting p53 mutations.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92" w:lineRule="exact"/>
        <w:rPr>
          <w:sz w:val="20"/>
          <w:szCs w:val="20"/>
          <w:color w:val="auto"/>
        </w:rPr>
      </w:pPr>
    </w:p>
    <w:p>
      <w:pPr>
        <w:ind w:right="340" w:firstLine="494"/>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80"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0" w:lineRule="exact"/>
        <w:rPr>
          <w:sz w:val="20"/>
          <w:szCs w:val="20"/>
          <w:color w:val="auto"/>
        </w:rPr>
      </w:pPr>
    </w:p>
    <w:p>
      <w:pPr>
        <w:ind w:right="400" w:firstLine="494"/>
        <w:spacing w:after="0" w:line="261"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right="60"/>
        <w:spacing w:after="0" w:line="258" w:lineRule="auto"/>
        <w:rPr>
          <w:sz w:val="20"/>
          <w:szCs w:val="20"/>
          <w:color w:val="auto"/>
        </w:rPr>
      </w:pPr>
      <w:r>
        <w:rPr>
          <w:rFonts w:ascii="Times New Roman" w:cs="Times New Roman" w:eastAsia="Times New Roman" w:hAnsi="Times New Roman"/>
          <w:sz w:val="18"/>
          <w:szCs w:val="18"/>
          <w:color w:val="auto"/>
        </w:rPr>
        <w:t>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220" w:firstLine="494"/>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76" w:lineRule="exact"/>
        <w:rPr>
          <w:sz w:val="20"/>
          <w:szCs w:val="20"/>
          <w:color w:val="auto"/>
        </w:rPr>
      </w:pPr>
    </w:p>
    <w:p>
      <w:pPr>
        <w:ind w:right="280" w:firstLine="494"/>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76" w:lineRule="exact"/>
        <w:rPr>
          <w:sz w:val="20"/>
          <w:szCs w:val="20"/>
          <w:color w:val="auto"/>
        </w:rPr>
      </w:pPr>
    </w:p>
    <w:p>
      <w:pPr>
        <w:jc w:val="both"/>
        <w:ind w:right="180" w:firstLine="494"/>
        <w:spacing w:after="0" w:line="266" w:lineRule="auto"/>
        <w:rPr>
          <w:sz w:val="20"/>
          <w:szCs w:val="20"/>
          <w:color w:val="auto"/>
        </w:rPr>
      </w:pPr>
      <w:r>
        <w:rPr>
          <w:rFonts w:ascii="Times New Roman" w:cs="Times New Roman" w:eastAsia="Times New Roman" w:hAnsi="Times New Roman"/>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76"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76" w:lineRule="exact"/>
        <w:rPr>
          <w:sz w:val="20"/>
          <w:szCs w:val="20"/>
          <w:color w:val="auto"/>
        </w:rPr>
      </w:pPr>
    </w:p>
    <w:p>
      <w:pPr>
        <w:jc w:val="both"/>
        <w:ind w:right="20" w:firstLine="494"/>
        <w:spacing w:after="0" w:line="289" w:lineRule="auto"/>
        <w:rPr>
          <w:sz w:val="20"/>
          <w:szCs w:val="20"/>
          <w:color w:val="auto"/>
        </w:rPr>
      </w:pPr>
      <w:r>
        <w:rPr>
          <w:rFonts w:ascii="Times New Roman" w:cs="Times New Roman" w:eastAsia="Times New Roman" w:hAnsi="Times New Roman"/>
          <w:sz w:val="17"/>
          <w:szCs w:val="17"/>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60" w:firstLine="494"/>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ind w:right="40"/>
        <w:spacing w:after="0" w:line="261" w:lineRule="auto"/>
        <w:rPr>
          <w:sz w:val="20"/>
          <w:szCs w:val="20"/>
          <w:color w:val="auto"/>
        </w:rPr>
      </w:pPr>
      <w:r>
        <w:rPr>
          <w:rFonts w:ascii="Times New Roman" w:cs="Times New Roman" w:eastAsia="Times New Roman" w:hAnsi="Times New Roman"/>
          <w:sz w:val="18"/>
          <w:szCs w:val="18"/>
          <w:color w:val="auto"/>
        </w:rPr>
        <w:t>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80" w:lineRule="exact"/>
        <w:rPr>
          <w:sz w:val="20"/>
          <w:szCs w:val="20"/>
          <w:color w:val="auto"/>
        </w:rPr>
      </w:pPr>
    </w:p>
    <w:p>
      <w:pPr>
        <w:ind w:right="20" w:firstLine="494"/>
        <w:spacing w:after="0" w:line="252"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96"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160"/>
        <w:spacing w:after="0" w:line="266" w:lineRule="auto"/>
        <w:rPr>
          <w:sz w:val="20"/>
          <w:szCs w:val="20"/>
          <w:color w:val="auto"/>
        </w:rPr>
      </w:pPr>
      <w:r>
        <w:rPr>
          <w:rFonts w:ascii="Times New Roman" w:cs="Times New Roman" w:eastAsia="Times New Roman" w:hAnsi="Times New Roman"/>
          <w:sz w:val="18"/>
          <w:szCs w:val="18"/>
          <w:color w:val="auto"/>
        </w:rPr>
        <w:t>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76"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7"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87" w:lineRule="exact"/>
        <w:rPr>
          <w:sz w:val="20"/>
          <w:szCs w:val="20"/>
          <w:color w:val="auto"/>
        </w:rPr>
      </w:pPr>
    </w:p>
    <w:p>
      <w:pPr>
        <w:ind w:right="40" w:firstLine="494"/>
        <w:spacing w:after="0" w:line="253" w:lineRule="auto"/>
        <w:rPr>
          <w:sz w:val="20"/>
          <w:szCs w:val="20"/>
          <w:color w:val="auto"/>
        </w:rPr>
      </w:pPr>
      <w:r>
        <w:rPr>
          <w:rFonts w:ascii="Times New Roman" w:cs="Times New Roman" w:eastAsia="Times New Roman" w:hAnsi="Times New Roman"/>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February 28, 2021, we owned two issued US patents relating to methods of use and composition of matter of PMV compounds, including PC14586, at least 11 pending US patent applications, and at least ten pending foreign patent applications, each of which relates to methods of use and composition of matter of PMV compounds, including PC14586. The two issued US patents are expected to expire in 2037, without taking into account any possible patent term adjustment or extensions.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preclinical and clinical testing, manufacture,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right="60"/>
        <w:spacing w:after="0" w:line="261" w:lineRule="auto"/>
        <w:rPr>
          <w:sz w:val="20"/>
          <w:szCs w:val="20"/>
          <w:color w:val="auto"/>
        </w:rPr>
      </w:pPr>
      <w:r>
        <w:rPr>
          <w:rFonts w:ascii="Times New Roman" w:cs="Times New Roman" w:eastAsia="Times New Roman" w:hAnsi="Times New Roman"/>
          <w:sz w:val="18"/>
          <w:szCs w:val="18"/>
          <w:color w:val="auto"/>
        </w:rPr>
        <w:t>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right="360" w:firstLine="494"/>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Food, Drug and Cosmetic Act, or FDCA, and its implementing regulations. The process required by the FDA before a drug may be marketed in the United States generally involves the following:</w:t>
      </w:r>
    </w:p>
    <w:p>
      <w:pPr>
        <w:spacing w:after="0" w:line="54" w:lineRule="exact"/>
        <w:rPr>
          <w:sz w:val="20"/>
          <w:szCs w:val="20"/>
          <w:color w:val="auto"/>
        </w:rPr>
      </w:pPr>
    </w:p>
    <w:p>
      <w:pPr>
        <w:ind w:left="860" w:right="840" w:hanging="366"/>
        <w:spacing w:after="0" w:line="282"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FDA’s good laboratory practice requirements and other applicable regulations;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4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each trial may be initiated;</w:t>
      </w:r>
    </w:p>
    <w:p>
      <w:pPr>
        <w:spacing w:after="0" w:line="144" w:lineRule="exact"/>
        <w:rPr>
          <w:rFonts w:ascii="Times New Roman" w:cs="Times New Roman" w:eastAsia="Times New Roman" w:hAnsi="Times New Roman"/>
          <w:sz w:val="18"/>
          <w:szCs w:val="18"/>
          <w:color w:val="auto"/>
        </w:rPr>
      </w:pPr>
    </w:p>
    <w:p>
      <w:pPr>
        <w:ind w:left="860" w:right="120" w:hanging="366"/>
        <w:spacing w:after="0" w:line="282"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w:t>
      </w:r>
    </w:p>
    <w:p>
      <w:pPr>
        <w:spacing w:after="0" w:line="14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to accept the filing for substantive review;</w:t>
      </w:r>
    </w:p>
    <w:p>
      <w:pPr>
        <w:spacing w:after="0" w:line="14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44" w:lineRule="exact"/>
        <w:rPr>
          <w:rFonts w:ascii="Times New Roman" w:cs="Times New Roman" w:eastAsia="Times New Roman" w:hAnsi="Times New Roman"/>
          <w:sz w:val="18"/>
          <w:szCs w:val="18"/>
          <w:color w:val="auto"/>
        </w:rPr>
      </w:pPr>
    </w:p>
    <w:p>
      <w:pPr>
        <w:ind w:left="860" w:right="40" w:hanging="366"/>
        <w:spacing w:after="0" w:line="266"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6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252"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right="200" w:firstLine="494"/>
        <w:spacing w:after="0" w:line="274" w:lineRule="auto"/>
        <w:rPr>
          <w:sz w:val="20"/>
          <w:szCs w:val="20"/>
          <w:color w:val="auto"/>
        </w:rPr>
      </w:pPr>
      <w:r>
        <w:rPr>
          <w:rFonts w:ascii="Times New Roman" w:cs="Times New Roman" w:eastAsia="Times New Roman" w:hAnsi="Times New Roman"/>
          <w:sz w:val="17"/>
          <w:szCs w:val="17"/>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right="120"/>
        <w:spacing w:after="0" w:line="256" w:lineRule="auto"/>
        <w:rPr>
          <w:sz w:val="20"/>
          <w:szCs w:val="20"/>
          <w:color w:val="auto"/>
        </w:rPr>
      </w:pPr>
      <w:r>
        <w:rPr>
          <w:rFonts w:ascii="Times New Roman" w:cs="Times New Roman" w:eastAsia="Times New Roman" w:hAnsi="Times New Roman"/>
          <w:sz w:val="18"/>
          <w:szCs w:val="18"/>
          <w:color w:val="auto"/>
        </w:rPr>
        <w:t>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60" w:hanging="366"/>
        <w:spacing w:after="0" w:line="258"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5" w:lineRule="exact"/>
        <w:rPr>
          <w:rFonts w:ascii="Times New Roman" w:cs="Times New Roman" w:eastAsia="Times New Roman" w:hAnsi="Times New Roman"/>
          <w:sz w:val="18"/>
          <w:szCs w:val="18"/>
          <w:color w:val="auto"/>
        </w:rPr>
      </w:pPr>
    </w:p>
    <w:p>
      <w:pPr>
        <w:jc w:val="both"/>
        <w:ind w:left="860" w:right="60" w:hanging="366"/>
        <w:spacing w:after="0" w:line="266"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7" w:lineRule="exact"/>
        <w:rPr>
          <w:rFonts w:ascii="Times New Roman" w:cs="Times New Roman" w:eastAsia="Times New Roman" w:hAnsi="Times New Roman"/>
          <w:sz w:val="18"/>
          <w:szCs w:val="18"/>
          <w:color w:val="auto"/>
        </w:rPr>
      </w:pPr>
    </w:p>
    <w:p>
      <w:pPr>
        <w:jc w:val="both"/>
        <w:ind w:left="860" w:right="80" w:hanging="366"/>
        <w:spacing w:after="0" w:line="289" w:lineRule="auto"/>
        <w:tabs>
          <w:tab w:leader="none" w:pos="8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8" w:lineRule="exact"/>
        <w:rPr>
          <w:sz w:val="20"/>
          <w:szCs w:val="20"/>
          <w:color w:val="auto"/>
        </w:rPr>
      </w:pPr>
    </w:p>
    <w:p>
      <w:pPr>
        <w:ind w:right="360" w:firstLine="494"/>
        <w:spacing w:after="0" w:line="261" w:lineRule="auto"/>
        <w:rPr>
          <w:sz w:val="20"/>
          <w:szCs w:val="20"/>
          <w:color w:val="auto"/>
        </w:rPr>
      </w:pPr>
      <w:r>
        <w:rPr>
          <w:rFonts w:ascii="Times New Roman" w:cs="Times New Roman" w:eastAsia="Times New Roman" w:hAnsi="Times New Roman"/>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80" w:lineRule="exact"/>
        <w:rPr>
          <w:sz w:val="20"/>
          <w:szCs w:val="20"/>
          <w:color w:val="auto"/>
        </w:rPr>
      </w:pPr>
    </w:p>
    <w:p>
      <w:pPr>
        <w:ind w:right="240" w:firstLine="494"/>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87"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83"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83"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If the coronavirus disease 2019, or COVID-19, pandemic continues, our clinical trial plans and future planned clinical trials may be adversely affected, delayed or interrupted. We may be required to develop and implement additional clinical trial policies and procedures designed to help protect subjects participating in clinical trials during the COVID-19 pandemic. For example, the FDA issued guidance in March 2020, which the FDA subsequently updated, on conducting clinical trials during the pandemic, which describes a number of considerations for sponsors of clinical trials impacted by the pandemic. In June 2020, the FDA also issued a guidance on good manufacturing practice considerations for responding to COVID-19 infection in employees in drug products manufacturing, including recommendations for manufacturing controls to prevent contamination of drugs. Additional COVID-19 related guidance released by the FDA includes guidance addressing resuming normal drug and biologics manufacturing operations; manufacturing, supply chain, and inspections; and statistical considerations for clinical trials during the COVID-19 public health emergency.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Review and Approval Process</w:t>
      </w:r>
    </w:p>
    <w:p>
      <w:pPr>
        <w:spacing w:after="0" w:line="121" w:lineRule="exact"/>
        <w:rPr>
          <w:sz w:val="20"/>
          <w:szCs w:val="20"/>
          <w:color w:val="auto"/>
        </w:rPr>
      </w:pPr>
    </w:p>
    <w:p>
      <w:pPr>
        <w:ind w:right="140" w:firstLine="494"/>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7"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92" w:lineRule="exact"/>
        <w:rPr>
          <w:sz w:val="20"/>
          <w:szCs w:val="20"/>
          <w:color w:val="auto"/>
        </w:rPr>
      </w:pPr>
    </w:p>
    <w:p>
      <w:pPr>
        <w:jc w:val="both"/>
        <w:ind w:right="100" w:firstLine="49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requested additional information, the FDA ultimately may decide that the application does not satisfy the regulatory criteria for approval.</w:t>
      </w:r>
    </w:p>
    <w:p>
      <w:pPr>
        <w:spacing w:after="0" w:line="225"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92"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ind w:firstLine="494"/>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9"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9"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92"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860" w:hanging="366"/>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4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4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44" w:lineRule="exact"/>
        <w:rPr>
          <w:rFonts w:ascii="Times New Roman" w:cs="Times New Roman" w:eastAsia="Times New Roman" w:hAnsi="Times New Roman"/>
          <w:sz w:val="18"/>
          <w:szCs w:val="18"/>
          <w:color w:val="auto"/>
        </w:rPr>
      </w:pPr>
    </w:p>
    <w:p>
      <w:pPr>
        <w:ind w:left="860" w:right="300" w:hanging="366"/>
        <w:spacing w:after="0" w:line="282"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4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4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44" w:lineRule="exact"/>
        <w:rPr>
          <w:rFonts w:ascii="Times New Roman" w:cs="Times New Roman" w:eastAsia="Times New Roman" w:hAnsi="Times New Roman"/>
          <w:sz w:val="18"/>
          <w:szCs w:val="18"/>
          <w:color w:val="auto"/>
        </w:rPr>
      </w:pPr>
    </w:p>
    <w:p>
      <w:pPr>
        <w:ind w:left="860" w:right="340" w:hanging="366"/>
        <w:spacing w:after="0" w:line="282"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ind w:right="100" w:firstLine="494"/>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92"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ind w:right="40"/>
        <w:spacing w:after="0" w:line="282" w:lineRule="auto"/>
        <w:rPr>
          <w:sz w:val="20"/>
          <w:szCs w:val="20"/>
          <w:color w:val="auto"/>
        </w:rPr>
      </w:pPr>
      <w:r>
        <w:rPr>
          <w:rFonts w:ascii="Times New Roman" w:cs="Times New Roman" w:eastAsia="Times New Roman" w:hAnsi="Times New Roman"/>
          <w:sz w:val="18"/>
          <w:szCs w:val="18"/>
          <w:color w:val="auto"/>
        </w:rPr>
        <w:t>be requested before submitting an NDA. After the FDA grants ODD, the generic identity of the therapeutic agent and its potential orphan use are disclosed publicly by the FDA.</w:t>
      </w:r>
    </w:p>
    <w:p>
      <w:pPr>
        <w:spacing w:after="0" w:line="162"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92"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right="60" w:firstLine="494"/>
        <w:spacing w:after="0" w:line="269" w:lineRule="auto"/>
        <w:rPr>
          <w:sz w:val="20"/>
          <w:szCs w:val="20"/>
          <w:color w:val="auto"/>
        </w:rPr>
      </w:pPr>
      <w:r>
        <w:rPr>
          <w:rFonts w:ascii="Times New Roman" w:cs="Times New Roman" w:eastAsia="Times New Roman" w:hAnsi="Times New Roman"/>
          <w:sz w:val="17"/>
          <w:szCs w:val="17"/>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w:t>
      </w:r>
    </w:p>
    <w:p>
      <w:pPr>
        <w:spacing w:after="0" w:line="3" w:lineRule="exact"/>
        <w:rPr>
          <w:sz w:val="20"/>
          <w:szCs w:val="20"/>
          <w:color w:val="auto"/>
        </w:rPr>
      </w:pPr>
    </w:p>
    <w:p>
      <w:pPr>
        <w:jc w:val="both"/>
        <w:ind w:right="120" w:firstLine="8"/>
        <w:spacing w:after="0" w:line="253"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9"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9"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87"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90" w:lineRule="exact"/>
        <w:rPr>
          <w:sz w:val="20"/>
          <w:szCs w:val="20"/>
          <w:color w:val="auto"/>
        </w:rPr>
      </w:pPr>
    </w:p>
    <w:p>
      <w:pPr>
        <w:ind w:right="400" w:firstLine="494"/>
        <w:spacing w:after="0" w:line="282" w:lineRule="auto"/>
        <w:rPr>
          <w:sz w:val="20"/>
          <w:szCs w:val="20"/>
          <w:color w:val="auto"/>
        </w:rPr>
      </w:pPr>
      <w:r>
        <w:rPr>
          <w:rFonts w:ascii="Times New Roman" w:cs="Times New Roman" w:eastAsia="Times New Roman" w:hAnsi="Times New Roman"/>
          <w:sz w:val="18"/>
          <w:szCs w:val="18"/>
          <w:color w:val="auto"/>
        </w:rPr>
        <w:t>Moreover, third-party payors are increasingly reducing coverage and reimbursement for pharmaceutical products and related services. The U.S. government and state legislatures have continued implementing cost-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5" w:name="page36"/>
    <w:bookmarkEnd w:id="35"/>
    <w:p>
      <w:pPr>
        <w:spacing w:after="0" w:line="254" w:lineRule="auto"/>
        <w:rPr>
          <w:sz w:val="20"/>
          <w:szCs w:val="20"/>
          <w:color w:val="auto"/>
        </w:rPr>
      </w:pPr>
      <w:r>
        <w:rPr>
          <w:rFonts w:ascii="Times New Roman" w:cs="Times New Roman" w:eastAsia="Times New Roman" w:hAnsi="Times New Roman"/>
          <w:sz w:val="18"/>
          <w:szCs w:val="18"/>
          <w:color w:val="auto"/>
        </w:rPr>
        <w: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92"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and we expect there will be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challenges and amendments to the ACA in the future. For example, in 2017, Congress enacted the Tax Cut and Jobs Act, or Tax Act, which eliminated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tax-based shared responsibility payment imposed by the ACA on certain individuals who fail to maintain qualifying health coverage for all or part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that is commonly referred to as the “individual mandate.” In addition, the 2020 federal spending package permanently eliminates, effective January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the ACA-mandated “Cadillac” tax on high-cost employer-sponsored health coverage and medical device tax and, effective January 1, 2021,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eliminates the health insurer tax. On December 14, 2018, a Texas U.S. District Court Judge ruled that the individual mandate is a critical and inseverable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feature of the ACA, and therefore, because it was repealed as part of the Tax Act, the remaining provisions of the ACA are invalid as well.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2019, the U.S. Court of Appeals for the 5th Circuit ruled that the individual mandate was unconstitutional and remanded the case back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District Court to determine whether the remaining provisions of the ACA are invalid as well. On March 2, 2020, the U.S. Supreme Court granted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petitions for writs of certiorari to review the case, although it is unclear when a decision will be made or how the Supreme Court will rule. In November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the United States Supreme Court held oral arguments on this case. It is uncertain how the United States Supreme Court will rule on this case or how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measures of the Biden administration will impact the ACA and our business. We are continuing to monitor any changes to the ACA that, in 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potentially impact our business in the future.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effective April 1, 2013, which will remain in effect through 2030, with the exception of a temporary suspension implemented under various COVID-19 relief legislation from May 1, 2020 through March 31, 2021, unless additional Congressional action is taken.</w:t>
      </w:r>
    </w:p>
    <w:p>
      <w:pPr>
        <w:spacing w:after="0" w:line="180" w:lineRule="exact"/>
        <w:rPr>
          <w:sz w:val="20"/>
          <w:szCs w:val="20"/>
          <w:color w:val="auto"/>
        </w:rPr>
      </w:pPr>
    </w:p>
    <w:p>
      <w:pPr>
        <w:ind w:firstLine="494"/>
        <w:spacing w:after="0" w:line="251"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other of pocket costs of drug products paid by consumers. In July and September 2020, the Trump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Further, in November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Centers for Medicare &amp; Medicaid Services, or CMS, also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It is unclear to what extent these new regulations and any future regulations and legislation by the Biden administration will have on our business, including our ability to generate revenue and achieve profitability.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121"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92" w:lineRule="exact"/>
        <w:rPr>
          <w:sz w:val="20"/>
          <w:szCs w:val="20"/>
          <w:color w:val="auto"/>
        </w:rPr>
      </w:pPr>
    </w:p>
    <w:p>
      <w:pPr>
        <w:jc w:val="both"/>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right="120"/>
        <w:spacing w:after="0" w:line="256" w:lineRule="auto"/>
        <w:rPr>
          <w:sz w:val="20"/>
          <w:szCs w:val="20"/>
          <w:color w:val="auto"/>
        </w:rPr>
      </w:pPr>
      <w:r>
        <w:rPr>
          <w:rFonts w:ascii="Times New Roman" w:cs="Times New Roman" w:eastAsia="Times New Roman" w:hAnsi="Times New Roman"/>
          <w:sz w:val="18"/>
          <w:szCs w:val="18"/>
          <w:color w:val="auto"/>
        </w:rPr>
        <w:t>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87"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companion diagnostics. According to the guidance, if FDA determines that a companion diagnostic device is essential to the safe and effective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novel therapeutic product or indication, FDA generally will not approve the therapeutic product or new therapeutic product indication if the companion diagnostic device is not approved or cleared for that indication at the same time.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660" w:firstLine="494"/>
        <w:spacing w:after="0" w:line="282" w:lineRule="auto"/>
        <w:rPr>
          <w:sz w:val="20"/>
          <w:szCs w:val="20"/>
          <w:color w:val="auto"/>
        </w:rPr>
      </w:pPr>
      <w:r>
        <w:rPr>
          <w:rFonts w:ascii="Times New Roman" w:cs="Times New Roman" w:eastAsia="Times New Roman" w:hAnsi="Times New Roman"/>
          <w:sz w:val="18"/>
          <w:szCs w:val="18"/>
          <w:color w:val="auto"/>
        </w:rPr>
        <w:t>As of February 28, 2021, we had 44 full-time employees, including 15 employees with Ph.D., M.D. or Pharm.D. degrees. Of these full-time employees, 32 employees are engaged in research and development activities.</w:t>
      </w:r>
    </w:p>
    <w:p>
      <w:pPr>
        <w:spacing w:after="0" w:line="162" w:lineRule="exact"/>
        <w:rPr>
          <w:sz w:val="20"/>
          <w:szCs w:val="20"/>
          <w:color w:val="auto"/>
        </w:rPr>
      </w:pPr>
    </w:p>
    <w:p>
      <w:pPr>
        <w:ind w:right="480" w:firstLine="494"/>
        <w:spacing w:after="0" w:line="282"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consider our relationship with our employees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560" w:firstLine="637"/>
        <w:spacing w:after="0" w:line="276" w:lineRule="auto"/>
        <w:rPr>
          <w:sz w:val="20"/>
          <w:szCs w:val="20"/>
          <w:color w:val="auto"/>
        </w:rPr>
      </w:pPr>
      <w:r>
        <w:rPr>
          <w:rFonts w:ascii="Times New Roman" w:cs="Times New Roman" w:eastAsia="Times New Roman" w:hAnsi="Times New Roman"/>
          <w:sz w:val="17"/>
          <w:szCs w:val="17"/>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w:t>
      </w:r>
    </w:p>
    <w:p>
      <w:pPr>
        <w:spacing w:after="0" w:line="1" w:lineRule="exact"/>
        <w:rPr>
          <w:sz w:val="20"/>
          <w:szCs w:val="20"/>
          <w:color w:val="auto"/>
        </w:rPr>
      </w:pPr>
    </w:p>
    <w:p>
      <w:pPr>
        <w:ind w:right="40" w:firstLine="8"/>
        <w:spacing w:after="0" w:line="260" w:lineRule="auto"/>
        <w:tabs>
          <w:tab w:leader="none" w:pos="4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642-6670. Our website address is www.pmvpharma.com. Information contained on, or that can be accessible through, our website is not a part of this Annual Report on Form 10-K and the inclusion of our website address in this Annual Report on Form 10-K is an inactive textual reference only.</w:t>
      </w:r>
    </w:p>
    <w:p>
      <w:pPr>
        <w:spacing w:after="0" w:line="181" w:lineRule="exact"/>
        <w:rPr>
          <w:sz w:val="20"/>
          <w:szCs w:val="20"/>
          <w:color w:val="auto"/>
        </w:rPr>
      </w:pPr>
    </w:p>
    <w:p>
      <w:pPr>
        <w:ind w:right="20" w:firstLine="637"/>
        <w:spacing w:after="0" w:line="261" w:lineRule="auto"/>
        <w:rPr>
          <w:sz w:val="20"/>
          <w:szCs w:val="20"/>
          <w:color w:val="auto"/>
        </w:rPr>
      </w:pPr>
      <w:r>
        <w:rPr>
          <w:rFonts w:ascii="Times New Roman" w:cs="Times New Roman" w:eastAsia="Times New Roman" w:hAnsi="Times New Roman"/>
          <w:sz w:val="18"/>
          <w:szCs w:val="18"/>
          <w:color w:val="auto"/>
        </w:rPr>
        <w:t>On September 25, 2020, we completed our initial public offering, or IPO, pursuant to which we issued and sold, 13,529,750 shares of our common stock, including the exercise in full by the underwriters of their option to purchase up to 1,764,750 additional shares of common stock, at a public offering price of $18.00 per share. The gross proceeds from the IPO were approximately $243.5 million and the net proceeds were approximately $223.2 million, after deducting underwriting discounts and commissions and other offering expenses.</w:t>
      </w:r>
    </w:p>
    <w:p>
      <w:pPr>
        <w:spacing w:after="0" w:line="180"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We use the name “PMV Pharma,” the “PMV Pharma” logo and other marks as unregistered trademarks in the United States and other countries. This Annual Report on Form 10-K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Our Internet address is www.pmvpharma.com. Our Annual Reports on Form 10-K, Quarterly Reports on Form 10-Q, Current Reports on Form 8-K (and amendments to those reports), proxy and information statements and other information filed or furnished pursuant to Sections 13(a) and 15(d) of the Securities Exchange Act of 1934, as amended, or the Exchange Act, are available through the “Investors” portion of our website free of charge as soon as reasonably practicable after we electronically file such material with, or furnish it to, the SEC. Our filings with the SEC may be accessed through the SEC at http://www.sec.gov. The information contained on the websites referenced in this Annual Report on Form 10-K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on Form 10-K, including our financial statements and the related notes appearing elsewhere in this Annual Report on Form 10-K and in our other filings with the Securities and Exchange Commission, or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51" w:lineRule="exact"/>
        <w:rPr>
          <w:sz w:val="20"/>
          <w:szCs w:val="20"/>
          <w:color w:val="auto"/>
        </w:rPr>
      </w:pPr>
    </w:p>
    <w:p>
      <w:pPr>
        <w:ind w:left="860" w:hanging="366"/>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w:t>
      </w:r>
    </w:p>
    <w:p>
      <w:pPr>
        <w:spacing w:after="0" w:line="117" w:lineRule="exact"/>
        <w:rPr>
          <w:rFonts w:ascii="Times New Roman" w:cs="Times New Roman" w:eastAsia="Times New Roman" w:hAnsi="Times New Roman"/>
          <w:sz w:val="18"/>
          <w:szCs w:val="18"/>
          <w:color w:val="auto"/>
        </w:rPr>
      </w:pPr>
    </w:p>
    <w:p>
      <w:pPr>
        <w:ind w:left="860" w:right="40" w:hanging="366"/>
        <w:spacing w:after="0" w:line="282"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3" w:lineRule="exact"/>
        <w:rPr>
          <w:rFonts w:ascii="Times New Roman" w:cs="Times New Roman" w:eastAsia="Times New Roman" w:hAnsi="Times New Roman"/>
          <w:sz w:val="18"/>
          <w:szCs w:val="18"/>
          <w:color w:val="auto"/>
        </w:rPr>
      </w:pPr>
    </w:p>
    <w:p>
      <w:pPr>
        <w:ind w:left="860" w:right="60" w:hanging="366"/>
        <w:spacing w:after="0" w:line="266"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860" w:right="360" w:hanging="366"/>
        <w:spacing w:after="0" w:line="282"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w:t>
      </w:r>
    </w:p>
    <w:p>
      <w:pPr>
        <w:spacing w:after="0" w:line="117" w:lineRule="exact"/>
        <w:rPr>
          <w:rFonts w:ascii="Times New Roman" w:cs="Times New Roman" w:eastAsia="Times New Roman" w:hAnsi="Times New Roman"/>
          <w:sz w:val="18"/>
          <w:szCs w:val="18"/>
          <w:color w:val="auto"/>
        </w:rPr>
      </w:pPr>
    </w:p>
    <w:p>
      <w:pPr>
        <w:ind w:left="860" w:right="320" w:hanging="366"/>
        <w:spacing w:after="0" w:line="266"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preclinical and 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67" w:lineRule="exact"/>
        <w:rPr>
          <w:rFonts w:ascii="Times New Roman" w:cs="Times New Roman" w:eastAsia="Times New Roman" w:hAnsi="Times New Roman"/>
          <w:sz w:val="18"/>
          <w:szCs w:val="18"/>
          <w:color w:val="auto"/>
        </w:rPr>
      </w:pPr>
    </w:p>
    <w:p>
      <w:pPr>
        <w:ind w:left="860" w:right="360" w:hanging="366"/>
        <w:spacing w:after="0" w:line="266"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67" w:lineRule="exact"/>
        <w:rPr>
          <w:rFonts w:ascii="Times New Roman" w:cs="Times New Roman" w:eastAsia="Times New Roman" w:hAnsi="Times New Roman"/>
          <w:sz w:val="18"/>
          <w:szCs w:val="18"/>
          <w:color w:val="auto"/>
        </w:rPr>
      </w:pPr>
    </w:p>
    <w:p>
      <w:pPr>
        <w:ind w:left="860" w:right="80" w:hanging="366"/>
        <w:spacing w:after="0" w:line="261"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71" w:lineRule="exact"/>
        <w:rPr>
          <w:rFonts w:ascii="Times New Roman" w:cs="Times New Roman" w:eastAsia="Times New Roman" w:hAnsi="Times New Roman"/>
          <w:sz w:val="18"/>
          <w:szCs w:val="18"/>
          <w:color w:val="auto"/>
        </w:rPr>
      </w:pPr>
    </w:p>
    <w:p>
      <w:pPr>
        <w:ind w:left="860" w:right="200" w:hanging="366"/>
        <w:spacing w:after="0" w:line="312" w:lineRule="auto"/>
        <w:tabs>
          <w:tab w:leader="none" w:pos="8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spacing w:after="0" w:line="31" w:lineRule="exact"/>
        <w:rPr>
          <w:rFonts w:ascii="Times New Roman" w:cs="Times New Roman" w:eastAsia="Times New Roman" w:hAnsi="Times New Roman"/>
          <w:sz w:val="17"/>
          <w:szCs w:val="17"/>
          <w:color w:val="auto"/>
        </w:rPr>
      </w:pPr>
    </w:p>
    <w:p>
      <w:pPr>
        <w:ind w:left="860" w:right="40" w:hanging="366"/>
        <w:spacing w:after="0" w:line="282"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0" w:name="page41"/>
    <w:bookmarkEnd w:id="40"/>
    <w:p>
      <w:pPr>
        <w:ind w:left="860" w:right="60" w:hanging="366"/>
        <w:spacing w:after="0" w:line="266"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860" w:right="360" w:hanging="366"/>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plan to rely in the future, on third parties to conduct and support preclinical and clinical development, and these third parties may not meet expectations;</w:t>
      </w:r>
    </w:p>
    <w:p>
      <w:pPr>
        <w:spacing w:after="0" w:line="53" w:lineRule="exact"/>
        <w:rPr>
          <w:rFonts w:ascii="Times New Roman" w:cs="Times New Roman" w:eastAsia="Times New Roman" w:hAnsi="Times New Roman"/>
          <w:sz w:val="18"/>
          <w:szCs w:val="18"/>
          <w:color w:val="auto"/>
        </w:rPr>
      </w:pPr>
    </w:p>
    <w:p>
      <w:pPr>
        <w:ind w:left="860" w:right="240" w:hanging="366"/>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and</w:t>
      </w:r>
    </w:p>
    <w:p>
      <w:pPr>
        <w:spacing w:after="0" w:line="117" w:lineRule="exact"/>
        <w:rPr>
          <w:rFonts w:ascii="Times New Roman" w:cs="Times New Roman" w:eastAsia="Times New Roman" w:hAnsi="Times New Roman"/>
          <w:sz w:val="18"/>
          <w:szCs w:val="18"/>
          <w:color w:val="auto"/>
        </w:rPr>
      </w:pPr>
    </w:p>
    <w:p>
      <w:pPr>
        <w:ind w:left="860" w:right="140" w:hanging="366"/>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companion diagnostics with third party collaborators, which must also separately be approved as medical devices by the FDA.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Business, Financial Condition, Results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Operations and Need for Additional Capital</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159"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We are a 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more recently, clinical studies, and establishing arrangements with third parties for the manufacture of initial quantities of product candidates. In September 2020, our lead product candidate, PC14586, received authorization to proceed under an investigational new drug application, or IND, with the FDA. Then, in October 2020, we received Fast Track designation for PC14586, from the FDA, and in the fourth quarter of 2020, we initiated patient dosing in our Phase 1/2 clinical trial of PC14586. We have not demonstrated an ability to successfully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88" w:lineRule="exact"/>
        <w:rPr>
          <w:sz w:val="20"/>
          <w:szCs w:val="20"/>
          <w:color w:val="auto"/>
        </w:rPr>
      </w:pPr>
    </w:p>
    <w:p>
      <w:pPr>
        <w:jc w:val="both"/>
        <w:ind w:right="360" w:firstLine="494"/>
        <w:spacing w:after="0" w:line="266" w:lineRule="auto"/>
        <w:rPr>
          <w:sz w:val="20"/>
          <w:szCs w:val="20"/>
          <w:color w:val="auto"/>
        </w:rPr>
      </w:pPr>
      <w:r>
        <w:rPr>
          <w:rFonts w:ascii="Times New Roman" w:cs="Times New Roman" w:eastAsia="Times New Roman" w:hAnsi="Times New Roman"/>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6" w:lineRule="exact"/>
        <w:rPr>
          <w:sz w:val="20"/>
          <w:szCs w:val="20"/>
          <w:color w:val="auto"/>
        </w:rPr>
      </w:pPr>
    </w:p>
    <w:p>
      <w:pPr>
        <w:ind w:right="340" w:firstLine="494"/>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159"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 and our initial public offering.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We have incurred significant net losses in each period since we commenced operations in March 2013. Our net losses were $34.4 million and $25.4 million for the years ended December 31, 2020 and 2019, respectively. As of December 31, 2020, we had an accumulated deficit of $109.9 million. Substantially all of our losses have resulted from expenses incurred in connection with our research and development programs and from general and administrative costs associated with our operations. Additionally, the net losses we incur may fluctuate significantly from quarter to quarter such that a period-to-period comparison of our results of operations may not be a good indicator of our future performance.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17" w:lineRule="exact"/>
        <w:rPr>
          <w:sz w:val="20"/>
          <w:szCs w:val="20"/>
          <w:color w:val="auto"/>
        </w:rPr>
      </w:pPr>
    </w:p>
    <w:p>
      <w:pPr>
        <w:ind w:left="860" w:hanging="366"/>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investigational new drug, or IND, applications for our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demonstrate adequate efficacy or an acceptable safety profile in our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860" w:right="180" w:hanging="366"/>
        <w:spacing w:after="0" w:line="282"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3" w:lineRule="exact"/>
        <w:rPr>
          <w:rFonts w:ascii="Times New Roman" w:cs="Times New Roman" w:eastAsia="Times New Roman" w:hAnsi="Times New Roman"/>
          <w:sz w:val="18"/>
          <w:szCs w:val="18"/>
          <w:color w:val="auto"/>
        </w:rPr>
      </w:pPr>
    </w:p>
    <w:p>
      <w:pPr>
        <w:ind w:left="860" w:right="500" w:hanging="366"/>
        <w:spacing w:after="0" w:line="282"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enforce and protect our intellectual property portfolio;</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175"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dosed our first patient in our Phase 1/2 clinical trial of our lead product candidate, PC14586, in the fourth quarter of 2020, and we have not yet reported any clinical data.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In addition, all of our other product candidates are still in preclinical development and have not been evaluated in humans. We face significant translational risk as our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right="180"/>
        <w:spacing w:after="0" w:line="261" w:lineRule="auto"/>
        <w:rPr>
          <w:sz w:val="20"/>
          <w:szCs w:val="20"/>
          <w:color w:val="auto"/>
        </w:rPr>
      </w:pPr>
      <w:r>
        <w:rPr>
          <w:rFonts w:ascii="Times New Roman" w:cs="Times New Roman" w:eastAsia="Times New Roman" w:hAnsi="Times New Roman"/>
          <w:sz w:val="18"/>
          <w:szCs w:val="18"/>
          <w:color w:val="auto"/>
        </w:rPr>
        <w:t>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2" w:lineRule="exact"/>
        <w:rPr>
          <w:sz w:val="20"/>
          <w:szCs w:val="20"/>
          <w:color w:val="auto"/>
        </w:rPr>
      </w:pPr>
    </w:p>
    <w:p>
      <w:pPr>
        <w:ind w:left="860" w:hanging="366"/>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our clinical trials for our lead product candidate, PC14586, and timely initiation and completion of our preclinical studies for our future product candidates, which may be significantly slower or cost more than we currently anticipate and will depend substantially upon the performance of third-party contractors;</w:t>
      </w:r>
    </w:p>
    <w:p>
      <w:pPr>
        <w:spacing w:after="0" w:line="67" w:lineRule="exact"/>
        <w:rPr>
          <w:rFonts w:ascii="Times New Roman" w:cs="Times New Roman" w:eastAsia="Times New Roman" w:hAnsi="Times New Roman"/>
          <w:sz w:val="18"/>
          <w:szCs w:val="18"/>
          <w:color w:val="auto"/>
        </w:rPr>
      </w:pPr>
    </w:p>
    <w:p>
      <w:pPr>
        <w:ind w:left="860" w:right="400" w:hanging="366"/>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of PC14586 and our future product candidates;</w:t>
      </w:r>
    </w:p>
    <w:p>
      <w:pPr>
        <w:spacing w:after="0" w:line="53" w:lineRule="exact"/>
        <w:rPr>
          <w:rFonts w:ascii="Times New Roman" w:cs="Times New Roman" w:eastAsia="Times New Roman" w:hAnsi="Times New Roman"/>
          <w:sz w:val="18"/>
          <w:szCs w:val="18"/>
          <w:color w:val="auto"/>
        </w:rPr>
      </w:pPr>
    </w:p>
    <w:p>
      <w:pPr>
        <w:ind w:left="860" w:right="740" w:hanging="366"/>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IND-enabling studies and successfully submit and receive authorization to proceed under INDs or comparable applications;</w:t>
      </w:r>
    </w:p>
    <w:p>
      <w:pPr>
        <w:spacing w:after="0" w:line="53" w:lineRule="exact"/>
        <w:rPr>
          <w:rFonts w:ascii="Times New Roman" w:cs="Times New Roman" w:eastAsia="Times New Roman" w:hAnsi="Times New Roman"/>
          <w:sz w:val="18"/>
          <w:szCs w:val="18"/>
          <w:color w:val="auto"/>
        </w:rPr>
      </w:pPr>
    </w:p>
    <w:p>
      <w:pPr>
        <w:ind w:left="860" w:right="380" w:hanging="366"/>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860" w:right="140" w:hanging="366"/>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7" w:lineRule="exact"/>
        <w:rPr>
          <w:rFonts w:ascii="Times New Roman" w:cs="Times New Roman" w:eastAsia="Times New Roman" w:hAnsi="Times New Roman"/>
          <w:sz w:val="18"/>
          <w:szCs w:val="18"/>
          <w:color w:val="auto"/>
        </w:rPr>
      </w:pPr>
    </w:p>
    <w:p>
      <w:pPr>
        <w:ind w:left="860" w:right="200" w:hanging="366"/>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comparable foreign regulatory authorities;</w:t>
      </w:r>
    </w:p>
    <w:p>
      <w:pPr>
        <w:spacing w:after="0" w:line="117" w:lineRule="exact"/>
        <w:rPr>
          <w:rFonts w:ascii="Times New Roman" w:cs="Times New Roman" w:eastAsia="Times New Roman" w:hAnsi="Times New Roman"/>
          <w:sz w:val="18"/>
          <w:szCs w:val="18"/>
          <w:color w:val="auto"/>
        </w:rPr>
      </w:pPr>
    </w:p>
    <w:p>
      <w:pPr>
        <w:ind w:left="860" w:right="320" w:hanging="366"/>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3" w:lineRule="exact"/>
        <w:rPr>
          <w:rFonts w:ascii="Times New Roman" w:cs="Times New Roman" w:eastAsia="Times New Roman" w:hAnsi="Times New Roman"/>
          <w:sz w:val="18"/>
          <w:szCs w:val="18"/>
          <w:color w:val="auto"/>
        </w:rPr>
      </w:pPr>
    </w:p>
    <w:p>
      <w:pPr>
        <w:ind w:left="860" w:right="200" w:hanging="366"/>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3" w:lineRule="exact"/>
        <w:rPr>
          <w:rFonts w:ascii="Times New Roman" w:cs="Times New Roman" w:eastAsia="Times New Roman" w:hAnsi="Times New Roman"/>
          <w:sz w:val="18"/>
          <w:szCs w:val="18"/>
          <w:color w:val="auto"/>
        </w:rPr>
      </w:pPr>
    </w:p>
    <w:p>
      <w:pPr>
        <w:ind w:left="860" w:right="400" w:hanging="366"/>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67" w:lineRule="exact"/>
        <w:rPr>
          <w:rFonts w:ascii="Times New Roman" w:cs="Times New Roman" w:eastAsia="Times New Roman" w:hAnsi="Times New Roman"/>
          <w:sz w:val="18"/>
          <w:szCs w:val="18"/>
          <w:color w:val="auto"/>
        </w:rPr>
      </w:pPr>
    </w:p>
    <w:p>
      <w:pPr>
        <w:ind w:left="860" w:right="60" w:hanging="366"/>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product candidates and any future product candidates, if approved;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enforce intellectual property rights in and to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our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regulatory approvals or commercializing our product candidates.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ind w:right="280" w:firstLine="494"/>
        <w:spacing w:after="0" w:line="266" w:lineRule="auto"/>
        <w:rPr>
          <w:sz w:val="20"/>
          <w:szCs w:val="20"/>
          <w:color w:val="auto"/>
        </w:rPr>
      </w:pPr>
      <w:r>
        <w:rPr>
          <w:rFonts w:ascii="Times New Roman" w:cs="Times New Roman" w:eastAsia="Times New Roman" w:hAnsi="Times New Roman"/>
          <w:sz w:val="18"/>
          <w:szCs w:val="18"/>
          <w:color w:val="auto"/>
        </w:rPr>
        <w:t>We are currently focused on developing orally available small molecule, tumor-agnostic therapies targeting p53 mutants. We seek to maintain a process of prioritization and resource allocation among our programs to maintain a balance between advancing our lead product candidate, PC14586, as well as developing our other and any future product candidates.</w:t>
      </w:r>
    </w:p>
    <w:p>
      <w:pPr>
        <w:spacing w:after="0" w:line="176"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184"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175"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operating as a public company. Accordingly, we will need to obtain substantial additional funding in order to continue our operations.</w:t>
      </w:r>
    </w:p>
    <w:p>
      <w:pPr>
        <w:spacing w:after="0" w:line="194" w:lineRule="exact"/>
        <w:rPr>
          <w:sz w:val="20"/>
          <w:szCs w:val="20"/>
          <w:color w:val="auto"/>
        </w:rPr>
      </w:pPr>
    </w:p>
    <w:p>
      <w:pPr>
        <w:ind w:right="140" w:firstLine="494"/>
        <w:spacing w:after="0" w:line="261" w:lineRule="auto"/>
        <w:rPr>
          <w:sz w:val="20"/>
          <w:szCs w:val="20"/>
          <w:color w:val="auto"/>
        </w:rPr>
      </w:pPr>
      <w:r>
        <w:rPr>
          <w:rFonts w:ascii="Times New Roman" w:cs="Times New Roman" w:eastAsia="Times New Roman" w:hAnsi="Times New Roman"/>
          <w:sz w:val="18"/>
          <w:szCs w:val="18"/>
          <w:color w:val="auto"/>
        </w:rPr>
        <w:t>As of December 31, 2020, we had $361.4 million in cash and cash equivalents. On September 29, 2020, we completed our IPO, selling 13,529,750 shares of common stock at a public offering price of $18.00 per share, which includes 1,764,750 shares sold upon full exercise of the underwriters’ option to purchase additional shares of common stock. The aggregate proceeds from the offering, net of underwriting discounts and commissions and other offering expenses, were approximately $223.2 million. Although we believe that our available cash and cash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right="100"/>
        <w:spacing w:after="0" w:line="266" w:lineRule="auto"/>
        <w:rPr>
          <w:sz w:val="20"/>
          <w:szCs w:val="20"/>
          <w:color w:val="auto"/>
        </w:rPr>
      </w:pPr>
      <w:r>
        <w:rPr>
          <w:rFonts w:ascii="Times New Roman" w:cs="Times New Roman" w:eastAsia="Times New Roman" w:hAnsi="Times New Roman"/>
          <w:sz w:val="18"/>
          <w:szCs w:val="18"/>
          <w:color w:val="auto"/>
        </w:rPr>
        <w:t>equivalents will be sufficient to fund our planned operations through 2023,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860" w:right="100" w:hanging="36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product candidates or any future product candidates we choose to pursue, and conducting preclinical studies and clinical trials, including our clinical trials of PC14586;</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additional product candidates we develop or acquire;</w:t>
      </w:r>
    </w:p>
    <w:p>
      <w:pPr>
        <w:spacing w:after="0" w:line="117" w:lineRule="exact"/>
        <w:rPr>
          <w:rFonts w:ascii="Times New Roman" w:cs="Times New Roman" w:eastAsia="Times New Roman" w:hAnsi="Times New Roman"/>
          <w:sz w:val="18"/>
          <w:szCs w:val="18"/>
          <w:color w:val="auto"/>
        </w:rPr>
      </w:pPr>
    </w:p>
    <w:p>
      <w:pPr>
        <w:ind w:left="860" w:right="120" w:hanging="36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and/or other payments we are required to make pursuant to any future license or collaboration agreements;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or any future product candidates and any products we successfully commercialize;</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building a sales force in anticipation of product commercialization;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our product candidates, if approved for sale, including marketing, sales and distribution costs;</w:t>
      </w:r>
    </w:p>
    <w:p>
      <w:pPr>
        <w:spacing w:after="0" w:line="117" w:lineRule="exact"/>
        <w:rPr>
          <w:rFonts w:ascii="Times New Roman" w:cs="Times New Roman" w:eastAsia="Times New Roman" w:hAnsi="Times New Roman"/>
          <w:sz w:val="18"/>
          <w:szCs w:val="18"/>
          <w:color w:val="auto"/>
        </w:rPr>
      </w:pPr>
    </w:p>
    <w:p>
      <w:pPr>
        <w:ind w:left="860" w:right="420" w:hanging="36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our intellectual property portfolio;</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future approved products;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which may exacerbate the magnitude of the factors discussed above.</w:t>
      </w:r>
    </w:p>
    <w:p>
      <w:pPr>
        <w:spacing w:after="0" w:line="225"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discovery and product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right="200" w:firstLine="494"/>
        <w:spacing w:after="0" w:line="256" w:lineRule="auto"/>
        <w:rPr>
          <w:sz w:val="20"/>
          <w:szCs w:val="20"/>
          <w:color w:val="auto"/>
        </w:rPr>
      </w:pPr>
      <w:r>
        <w:rPr>
          <w:rFonts w:ascii="Times New Roman" w:cs="Times New Roman" w:eastAsia="Times New Roman" w:hAnsi="Times New Roman"/>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87"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other p53 mutants through our platform. Therefore, we do not know if our approach of treating patients with genetically defined cancers will be successful, and if our approach is unsuccessful, our business will be materially adversely affected.</w:t>
      </w:r>
    </w:p>
    <w:p>
      <w:pPr>
        <w:spacing w:after="0" w:line="180"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In addition, because our approach targets genetically defined cancer patients and not specific tumors based on tumor or cancer types, we are initially pursuing a tumor-agnostic development strategy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Phase 1/2 trial for PC14586 does not support a tumor-agnostic indication, but we observe clinical benefit in certain tumor or cancer types, we may decide to pursue a tumor- or cancer-specific indication which may require additional clinical trials. Further, even if our Phase 1/2 trial for PC14586 is successful, the FDA may not agree that such study can serve as a pivotal study, which would require us to conduct additional clinical trials prior to approval.</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180"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We are very early in our development efforts. We dosed our first patient in our Phase 1/2 clinical trial of our lead product candidate, PC14586, in the fourth quarter of 2020, and we have not yet reported any clinical data. All of our other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4" w:lineRule="exact"/>
        <w:rPr>
          <w:sz w:val="20"/>
          <w:szCs w:val="20"/>
          <w:color w:val="auto"/>
        </w:rPr>
      </w:pPr>
    </w:p>
    <w:p>
      <w:pPr>
        <w:ind w:left="860" w:right="340" w:hanging="366"/>
        <w:spacing w:after="0" w:line="289" w:lineRule="auto"/>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49" w:lineRule="exact"/>
        <w:rPr>
          <w:rFonts w:ascii="Times New Roman" w:cs="Times New Roman" w:eastAsia="Times New Roman" w:hAnsi="Times New Roman"/>
          <w:sz w:val="17"/>
          <w:szCs w:val="17"/>
          <w:color w:val="auto"/>
        </w:rPr>
      </w:pPr>
    </w:p>
    <w:p>
      <w:pPr>
        <w:ind w:left="860" w:hanging="366"/>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authorization to proceed under INDs for our planned clinical trials or future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of our tumor-agnostic development strategy;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 which may be impacted by the COVID-19 pandemic;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ind w:left="860" w:hanging="366"/>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with third party collaborators of companion diagnostics for use with our product candidates;</w:t>
      </w:r>
    </w:p>
    <w:p>
      <w:pPr>
        <w:spacing w:after="0" w:line="117" w:lineRule="exact"/>
        <w:rPr>
          <w:rFonts w:ascii="Times New Roman" w:cs="Times New Roman" w:eastAsia="Times New Roman" w:hAnsi="Times New Roman"/>
          <w:sz w:val="18"/>
          <w:szCs w:val="18"/>
          <w:color w:val="auto"/>
        </w:rPr>
      </w:pPr>
    </w:p>
    <w:p>
      <w:pPr>
        <w:ind w:left="860" w:right="500" w:hanging="366"/>
        <w:spacing w:after="0" w:line="28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for our product candidates that are satisfactory to the FDA or any foreign regulatory authority for marketing approval;</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our product candidates and any companion diagnostics from applicable regulatory authorities, which must be approved contemporaneously;</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860" w:right="180" w:hanging="366"/>
        <w:spacing w:after="0" w:line="28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cancer therapies;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w:t>
      </w:r>
    </w:p>
    <w:p>
      <w:pPr>
        <w:spacing w:after="0" w:line="225"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80" w:lineRule="exact"/>
        <w:rPr>
          <w:sz w:val="20"/>
          <w:szCs w:val="20"/>
          <w:color w:val="auto"/>
        </w:rPr>
      </w:pPr>
    </w:p>
    <w:p>
      <w:pPr>
        <w:ind w:right="60" w:firstLine="494"/>
        <w:spacing w:after="0" w:line="253"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92"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ind w:right="40"/>
        <w:spacing w:after="0" w:line="261" w:lineRule="auto"/>
        <w:rPr>
          <w:sz w:val="20"/>
          <w:szCs w:val="20"/>
          <w:color w:val="auto"/>
        </w:rPr>
      </w:pPr>
      <w:r>
        <w:rPr>
          <w:rFonts w:ascii="Times New Roman" w:cs="Times New Roman" w:eastAsia="Times New Roman" w:hAnsi="Times New Roman"/>
          <w:sz w:val="18"/>
          <w:szCs w:val="18"/>
          <w:color w:val="auto"/>
        </w:rPr>
        <w:t>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159"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15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hotspot mutations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94"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There can be no assurances that one or more of our future product candidates would succeed in correcting or restoring function of specific p53 mutants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that such mutation would be the only genetic mutation resulting in a patient’s cancer. In the event that a patient’s cancer is the result of other mutations or factors in addition to a p53 mutation, even if we correct or restore the p53 functionality, the patient’s cancer may persist.</w:t>
      </w:r>
    </w:p>
    <w:p>
      <w:pPr>
        <w:spacing w:after="0" w:line="183"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If we do not successfully develop and commercialize product candidates, we will not be able to generate product revenue which materially adversely affect our business, financial condition and results of operations.</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175" w:lineRule="exact"/>
        <w:rPr>
          <w:sz w:val="20"/>
          <w:szCs w:val="20"/>
          <w:color w:val="auto"/>
        </w:rPr>
      </w:pPr>
    </w:p>
    <w:p>
      <w:pPr>
        <w:ind w:right="100" w:firstLine="494"/>
        <w:spacing w:after="0" w:line="266" w:lineRule="auto"/>
        <w:rPr>
          <w:sz w:val="20"/>
          <w:szCs w:val="20"/>
          <w:color w:val="auto"/>
        </w:rPr>
      </w:pPr>
      <w:r>
        <w:rPr>
          <w:rFonts w:ascii="Times New Roman" w:cs="Times New Roman" w:eastAsia="Times New Roman" w:hAnsi="Times New Roman"/>
          <w:sz w:val="18"/>
          <w:szCs w:val="18"/>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line="254" w:lineRule="auto"/>
        <w:rPr>
          <w:sz w:val="20"/>
          <w:szCs w:val="20"/>
          <w:color w:val="auto"/>
        </w:rPr>
      </w:pPr>
      <w:r>
        <w:rPr>
          <w:rFonts w:ascii="Times New Roman" w:cs="Times New Roman" w:eastAsia="Times New Roman" w:hAnsi="Times New Roman"/>
          <w:sz w:val="18"/>
          <w:szCs w:val="18"/>
          <w:color w:val="auto"/>
        </w:rPr>
        <w:t>candidate, we must complete extensive preclinical studies that support our planned INDs in the United States. We dosed our first patient in our Phase 1/2 clinical trial of our lead product candidate, PC14586, in the fourth quarter of 2020, and we have not yet reported any clinical data. All of our other product candidates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While we have received authorization to proceed under an IND for our lead product candidate, PC14586, we cannot be sure that we will be able to submit and receive authorizations to proceed under additional INDs or similar applications with respect to our other product candidates on the timelines we expect, if at all, and we cannot be sure that submission of IND or similar applications will result in the FDA or other regulatory authorities allowing clinical trials to begin.</w:t>
      </w:r>
    </w:p>
    <w:p>
      <w:pPr>
        <w:spacing w:after="0" w:line="192"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2" w:lineRule="exact"/>
        <w:rPr>
          <w:sz w:val="20"/>
          <w:szCs w:val="20"/>
          <w:color w:val="auto"/>
        </w:rPr>
      </w:pPr>
    </w:p>
    <w:p>
      <w:pPr>
        <w:ind w:left="860" w:hanging="366"/>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860" w:right="320" w:hanging="366"/>
        <w:spacing w:after="0" w:line="282"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preclinical laboratory tests, animal studies and formulation studies in accordance with FDA’s good laboratory practice requirements and other applicable regulations;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ethics committee at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 and</w:t>
      </w:r>
    </w:p>
    <w:p>
      <w:pPr>
        <w:spacing w:after="0" w:line="117" w:lineRule="exact"/>
        <w:rPr>
          <w:rFonts w:ascii="Times New Roman" w:cs="Times New Roman" w:eastAsia="Times New Roman" w:hAnsi="Times New Roman"/>
          <w:sz w:val="18"/>
          <w:szCs w:val="18"/>
          <w:color w:val="auto"/>
        </w:rPr>
      </w:pPr>
    </w:p>
    <w:p>
      <w:pPr>
        <w:ind w:left="860" w:right="220" w:hanging="366"/>
        <w:spacing w:after="0" w:line="282"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product candidates for use in preclinical studies and clinical trials from third-party suppliers on a timely basis.</w:t>
      </w:r>
    </w:p>
    <w:p>
      <w:pPr>
        <w:spacing w:after="0" w:line="162" w:lineRule="exact"/>
        <w:rPr>
          <w:sz w:val="20"/>
          <w:szCs w:val="20"/>
          <w:color w:val="auto"/>
        </w:rPr>
      </w:pPr>
    </w:p>
    <w:p>
      <w:pPr>
        <w:ind w:right="140" w:firstLine="494"/>
        <w:spacing w:after="0" w:line="261" w:lineRule="auto"/>
        <w:rPr>
          <w:sz w:val="20"/>
          <w:szCs w:val="20"/>
          <w:color w:val="auto"/>
        </w:rPr>
      </w:pPr>
      <w:r>
        <w:rPr>
          <w:rFonts w:ascii="Times New Roman" w:cs="Times New Roman" w:eastAsia="Times New Roman" w:hAnsi="Times New Roman"/>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175"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We are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its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ind w:right="120"/>
        <w:spacing w:after="0" w:line="258" w:lineRule="auto"/>
        <w:rPr>
          <w:sz w:val="20"/>
          <w:szCs w:val="20"/>
          <w:color w:val="auto"/>
        </w:rPr>
      </w:pPr>
      <w:r>
        <w:rPr>
          <w:rFonts w:ascii="Times New Roman" w:cs="Times New Roman" w:eastAsia="Times New Roman" w:hAnsi="Times New Roman"/>
          <w:sz w:val="18"/>
          <w:szCs w:val="18"/>
          <w:color w:val="auto"/>
        </w:rPr>
        <w:t>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83"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efficacy and safety sufficient to obtain approval to market any of our product candidates.</w:t>
      </w:r>
    </w:p>
    <w:p>
      <w:pPr>
        <w:spacing w:after="0" w:line="162" w:lineRule="exact"/>
        <w:rPr>
          <w:sz w:val="20"/>
          <w:szCs w:val="20"/>
          <w:color w:val="auto"/>
        </w:rPr>
      </w:pPr>
    </w:p>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Even if we succeed in developing and commercializing our product candidates, we may never generate sufficient or sustainable revenue to enable us to be profitable.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conducting clinical trials.</w:t>
      </w:r>
    </w:p>
    <w:p>
      <w:pPr>
        <w:spacing w:after="0" w:line="229"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We have limited experience as a company in conducting clinical trials with the initiation of our Phase 1/2 clinical trial for PC14586 in October 2020. In part because of this lack of experience, we cannot be certain that our clinical trials of PC14586 and ongoing preclinical studies of our other product candidates will be completed on time or if the planned preclinical studies and clinical trials will begin or be completed on time, if at all. Large-scale clinical trials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entered into a master services agreement with a CRO to lead our first-in-human open label Phase 1/2 clinical trial. There can be no assurance that we will be able to negotiate and enter into any additional master services agreement with other CROs, as necessary, on terms that are acceptable to us on a timely basis or at all.</w:t>
      </w:r>
    </w:p>
    <w:p>
      <w:pPr>
        <w:spacing w:after="0" w:line="18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180"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80"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Such companion diagnostics would be used during our clinical trials as well as in connection with the commercialization of our product candidates. In our Phase 1/2 clinical trial, we are working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80"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clinical trials appear to support development of a companion diagnostic for a product candidate, data generated in later clinical trials may fail to support the analytical and clinical validation of the companion diagnostic.</w:t>
      </w:r>
    </w:p>
    <w:p>
      <w:pPr>
        <w:spacing w:after="0" w:line="162" w:lineRule="exact"/>
        <w:rPr>
          <w:sz w:val="20"/>
          <w:szCs w:val="20"/>
          <w:color w:val="auto"/>
        </w:rPr>
      </w:pPr>
    </w:p>
    <w:p>
      <w:pPr>
        <w:jc w:val="both"/>
        <w:ind w:right="340" w:firstLine="494"/>
        <w:spacing w:after="0" w:line="266" w:lineRule="auto"/>
        <w:rPr>
          <w:sz w:val="20"/>
          <w:szCs w:val="20"/>
          <w:color w:val="auto"/>
        </w:rPr>
      </w:pPr>
      <w:r>
        <w:rPr>
          <w:rFonts w:ascii="Times New Roman" w:cs="Times New Roman" w:eastAsia="Times New Roman" w:hAnsi="Times New Roman"/>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76"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75" w:lineRule="exact"/>
        <w:rPr>
          <w:sz w:val="20"/>
          <w:szCs w:val="20"/>
          <w:color w:val="auto"/>
        </w:rPr>
      </w:pPr>
    </w:p>
    <w:p>
      <w:pPr>
        <w:ind w:left="860" w:right="920" w:hanging="366"/>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3" w:lineRule="exact"/>
        <w:rPr>
          <w:rFonts w:ascii="Times New Roman" w:cs="Times New Roman" w:eastAsia="Times New Roman" w:hAnsi="Times New Roman"/>
          <w:sz w:val="18"/>
          <w:szCs w:val="18"/>
          <w:color w:val="auto"/>
        </w:rPr>
      </w:pPr>
    </w:p>
    <w:p>
      <w:pPr>
        <w:ind w:left="860" w:right="100" w:hanging="366"/>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approval of our current product candidates and any future product candidates that require companion diagnostics on a timely basis or at all.</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adversely impacted.</w:t>
      </w:r>
    </w:p>
    <w:p>
      <w:pPr>
        <w:spacing w:after="0" w:line="22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outbreak of the novel coronavirus disease, COVID-19, could materially adversely impact our business, results of operations and financial condition, including our preclinical studies and clinical trials.</w:t>
      </w:r>
    </w:p>
    <w:p>
      <w:pPr>
        <w:spacing w:after="0" w:line="159"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In January 2020, the World Health Organization declared the outbreak of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We continue to monitor the impact of the COVID-19 outbreak closely. The extent to which the COVID-19 outbreak will impact its operations or financial results is uncertain.</w:t>
      </w:r>
    </w:p>
    <w:p>
      <w:pPr>
        <w:spacing w:after="0" w:line="187"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 their work outside of our offices and limited the number of staff in any given research and development laboratory. Our research and development teams are currently operating under heightened protective COVID-19 protocols ,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 pandemic, we may experience disruptions that could severely impact our business, preclinical studies and clinical trials, including:</w:t>
      </w:r>
    </w:p>
    <w:p>
      <w:pPr>
        <w:spacing w:after="0" w:line="80" w:lineRule="exact"/>
        <w:rPr>
          <w:sz w:val="20"/>
          <w:szCs w:val="20"/>
          <w:color w:val="auto"/>
        </w:rPr>
      </w:pPr>
    </w:p>
    <w:p>
      <w:pPr>
        <w:ind w:left="860" w:hanging="366"/>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860" w:right="140" w:hanging="366"/>
        <w:spacing w:after="0" w:line="282" w:lineRule="auto"/>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860" w:right="220" w:hanging="366"/>
        <w:spacing w:after="0" w:line="282" w:lineRule="auto"/>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ind w:left="860" w:right="80"/>
        <w:spacing w:after="0" w:line="282" w:lineRule="auto"/>
        <w:rPr>
          <w:sz w:val="20"/>
          <w:szCs w:val="20"/>
          <w:color w:val="auto"/>
        </w:rPr>
      </w:pPr>
      <w:r>
        <w:rPr>
          <w:rFonts w:ascii="Times New Roman" w:cs="Times New Roman" w:eastAsia="Times New Roman" w:hAnsi="Times New Roman"/>
          <w:sz w:val="18"/>
          <w:szCs w:val="18"/>
          <w:color w:val="auto"/>
        </w:rPr>
        <w:t>clinical trial subject visits and study procedures (such as endoscopies that are deemed non-essential), which may impact the integrity of subject data and clinical study endpoints;</w:t>
      </w:r>
    </w:p>
    <w:p>
      <w:pPr>
        <w:spacing w:after="0" w:line="54" w:lineRule="exact"/>
        <w:rPr>
          <w:sz w:val="20"/>
          <w:szCs w:val="20"/>
          <w:color w:val="auto"/>
        </w:rPr>
      </w:pPr>
    </w:p>
    <w:p>
      <w:pPr>
        <w:ind w:left="860" w:hanging="366"/>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7" w:lineRule="exact"/>
        <w:rPr>
          <w:rFonts w:ascii="Times New Roman" w:cs="Times New Roman" w:eastAsia="Times New Roman" w:hAnsi="Times New Roman"/>
          <w:sz w:val="18"/>
          <w:szCs w:val="18"/>
          <w:color w:val="auto"/>
        </w:rPr>
      </w:pPr>
    </w:p>
    <w:p>
      <w:pPr>
        <w:ind w:left="860" w:right="640" w:hanging="366"/>
        <w:spacing w:after="0" w:line="282" w:lineRule="auto"/>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860" w:right="560" w:hanging="366"/>
        <w:spacing w:after="0" w:line="282" w:lineRule="auto"/>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site procedures and requirements as well as regulatory requirements for conducting clinical trials during the pandemic.</w:t>
      </w:r>
    </w:p>
    <w:p>
      <w:pPr>
        <w:spacing w:after="0" w:line="225"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w:t>
      </w:r>
    </w:p>
    <w:p>
      <w:pPr>
        <w:spacing w:after="0" w:line="192" w:lineRule="exact"/>
        <w:rPr>
          <w:sz w:val="20"/>
          <w:szCs w:val="20"/>
          <w:color w:val="auto"/>
        </w:rPr>
      </w:pPr>
    </w:p>
    <w:p>
      <w:pPr>
        <w:ind w:right="160" w:firstLine="494"/>
        <w:spacing w:after="0" w:line="281" w:lineRule="auto"/>
        <w:rPr>
          <w:sz w:val="20"/>
          <w:szCs w:val="20"/>
          <w:color w:val="auto"/>
        </w:rPr>
      </w:pPr>
      <w:r>
        <w:rPr>
          <w:rFonts w:ascii="Times New Roman" w:cs="Times New Roman" w:eastAsia="Times New Roman" w:hAnsi="Times New Roman"/>
          <w:sz w:val="17"/>
          <w:szCs w:val="17"/>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64"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80"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83" w:lineRule="exact"/>
        <w:rPr>
          <w:sz w:val="20"/>
          <w:szCs w:val="20"/>
          <w:color w:val="auto"/>
        </w:rPr>
      </w:pPr>
    </w:p>
    <w:p>
      <w:pPr>
        <w:jc w:val="both"/>
        <w:ind w:right="80" w:firstLine="494"/>
        <w:spacing w:after="0" w:line="261" w:lineRule="auto"/>
        <w:rPr>
          <w:sz w:val="20"/>
          <w:szCs w:val="20"/>
          <w:color w:val="auto"/>
        </w:rPr>
      </w:pPr>
      <w:r>
        <w:rPr>
          <w:rFonts w:ascii="Times New Roman" w:cs="Times New Roman" w:eastAsia="Times New Roman" w:hAnsi="Times New Roman"/>
          <w:sz w:val="18"/>
          <w:szCs w:val="18"/>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right="580"/>
        <w:spacing w:after="0" w:line="281" w:lineRule="auto"/>
        <w:rPr>
          <w:sz w:val="20"/>
          <w:szCs w:val="20"/>
          <w:color w:val="auto"/>
        </w:rPr>
      </w:pPr>
      <w:r>
        <w:rPr>
          <w:rFonts w:ascii="Times New Roman" w:cs="Times New Roman" w:eastAsia="Times New Roman" w:hAnsi="Times New Roman"/>
          <w:sz w:val="17"/>
          <w:szCs w:val="17"/>
          <w:color w:val="auto"/>
        </w:rPr>
        <w:t>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6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159"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83"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87"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8" w:lineRule="exact"/>
        <w:rPr>
          <w:sz w:val="20"/>
          <w:szCs w:val="20"/>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860" w:hanging="366"/>
        <w:spacing w:after="0" w:line="312" w:lineRule="auto"/>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31" w:lineRule="exact"/>
        <w:rPr>
          <w:rFonts w:ascii="Times New Roman" w:cs="Times New Roman" w:eastAsia="Times New Roman" w:hAnsi="Times New Roman"/>
          <w:sz w:val="17"/>
          <w:szCs w:val="17"/>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our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clinical trials due to the COVID-19 pandemic;</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jc w:val="both"/>
        <w:ind w:left="860" w:right="220" w:hanging="366"/>
        <w:spacing w:after="0" w:line="266"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76" w:lineRule="exact"/>
        <w:rPr>
          <w:sz w:val="20"/>
          <w:szCs w:val="20"/>
          <w:color w:val="auto"/>
        </w:rPr>
      </w:pPr>
    </w:p>
    <w:p>
      <w:pPr>
        <w:ind w:right="180" w:firstLine="494"/>
        <w:spacing w:after="0" w:line="256"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 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5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94"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may materially adversely affect our business.</w:t>
      </w:r>
    </w:p>
    <w:p>
      <w:pPr>
        <w:spacing w:after="0" w:line="229"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860" w:right="180" w:hanging="366"/>
        <w:spacing w:after="0" w:line="282"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authorities may disagree with the design, implementation or results of our clinical trials or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860" w:right="80" w:hanging="366"/>
        <w:spacing w:after="0" w:line="282"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foreign regulatory authorities may significantly change in a manner rendering our clinical data insufficient for approval;</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 on our ability to produce our product candidates and conduct clinical trials in foreign countries;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860" w:right="460" w:hanging="366"/>
        <w:spacing w:after="0" w:line="282"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right="460" w:firstLine="494"/>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business, financial condition and results of operations.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59"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55" w:name="page56"/>
    <w:bookmarkEnd w:id="55"/>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In particular,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87" w:lineRule="exact"/>
        <w:rPr>
          <w:sz w:val="20"/>
          <w:szCs w:val="20"/>
          <w:color w:val="auto"/>
        </w:rPr>
      </w:pPr>
    </w:p>
    <w:p>
      <w:pPr>
        <w:ind w:right="360" w:firstLine="494"/>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80"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0"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right="120" w:firstLine="49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94" w:lineRule="exact"/>
        <w:rPr>
          <w:sz w:val="20"/>
          <w:szCs w:val="20"/>
          <w:color w:val="auto"/>
        </w:rPr>
      </w:pPr>
    </w:p>
    <w:p>
      <w:pPr>
        <w:ind w:right="240" w:firstLine="494"/>
        <w:spacing w:after="0" w:line="266" w:lineRule="auto"/>
        <w:rPr>
          <w:sz w:val="20"/>
          <w:szCs w:val="20"/>
          <w:color w:val="auto"/>
        </w:rPr>
      </w:pPr>
      <w:r>
        <w:rPr>
          <w:rFonts w:ascii="Times New Roman" w:cs="Times New Roman" w:eastAsia="Times New Roman" w:hAnsi="Times New Roman"/>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172"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159"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Our future operating results are dependent on our ability to successfully discover, develop, obtain regulatory approval for and commercialize product candidates beyond our lead product candidate, PC14586, and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right="200"/>
        <w:spacing w:after="0" w:line="282" w:lineRule="auto"/>
        <w:rPr>
          <w:sz w:val="20"/>
          <w:szCs w:val="20"/>
          <w:color w:val="auto"/>
        </w:rPr>
      </w:pPr>
      <w:r>
        <w:rPr>
          <w:rFonts w:ascii="Times New Roman" w:cs="Times New Roman" w:eastAsia="Times New Roman" w:hAnsi="Times New Roman"/>
          <w:sz w:val="18"/>
          <w:szCs w:val="18"/>
          <w:color w:val="auto"/>
        </w:rPr>
        <w:t>preclinical testing or early clinical trials of a product candidate may not be predictive of the results that will be obtained in later stage clinical trials of the product candidate.</w:t>
      </w:r>
    </w:p>
    <w:p>
      <w:pPr>
        <w:spacing w:after="0" w:line="162" w:lineRule="exact"/>
        <w:rPr>
          <w:sz w:val="20"/>
          <w:szCs w:val="20"/>
          <w:color w:val="auto"/>
        </w:rPr>
      </w:pPr>
    </w:p>
    <w:p>
      <w:pPr>
        <w:ind w:right="400" w:firstLine="494"/>
        <w:spacing w:after="0" w:line="282" w:lineRule="auto"/>
        <w:rPr>
          <w:sz w:val="20"/>
          <w:szCs w:val="20"/>
          <w:color w:val="auto"/>
        </w:rPr>
      </w:pPr>
      <w:r>
        <w:rPr>
          <w:rFonts w:ascii="Times New Roman" w:cs="Times New Roman" w:eastAsia="Times New Roman" w:hAnsi="Times New Roman"/>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4" w:lineRule="exact"/>
        <w:rPr>
          <w:sz w:val="20"/>
          <w:szCs w:val="20"/>
          <w:color w:val="auto"/>
        </w:rPr>
      </w:pPr>
    </w:p>
    <w:p>
      <w:pPr>
        <w:ind w:left="860" w:hanging="366"/>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w:t>
      </w:r>
    </w:p>
    <w:p>
      <w:pPr>
        <w:spacing w:after="0" w:line="225" w:lineRule="exact"/>
        <w:rPr>
          <w:sz w:val="20"/>
          <w:szCs w:val="20"/>
          <w:color w:val="auto"/>
        </w:rPr>
      </w:pPr>
    </w:p>
    <w:p>
      <w:pPr>
        <w:ind w:right="160" w:firstLine="494"/>
        <w:spacing w:after="0" w:line="312"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40" w:lineRule="exact"/>
        <w:rPr>
          <w:sz w:val="20"/>
          <w:szCs w:val="20"/>
          <w:color w:val="auto"/>
        </w:rPr>
      </w:pPr>
    </w:p>
    <w:p>
      <w:pPr>
        <w:ind w:right="640" w:firstLine="494"/>
        <w:spacing w:after="0" w:line="266" w:lineRule="auto"/>
        <w:rPr>
          <w:sz w:val="20"/>
          <w:szCs w:val="20"/>
          <w:color w:val="auto"/>
        </w:rPr>
      </w:pPr>
      <w:r>
        <w:rPr>
          <w:rFonts w:ascii="Times New Roman" w:cs="Times New Roman" w:eastAsia="Times New Roman" w:hAnsi="Times New Roman"/>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75"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87"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While we have only recently initiated a clinical trial for our lead product candidate, PC14586, as is the case with all oncology drugs, it is likely that there may be significant side effects associated with its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94"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ind w:right="20"/>
        <w:spacing w:after="0" w:line="253" w:lineRule="auto"/>
        <w:rPr>
          <w:sz w:val="20"/>
          <w:szCs w:val="20"/>
          <w:color w:val="auto"/>
        </w:rPr>
      </w:pPr>
      <w:r>
        <w:rPr>
          <w:rFonts w:ascii="Times New Roman" w:cs="Times New Roman" w:eastAsia="Times New Roman" w:hAnsi="Times New Roman"/>
          <w:sz w:val="18"/>
          <w:szCs w:val="18"/>
          <w:color w:val="auto"/>
        </w:rPr>
        <w:t>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develop our current or future product candidates in combination with other therapies, which exposes us to additional risks.</w:t>
      </w:r>
    </w:p>
    <w:p>
      <w:pPr>
        <w:spacing w:after="0" w:line="22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94" w:lineRule="exact"/>
        <w:rPr>
          <w:sz w:val="20"/>
          <w:szCs w:val="20"/>
          <w:color w:val="auto"/>
        </w:rPr>
      </w:pPr>
    </w:p>
    <w:p>
      <w:pPr>
        <w:ind w:right="600" w:firstLine="494"/>
        <w:spacing w:after="0" w:line="266" w:lineRule="auto"/>
        <w:rPr>
          <w:sz w:val="20"/>
          <w:szCs w:val="20"/>
          <w:color w:val="auto"/>
        </w:rPr>
      </w:pPr>
      <w:r>
        <w:rPr>
          <w:rFonts w:ascii="Times New Roman" w:cs="Times New Roman" w:eastAsia="Times New Roman" w:hAnsi="Times New Roman"/>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76"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320" w:firstLine="494"/>
        <w:spacing w:after="0" w:line="261"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right="200"/>
        <w:spacing w:after="0" w:line="261" w:lineRule="auto"/>
        <w:rPr>
          <w:sz w:val="20"/>
          <w:szCs w:val="20"/>
          <w:color w:val="auto"/>
        </w:rPr>
      </w:pPr>
      <w:r>
        <w:rPr>
          <w:rFonts w:ascii="Times New Roman" w:cs="Times New Roman" w:eastAsia="Times New Roman" w:hAnsi="Times New Roman"/>
          <w:sz w:val="18"/>
          <w:szCs w:val="18"/>
          <w:color w:val="auto"/>
        </w:rPr>
        <w:t>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183"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159" w:lineRule="exact"/>
        <w:rPr>
          <w:sz w:val="20"/>
          <w:szCs w:val="20"/>
          <w:color w:val="auto"/>
        </w:rPr>
      </w:pPr>
    </w:p>
    <w:p>
      <w:pPr>
        <w:jc w:val="both"/>
        <w:ind w:right="600" w:firstLine="494"/>
        <w:spacing w:after="0" w:line="266" w:lineRule="auto"/>
        <w:rPr>
          <w:sz w:val="20"/>
          <w:szCs w:val="20"/>
          <w:color w:val="auto"/>
        </w:rPr>
      </w:pPr>
      <w:r>
        <w:rPr>
          <w:rFonts w:ascii="Times New Roman" w:cs="Times New Roman" w:eastAsia="Times New Roman" w:hAnsi="Times New Roman"/>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68" w:lineRule="exact"/>
        <w:rPr>
          <w:sz w:val="20"/>
          <w:szCs w:val="20"/>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cancer medicines;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precision medicines and public perception of other precision medicines;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ind w:left="860" w:hanging="366"/>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If our product candidates receive regulatory approval but fail to achieve market acceptance among physicians, patients, hospitals, cancer treatment centers or others in the medical community, we will not be able to generate significant revenue.</w:t>
      </w:r>
    </w:p>
    <w:p>
      <w:pPr>
        <w:spacing w:after="0" w:line="162"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and a decrease in demand for any such product candidates.</w:t>
      </w:r>
    </w:p>
    <w:p>
      <w:pPr>
        <w:spacing w:after="0" w:line="180"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5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180"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92"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right="500"/>
        <w:spacing w:after="0" w:line="282" w:lineRule="auto"/>
        <w:rPr>
          <w:sz w:val="20"/>
          <w:szCs w:val="20"/>
          <w:color w:val="auto"/>
        </w:rPr>
      </w:pPr>
      <w:r>
        <w:rPr>
          <w:rFonts w:ascii="Times New Roman" w:cs="Times New Roman" w:eastAsia="Times New Roman" w:hAnsi="Times New Roman"/>
          <w:sz w:val="18"/>
          <w:szCs w:val="18"/>
          <w:color w:val="auto"/>
        </w:rPr>
        <w:t>on our investment. Reimbursement by a third-party payor may depend upon a number of factors, including, but not limited to, the third-party payor’s determination that use of a product is:</w:t>
      </w:r>
    </w:p>
    <w:p>
      <w:pPr>
        <w:spacing w:after="0" w:line="54" w:lineRule="exact"/>
        <w:rPr>
          <w:sz w:val="20"/>
          <w:szCs w:val="20"/>
          <w:color w:val="auto"/>
        </w:rPr>
      </w:pPr>
    </w:p>
    <w:p>
      <w:pPr>
        <w:ind w:left="860" w:hanging="366"/>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9" w:lineRule="exact"/>
        <w:rPr>
          <w:sz w:val="20"/>
          <w:szCs w:val="20"/>
          <w:color w:val="auto"/>
        </w:rPr>
      </w:pPr>
    </w:p>
    <w:p>
      <w:pPr>
        <w:ind w:right="40" w:firstLine="494"/>
        <w:spacing w:after="0" w:line="252"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95" w:lineRule="exact"/>
        <w:rPr>
          <w:sz w:val="20"/>
          <w:szCs w:val="20"/>
          <w:color w:val="auto"/>
        </w:rPr>
      </w:pPr>
    </w:p>
    <w:p>
      <w:pPr>
        <w:ind w:right="160" w:firstLine="494"/>
        <w:spacing w:after="0" w:line="258"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83" w:lineRule="exact"/>
        <w:rPr>
          <w:sz w:val="20"/>
          <w:szCs w:val="20"/>
          <w:color w:val="auto"/>
        </w:rPr>
      </w:pPr>
    </w:p>
    <w:p>
      <w:pPr>
        <w:jc w:val="both"/>
        <w:ind w:right="240" w:firstLine="494"/>
        <w:spacing w:after="0" w:line="289" w:lineRule="auto"/>
        <w:rPr>
          <w:sz w:val="20"/>
          <w:szCs w:val="20"/>
          <w:color w:val="auto"/>
        </w:rPr>
      </w:pPr>
      <w:r>
        <w:rPr>
          <w:rFonts w:ascii="Times New Roman" w:cs="Times New Roman" w:eastAsia="Times New Roman" w:hAnsi="Times New Roman"/>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right="120"/>
        <w:spacing w:after="0" w:line="258" w:lineRule="auto"/>
        <w:rPr>
          <w:sz w:val="20"/>
          <w:szCs w:val="20"/>
          <w:color w:val="auto"/>
        </w:rPr>
      </w:pPr>
      <w:r>
        <w:rPr>
          <w:rFonts w:ascii="Times New Roman" w:cs="Times New Roman" w:eastAsia="Times New Roman" w:hAnsi="Times New Roman"/>
          <w:sz w:val="18"/>
          <w:szCs w:val="18"/>
          <w:color w:val="auto"/>
        </w:rPr>
        <w:t>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3"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ind w:right="360"/>
        <w:spacing w:after="0" w:line="261" w:lineRule="auto"/>
        <w:rPr>
          <w:sz w:val="20"/>
          <w:szCs w:val="20"/>
          <w:color w:val="auto"/>
        </w:rPr>
      </w:pPr>
      <w:r>
        <w:rPr>
          <w:rFonts w:ascii="Times New Roman" w:cs="Times New Roman" w:eastAsia="Times New Roman" w:hAnsi="Times New Roman"/>
          <w:sz w:val="18"/>
          <w:szCs w:val="18"/>
          <w:color w:val="auto"/>
        </w:rPr>
        <w:t>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5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59" w:lineRule="exact"/>
        <w:rPr>
          <w:sz w:val="20"/>
          <w:szCs w:val="20"/>
          <w:color w:val="auto"/>
        </w:rPr>
      </w:pPr>
    </w:p>
    <w:p>
      <w:pPr>
        <w:ind w:right="340" w:firstLine="494"/>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80"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18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75" w:lineRule="exact"/>
        <w:rPr>
          <w:sz w:val="20"/>
          <w:szCs w:val="20"/>
          <w:color w:val="auto"/>
        </w:rPr>
      </w:pPr>
    </w:p>
    <w:p>
      <w:pPr>
        <w:jc w:val="both"/>
        <w:ind w:right="100" w:firstLine="494"/>
        <w:spacing w:after="0" w:line="266"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6" w:lineRule="exact"/>
        <w:rPr>
          <w:sz w:val="20"/>
          <w:szCs w:val="20"/>
          <w:color w:val="auto"/>
        </w:rPr>
      </w:pPr>
    </w:p>
    <w:p>
      <w:pPr>
        <w:jc w:val="both"/>
        <w:ind w:right="100" w:firstLine="494"/>
        <w:spacing w:after="0" w:line="282"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right="40"/>
        <w:spacing w:after="0" w:line="258" w:lineRule="auto"/>
        <w:rPr>
          <w:sz w:val="20"/>
          <w:szCs w:val="20"/>
          <w:color w:val="auto"/>
        </w:rPr>
      </w:pPr>
      <w:r>
        <w:rPr>
          <w:rFonts w:ascii="Times New Roman" w:cs="Times New Roman" w:eastAsia="Times New Roman" w:hAnsi="Times New Roman"/>
          <w:sz w:val="18"/>
          <w:szCs w:val="18"/>
          <w:color w:val="auto"/>
        </w:rPr>
        <w:t>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3" w:lineRule="exact"/>
        <w:rPr>
          <w:sz w:val="20"/>
          <w:szCs w:val="20"/>
          <w:color w:val="auto"/>
        </w:rPr>
      </w:pPr>
    </w:p>
    <w:p>
      <w:pPr>
        <w:ind w:right="380" w:firstLine="494"/>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Regulatory Process and Other Legal Compliance Matters</w:t>
      </w:r>
    </w:p>
    <w:p>
      <w:pPr>
        <w:spacing w:after="0" w:line="225"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57" w:lineRule="exact"/>
        <w:rPr>
          <w:sz w:val="20"/>
          <w:szCs w:val="20"/>
          <w:color w:val="auto"/>
        </w:rPr>
      </w:pPr>
    </w:p>
    <w:p>
      <w:pPr>
        <w:ind w:right="160" w:firstLine="494"/>
        <w:spacing w:after="0" w:line="258" w:lineRule="auto"/>
        <w:rPr>
          <w:sz w:val="20"/>
          <w:szCs w:val="20"/>
          <w:color w:val="auto"/>
        </w:rPr>
      </w:pPr>
      <w:r>
        <w:rPr>
          <w:rFonts w:ascii="Times New Roman" w:cs="Times New Roman" w:eastAsia="Times New Roman" w:hAnsi="Times New Roman"/>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83" w:lineRule="exact"/>
        <w:rPr>
          <w:sz w:val="20"/>
          <w:szCs w:val="20"/>
          <w:color w:val="auto"/>
        </w:rPr>
      </w:pPr>
    </w:p>
    <w:p>
      <w:pPr>
        <w:jc w:val="both"/>
        <w:ind w:right="20" w:firstLine="494"/>
        <w:spacing w:after="0" w:line="266" w:lineRule="auto"/>
        <w:rPr>
          <w:sz w:val="20"/>
          <w:szCs w:val="20"/>
          <w:color w:val="auto"/>
        </w:rPr>
      </w:pPr>
      <w:r>
        <w:rPr>
          <w:rFonts w:ascii="Times New Roman" w:cs="Times New Roman" w:eastAsia="Times New Roman" w:hAnsi="Times New Roman"/>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6" w:lineRule="exact"/>
        <w:rPr>
          <w:sz w:val="20"/>
          <w:szCs w:val="20"/>
          <w:color w:val="auto"/>
        </w:rPr>
      </w:pPr>
    </w:p>
    <w:p>
      <w:pPr>
        <w:ind w:right="100" w:firstLine="494"/>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86" w:lineRule="exact"/>
        <w:rPr>
          <w:sz w:val="20"/>
          <w:szCs w:val="20"/>
          <w:color w:val="auto"/>
        </w:rPr>
      </w:pPr>
    </w:p>
    <w:p>
      <w:pPr>
        <w:ind w:left="860" w:hanging="366"/>
        <w:spacing w:after="0" w:line="266" w:lineRule="auto"/>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including our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6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tumor-agnostic development strategy;</w:t>
      </w:r>
    </w:p>
    <w:p>
      <w:pPr>
        <w:spacing w:after="0" w:line="117" w:lineRule="exact"/>
        <w:rPr>
          <w:rFonts w:ascii="Times New Roman" w:cs="Times New Roman" w:eastAsia="Times New Roman" w:hAnsi="Times New Roman"/>
          <w:sz w:val="18"/>
          <w:szCs w:val="18"/>
          <w:color w:val="auto"/>
        </w:rPr>
      </w:pPr>
    </w:p>
    <w:p>
      <w:pPr>
        <w:ind w:left="860" w:right="80" w:hanging="366"/>
        <w:spacing w:after="0" w:line="282" w:lineRule="auto"/>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ind w:left="860" w:right="200" w:hanging="36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53" w:lineRule="exact"/>
        <w:rPr>
          <w:rFonts w:ascii="Times New Roman" w:cs="Times New Roman" w:eastAsia="Times New Roman" w:hAnsi="Times New Roman"/>
          <w:sz w:val="18"/>
          <w:szCs w:val="18"/>
          <w:color w:val="auto"/>
        </w:rPr>
      </w:pPr>
    </w:p>
    <w:p>
      <w:pPr>
        <w:ind w:left="860" w:right="560" w:hanging="36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fail to approve companion diagnostic tests that may be required for our product candidates;</w:t>
      </w:r>
    </w:p>
    <w:p>
      <w:pPr>
        <w:spacing w:after="0" w:line="53" w:lineRule="exact"/>
        <w:rPr>
          <w:rFonts w:ascii="Times New Roman" w:cs="Times New Roman" w:eastAsia="Times New Roman" w:hAnsi="Times New Roman"/>
          <w:sz w:val="18"/>
          <w:szCs w:val="18"/>
          <w:color w:val="auto"/>
        </w:rPr>
      </w:pPr>
    </w:p>
    <w:p>
      <w:pPr>
        <w:ind w:left="860" w:right="180" w:hanging="36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860" w:right="80" w:hanging="36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860" w:right="100" w:hanging="36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860" w:right="540" w:hanging="36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860" w:right="780" w:hanging="36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3" w:lineRule="exact"/>
        <w:rPr>
          <w:rFonts w:ascii="Times New Roman" w:cs="Times New Roman" w:eastAsia="Times New Roman" w:hAnsi="Times New Roman"/>
          <w:sz w:val="18"/>
          <w:szCs w:val="18"/>
          <w:color w:val="auto"/>
        </w:rPr>
      </w:pPr>
    </w:p>
    <w:p>
      <w:pPr>
        <w:ind w:left="860" w:right="260" w:hanging="36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right="80" w:firstLine="494"/>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6"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18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175"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firstLine="494"/>
        <w:spacing w:after="0" w:line="254"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2"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88"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breakthrough therapy designations for our current or Fast Track and breakthrough therapy designations for future product candidates. Even if we are successful, such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180"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PC14586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PC14586,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87"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right="420"/>
        <w:spacing w:after="0" w:line="282" w:lineRule="auto"/>
        <w:rPr>
          <w:sz w:val="20"/>
          <w:szCs w:val="20"/>
          <w:color w:val="auto"/>
        </w:rPr>
      </w:pPr>
      <w:r>
        <w:rPr>
          <w:rFonts w:ascii="Times New Roman" w:cs="Times New Roman" w:eastAsia="Times New Roman" w:hAnsi="Times New Roman"/>
          <w:sz w:val="18"/>
          <w:szCs w:val="18"/>
          <w:color w:val="auto"/>
        </w:rPr>
        <w:t>even if a product candidate we develop qualifies as a breakthrough therapy, the FDA may later decide that the drug no longer meets the conditions for qualification and rescind the designation.</w:t>
      </w:r>
    </w:p>
    <w:p>
      <w:pPr>
        <w:spacing w:after="0" w:line="162"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83"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Our lead product candidate, PC14586, is in early clinical development and all of our other product candidates are in discovery or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ind w:right="20"/>
        <w:spacing w:after="0" w:line="277" w:lineRule="auto"/>
        <w:rPr>
          <w:sz w:val="20"/>
          <w:szCs w:val="20"/>
          <w:color w:val="auto"/>
        </w:rPr>
      </w:pPr>
      <w:r>
        <w:rPr>
          <w:rFonts w:ascii="Times New Roman" w:cs="Times New Roman" w:eastAsia="Times New Roman" w:hAnsi="Times New Roman"/>
          <w:sz w:val="17"/>
          <w:szCs w:val="17"/>
          <w:color w:val="auto"/>
        </w:rPr>
        <w:t>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clinical trials may not be successful.</w:t>
      </w:r>
    </w:p>
    <w:p>
      <w:pPr>
        <w:spacing w:after="0" w:line="168"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87"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Additionally, our PC14586 Phase 1/2 clinical trial is, and other clinical trials we conduct in the future may be, open-label in study design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94" w:lineRule="exact"/>
        <w:rPr>
          <w:sz w:val="20"/>
          <w:szCs w:val="20"/>
          <w:color w:val="auto"/>
        </w:rPr>
      </w:pPr>
    </w:p>
    <w:p>
      <w:pPr>
        <w:ind w:right="200" w:firstLine="494"/>
        <w:spacing w:after="0" w:line="258" w:lineRule="auto"/>
        <w:rPr>
          <w:sz w:val="20"/>
          <w:szCs w:val="20"/>
          <w:color w:val="auto"/>
        </w:rPr>
      </w:pPr>
      <w:r>
        <w:rPr>
          <w:rFonts w:ascii="Times New Roman" w:cs="Times New Roman" w:eastAsia="Times New Roman" w:hAnsi="Times New Roman"/>
          <w:sz w:val="18"/>
          <w:szCs w:val="18"/>
          <w:color w:val="auto"/>
        </w:rPr>
        <w:t>We may experience delays in obtaining the FDA’s authorization to initiate clinical trials, completing ongoing clinical trials of PC14586 and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5" w:lineRule="exact"/>
        <w:rPr>
          <w:sz w:val="20"/>
          <w:szCs w:val="20"/>
          <w:color w:val="auto"/>
        </w:rPr>
      </w:pPr>
    </w:p>
    <w:p>
      <w:pPr>
        <w:ind w:left="860" w:hanging="366"/>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with our tumor-agnostic development strategy;</w:t>
      </w:r>
    </w:p>
    <w:p>
      <w:pPr>
        <w:spacing w:after="0" w:line="117" w:lineRule="exact"/>
        <w:rPr>
          <w:rFonts w:ascii="Times New Roman" w:cs="Times New Roman" w:eastAsia="Times New Roman" w:hAnsi="Times New Roman"/>
          <w:sz w:val="18"/>
          <w:szCs w:val="18"/>
          <w:color w:val="auto"/>
        </w:rPr>
      </w:pPr>
    </w:p>
    <w:p>
      <w:pPr>
        <w:ind w:left="860" w:right="800" w:hanging="366"/>
        <w:spacing w:after="0" w:line="282"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or authorization to commence a clinical trial, including delays or issues relating to any future companion diagnostics which we may develop;</w:t>
      </w:r>
    </w:p>
    <w:p>
      <w:pPr>
        <w:spacing w:after="0" w:line="53" w:lineRule="exact"/>
        <w:rPr>
          <w:rFonts w:ascii="Times New Roman" w:cs="Times New Roman" w:eastAsia="Times New Roman" w:hAnsi="Times New Roman"/>
          <w:sz w:val="18"/>
          <w:szCs w:val="18"/>
          <w:color w:val="auto"/>
        </w:rPr>
      </w:pPr>
    </w:p>
    <w:p>
      <w:pPr>
        <w:ind w:left="860" w:right="760" w:hanging="366"/>
        <w:spacing w:after="0" w:line="282"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clinical trial site;</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 adequate number of suitable patients to participate in a clinical trial;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ind w:left="860" w:hanging="366"/>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w:t>
      </w:r>
    </w:p>
    <w:p>
      <w:pPr>
        <w:spacing w:after="0" w:line="117" w:lineRule="exact"/>
        <w:rPr>
          <w:rFonts w:ascii="Times New Roman" w:cs="Times New Roman" w:eastAsia="Times New Roman" w:hAnsi="Times New Roman"/>
          <w:sz w:val="18"/>
          <w:szCs w:val="18"/>
          <w:color w:val="auto"/>
        </w:rPr>
      </w:pPr>
    </w:p>
    <w:p>
      <w:pPr>
        <w:ind w:left="860" w:right="220" w:hanging="366"/>
        <w:spacing w:after="0" w:line="266"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6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117" w:lineRule="exact"/>
        <w:rPr>
          <w:rFonts w:ascii="Times New Roman" w:cs="Times New Roman" w:eastAsia="Times New Roman" w:hAnsi="Times New Roman"/>
          <w:sz w:val="18"/>
          <w:szCs w:val="18"/>
          <w:color w:val="auto"/>
        </w:rPr>
      </w:pPr>
    </w:p>
    <w:p>
      <w:pPr>
        <w:ind w:left="860" w:right="1020" w:hanging="366"/>
        <w:spacing w:after="0" w:line="282"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third-party contractors fail to complete their obligations in a timely manner or failing to comply with applicable regulatory requirements;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subject safety concerns that arise during the course of a clinical trial;</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product supply of product candidate for use in preclinical studies or clinical trials from third-party suppliers.</w:t>
      </w:r>
    </w:p>
    <w:p>
      <w:pPr>
        <w:spacing w:after="0" w:line="225"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8"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9"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186"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ind w:right="340" w:firstLine="494"/>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6" w:lineRule="exact"/>
        <w:rPr>
          <w:sz w:val="20"/>
          <w:szCs w:val="20"/>
          <w:color w:val="auto"/>
        </w:rPr>
      </w:pPr>
    </w:p>
    <w:p>
      <w:pPr>
        <w:ind w:right="60" w:firstLine="494"/>
        <w:spacing w:after="0" w:line="253" w:lineRule="auto"/>
        <w:rPr>
          <w:sz w:val="20"/>
          <w:szCs w:val="20"/>
          <w:color w:val="auto"/>
        </w:rPr>
      </w:pPr>
      <w:r>
        <w:rPr>
          <w:rFonts w:ascii="Times New Roman" w:cs="Times New Roman" w:eastAsia="Times New Roman" w:hAnsi="Times New Roman"/>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risk evaluation and mitigation strategy, or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GLP requirements and good clinical practice, or GCP, requirements, for any clinical trials that we conduct post-approval. Later discovery of previously unknown problems with our product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ind w:right="80"/>
        <w:spacing w:after="0" w:line="282" w:lineRule="auto"/>
        <w:rPr>
          <w:sz w:val="20"/>
          <w:szCs w:val="20"/>
          <w:color w:val="auto"/>
        </w:rPr>
      </w:pPr>
      <w:r>
        <w:rPr>
          <w:rFonts w:ascii="Times New Roman" w:cs="Times New Roman" w:eastAsia="Times New Roman" w:hAnsi="Times New Roman"/>
          <w:sz w:val="18"/>
          <w:szCs w:val="18"/>
          <w:color w:val="auto"/>
        </w:rPr>
        <w:t>candidates, including adverse events of unanticipated severity or frequency, or with our third-party manufacturers or manufacturing processes, or failure to comply with regulatory requirements, may result in, among other things:</w:t>
      </w:r>
    </w:p>
    <w:p>
      <w:pPr>
        <w:spacing w:after="0" w:line="54" w:lineRule="exact"/>
        <w:rPr>
          <w:sz w:val="20"/>
          <w:szCs w:val="20"/>
          <w:color w:val="auto"/>
        </w:rPr>
      </w:pPr>
    </w:p>
    <w:p>
      <w:pPr>
        <w:ind w:left="860" w:right="40" w:hanging="366"/>
        <w:spacing w:after="0" w:line="282"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860" w:right="660" w:hanging="366"/>
        <w:spacing w:after="0" w:line="282"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860" w:right="640" w:hanging="366"/>
        <w:spacing w:after="0" w:line="282"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494"/>
        <w:spacing w:after="0" w:line="253"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and regulations promulgated during the Trump administration as well as those implemented by the Biden administration may impact our business and industry. To the extent any current or future executive or legislative actions impose significant changes in or burdens on, or otherwise materially delay, FDA’s ability to engage in routine oversight activities, such as implementing regulations through rulemaking, issuance of guidance, and agency review and approval of marketing applications on a timely basis, our business and clinical development plans could be negatively impacted. It remains to be seen how the Biden administration and new leadership at the HHS and FDA will impact our business. If we, as well as our contractors, are slow or unable to adapt to changes in existing requirements or the adoption of new requirements or policies, or are not able to maintain regulatory compliance, we may be delayed in obtaining regulatory approval, lose any marketing approval that we may have obtained, and we may not achieve or sustain profitability.</w:t>
      </w:r>
    </w:p>
    <w:p>
      <w:pPr>
        <w:spacing w:after="0" w:line="194"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if approved, and generate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229"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7"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ind w:right="80"/>
        <w:spacing w:after="0" w:line="256" w:lineRule="auto"/>
        <w:rPr>
          <w:sz w:val="20"/>
          <w:szCs w:val="20"/>
          <w:color w:val="auto"/>
        </w:rPr>
      </w:pPr>
      <w:r>
        <w:rPr>
          <w:rFonts w:ascii="Times New Roman" w:cs="Times New Roman" w:eastAsia="Times New Roman" w:hAnsi="Times New Roman"/>
          <w:sz w:val="18"/>
          <w:szCs w:val="18"/>
          <w:color w:val="auto"/>
        </w:rPr>
        <w:t>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7"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There have been legislative and judicial efforts to repeal, replace, or change some or all of the ACA, including measures taken during the Trump administration.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In November 2020, the United States Supreme Court held oral arguments on this case. It is unclear how the United States Supreme Court will rule on this case, or how other future judicial and legislative efforts, including healthcare measures of the Biden administration, will impact the ACA or our business. We will continue to evaluate the effect that the ACA has on our business. Complying with any new legislation or reversing changes implemented under the ACA could be time-intensive and expensive, resulting in a material adverse effect on our business.</w:t>
      </w:r>
    </w:p>
    <w:p>
      <w:pPr>
        <w:spacing w:after="0" w:line="192"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2030, with the exception of a temporary suspension implemented under various COVID-19 relief legislation from May 1, 2020 through March 31, 2021, unless additional Congressional action is taken.</w:t>
      </w:r>
    </w:p>
    <w:p>
      <w:pPr>
        <w:spacing w:after="0" w:line="196"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line="252" w:lineRule="auto"/>
        <w:rPr>
          <w:sz w:val="20"/>
          <w:szCs w:val="20"/>
          <w:color w:val="auto"/>
        </w:rPr>
      </w:pPr>
      <w:r>
        <w:rPr>
          <w:rFonts w:ascii="Times New Roman" w:cs="Times New Roman" w:eastAsia="Times New Roman" w:hAnsi="Times New Roman"/>
          <w:sz w:val="18"/>
          <w:szCs w:val="18"/>
          <w:color w:val="auto"/>
        </w:rPr>
        <w:t>lower the list price of their products and reduce the out of pocket costs of drug products paid by consumers. For example, in May 2019, CMS issued a final rule to allow Medicare Advantage Plans the option of using step therapy, a type of prior authorization, for Part B drugs beginning January 1, 2020. This final rule codified CMS’s policy change that was effective January 1, 2019. In July and September 2020, the Trump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Further, in November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CMS also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In December 2020, CMS also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The Biden administration, including new leadership at the HHS, may halt, amend, or revoke certain actions implemented during the Trump administration. It is unclear to what extent these new regulations and any future regulations and legislation by the Biden administration will have on our business, including our ability to generate revenue and achieve profitability.</w:t>
      </w:r>
    </w:p>
    <w:p>
      <w:pPr>
        <w:spacing w:after="0" w:line="195"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2" w:lineRule="exact"/>
        <w:rPr>
          <w:sz w:val="20"/>
          <w:szCs w:val="20"/>
          <w:color w:val="auto"/>
        </w:rPr>
      </w:pPr>
    </w:p>
    <w:p>
      <w:pPr>
        <w:ind w:right="320" w:firstLine="494"/>
        <w:spacing w:after="0" w:line="261"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and other payors of healthcare services to contain or reduce costs of healthcare and/or impose price controls may adversely affect:</w:t>
      </w:r>
    </w:p>
    <w:p>
      <w:pPr>
        <w:spacing w:after="0" w:line="117" w:lineRule="exact"/>
        <w:rPr>
          <w:sz w:val="20"/>
          <w:szCs w:val="20"/>
          <w:color w:val="auto"/>
        </w:rPr>
      </w:pPr>
    </w:p>
    <w:p>
      <w:pPr>
        <w:ind w:left="860" w:hanging="366"/>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229"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9"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72" w:lineRule="exact"/>
        <w:rPr>
          <w:sz w:val="20"/>
          <w:szCs w:val="20"/>
          <w:color w:val="auto"/>
        </w:rPr>
      </w:pPr>
    </w:p>
    <w:p>
      <w:pPr>
        <w:ind w:left="860" w:right="60" w:hanging="366"/>
        <w:spacing w:after="0" w:line="254"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3" w:lineRule="exact"/>
        <w:rPr>
          <w:rFonts w:ascii="Times New Roman" w:cs="Times New Roman" w:eastAsia="Times New Roman" w:hAnsi="Times New Roman"/>
          <w:sz w:val="18"/>
          <w:szCs w:val="18"/>
          <w:color w:val="auto"/>
        </w:rPr>
      </w:pPr>
    </w:p>
    <w:p>
      <w:pPr>
        <w:ind w:left="860" w:right="20" w:hanging="366"/>
        <w:spacing w:after="0" w:line="253"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1" w:lineRule="exact"/>
        <w:rPr>
          <w:rFonts w:ascii="Times New Roman" w:cs="Times New Roman" w:eastAsia="Times New Roman" w:hAnsi="Times New Roman"/>
          <w:sz w:val="18"/>
          <w:szCs w:val="18"/>
          <w:color w:val="auto"/>
        </w:rPr>
      </w:pPr>
    </w:p>
    <w:p>
      <w:pPr>
        <w:ind w:left="860" w:hanging="366"/>
        <w:spacing w:after="0" w:line="255"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ind w:left="860" w:hanging="366"/>
        <w:spacing w:after="0" w:line="256"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ind w:left="860"/>
        <w:spacing w:after="0"/>
        <w:rPr>
          <w:sz w:val="20"/>
          <w:szCs w:val="20"/>
          <w:color w:val="auto"/>
        </w:rPr>
      </w:pPr>
      <w:r>
        <w:rPr>
          <w:rFonts w:ascii="Times New Roman" w:cs="Times New Roman" w:eastAsia="Times New Roman" w:hAnsi="Times New Roman"/>
          <w:sz w:val="18"/>
          <w:szCs w:val="18"/>
          <w:color w:val="auto"/>
        </w:rPr>
        <w:t>value made during the previous year to certain non-physician providers, such as physician assistants and nurse practitioners;</w:t>
      </w:r>
    </w:p>
    <w:p>
      <w:pPr>
        <w:spacing w:after="0" w:line="117" w:lineRule="exact"/>
        <w:rPr>
          <w:sz w:val="20"/>
          <w:szCs w:val="20"/>
          <w:color w:val="auto"/>
        </w:rPr>
      </w:pPr>
    </w:p>
    <w:p>
      <w:pPr>
        <w:ind w:left="860" w:right="400" w:hanging="366"/>
        <w:spacing w:after="0" w:line="282"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860" w:hanging="366"/>
        <w:spacing w:after="0" w:line="254"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92"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229"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In connection with our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right="140"/>
        <w:spacing w:after="0" w:line="258" w:lineRule="auto"/>
        <w:rPr>
          <w:sz w:val="20"/>
          <w:szCs w:val="20"/>
          <w:color w:val="auto"/>
        </w:rPr>
      </w:pPr>
      <w:r>
        <w:rPr>
          <w:rFonts w:ascii="Times New Roman" w:cs="Times New Roman" w:eastAsia="Times New Roman" w:hAnsi="Times New Roman"/>
          <w:sz w:val="18"/>
          <w:szCs w:val="18"/>
          <w:color w:val="auto"/>
        </w:rPr>
        <w:t>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83" w:lineRule="exact"/>
        <w:rPr>
          <w:sz w:val="20"/>
          <w:szCs w:val="20"/>
          <w:color w:val="auto"/>
        </w:rPr>
      </w:pPr>
    </w:p>
    <w:p>
      <w:pPr>
        <w:ind w:right="120" w:firstLine="494"/>
        <w:spacing w:after="0" w:line="253" w:lineRule="auto"/>
        <w:rPr>
          <w:sz w:val="20"/>
          <w:szCs w:val="20"/>
          <w:color w:val="auto"/>
        </w:rPr>
      </w:pPr>
      <w:r>
        <w:rPr>
          <w:rFonts w:ascii="Times New Roman" w:cs="Times New Roman" w:eastAsia="Times New Roman" w:hAnsi="Times New Roman"/>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7"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In November 2020, California passed the California Privacy Rights Act, or CPRA, which amends and expands the CCPA. Although the CCPA includes exemptions for certain clinical trial data, the law may increase our compliance costs and potential liability with respect to other personal information. The CCPA and CPRA may impact our business activities and exemplifies the vulnerability of our business to the evolving regulatory environment related to personal data and protected health information.</w:t>
      </w:r>
    </w:p>
    <w:p>
      <w:pPr>
        <w:spacing w:after="0" w:line="192"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8" w:lineRule="exact"/>
        <w:rPr>
          <w:sz w:val="20"/>
          <w:szCs w:val="20"/>
          <w:color w:val="auto"/>
        </w:rPr>
      </w:pPr>
    </w:p>
    <w:p>
      <w:pPr>
        <w:ind w:right="220" w:firstLine="494"/>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229"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59"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8" w:name="page79"/>
    <w:bookmarkEnd w:id="78"/>
    <w:p>
      <w:pPr>
        <w:ind w:right="80"/>
        <w:spacing w:after="0" w:line="281" w:lineRule="auto"/>
        <w:rPr>
          <w:sz w:val="20"/>
          <w:szCs w:val="20"/>
          <w:color w:val="auto"/>
        </w:rPr>
      </w:pPr>
      <w:r>
        <w:rPr>
          <w:rFonts w:ascii="Times New Roman" w:cs="Times New Roman" w:eastAsia="Times New Roman" w:hAnsi="Times New Roman"/>
          <w:sz w:val="17"/>
          <w:szCs w:val="17"/>
          <w:color w:val="auto"/>
        </w:rPr>
        <w:t>dependent on our management, scientific and medical personnel, including our Chief Executive Officer and President, our Chief Operating Officer and Chief Financial Officer and our Chief Medical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64"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83"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As of February 28, 2021, we had 44 full-time employees, including 32 employees engaged in research and development activities.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2" w:lineRule="exact"/>
        <w:rPr>
          <w:sz w:val="20"/>
          <w:szCs w:val="20"/>
          <w:color w:val="auto"/>
        </w:rPr>
      </w:pPr>
    </w:p>
    <w:p>
      <w:pPr>
        <w:ind w:left="860" w:hanging="366"/>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860" w:right="40" w:hanging="366"/>
        <w:spacing w:after="0" w:line="266" w:lineRule="auto"/>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firstLine="494"/>
        <w:spacing w:after="0" w:line="274"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our existing third-party service providers or find other competent outside contractors and consultants on economically reasonable terms, or at all.</w:t>
      </w:r>
    </w:p>
    <w:p>
      <w:pPr>
        <w:spacing w:after="0" w:line="225" w:lineRule="exact"/>
        <w:rPr>
          <w:sz w:val="20"/>
          <w:szCs w:val="20"/>
          <w:color w:val="auto"/>
        </w:rPr>
      </w:pPr>
    </w:p>
    <w:p>
      <w:pPr>
        <w:jc w:val="both"/>
        <w:ind w:right="120" w:firstLine="494"/>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172"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0" w:lineRule="exact"/>
        <w:rPr>
          <w:sz w:val="20"/>
          <w:szCs w:val="20"/>
          <w:color w:val="auto"/>
        </w:rPr>
      </w:pPr>
    </w:p>
    <w:p>
      <w:pPr>
        <w:ind w:firstLine="494"/>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05" w:lineRule="exact"/>
        <w:rPr>
          <w:sz w:val="20"/>
          <w:szCs w:val="20"/>
          <w:color w:val="auto"/>
        </w:rPr>
      </w:pPr>
    </w:p>
    <w:p>
      <w:pPr>
        <w:ind w:firstLine="494"/>
        <w:spacing w:after="0" w:line="274" w:lineRule="auto"/>
        <w:rPr>
          <w:sz w:val="20"/>
          <w:szCs w:val="20"/>
          <w:color w:val="auto"/>
        </w:rPr>
      </w:pPr>
      <w:r>
        <w:rPr>
          <w:rFonts w:ascii="Times New Roman" w:cs="Times New Roman" w:eastAsia="Times New Roman" w:hAnsi="Times New Roman"/>
          <w:sz w:val="17"/>
          <w:szCs w:val="17"/>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right="300"/>
        <w:spacing w:after="0" w:line="266" w:lineRule="auto"/>
        <w:rPr>
          <w:sz w:val="20"/>
          <w:szCs w:val="20"/>
          <w:color w:val="auto"/>
        </w:rPr>
      </w:pPr>
      <w:r>
        <w:rPr>
          <w:rFonts w:ascii="Times New Roman" w:cs="Times New Roman" w:eastAsia="Times New Roman" w:hAnsi="Times New Roman"/>
          <w:sz w:val="18"/>
          <w:szCs w:val="18"/>
          <w:color w:val="auto"/>
        </w:rPr>
        <w:t>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76" w:lineRule="exact"/>
        <w:rPr>
          <w:sz w:val="20"/>
          <w:szCs w:val="20"/>
          <w:color w:val="auto"/>
        </w:rPr>
      </w:pPr>
    </w:p>
    <w:p>
      <w:pPr>
        <w:ind w:right="260" w:firstLine="494"/>
        <w:spacing w:after="0" w:line="281" w:lineRule="auto"/>
        <w:rPr>
          <w:sz w:val="20"/>
          <w:szCs w:val="20"/>
          <w:color w:val="auto"/>
        </w:rPr>
      </w:pPr>
      <w:r>
        <w:rPr>
          <w:rFonts w:ascii="Times New Roman" w:cs="Times New Roman" w:eastAsia="Times New Roman" w:hAnsi="Times New Roman"/>
          <w:sz w:val="17"/>
          <w:szCs w:val="17"/>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materially adversely affect our future revenue and financial condition and increase our costs and expenses.</w:t>
      </w:r>
    </w:p>
    <w:p>
      <w:pPr>
        <w:spacing w:after="0" w:line="229" w:lineRule="exact"/>
        <w:rPr>
          <w:sz w:val="20"/>
          <w:szCs w:val="20"/>
          <w:color w:val="auto"/>
        </w:rPr>
      </w:pPr>
    </w:p>
    <w:p>
      <w:pPr>
        <w:ind w:right="220" w:firstLine="494"/>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limited.</w:t>
      </w:r>
    </w:p>
    <w:p>
      <w:pPr>
        <w:spacing w:after="0" w:line="229"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Our net operating loss, or NOL, carryforwards may be unavailable to offset future taxable income because of restrictions under U.S. tax law. Our federal NOLs generated in tax years ending on or prior to December 31, 2017 are only permitted to be carried forward for 20 taxable years, and therefore could expire unused. Under the Tax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183" w:lineRule="exact"/>
        <w:rPr>
          <w:sz w:val="20"/>
          <w:szCs w:val="20"/>
          <w:color w:val="auto"/>
        </w:rPr>
      </w:pPr>
    </w:p>
    <w:p>
      <w:pPr>
        <w:ind w:right="40" w:firstLine="494"/>
        <w:spacing w:after="0" w:line="274" w:lineRule="auto"/>
        <w:rPr>
          <w:sz w:val="20"/>
          <w:szCs w:val="20"/>
          <w:color w:val="auto"/>
        </w:rPr>
      </w:pPr>
      <w:r>
        <w:rPr>
          <w:rFonts w:ascii="Times New Roman" w:cs="Times New Roman" w:eastAsia="Times New Roman" w:hAnsi="Times New Roman"/>
          <w:sz w:val="17"/>
          <w:szCs w:val="17"/>
          <w:color w:val="auto"/>
        </w:rPr>
        <w:t>As of December 31, 2020 and 2019, we had federal NOL carryforwards of $97.7 million and $66.4 million, respectively. As of December 31, 2020, we had state NOL carryforwards for New Jersey, California and Massachusetts of approximately $92.8 million, $4.9 million and $0.9 million, respectively. As of December 31, 2019, we had state NOL carryforwards for New Jersey, California and Massachusetts of approximately $61.5 million, $4.9 million and $0.9 million, respectively. Some of the federal and state NOL carryforwards expire beginning in the year 2033. We also had federal and state research and development credit carryforwards of approximately $3.5 million and $2.2 million, respectively, as of December 31, 2020 and 2019. The federal credits will begin to expire in 2034 if not utilized. The California state credits carryforward indefinitely and the New Jersey state credits expire starting in 2021.</w:t>
      </w:r>
    </w:p>
    <w:p>
      <w:pPr>
        <w:spacing w:after="0" w:line="173"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There is also a risk that due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right="280"/>
        <w:spacing w:after="0" w:line="282" w:lineRule="auto"/>
        <w:rPr>
          <w:sz w:val="20"/>
          <w:szCs w:val="20"/>
          <w:color w:val="auto"/>
        </w:rPr>
      </w:pPr>
      <w:r>
        <w:rPr>
          <w:rFonts w:ascii="Times New Roman" w:cs="Times New Roman" w:eastAsia="Times New Roman" w:hAnsi="Times New Roman"/>
          <w:sz w:val="18"/>
          <w:szCs w:val="18"/>
          <w:color w:val="auto"/>
        </w:rPr>
        <w:t>federal or state regulatory changes, such as suspensions on the use of NOLs, our existing NOLs could expire or otherwise be unavailable to offset future income tax liabilities.</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175"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75" w:lineRule="exact"/>
        <w:rPr>
          <w:sz w:val="20"/>
          <w:szCs w:val="20"/>
          <w:color w:val="auto"/>
        </w:rPr>
      </w:pPr>
    </w:p>
    <w:p>
      <w:pPr>
        <w:ind w:right="40" w:firstLine="494"/>
        <w:spacing w:after="0" w:line="281" w:lineRule="auto"/>
        <w:rPr>
          <w:sz w:val="20"/>
          <w:szCs w:val="20"/>
          <w:color w:val="auto"/>
        </w:rPr>
      </w:pPr>
      <w:r>
        <w:rPr>
          <w:rFonts w:ascii="Times New Roman" w:cs="Times New Roman" w:eastAsia="Times New Roman" w:hAnsi="Times New Roman"/>
          <w:sz w:val="17"/>
          <w:szCs w:val="17"/>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64"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line="258" w:lineRule="auto"/>
        <w:rPr>
          <w:sz w:val="20"/>
          <w:szCs w:val="20"/>
          <w:color w:val="auto"/>
        </w:rPr>
      </w:pPr>
      <w:r>
        <w:rPr>
          <w:rFonts w:ascii="Times New Roman" w:cs="Times New Roman" w:eastAsia="Times New Roman" w:hAnsi="Times New Roman"/>
          <w:sz w:val="18"/>
          <w:szCs w:val="18"/>
          <w:color w:val="auto"/>
        </w:rPr>
        <w:t>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3"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8" w:lineRule="exact"/>
        <w:rPr>
          <w:sz w:val="20"/>
          <w:szCs w:val="20"/>
          <w:color w:val="auto"/>
        </w:rPr>
      </w:pPr>
    </w:p>
    <w:p>
      <w:pPr>
        <w:ind w:right="220" w:firstLine="494"/>
        <w:spacing w:after="0" w:line="266" w:lineRule="auto"/>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7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180"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83"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50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860" w:right="40" w:hanging="366"/>
        <w:spacing w:after="0" w:line="282"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17" w:lineRule="exact"/>
        <w:rPr>
          <w:rFonts w:ascii="Times New Roman" w:cs="Times New Roman" w:eastAsia="Times New Roman" w:hAnsi="Times New Roman"/>
          <w:sz w:val="18"/>
          <w:szCs w:val="18"/>
          <w:color w:val="auto"/>
        </w:rPr>
      </w:pPr>
    </w:p>
    <w:p>
      <w:pPr>
        <w:ind w:left="860" w:right="340" w:hanging="366"/>
        <w:spacing w:after="0" w:line="282"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17" w:lineRule="exact"/>
        <w:rPr>
          <w:rFonts w:ascii="Times New Roman" w:cs="Times New Roman" w:eastAsia="Times New Roman" w:hAnsi="Times New Roman"/>
          <w:sz w:val="18"/>
          <w:szCs w:val="18"/>
          <w:color w:val="auto"/>
        </w:rPr>
      </w:pPr>
    </w:p>
    <w:p>
      <w:pPr>
        <w:ind w:left="860" w:right="120" w:hanging="366"/>
        <w:spacing w:after="0" w:line="266"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7" w:lineRule="exact"/>
        <w:rPr>
          <w:rFonts w:ascii="Times New Roman" w:cs="Times New Roman" w:eastAsia="Times New Roman" w:hAnsi="Times New Roman"/>
          <w:sz w:val="18"/>
          <w:szCs w:val="18"/>
          <w:color w:val="auto"/>
        </w:rPr>
      </w:pPr>
    </w:p>
    <w:p>
      <w:pPr>
        <w:ind w:left="860" w:right="640" w:hanging="366"/>
        <w:spacing w:after="0" w:line="266"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7" w:lineRule="exact"/>
        <w:rPr>
          <w:rFonts w:ascii="Times New Roman" w:cs="Times New Roman" w:eastAsia="Times New Roman" w:hAnsi="Times New Roman"/>
          <w:sz w:val="18"/>
          <w:szCs w:val="18"/>
          <w:color w:val="auto"/>
        </w:rPr>
      </w:pPr>
    </w:p>
    <w:p>
      <w:pPr>
        <w:ind w:left="860" w:right="480" w:hanging="366"/>
        <w:spacing w:after="0" w:line="282"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117" w:lineRule="exact"/>
        <w:rPr>
          <w:rFonts w:ascii="Times New Roman" w:cs="Times New Roman" w:eastAsia="Times New Roman" w:hAnsi="Times New Roman"/>
          <w:sz w:val="18"/>
          <w:szCs w:val="18"/>
          <w:color w:val="auto"/>
        </w:rPr>
      </w:pPr>
    </w:p>
    <w:p>
      <w:pPr>
        <w:ind w:left="860" w:right="100" w:hanging="366"/>
        <w:spacing w:after="0" w:line="282"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reagent suppliers may be subject to inclement weather, as well as natural or man-made disasters; and</w:t>
      </w:r>
    </w:p>
    <w:p>
      <w:pPr>
        <w:spacing w:after="0" w:line="117" w:lineRule="exact"/>
        <w:rPr>
          <w:rFonts w:ascii="Times New Roman" w:cs="Times New Roman" w:eastAsia="Times New Roman" w:hAnsi="Times New Roman"/>
          <w:sz w:val="18"/>
          <w:szCs w:val="18"/>
          <w:color w:val="auto"/>
        </w:rPr>
      </w:pPr>
    </w:p>
    <w:p>
      <w:pPr>
        <w:ind w:left="860" w:right="140" w:hanging="366"/>
        <w:spacing w:after="0" w:line="282"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62" w:lineRule="exact"/>
        <w:rPr>
          <w:sz w:val="20"/>
          <w:szCs w:val="20"/>
          <w:color w:val="auto"/>
        </w:rPr>
      </w:pPr>
    </w:p>
    <w:p>
      <w:pPr>
        <w:ind w:right="180" w:firstLine="494"/>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8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159"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right="20"/>
        <w:spacing w:after="0" w:line="258" w:lineRule="auto"/>
        <w:rPr>
          <w:sz w:val="20"/>
          <w:szCs w:val="20"/>
          <w:color w:val="auto"/>
        </w:rPr>
      </w:pPr>
      <w:r>
        <w:rPr>
          <w:rFonts w:ascii="Times New Roman" w:cs="Times New Roman" w:eastAsia="Times New Roman" w:hAnsi="Times New Roman"/>
          <w:sz w:val="18"/>
          <w:szCs w:val="18"/>
          <w:color w:val="auto"/>
        </w:rPr>
        <w:t>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83"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175"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159"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860" w:hanging="366"/>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ind w:left="860" w:hanging="366"/>
        <w:spacing w:after="0" w:line="261"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860" w:right="140" w:hanging="366"/>
        <w:spacing w:after="0" w:line="282"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860" w:right="700" w:hanging="366"/>
        <w:spacing w:after="0" w:line="282"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860" w:right="500" w:hanging="366"/>
        <w:spacing w:after="0" w:line="282"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ind w:left="860" w:right="120" w:hanging="366"/>
        <w:spacing w:after="0" w:line="266"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860" w:right="100" w:hanging="366"/>
        <w:spacing w:after="0" w:line="282"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860" w:right="1120" w:hanging="366"/>
        <w:spacing w:after="0" w:line="282"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3" w:lineRule="exact"/>
        <w:rPr>
          <w:rFonts w:ascii="Times New Roman" w:cs="Times New Roman" w:eastAsia="Times New Roman" w:hAnsi="Times New Roman"/>
          <w:sz w:val="18"/>
          <w:szCs w:val="18"/>
          <w:color w:val="auto"/>
        </w:rPr>
      </w:pPr>
    </w:p>
    <w:p>
      <w:pPr>
        <w:ind w:left="860" w:right="140" w:hanging="366"/>
        <w:spacing w:after="0" w:line="282"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2"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6" w:name="page87"/>
    <w:bookmarkEnd w:id="86"/>
    <w:p>
      <w:pPr>
        <w:ind w:right="100"/>
        <w:spacing w:after="0" w:line="282" w:lineRule="auto"/>
        <w:rPr>
          <w:sz w:val="20"/>
          <w:szCs w:val="20"/>
          <w:color w:val="auto"/>
        </w:rPr>
      </w:pPr>
      <w:r>
        <w:rPr>
          <w:rFonts w:ascii="Times New Roman" w:cs="Times New Roman" w:eastAsia="Times New Roman" w:hAnsi="Times New Roman"/>
          <w:sz w:val="18"/>
          <w:szCs w:val="18"/>
          <w:color w:val="auto"/>
        </w:rPr>
        <w:t>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159" w:lineRule="exact"/>
        <w:rPr>
          <w:sz w:val="20"/>
          <w:szCs w:val="20"/>
          <w:color w:val="auto"/>
        </w:rPr>
      </w:pPr>
    </w:p>
    <w:p>
      <w:pPr>
        <w:ind w:right="140" w:firstLine="494"/>
        <w:spacing w:after="0" w:line="261"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94"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76"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development and commercialization of products. Any of these developments could adversely affect our product development efforts.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59" w:lineRule="exact"/>
        <w:rPr>
          <w:sz w:val="20"/>
          <w:szCs w:val="20"/>
          <w:color w:val="auto"/>
        </w:rPr>
      </w:pPr>
    </w:p>
    <w:p>
      <w:pPr>
        <w:ind w:right="240" w:firstLine="494"/>
        <w:spacing w:after="0" w:line="282" w:lineRule="auto"/>
        <w:rPr>
          <w:sz w:val="20"/>
          <w:szCs w:val="20"/>
          <w:color w:val="auto"/>
        </w:rPr>
      </w:pPr>
      <w:r>
        <w:rPr>
          <w:rFonts w:ascii="Times New Roman" w:cs="Times New Roman" w:eastAsia="Times New Roman" w:hAnsi="Times New Roman"/>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860" w:hanging="366"/>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860" w:right="340" w:hanging="366"/>
        <w:spacing w:after="0" w:line="282"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860" w:right="180" w:hanging="366"/>
        <w:spacing w:after="0" w:line="282"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860" w:right="220" w:hanging="366"/>
        <w:spacing w:after="0" w:line="282"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75"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83"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right="80" w:firstLine="494"/>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94"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1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159"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83"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firstLine="494"/>
        <w:spacing w:after="0" w:line="255" w:lineRule="auto"/>
        <w:rPr>
          <w:sz w:val="20"/>
          <w:szCs w:val="20"/>
          <w:color w:val="auto"/>
        </w:rPr>
      </w:pPr>
      <w:r>
        <w:rPr>
          <w:rFonts w:ascii="Times New Roman" w:cs="Times New Roman" w:eastAsia="Times New Roman" w:hAnsi="Times New Roman"/>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9" w:lineRule="exact"/>
        <w:rPr>
          <w:sz w:val="20"/>
          <w:szCs w:val="20"/>
          <w:color w:val="auto"/>
        </w:rPr>
      </w:pPr>
    </w:p>
    <w:p>
      <w:pPr>
        <w:ind w:right="120" w:firstLine="494"/>
        <w:spacing w:after="0" w:line="255" w:lineRule="auto"/>
        <w:rPr>
          <w:sz w:val="20"/>
          <w:szCs w:val="20"/>
          <w:color w:val="auto"/>
        </w:rPr>
      </w:pPr>
      <w:r>
        <w:rPr>
          <w:rFonts w:ascii="Times New Roman" w:cs="Times New Roman" w:eastAsia="Times New Roman" w:hAnsi="Times New Roman"/>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90"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0" w:name="page91"/>
    <w:bookmarkEnd w:id="90"/>
    <w:p>
      <w:pPr>
        <w:ind w:right="20" w:firstLine="494"/>
        <w:spacing w:after="0" w:line="289" w:lineRule="auto"/>
        <w:rPr>
          <w:sz w:val="20"/>
          <w:szCs w:val="20"/>
          <w:color w:val="auto"/>
        </w:rPr>
      </w:pPr>
      <w:r>
        <w:rPr>
          <w:rFonts w:ascii="Times New Roman" w:cs="Times New Roman" w:eastAsia="Times New Roman" w:hAnsi="Times New Roman"/>
          <w:sz w:val="17"/>
          <w:szCs w:val="17"/>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58"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90"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192" w:lineRule="exact"/>
        <w:rPr>
          <w:sz w:val="20"/>
          <w:szCs w:val="20"/>
          <w:color w:val="auto"/>
        </w:rPr>
      </w:pPr>
    </w:p>
    <w:p>
      <w:pPr>
        <w:ind w:right="140" w:firstLine="494"/>
        <w:spacing w:after="0" w:line="255"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89"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right="300"/>
        <w:spacing w:after="0" w:line="282" w:lineRule="auto"/>
        <w:rPr>
          <w:sz w:val="20"/>
          <w:szCs w:val="20"/>
          <w:color w:val="auto"/>
        </w:rPr>
      </w:pPr>
      <w:r>
        <w:rPr>
          <w:rFonts w:ascii="Times New Roman" w:cs="Times New Roman" w:eastAsia="Times New Roman" w:hAnsi="Times New Roman"/>
          <w:sz w:val="18"/>
          <w:szCs w:val="18"/>
          <w:color w:val="auto"/>
        </w:rPr>
        <w:t>from practicing these inventions. The expiration of these patents could also have a similar material adverse effect on our business, results of operations, financial condition and prospects.</w:t>
      </w:r>
    </w:p>
    <w:p>
      <w:pPr>
        <w:spacing w:after="0" w:line="162"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175"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159" w:lineRule="exact"/>
        <w:rPr>
          <w:sz w:val="20"/>
          <w:szCs w:val="20"/>
          <w:color w:val="auto"/>
        </w:rPr>
      </w:pPr>
    </w:p>
    <w:p>
      <w:pPr>
        <w:ind w:right="140" w:firstLine="494"/>
        <w:spacing w:after="0" w:line="256"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ind w:right="100"/>
        <w:spacing w:after="0" w:line="261" w:lineRule="auto"/>
        <w:rPr>
          <w:sz w:val="20"/>
          <w:szCs w:val="20"/>
          <w:color w:val="auto"/>
        </w:rPr>
      </w:pPr>
      <w:r>
        <w:rPr>
          <w:rFonts w:ascii="Times New Roman" w:cs="Times New Roman" w:eastAsia="Times New Roman" w:hAnsi="Times New Roman"/>
          <w:sz w:val="18"/>
          <w:szCs w:val="18"/>
          <w:color w:val="auto"/>
        </w:rPr>
        <w:t>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0" w:lineRule="exact"/>
        <w:rPr>
          <w:sz w:val="20"/>
          <w:szCs w:val="20"/>
          <w:color w:val="auto"/>
        </w:rPr>
      </w:pPr>
    </w:p>
    <w:p>
      <w:pPr>
        <w:ind w:right="140" w:firstLine="494"/>
        <w:spacing w:after="0" w:line="254" w:lineRule="auto"/>
        <w:rPr>
          <w:sz w:val="20"/>
          <w:szCs w:val="20"/>
          <w:color w:val="auto"/>
        </w:rPr>
      </w:pPr>
      <w:r>
        <w:rPr>
          <w:rFonts w:ascii="Times New Roman" w:cs="Times New Roman" w:eastAsia="Times New Roman" w:hAnsi="Times New Roman"/>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8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159"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8" w:lineRule="exact"/>
        <w:rPr>
          <w:sz w:val="20"/>
          <w:szCs w:val="20"/>
          <w:color w:val="auto"/>
        </w:rPr>
      </w:pPr>
    </w:p>
    <w:p>
      <w:pPr>
        <w:ind w:right="160" w:firstLine="494"/>
        <w:spacing w:after="0" w:line="261"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80"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7"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6"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We may be required to protect our patents through procedures created to attack the validity of a patent at the USPTO. The USPTO hears post-grant proceedings, including PGR, IPR and derivation proceedings. An adverse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right="20"/>
        <w:spacing w:after="0" w:line="254" w:lineRule="auto"/>
        <w:rPr>
          <w:sz w:val="20"/>
          <w:szCs w:val="20"/>
          <w:color w:val="auto"/>
        </w:rPr>
      </w:pPr>
      <w:r>
        <w:rPr>
          <w:rFonts w:ascii="Times New Roman" w:cs="Times New Roman" w:eastAsia="Times New Roman" w:hAnsi="Times New Roman"/>
          <w:sz w:val="18"/>
          <w:szCs w:val="18"/>
          <w:color w:val="auto"/>
        </w:rPr>
        <w:t>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7" w:lineRule="exact"/>
        <w:rPr>
          <w:sz w:val="20"/>
          <w:szCs w:val="20"/>
          <w:color w:val="auto"/>
        </w:rPr>
      </w:pPr>
    </w:p>
    <w:p>
      <w:pPr>
        <w:ind w:right="100" w:firstLine="494"/>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5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60" w:firstLine="494"/>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5" w:name="page96"/>
    <w:bookmarkEnd w:id="95"/>
    <w:p>
      <w:pPr>
        <w:ind w:right="180"/>
        <w:spacing w:after="0" w:line="282" w:lineRule="auto"/>
        <w:rPr>
          <w:sz w:val="20"/>
          <w:szCs w:val="20"/>
          <w:color w:val="auto"/>
        </w:rPr>
      </w:pPr>
      <w:r>
        <w:rPr>
          <w:rFonts w:ascii="Times New Roman" w:cs="Times New Roman" w:eastAsia="Times New Roman" w:hAnsi="Times New Roman"/>
          <w:sz w:val="18"/>
          <w:szCs w:val="18"/>
          <w:color w:val="auto"/>
        </w:rPr>
        <w:t>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175" w:lineRule="exact"/>
        <w:rPr>
          <w:sz w:val="20"/>
          <w:szCs w:val="20"/>
          <w:color w:val="auto"/>
        </w:rPr>
      </w:pPr>
    </w:p>
    <w:p>
      <w:pPr>
        <w:ind w:right="100" w:firstLine="494"/>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9"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87"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76"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88" w:lineRule="exact"/>
        <w:rPr>
          <w:sz w:val="20"/>
          <w:szCs w:val="20"/>
          <w:color w:val="auto"/>
        </w:rPr>
      </w:pPr>
    </w:p>
    <w:p>
      <w:pPr>
        <w:ind w:right="160" w:firstLine="49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8" w:lineRule="exact"/>
        <w:rPr>
          <w:sz w:val="20"/>
          <w:szCs w:val="20"/>
          <w:color w:val="auto"/>
        </w:rPr>
      </w:pPr>
    </w:p>
    <w:p>
      <w:pPr>
        <w:ind w:right="20" w:firstLine="494"/>
        <w:spacing w:after="0" w:line="267"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choose to challenge a third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159"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75"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93" w:lineRule="exact"/>
        <w:rPr>
          <w:sz w:val="20"/>
          <w:szCs w:val="20"/>
          <w:color w:val="auto"/>
        </w:rPr>
      </w:pPr>
    </w:p>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6"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83"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which may impact our ability to continue to develop and commercialize our product candidates incorporating the relevant intellectual property.</w:t>
      </w:r>
    </w:p>
    <w:p>
      <w:pPr>
        <w:spacing w:after="0" w:line="225" w:lineRule="exact"/>
        <w:rPr>
          <w:sz w:val="20"/>
          <w:szCs w:val="20"/>
          <w:color w:val="auto"/>
        </w:rPr>
      </w:pPr>
    </w:p>
    <w:p>
      <w:pPr>
        <w:ind w:right="140" w:firstLine="494"/>
        <w:spacing w:after="0" w:line="254" w:lineRule="auto"/>
        <w:rPr>
          <w:sz w:val="20"/>
          <w:szCs w:val="20"/>
          <w:color w:val="auto"/>
        </w:rPr>
      </w:pPr>
      <w:r>
        <w:rPr>
          <w:rFonts w:ascii="Times New Roman" w:cs="Times New Roman" w:eastAsia="Times New Roman" w:hAnsi="Times New Roman"/>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0" w:lineRule="exact"/>
        <w:rPr>
          <w:sz w:val="20"/>
          <w:szCs w:val="20"/>
          <w:color w:val="auto"/>
        </w:rPr>
      </w:pPr>
    </w:p>
    <w:p>
      <w:pPr>
        <w:ind w:left="860" w:hanging="366"/>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860" w:right="20" w:hanging="366"/>
        <w:spacing w:after="0" w:line="282"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17" w:lineRule="exact"/>
        <w:rPr>
          <w:rFonts w:ascii="Times New Roman" w:cs="Times New Roman" w:eastAsia="Times New Roman" w:hAnsi="Times New Roman"/>
          <w:sz w:val="18"/>
          <w:szCs w:val="18"/>
          <w:color w:val="auto"/>
        </w:rPr>
      </w:pPr>
    </w:p>
    <w:p>
      <w:pPr>
        <w:ind w:left="860" w:right="440" w:hanging="366"/>
        <w:spacing w:after="0" w:line="282"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jc w:val="both"/>
        <w:ind w:right="100" w:firstLine="49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76"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229" w:lineRule="exact"/>
        <w:rPr>
          <w:sz w:val="20"/>
          <w:szCs w:val="20"/>
          <w:color w:val="auto"/>
        </w:rPr>
      </w:pPr>
    </w:p>
    <w:p>
      <w:pPr>
        <w:ind w:right="320" w:firstLine="494"/>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68" w:lineRule="exact"/>
        <w:rPr>
          <w:sz w:val="20"/>
          <w:szCs w:val="20"/>
          <w:color w:val="auto"/>
        </w:rPr>
      </w:pPr>
    </w:p>
    <w:p>
      <w:pPr>
        <w:ind w:left="860" w:hanging="366"/>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planned or any future preclinical studies, clinical trials or clinical development programs;</w:t>
      </w:r>
    </w:p>
    <w:p>
      <w:pPr>
        <w:spacing w:after="0" w:line="117" w:lineRule="exact"/>
        <w:rPr>
          <w:rFonts w:ascii="Times New Roman" w:cs="Times New Roman" w:eastAsia="Times New Roman" w:hAnsi="Times New Roman"/>
          <w:sz w:val="18"/>
          <w:szCs w:val="18"/>
          <w:color w:val="auto"/>
        </w:rPr>
      </w:pPr>
    </w:p>
    <w:p>
      <w:pPr>
        <w:ind w:left="860" w:right="60" w:hanging="366"/>
        <w:spacing w:after="0" w:line="282" w:lineRule="auto"/>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w:t>
      </w:r>
    </w:p>
    <w:p>
      <w:pPr>
        <w:spacing w:after="0" w:line="117" w:lineRule="exact"/>
        <w:rPr>
          <w:rFonts w:ascii="Times New Roman" w:cs="Times New Roman" w:eastAsia="Times New Roman" w:hAnsi="Times New Roman"/>
          <w:sz w:val="18"/>
          <w:szCs w:val="18"/>
          <w:color w:val="auto"/>
        </w:rPr>
      </w:pPr>
    </w:p>
    <w:p>
      <w:pPr>
        <w:ind w:left="860" w:right="60" w:hanging="366"/>
        <w:spacing w:after="0" w:line="282" w:lineRule="auto"/>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ind w:left="366" w:right="740" w:hanging="366"/>
        <w:spacing w:after="0" w:line="282" w:lineRule="auto"/>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regulatory approval of our product candidates;</w:t>
      </w:r>
    </w:p>
    <w:p>
      <w:pPr>
        <w:spacing w:after="0" w:line="53"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licensed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cancer target markets;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treat additional types of cancers or at different stages;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366" w:hanging="366"/>
        <w:spacing w:after="0" w:line="282" w:lineRule="auto"/>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lock-up agreements;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366" w:right="420" w:hanging="366"/>
        <w:spacing w:after="0" w:line="282" w:lineRule="auto"/>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such as the COVID-19 pandemic;</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new presidential administration in the United States; and</w:t>
      </w:r>
    </w:p>
    <w:p>
      <w:pPr>
        <w:spacing w:after="0" w:line="117"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00" w:lineRule="exact"/>
        <w:rPr>
          <w:sz w:val="20"/>
          <w:szCs w:val="20"/>
          <w:color w:val="auto"/>
        </w:rPr>
      </w:pPr>
    </w:p>
    <w:p>
      <w:pPr>
        <w:spacing w:after="0" w:line="241" w:lineRule="exact"/>
        <w:rPr>
          <w:sz w:val="20"/>
          <w:szCs w:val="20"/>
          <w:color w:val="auto"/>
        </w:rPr>
      </w:pPr>
    </w:p>
    <w:p>
      <w:pPr>
        <w:jc w:val="center"/>
        <w:ind w:right="454"/>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85725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6"/>
          </w:cols>
          <w:pgMar w:left="814" w:top="121" w:right="359" w:bottom="1440" w:gutter="0" w:footer="0" w:header="0"/>
        </w:sectPr>
      </w:pPr>
    </w:p>
    <w:bookmarkStart w:id="99" w:name="page100"/>
    <w:bookmarkEnd w:id="99"/>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21" w:lineRule="exact"/>
        <w:rPr>
          <w:sz w:val="20"/>
          <w:szCs w:val="20"/>
          <w:color w:val="auto"/>
        </w:rPr>
      </w:pPr>
    </w:p>
    <w:p>
      <w:pPr>
        <w:ind w:right="120" w:firstLine="494"/>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develop or be sustained.</w:t>
      </w:r>
    </w:p>
    <w:p>
      <w:pPr>
        <w:spacing w:after="0" w:line="229"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Prior to the closing of our IPO in September 2020, there was no public trading market for our common stock. Although our common stock is listed on the Nasdaq Global Select Market, the market for our shares has demonstrated varying levels of trading activity. We cannot predict the prices at which our common stock will trade or whether an active trading market will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9"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If no or few securities or industry analysts commence coverage of us, our stock price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159"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440" w:firstLine="49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62"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As of December 31, 2020, we had 44,777,818 shares of common stock outstanding. Of these shares, approximately 13,529,750 shares are freely tradable and substantially all of the remaining shares of common stock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ind w:right="80"/>
        <w:spacing w:after="0" w:line="261" w:lineRule="auto"/>
        <w:rPr>
          <w:sz w:val="20"/>
          <w:szCs w:val="20"/>
          <w:color w:val="auto"/>
        </w:rPr>
      </w:pPr>
      <w:r>
        <w:rPr>
          <w:rFonts w:ascii="Times New Roman" w:cs="Times New Roman" w:eastAsia="Times New Roman" w:hAnsi="Times New Roman"/>
          <w:sz w:val="18"/>
          <w:szCs w:val="18"/>
          <w:color w:val="auto"/>
        </w:rPr>
        <w:t>will be available for sale in the public market beginning in March 2021 following the scheduled expiration of lock-up agreements that certain of our stockholders and the underwriters entered into in connection with our IPO. Goldman Sachs &amp; Co. LLC, BofA Securities, Inc., Cowen and Company, LLC and Evercore Group L.L.C. may release these stockholders from their lock-up agreements with the underwriters at any time and without notice, which would allow for earlier sales of such shares in the public market.</w:t>
      </w:r>
    </w:p>
    <w:p>
      <w:pPr>
        <w:spacing w:after="0" w:line="180"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Moreover, holders of an aggregate of 28,197,798 shares of our common stock have rights, subject to certain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beginning in March 2021 following the scheduled expiration of lock-up agreements that certain of our stockholders and the underwriters entered into in connection with our IPO. If these additional shares are, or if it is perceived that they will be, sold in the public market, the trading price of our common stock could decline.</w:t>
      </w:r>
    </w:p>
    <w:p>
      <w:pPr>
        <w:spacing w:after="0" w:line="183"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In addition, on September 28, 2020, we filed a registration statement on Form S-8 registering 8,879,210 shares of common stock that we may issue under our equity incentive plans. As a result, shares registered under this registration statement on Form S-8 can be freely sold in the public market subject to the satisfaction of vesting arrangements and the exercise of such options, volume limitations applicable to affiliates and the lock-up agreements described above.</w:t>
      </w:r>
    </w:p>
    <w:p>
      <w:pPr>
        <w:spacing w:after="0" w:line="180"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59"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As of December 31, 2020, our executive officers, directors, holders of 5% or more of our capital stock and their respective affiliates beneficially owned approximately 55.6% of our voting stock. Certain of our directors are affiliated with the holders of 5% or more of our capital stock. In particular, Peter Thompson, M.D. is an affiliate of OrbiMed Private Investments V LP and Thilo Schroeder, Ph.D. is an affiliate Nextech V Oncology S.C.S., SIACAV-SIF. As a result, this group of stockholders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8" w:lineRule="exact"/>
        <w:rPr>
          <w:sz w:val="20"/>
          <w:szCs w:val="20"/>
          <w:color w:val="auto"/>
        </w:rPr>
      </w:pPr>
    </w:p>
    <w:p>
      <w:pPr>
        <w:ind w:left="860" w:right="240" w:hanging="366"/>
        <w:spacing w:after="0" w:line="312" w:lineRule="auto"/>
        <w:tabs>
          <w:tab w:leader="none" w:pos="8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1" w:lineRule="exact"/>
        <w:rPr>
          <w:rFonts w:ascii="Times New Roman" w:cs="Times New Roman" w:eastAsia="Times New Roman" w:hAnsi="Times New Roman"/>
          <w:sz w:val="17"/>
          <w:szCs w:val="17"/>
          <w:color w:val="auto"/>
        </w:rPr>
      </w:pPr>
    </w:p>
    <w:p>
      <w:pPr>
        <w:ind w:left="860" w:right="480" w:hanging="366"/>
        <w:spacing w:after="0" w:line="282" w:lineRule="auto"/>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or Sarbanes-Oxley Act;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ind w:left="860" w:right="600" w:hanging="366"/>
        <w:spacing w:after="0" w:line="266" w:lineRule="auto"/>
        <w:tabs>
          <w:tab w:leader="none" w:pos="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17" w:lineRule="exact"/>
        <w:rPr>
          <w:rFonts w:ascii="Times New Roman" w:cs="Times New Roman" w:eastAsia="Times New Roman" w:hAnsi="Times New Roman"/>
          <w:sz w:val="18"/>
          <w:szCs w:val="18"/>
          <w:color w:val="auto"/>
        </w:rPr>
      </w:pPr>
    </w:p>
    <w:p>
      <w:pPr>
        <w:ind w:left="860" w:right="200" w:hanging="366"/>
        <w:spacing w:after="0" w:line="282" w:lineRule="auto"/>
        <w:tabs>
          <w:tab w:leader="none" w:pos="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ind w:right="240" w:firstLine="494"/>
        <w:spacing w:after="0" w:line="281"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64"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180"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w:t>
      </w:r>
    </w:p>
    <w:p>
      <w:pPr>
        <w:spacing w:after="0" w:line="180" w:lineRule="exact"/>
        <w:rPr>
          <w:sz w:val="20"/>
          <w:szCs w:val="20"/>
          <w:color w:val="auto"/>
        </w:rPr>
      </w:pPr>
    </w:p>
    <w:p>
      <w:pPr>
        <w:ind w:right="480" w:firstLine="494"/>
        <w:spacing w:after="0" w:line="312"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3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has devoted and will continue to devote substantial time to new compliance initiatives.</w:t>
      </w:r>
    </w:p>
    <w:p>
      <w:pPr>
        <w:spacing w:after="0" w:line="159"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are subject to the reporting requirements of the Securities Exchange Act of 1934, as amended, or Exchange Act, which will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our IPO.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7"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and will continue to substantially increase our legal and financial compliance costs and to make some activities more time-consuming and costly. If these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line="258" w:lineRule="auto"/>
        <w:rPr>
          <w:sz w:val="20"/>
          <w:szCs w:val="20"/>
          <w:color w:val="auto"/>
        </w:rPr>
      </w:pPr>
      <w:r>
        <w:rPr>
          <w:rFonts w:ascii="Times New Roman" w:cs="Times New Roman" w:eastAsia="Times New Roman" w:hAnsi="Times New Roman"/>
          <w:sz w:val="18"/>
          <w:szCs w:val="18"/>
          <w:color w:val="auto"/>
        </w:rPr>
        <w:t>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capital stock, so any returns will be limited to the value of our stock.</w:t>
      </w:r>
    </w:p>
    <w:p>
      <w:pPr>
        <w:spacing w:after="0" w:line="229"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59"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54" w:lineRule="exact"/>
        <w:rPr>
          <w:sz w:val="20"/>
          <w:szCs w:val="20"/>
          <w:color w:val="auto"/>
        </w:rPr>
      </w:pPr>
    </w:p>
    <w:p>
      <w:pPr>
        <w:ind w:left="860" w:hanging="36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860" w:right="540" w:hanging="366"/>
        <w:spacing w:after="0" w:line="282" w:lineRule="auto"/>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17" w:lineRule="exact"/>
        <w:rPr>
          <w:rFonts w:ascii="Times New Roman" w:cs="Times New Roman" w:eastAsia="Times New Roman" w:hAnsi="Times New Roman"/>
          <w:sz w:val="18"/>
          <w:szCs w:val="18"/>
          <w:color w:val="auto"/>
        </w:rPr>
      </w:pPr>
    </w:p>
    <w:p>
      <w:pPr>
        <w:ind w:left="860" w:right="40" w:hanging="366"/>
        <w:spacing w:after="0" w:line="282" w:lineRule="auto"/>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25"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0"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860" w:hanging="366"/>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7" w:lineRule="exact"/>
        <w:rPr>
          <w:rFonts w:ascii="Times New Roman" w:cs="Times New Roman" w:eastAsia="Times New Roman" w:hAnsi="Times New Roman"/>
          <w:sz w:val="18"/>
          <w:szCs w:val="18"/>
          <w:color w:val="auto"/>
        </w:rPr>
      </w:pPr>
    </w:p>
    <w:p>
      <w:pPr>
        <w:ind w:left="860" w:right="380" w:hanging="366"/>
        <w:spacing w:after="0" w:line="282" w:lineRule="auto"/>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62" w:lineRule="exact"/>
        <w:rPr>
          <w:sz w:val="20"/>
          <w:szCs w:val="20"/>
          <w:color w:val="auto"/>
        </w:rPr>
      </w:pPr>
    </w:p>
    <w:p>
      <w:pPr>
        <w:jc w:val="both"/>
        <w:ind w:right="360" w:firstLine="49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76"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54" w:lineRule="exact"/>
        <w:rPr>
          <w:sz w:val="20"/>
          <w:szCs w:val="20"/>
          <w:color w:val="auto"/>
        </w:rPr>
      </w:pPr>
    </w:p>
    <w:p>
      <w:pPr>
        <w:ind w:left="860" w:right="40" w:hanging="366"/>
        <w:spacing w:after="0" w:line="266" w:lineRule="auto"/>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04" w:name="page105"/>
    <w:bookmarkEnd w:id="104"/>
    <w:p>
      <w:pPr>
        <w:ind w:left="860" w:right="820"/>
        <w:spacing w:after="0" w:line="282" w:lineRule="auto"/>
        <w:rPr>
          <w:sz w:val="20"/>
          <w:szCs w:val="20"/>
          <w:color w:val="auto"/>
        </w:rPr>
      </w:pPr>
      <w:r>
        <w:rPr>
          <w:rFonts w:ascii="Times New Roman" w:cs="Times New Roman" w:eastAsia="Times New Roman" w:hAnsi="Times New Roman"/>
          <w:sz w:val="18"/>
          <w:szCs w:val="18"/>
          <w:color w:val="auto"/>
        </w:rPr>
        <w:t>reasonably believed to be in or not opposed to the best interests of the registrant and, with respect to any criminal proceeding, had no reasonable cause to believe such person’s conduct was unlawful;</w:t>
      </w:r>
    </w:p>
    <w:p>
      <w:pPr>
        <w:spacing w:after="0" w:line="54" w:lineRule="exact"/>
        <w:rPr>
          <w:sz w:val="20"/>
          <w:szCs w:val="20"/>
          <w:color w:val="auto"/>
        </w:rPr>
      </w:pPr>
    </w:p>
    <w:p>
      <w:pPr>
        <w:ind w:left="860" w:hanging="366"/>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860" w:right="360" w:hanging="366"/>
        <w:spacing w:after="0" w:line="312" w:lineRule="auto"/>
        <w:tabs>
          <w:tab w:leader="none" w:pos="8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860" w:right="200" w:hanging="366"/>
        <w:spacing w:after="0" w:line="266"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7" w:lineRule="exact"/>
        <w:rPr>
          <w:rFonts w:ascii="Times New Roman" w:cs="Times New Roman" w:eastAsia="Times New Roman" w:hAnsi="Times New Roman"/>
          <w:sz w:val="18"/>
          <w:szCs w:val="18"/>
          <w:color w:val="auto"/>
        </w:rPr>
      </w:pPr>
    </w:p>
    <w:p>
      <w:pPr>
        <w:ind w:left="860" w:right="80" w:hanging="366"/>
        <w:spacing w:after="0" w:line="282"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860" w:right="340" w:hanging="366"/>
        <w:spacing w:after="0" w:line="282"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62"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75"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We are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We will also be required to disclose changes made in our internal controls and procedures on a quarterly basis.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94" w:lineRule="exact"/>
        <w:rPr>
          <w:sz w:val="20"/>
          <w:szCs w:val="20"/>
          <w:color w:val="auto"/>
        </w:rPr>
      </w:pPr>
    </w:p>
    <w:p>
      <w:pPr>
        <w:ind w:right="240" w:firstLine="49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 Inferior internal controls could also cause investors to lose confidence in our reported financial information, which could have a material adverse effect on the trading price of our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risk of securities class action litigation, which is expensive and could divert management attention.</w:t>
      </w:r>
    </w:p>
    <w:p>
      <w:pPr>
        <w:spacing w:after="0" w:line="229"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9"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3" w:lineRule="exact"/>
        <w:rPr>
          <w:sz w:val="20"/>
          <w:szCs w:val="20"/>
          <w:color w:val="auto"/>
        </w:rPr>
      </w:pPr>
    </w:p>
    <w:p>
      <w:pPr>
        <w:jc w:val="both"/>
        <w:ind w:right="80" w:firstLine="494"/>
        <w:spacing w:after="0" w:line="261"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180"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860" w:right="20" w:hanging="366"/>
        <w:spacing w:after="0" w:line="282" w:lineRule="auto"/>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860" w:right="480" w:hanging="366"/>
        <w:spacing w:after="0" w:line="266" w:lineRule="auto"/>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6" w:name="page107"/>
    <w:bookmarkEnd w:id="106"/>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our future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860" w:right="40" w:hanging="366"/>
        <w:spacing w:after="0" w:line="282" w:lineRule="auto"/>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our product candidates;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future product candidates, if approved, which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860" w:right="220" w:hanging="366"/>
        <w:spacing w:after="0" w:line="282" w:lineRule="auto"/>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our product candidates;</w:t>
      </w:r>
    </w:p>
    <w:p>
      <w:pPr>
        <w:spacing w:after="0" w:line="53" w:lineRule="exact"/>
        <w:rPr>
          <w:rFonts w:ascii="Times New Roman" w:cs="Times New Roman" w:eastAsia="Times New Roman" w:hAnsi="Times New Roman"/>
          <w:sz w:val="18"/>
          <w:szCs w:val="18"/>
          <w:color w:val="auto"/>
        </w:rPr>
      </w:pPr>
    </w:p>
    <w:p>
      <w:pPr>
        <w:ind w:left="860" w:right="100" w:hanging="366"/>
        <w:spacing w:after="0" w:line="282" w:lineRule="auto"/>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future collaborations, licensing or other arrangements;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225"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80" w:firstLine="494"/>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at 8 Clarke Drive, Cranbury, New Jersey 08512, where we lease a facility containing 18,446 square feet of office and laboratory space pursuant to a lease agreement that expires in June 2022. We also lease 6,297 square feet of laboratory space at 3000 Eastpark, South Brunswick, New Jersey 08512 pursuant to a lease that expires in July 2022. In January 2021, we signed a lease for 50,581 square feet of office and laboratory space at One Research Way in Princeton, New Jersey 08540. That lease term extends through 2032, has a five-year extension option, and is intended to replace our two existing facilities. Finally, we lease 3,292 square feet of office space at 420 Bedford Drive, Lexington, Massachusetts 02420 pursuant to a lease that expires in August 2023, with an option to extend for an additional three years.</w:t>
      </w:r>
    </w:p>
    <w:p>
      <w:pPr>
        <w:spacing w:after="0" w:line="187"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adequate for our current and near term needs and that suitable additional or substitute space at commercially reasonable terms will be available as needed to accommodate any future expansion of our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As of February 28, 2021, we were not a party to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sectPr>
      </w:pPr>
    </w:p>
    <w:bookmarkStart w:id="108" w:name="page109"/>
    <w:bookmarkEnd w:id="10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Common Stock</w:t>
      </w:r>
    </w:p>
    <w:p>
      <w:pPr>
        <w:spacing w:after="0" w:line="121" w:lineRule="exact"/>
        <w:rPr>
          <w:sz w:val="20"/>
          <w:szCs w:val="20"/>
          <w:color w:val="auto"/>
        </w:rPr>
      </w:pPr>
    </w:p>
    <w:p>
      <w:pPr>
        <w:ind w:right="260" w:firstLine="578"/>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“PMVP” since September 25, 2020.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ind w:right="100" w:firstLine="578"/>
        <w:spacing w:after="0" w:line="266" w:lineRule="auto"/>
        <w:rPr>
          <w:sz w:val="20"/>
          <w:szCs w:val="20"/>
          <w:color w:val="auto"/>
        </w:rPr>
      </w:pPr>
      <w:r>
        <w:rPr>
          <w:rFonts w:ascii="Times New Roman" w:cs="Times New Roman" w:eastAsia="Times New Roman" w:hAnsi="Times New Roman"/>
          <w:sz w:val="18"/>
          <w:szCs w:val="18"/>
          <w:color w:val="auto"/>
        </w:rPr>
        <w:t>As of January 31, 2021, there were approximately 43 holders of record of our common stock. We believe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33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This graph below is not “soliciting material” or deemed “filed” with the SEC for purposes of Section 18 of the Exchange Act, or otherwise subject to liabilities under that Section, and shall not be deemed incorporated by reference into this Annual Report on Form 10-K or into any other filing of PMV Pharma. under the Securities Act, as amended, except to the extent that we specifically incorporate this information by reference therein, whether made before or after the date hereof and irrespective of any general incorporation language in any such filing.</w:t>
      </w:r>
    </w:p>
    <w:p>
      <w:pPr>
        <w:spacing w:after="0" w:line="29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 return on our common stock relative to the cumulative total returns of the Nasdaq Composite Index and the Nasdaq Biotechnology Index. An investment of $100 is assumed to have been made in our common stock and each index on September 25, 2020 (the first day of trading of our common stock) and its relative performance is tracked through December 31, 2020. Pursuant to applicable SEC rules, all values assume reinvestment of the full amount of all dividends, however no dividends have been declared on our common stock to date. The stockholder returns shown on the graph below are based on historical results and are not indicative of future performance, and we do not make or endorse any predictions as to future stockholder returns.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9" w:name="page110"/>
    <w:bookmarkEnd w:id="109"/>
    <w:p>
      <w:pPr>
        <w:jc w:val="center"/>
        <w:ind w:left="740"/>
        <w:spacing w:after="0"/>
        <w:rPr>
          <w:sz w:val="20"/>
          <w:szCs w:val="20"/>
          <w:color w:val="auto"/>
        </w:rPr>
      </w:pPr>
      <w:r>
        <w:rPr>
          <w:rFonts w:ascii="Times New Roman" w:cs="Times New Roman" w:eastAsia="Times New Roman" w:hAnsi="Times New Roman"/>
          <w:sz w:val="18"/>
          <w:szCs w:val="18"/>
          <w:color w:val="auto"/>
        </w:rPr>
        <w:t>COMPARISON OF CUMULATIVE TOTAL RETURN</w:t>
      </w:r>
    </w:p>
    <w:p>
      <w:pPr>
        <w:spacing w:after="0" w:line="27"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color w:val="auto"/>
        </w:rPr>
        <w:t>among PMV Pharma,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280035</wp:posOffset>
            </wp:positionV>
            <wp:extent cx="4131945" cy="25203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319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40" w:firstLine="57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440" w:firstLine="578"/>
        <w:spacing w:after="0" w:line="282" w:lineRule="auto"/>
        <w:rPr>
          <w:sz w:val="20"/>
          <w:szCs w:val="20"/>
          <w:color w:val="auto"/>
        </w:rPr>
      </w:pPr>
      <w:r>
        <w:rPr>
          <w:rFonts w:ascii="Times New Roman" w:cs="Times New Roman" w:eastAsia="Times New Roman" w:hAnsi="Times New Roman"/>
          <w:sz w:val="18"/>
          <w:szCs w:val="18"/>
          <w:color w:val="auto"/>
        </w:rPr>
        <w:t>From January 1, 2020 through December 31, 2020, we sold and issued the following unregistered securities, which share numbers have been adjusted, as appropriate, to reflect the 5.2651-for-one reverse stock split which became effective on September 24, 2020:</w:t>
      </w:r>
    </w:p>
    <w:p>
      <w:pPr>
        <w:spacing w:after="0" w:line="54" w:lineRule="exact"/>
        <w:rPr>
          <w:sz w:val="20"/>
          <w:szCs w:val="20"/>
          <w:color w:val="auto"/>
        </w:rPr>
      </w:pPr>
    </w:p>
    <w:p>
      <w:pPr>
        <w:ind w:left="2000" w:right="2060" w:hanging="857"/>
        <w:spacing w:after="0" w:line="282" w:lineRule="auto"/>
        <w:tabs>
          <w:tab w:leader="none" w:pos="2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stock options to employees, directors and consultants covering and aggregate of 1,375,196 shares of common stock, at a weighted-average exercise price of $5.23 per share.</w:t>
      </w:r>
    </w:p>
    <w:p>
      <w:pPr>
        <w:spacing w:after="0" w:line="337" w:lineRule="exact"/>
        <w:rPr>
          <w:rFonts w:ascii="Times New Roman" w:cs="Times New Roman" w:eastAsia="Times New Roman" w:hAnsi="Times New Roman"/>
          <w:sz w:val="18"/>
          <w:szCs w:val="18"/>
          <w:color w:val="auto"/>
        </w:rPr>
      </w:pPr>
    </w:p>
    <w:p>
      <w:pPr>
        <w:ind w:left="2000" w:right="1640" w:hanging="857"/>
        <w:spacing w:after="0" w:line="282" w:lineRule="auto"/>
        <w:tabs>
          <w:tab w:leader="none" w:pos="2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an aggregate of 4,070 shares of common stock to employees for cash consideration in the aggregate amount of $6 thousand pursuant to stock option exercises.</w:t>
      </w:r>
    </w:p>
    <w:p>
      <w:pPr>
        <w:spacing w:after="0" w:line="337" w:lineRule="exact"/>
        <w:rPr>
          <w:rFonts w:ascii="Times New Roman" w:cs="Times New Roman" w:eastAsia="Times New Roman" w:hAnsi="Times New Roman"/>
          <w:sz w:val="18"/>
          <w:szCs w:val="18"/>
          <w:color w:val="auto"/>
        </w:rPr>
      </w:pPr>
    </w:p>
    <w:p>
      <w:pPr>
        <w:ind w:left="2000" w:right="1620" w:hanging="857"/>
        <w:spacing w:after="0" w:line="282" w:lineRule="auto"/>
        <w:tabs>
          <w:tab w:leader="none" w:pos="2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an aggregate of 9,688 shares of common stock to a warrant holder pursuant to exercise of the warrant. Cash consideration for this transaction was $194 thousand.</w:t>
      </w:r>
    </w:p>
    <w:p>
      <w:pPr>
        <w:spacing w:after="0" w:line="53" w:lineRule="exact"/>
        <w:rPr>
          <w:rFonts w:ascii="Times New Roman" w:cs="Times New Roman" w:eastAsia="Times New Roman" w:hAnsi="Times New Roman"/>
          <w:sz w:val="18"/>
          <w:szCs w:val="18"/>
          <w:color w:val="auto"/>
        </w:rPr>
      </w:pPr>
    </w:p>
    <w:p>
      <w:pPr>
        <w:jc w:val="both"/>
        <w:ind w:left="2000" w:right="1580" w:hanging="857"/>
        <w:spacing w:after="0" w:line="261" w:lineRule="auto"/>
        <w:tabs>
          <w:tab w:leader="none" w:pos="2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we issued an aggregate of 5,321,864 shares of Series D preferred stock to six accredited investors at a price per share of $13.1533, for total gross proceeds of $70.0 million. In connection with the completion of our IPO, all shares of Series D preferred stock automatically converted into an equivalent number of shares of our common stock.</w:t>
      </w:r>
    </w:p>
    <w:p>
      <w:pPr>
        <w:spacing w:after="0" w:line="180" w:lineRule="exact"/>
        <w:rPr>
          <w:sz w:val="20"/>
          <w:szCs w:val="20"/>
          <w:color w:val="auto"/>
        </w:rPr>
      </w:pPr>
    </w:p>
    <w:p>
      <w:pPr>
        <w:ind w:firstLine="578"/>
        <w:spacing w:after="0" w:line="26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this Item 5 were deemed to be exempt from registration under the Securities Act under either (i) Rule 701 promulgated under the Securities Act as offers and sale of securities pursuant to certain compensatory benefit plans and contracts relating to compensation in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10" w:name="page111"/>
    <w:bookmarkEnd w:id="110"/>
    <w:p>
      <w:pPr>
        <w:ind w:right="80"/>
        <w:spacing w:after="0" w:line="261" w:lineRule="auto"/>
        <w:rPr>
          <w:sz w:val="20"/>
          <w:szCs w:val="20"/>
          <w:color w:val="auto"/>
        </w:rPr>
      </w:pPr>
      <w:r>
        <w:rPr>
          <w:rFonts w:ascii="Times New Roman" w:cs="Times New Roman" w:eastAsia="Times New Roman" w:hAnsi="Times New Roman"/>
          <w:sz w:val="18"/>
          <w:szCs w:val="18"/>
          <w:color w:val="auto"/>
        </w:rPr>
        <w:t>compliance with Rule 701 or (ii) Section 4(a)(2) of the Securities Act (and Regulation D or Regulation S promulgated thereunder) as transactions by an issuer not involving any public offering. The recipients of securities in each of these transactions represented their intention to acquire the securities for investment only and not with a view to or for sale in connection with any distribution thereof and appropriate legends were affixed to the stock certificates and instruments issued in such transactions.</w:t>
      </w:r>
    </w:p>
    <w:p>
      <w:pPr>
        <w:spacing w:after="0" w:line="2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Use of Proceeds from our Public Offering of Common Stock</w:t>
      </w:r>
    </w:p>
    <w:p>
      <w:pPr>
        <w:spacing w:after="0" w:line="121"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On September 24, 2020, our registration statement on Form S-1 (File No. 333-248627) relating to our IPO of common stock was declared effective by the SEC. The IPO closed on September 25, 2020 at which time we issued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None of the expenses associated with the IPO were paid to directors, officers, persons owning 10% or more of any class of equity securities, or to our affiliates. Goldman Sachs &amp; Co. LLC, BofA Securities, Cowen, and Evercore IS acted as joint book-running managers for the offering.</w:t>
      </w:r>
    </w:p>
    <w:p>
      <w:pPr>
        <w:spacing w:after="0" w:line="189" w:lineRule="exact"/>
        <w:rPr>
          <w:sz w:val="20"/>
          <w:szCs w:val="20"/>
          <w:color w:val="auto"/>
        </w:rPr>
      </w:pPr>
    </w:p>
    <w:p>
      <w:pPr>
        <w:ind w:right="140" w:firstLine="57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2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121"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You should read the selected historical financial data below in conjunction with the section titled “Item 7. Management’s Discussion and Analysis of Financial Condition and Results of Operations” and the audited financial statements included elsewhere in this report. The selected financial data included in this section are not intended to replace the financial statements included elsewhere in this Annual Report on Form 10-K. We derived the selected statements of operations data for the years ended December 31, 2020, 2019 and 2018 and the selected balance sheet data at December 31, 2020 and 2019 from our audited consolidated financial statements included elsewhere in this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report on Form 10-K. Our historical results are not necessarily indicative of the results that may be expected in the future.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31"/>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180" w:type="dxa"/>
            <w:vAlign w:val="bottom"/>
            <w:gridSpan w:val="4"/>
          </w:tcPr>
          <w:p>
            <w:pPr>
              <w:jc w:val="right"/>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80" w:type="dxa"/>
            <w:vAlign w:val="bottom"/>
          </w:tcPr>
          <w:p>
            <w:pPr>
              <w:spacing w:after="0"/>
              <w:rPr>
                <w:sz w:val="19"/>
                <w:szCs w:val="19"/>
                <w:color w:val="auto"/>
              </w:rPr>
            </w:pPr>
          </w:p>
        </w:tc>
        <w:tc>
          <w:tcPr>
            <w:tcW w:w="62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100" w:type="dxa"/>
            <w:vAlign w:val="bottom"/>
          </w:tcPr>
          <w:p>
            <w:pPr>
              <w:spacing w:after="0"/>
              <w:rPr>
                <w:sz w:val="19"/>
                <w:szCs w:val="19"/>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shd w:val="clear" w:color="auto" w:fill="CFF0FC"/>
          </w:tcPr>
          <w:p>
            <w:pPr>
              <w:spacing w:after="0"/>
              <w:rPr>
                <w:sz w:val="19"/>
                <w:szCs w:val="19"/>
                <w:color w:val="auto"/>
              </w:rPr>
            </w:pPr>
          </w:p>
        </w:tc>
      </w:tr>
      <w:tr>
        <w:trPr>
          <w:trHeight w:val="223"/>
        </w:trPr>
        <w:tc>
          <w:tcPr>
            <w:tcW w:w="7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100" w:type="dxa"/>
            <w:vAlign w:val="bottom"/>
            <w:tcBorders>
              <w:bottom w:val="single" w:sz="8" w:color="CFF0FC"/>
            </w:tcBorders>
          </w:tcPr>
          <w:p>
            <w:pPr>
              <w:spacing w:after="0"/>
              <w:rPr>
                <w:sz w:val="19"/>
                <w:szCs w:val="19"/>
                <w:color w:val="auto"/>
              </w:rPr>
            </w:pPr>
          </w:p>
        </w:tc>
      </w:tr>
      <w:tr>
        <w:trPr>
          <w:trHeight w:val="223"/>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(26,637)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100" w:type="dxa"/>
            <w:vAlign w:val="bottom"/>
            <w:shd w:val="clear" w:color="auto" w:fill="CFF0FC"/>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19"/>
                <w:szCs w:val="19"/>
                <w:color w:val="auto"/>
              </w:rPr>
            </w:pPr>
          </w:p>
        </w:tc>
      </w:tr>
      <w:tr>
        <w:trPr>
          <w:trHeight w:val="229"/>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(25,344)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(25,352)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10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gains on marketable securities, net of tax</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9"/>
                <w:szCs w:val="19"/>
                <w:color w:val="auto"/>
              </w:rPr>
            </w:pPr>
          </w:p>
        </w:tc>
      </w:tr>
      <w:tr>
        <w:trPr>
          <w:trHeight w:val="263"/>
        </w:trPr>
        <w:tc>
          <w:tcPr>
            <w:tcW w:w="7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(25,342</w:t>
            </w:r>
          </w:p>
        </w:tc>
        <w:tc>
          <w:tcPr>
            <w:tcW w:w="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100" w:type="dxa"/>
            <w:vAlign w:val="bottom"/>
            <w:tcBorders>
              <w:bottom w:val="single" w:sz="8" w:color="CFF0FC"/>
            </w:tcBorders>
          </w:tcPr>
          <w:p>
            <w:pPr>
              <w:spacing w:after="0"/>
              <w:rPr>
                <w:sz w:val="22"/>
                <w:szCs w:val="22"/>
                <w:color w:val="auto"/>
              </w:rPr>
            </w:pPr>
          </w:p>
        </w:tc>
      </w:tr>
      <w:tr>
        <w:trPr>
          <w:trHeight w:val="21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r>
      <w:tr>
        <w:trPr>
          <w:trHeight w:val="234"/>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14,364,475</w:t>
            </w:r>
          </w:p>
        </w:tc>
        <w:tc>
          <w:tcPr>
            <w:tcW w:w="8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3,035,243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3,012,284</w:t>
            </w:r>
          </w:p>
        </w:tc>
        <w:tc>
          <w:tcPr>
            <w:tcW w:w="100" w:type="dxa"/>
            <w:vAlign w:val="bottom"/>
          </w:tcPr>
          <w:p>
            <w:pPr>
              <w:spacing w:after="0"/>
              <w:rPr>
                <w:sz w:val="20"/>
                <w:szCs w:val="20"/>
                <w:color w:val="auto"/>
              </w:rPr>
            </w:pPr>
          </w:p>
        </w:tc>
      </w:tr>
      <w:tr>
        <w:trPr>
          <w:trHeight w:val="362"/>
        </w:trPr>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short-term marketable securities</w:t>
            </w:r>
          </w:p>
        </w:tc>
        <w:tc>
          <w:tcPr>
            <w:tcW w:w="1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361,422</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101,486</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358,351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19"/>
                <w:szCs w:val="19"/>
                <w:color w:val="auto"/>
              </w:rPr>
            </w:pPr>
          </w:p>
        </w:tc>
        <w:tc>
          <w:tcPr>
            <w:tcW w:w="108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365,531</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9"/>
                <w:szCs w:val="19"/>
                <w:color w:val="auto"/>
              </w:rPr>
            </w:pPr>
          </w:p>
        </w:tc>
        <w:tc>
          <w:tcPr>
            <w:tcW w:w="2040" w:type="dxa"/>
            <w:vAlign w:val="bottom"/>
            <w:gridSpan w:val="6"/>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(109,880)</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(75,440)</w:t>
            </w: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359,121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90" w:lineRule="exact"/>
        <w:rPr>
          <w:sz w:val="20"/>
          <w:szCs w:val="20"/>
          <w:color w:val="auto"/>
        </w:rPr>
      </w:pPr>
    </w:p>
    <w:p>
      <w:pPr>
        <w:ind w:left="5480" w:right="5480" w:hanging="4978"/>
        <w:spacing w:after="0" w:line="532" w:lineRule="auto"/>
        <w:tabs>
          <w:tab w:leader="none" w:pos="7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minus current liabilities.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“Selected Financial Data” and the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“Part I, Item 1A. Risk Factors” and in other parts of this Annual Report on Form 10-K.</w:t>
      </w:r>
    </w:p>
    <w:p>
      <w:pPr>
        <w:spacing w:after="0" w:line="77"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 xml:space="preserve">A discussion of our financial performance for the year ended December 31, 2020 as compared to the year ended December 31, 2019 appears below under the captions “Results of Operations” and “Liquidity and Capital Resources.” A discussion of our financial performance for the year ended December 31, 2019 compared to the year ended December 31, 2018 can be found in our Registration Statement filed on Form S-1/A, in the “Management Discussion And Analysis Of Financial Condition And Results Of Operations” section, under the same captions, filed with the SEC on September 24, 2020, which is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our Investor Relations website at </w:t>
      </w:r>
      <w:r>
        <w:rPr>
          <w:rFonts w:ascii="Times New Roman" w:cs="Times New Roman" w:eastAsia="Times New Roman" w:hAnsi="Times New Roman"/>
          <w:sz w:val="18"/>
          <w:szCs w:val="18"/>
          <w:i w:val="1"/>
          <w:iCs w:val="1"/>
          <w:color w:val="auto"/>
        </w:rPr>
        <w:t>ir.pmvpharma.com/financial-information/sec-filings</w:t>
      </w:r>
      <w:r>
        <w:rPr>
          <w:rFonts w:ascii="Times New Roman" w:cs="Times New Roman" w:eastAsia="Times New Roman" w:hAnsi="Times New Roman"/>
          <w:sz w:val="18"/>
          <w:szCs w:val="18"/>
          <w:color w:val="auto"/>
        </w:rPr>
        <w:t>. These website addresses are intended to be inactive, textual references only. None of the materials on, or accessible through, these websites are part of this report or are incorporated by reference 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92" w:lineRule="exact"/>
        <w:rPr>
          <w:sz w:val="20"/>
          <w:szCs w:val="20"/>
          <w:color w:val="auto"/>
        </w:rPr>
      </w:pPr>
    </w:p>
    <w:p>
      <w:pPr>
        <w:ind w:firstLine="494"/>
        <w:spacing w:after="0" w:line="269" w:lineRule="auto"/>
        <w:rPr>
          <w:sz w:val="20"/>
          <w:szCs w:val="20"/>
          <w:color w:val="auto"/>
        </w:rPr>
      </w:pPr>
      <w:r>
        <w:rPr>
          <w:rFonts w:ascii="Times New Roman" w:cs="Times New Roman" w:eastAsia="Times New Roman" w:hAnsi="Times New Roman"/>
          <w:sz w:val="17"/>
          <w:szCs w:val="17"/>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$34.4 million, $25.4 million, and $17.5 million for the years ended December 31, 2020, 2019, and 2018, respectively. As of December 31, 2020, we had an accumulated deficit of $109.9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182" w:lineRule="exact"/>
        <w:rPr>
          <w:sz w:val="20"/>
          <w:szCs w:val="20"/>
          <w:color w:val="auto"/>
        </w:rPr>
      </w:pPr>
    </w:p>
    <w:p>
      <w:pPr>
        <w:jc w:val="both"/>
        <w:ind w:right="460" w:firstLine="494"/>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or IPO, we funded our operations primarily from the issuance and sale of convertible preferred stock. As of December 31, 2020, we had $361.4 million in cash and cash equivalents. We believe that our existing capital resources will be sufficient to fund our planned operations at least through 2023.</w:t>
      </w:r>
    </w:p>
    <w:p>
      <w:pPr>
        <w:spacing w:after="0" w:line="176" w:lineRule="exact"/>
        <w:rPr>
          <w:sz w:val="20"/>
          <w:szCs w:val="20"/>
          <w:color w:val="auto"/>
        </w:rPr>
      </w:pPr>
    </w:p>
    <w:p>
      <w:pPr>
        <w:ind w:right="180" w:firstLine="494"/>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3" w:name="page114"/>
    <w:bookmarkEnd w:id="113"/>
    <w:p>
      <w:pPr>
        <w:ind w:right="60"/>
        <w:spacing w:after="0" w:line="282" w:lineRule="auto"/>
        <w:rPr>
          <w:sz w:val="20"/>
          <w:szCs w:val="20"/>
          <w:color w:val="auto"/>
        </w:rPr>
      </w:pPr>
      <w:r>
        <w:rPr>
          <w:rFonts w:ascii="Times New Roman" w:cs="Times New Roman" w:eastAsia="Times New Roman" w:hAnsi="Times New Roman"/>
          <w:sz w:val="18"/>
          <w:szCs w:val="18"/>
          <w:color w:val="auto"/>
        </w:rPr>
        <w:t>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62" w:lineRule="exact"/>
        <w:rPr>
          <w:sz w:val="20"/>
          <w:szCs w:val="20"/>
          <w:color w:val="auto"/>
        </w:rPr>
      </w:pPr>
    </w:p>
    <w:p>
      <w:pPr>
        <w:jc w:val="both"/>
        <w:ind w:right="880" w:firstLine="494"/>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60" w:firstLine="494"/>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180"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w:t>
      </w:r>
    </w:p>
    <w:p>
      <w:pPr>
        <w:spacing w:after="0" w:line="192"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4" w:name="page115"/>
    <w:bookmarkEnd w:id="114"/>
    <w:p>
      <w:pPr>
        <w:ind w:right="200"/>
        <w:spacing w:after="0" w:line="258" w:lineRule="auto"/>
        <w:rPr>
          <w:sz w:val="20"/>
          <w:szCs w:val="20"/>
          <w:color w:val="auto"/>
        </w:rPr>
      </w:pPr>
      <w:r>
        <w:rPr>
          <w:rFonts w:ascii="Times New Roman" w:cs="Times New Roman" w:eastAsia="Times New Roman" w:hAnsi="Times New Roman"/>
          <w:sz w:val="18"/>
          <w:szCs w:val="18"/>
          <w:color w:val="auto"/>
        </w:rPr>
        <w:t>expenses consist of rent expense related to our office and research and development facility. We expect to incur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expect to increase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16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2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2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15" w:name="page116"/>
    <w:bookmarkEnd w:id="115"/>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were $23.9 million for the year ended December 31, 2020, compared to $20.8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The increase of $3.2 million was primarily due to the following:</w:t>
      </w:r>
    </w:p>
    <w:p>
      <w:pPr>
        <w:spacing w:after="0" w:line="99" w:lineRule="exact"/>
        <w:rPr>
          <w:sz w:val="20"/>
          <w:szCs w:val="20"/>
          <w:color w:val="auto"/>
        </w:rPr>
      </w:pPr>
    </w:p>
    <w:p>
      <w:pPr>
        <w:ind w:left="860" w:hanging="366"/>
        <w:spacing w:after="0"/>
        <w:tabs>
          <w:tab w:leader="none" w:pos="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decrease in research expenses, driven primarily by a decline in costs from certain of our contract research organizations.</w:t>
      </w:r>
    </w:p>
    <w:p>
      <w:pPr>
        <w:spacing w:after="0" w:line="117" w:lineRule="exact"/>
        <w:rPr>
          <w:rFonts w:ascii="Times New Roman" w:cs="Times New Roman" w:eastAsia="Times New Roman" w:hAnsi="Times New Roman"/>
          <w:sz w:val="18"/>
          <w:szCs w:val="18"/>
          <w:color w:val="auto"/>
        </w:rPr>
      </w:pPr>
    </w:p>
    <w:p>
      <w:pPr>
        <w:ind w:left="860" w:right="40" w:hanging="366"/>
        <w:spacing w:after="0" w:line="282" w:lineRule="auto"/>
        <w:tabs>
          <w:tab w:leader="none" w:pos="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increase in development expenses, primarily associated with increased effort advancing our lead compound PC14586 through pre-clinical studies and into a Phase 1/2 clinical trial; and</w:t>
      </w:r>
    </w:p>
    <w:p>
      <w:pPr>
        <w:spacing w:after="0" w:line="53" w:lineRule="exact"/>
        <w:rPr>
          <w:rFonts w:ascii="Times New Roman" w:cs="Times New Roman" w:eastAsia="Times New Roman" w:hAnsi="Times New Roman"/>
          <w:sz w:val="18"/>
          <w:szCs w:val="18"/>
          <w:color w:val="auto"/>
        </w:rPr>
      </w:pPr>
    </w:p>
    <w:p>
      <w:pPr>
        <w:ind w:left="860" w:right="540" w:hanging="366"/>
        <w:spacing w:after="0" w:line="282" w:lineRule="auto"/>
        <w:tabs>
          <w:tab w:leader="none" w:pos="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increase in expenses for personnel related costs and stock-based compensation, primarily driven by increased headcount for developing PC14586 and initiation of an investigational new drug, or IND, study for the Y220C mutation.</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 were $11.0 million for the year ended December 31, 2020, compared to $5.9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The increase of $5.1 million was primarily due to the following:</w:t>
      </w:r>
    </w:p>
    <w:p>
      <w:pPr>
        <w:spacing w:after="0" w:line="99" w:lineRule="exact"/>
        <w:rPr>
          <w:sz w:val="20"/>
          <w:szCs w:val="20"/>
          <w:color w:val="auto"/>
        </w:rPr>
      </w:pPr>
    </w:p>
    <w:p>
      <w:pPr>
        <w:ind w:left="860" w:right="160" w:hanging="366"/>
        <w:spacing w:after="0" w:line="282" w:lineRule="auto"/>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increase in expense for employee compensation, driven primarily by increased headcount to build out general and administrative infrastructure for the Company; and</w:t>
      </w:r>
    </w:p>
    <w:p>
      <w:pPr>
        <w:spacing w:after="0" w:line="53" w:lineRule="exact"/>
        <w:rPr>
          <w:rFonts w:ascii="Times New Roman" w:cs="Times New Roman" w:eastAsia="Times New Roman" w:hAnsi="Times New Roman"/>
          <w:sz w:val="18"/>
          <w:szCs w:val="18"/>
          <w:color w:val="auto"/>
        </w:rPr>
      </w:pPr>
    </w:p>
    <w:p>
      <w:pPr>
        <w:jc w:val="both"/>
        <w:ind w:left="860" w:right="20" w:hanging="366"/>
        <w:spacing w:after="0" w:line="266" w:lineRule="auto"/>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expense for insurance and outside services, which is primarily driven by $1.2 million in regulatory and finance support, $0.6 million directors and officers insurance, and $0.3 million associated with legal expenses for patent filings and service contract drafting and review.</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Interest income, net was $0.7 million for the year ended December 31, 2020, compared to $1.3 million for the year ended December 31, 2019. The decrease of $0.6 million is driven by decreased income from cash investments in marketable securities and U.S treasuries.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December 31, 2020, we have cash and cash equivalents of $361.4 million and an accumulated deficit of $109.9 million. Prior to our initial public offering, or IPO, we financed our operations primarily through issuances of our convertible preferred stock. In 2019, we sold an aggregate of 5,469,606 shares of our Series C convertible preferred stock to accredited investors, generating gross proceeds of $61.9 million. In July 2020, we sold an aggregate of 5,321,864 shares of our Series D convertible preferred stock to accredited investors, generating gross proceeds of $70.0 million.</w:t>
      </w:r>
    </w:p>
    <w:p>
      <w:pPr>
        <w:spacing w:after="0" w:line="189" w:lineRule="exact"/>
        <w:rPr>
          <w:sz w:val="20"/>
          <w:szCs w:val="20"/>
          <w:color w:val="auto"/>
        </w:rPr>
      </w:pPr>
    </w:p>
    <w:p>
      <w:pPr>
        <w:ind w:right="160" w:firstLine="637"/>
        <w:spacing w:after="0" w:line="261" w:lineRule="auto"/>
        <w:rPr>
          <w:sz w:val="20"/>
          <w:szCs w:val="20"/>
          <w:color w:val="auto"/>
        </w:rPr>
      </w:pPr>
      <w:r>
        <w:rPr>
          <w:rFonts w:ascii="Times New Roman" w:cs="Times New Roman" w:eastAsia="Times New Roman" w:hAnsi="Times New Roman"/>
          <w:sz w:val="18"/>
          <w:szCs w:val="18"/>
          <w:color w:val="auto"/>
        </w:rPr>
        <w:t>On September 25, 2020, we completed our IPO pursuant to which we issued and sold 13,529,750 shares of our common stock, including the exercise in full by the underwriters of their option to purchase up to 1,764,750 additional shares of common stock, at a public offering price of $18.00 per share. The gross proceeds from the IPO were approximately $243.5 million and the net proceeds were approximately $223.2 million, after deducting underwriting discounts and commissions and other offering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jc w:val="both"/>
        <w:ind w:right="520" w:firstLine="494"/>
        <w:spacing w:after="0" w:line="266"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ind w:right="100"/>
        <w:spacing w:after="0" w:line="255" w:lineRule="auto"/>
        <w:rPr>
          <w:sz w:val="20"/>
          <w:szCs w:val="20"/>
          <w:color w:val="auto"/>
        </w:rPr>
      </w:pPr>
      <w:r>
        <w:rPr>
          <w:rFonts w:ascii="Times New Roman" w:cs="Times New Roman" w:eastAsia="Times New Roman" w:hAnsi="Times New Roman"/>
          <w:sz w:val="18"/>
          <w:szCs w:val="18"/>
          <w:color w:val="auto"/>
        </w:rPr>
        <w:t>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9"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$109.9 million through December 31, 2020. We expect to incur substantial additional losses in the future as we expand our research and development activities. Based on our research and development plans, we expect that our cash balances as of December 31, 2020 will be sufficient to fund our operations at least through 2023. We have based this estimate on assumptions that may prove to be wrong, however, and we could use our capital resources sooner than we expect.</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860" w:hanging="366"/>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860" w:right="40" w:hanging="366"/>
        <w:spacing w:after="0" w:line="282" w:lineRule="auto"/>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of our product candidates and satisfy our obligations as a public company.</w:t>
      </w:r>
    </w:p>
    <w:p>
      <w:pPr>
        <w:spacing w:after="0" w:line="162"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2020, was $32.7 million, which consisted primarily of net loss of $34.4 million increased by non-cash charges of $2.5 million and decreased by a net change of $0.9 million in our net operating assets. The non-cash charges primarily consisted of stock-based compensation of $1.9 million and depreciation of $0.3 million. The change in our net operating assets and liabilities was primarily due to an increase in current assets, accompanied by a decrease in outstanding payables, and an increase in accrued compensation and accrued liabilities in 2020.</w:t>
      </w:r>
    </w:p>
    <w:p>
      <w:pPr>
        <w:spacing w:after="0" w:line="183"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2019, was $22.1 million, which consisted primarily of net loss of $25.4 million decreased by non-cash charges of $1.4 million and by a net change of $1.9 million in our net operating assets. The non-cash charges primarily consisted of stock-based compensation of $0.9 million and depreciation and amortization expense of $0.5 million. The change in our net operating assets and liabilities was primarily due to an increase in outstanding payables in 2019.</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$28.0 million of cash during the year ended December 31, 2020, which consisted primarily of maturities of marketable securities of $42.6 million, partially offset by purchases of marketable securities of $14.5 million and purchases of property and equipment of $0.1 million.</w:t>
      </w:r>
    </w:p>
    <w:p>
      <w:pPr>
        <w:spacing w:after="0" w:line="176"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$3.2 million of cash during the year ended December 31, 2019, which consisted primarily of maturities of marketable securities of $46.8 million, partially offset by purchases of marketable securities of $43.5 million and purchases of property and equipment of $0.1 million.</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$293.0 million of cash during the year ended December 31, 2020, which consisted primarily of gross IPO proceeds of $243.5 million and Series D Preferred Stock issuance of $70.0 million, offset by equity issuance costs of $20.6 million.</w:t>
      </w:r>
    </w:p>
    <w:p>
      <w:pPr>
        <w:spacing w:after="0" w:line="162" w:lineRule="exact"/>
        <w:rPr>
          <w:sz w:val="20"/>
          <w:szCs w:val="20"/>
          <w:color w:val="auto"/>
        </w:rPr>
      </w:pPr>
    </w:p>
    <w:p>
      <w:pPr>
        <w:jc w:val="both"/>
        <w:ind w:right="220" w:firstLine="494"/>
        <w:spacing w:after="0" w:line="266" w:lineRule="auto"/>
        <w:rPr>
          <w:sz w:val="20"/>
          <w:szCs w:val="20"/>
          <w:color w:val="auto"/>
        </w:rPr>
      </w:pPr>
      <w:r>
        <w:rPr>
          <w:rFonts w:ascii="Times New Roman" w:cs="Times New Roman" w:eastAsia="Times New Roman" w:hAnsi="Times New Roman"/>
          <w:sz w:val="18"/>
          <w:szCs w:val="18"/>
          <w:color w:val="auto"/>
        </w:rPr>
        <w:t>Our financing activities provided $61.8 million of cash during the year ended December 31, 2019, which consisted primarily of proceeds from the issuance of our Series C convertible preferred stock of $61.9 million, and proceeds from the exercise of stock options of $0.1 million, partially offset by payments of equity issuance costs of $0.2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2020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22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00" w:firstLine="494"/>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76"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has a five-year extension option, and is intended to replace our two existing facilities. Payments under this lease will total $19.6 million through May 2032.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0"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291"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364" w:lineRule="exact"/>
        <w:rPr>
          <w:sz w:val="20"/>
          <w:szCs w:val="20"/>
          <w:color w:val="auto"/>
        </w:rPr>
      </w:pPr>
    </w:p>
    <w:p>
      <w:pPr>
        <w:ind w:left="860" w:hanging="366"/>
        <w:spacing w:after="0"/>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9" w:name="page120"/>
    <w:bookmarkEnd w:id="119"/>
    <w:p>
      <w:pPr>
        <w:ind w:left="860" w:hanging="366"/>
        <w:spacing w:after="0"/>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239"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60" w:firstLine="494"/>
        <w:spacing w:after="0" w:line="255" w:lineRule="auto"/>
        <w:rPr>
          <w:sz w:val="20"/>
          <w:szCs w:val="20"/>
          <w:color w:val="auto"/>
        </w:rPr>
      </w:pPr>
      <w:r>
        <w:rPr>
          <w:rFonts w:ascii="Times New Roman" w:cs="Times New Roman" w:eastAsia="Times New Roman" w:hAnsi="Times New Roman"/>
          <w:sz w:val="18"/>
          <w:szCs w:val="18"/>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89"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62" w:lineRule="exact"/>
        <w:rPr>
          <w:sz w:val="20"/>
          <w:szCs w:val="20"/>
          <w:color w:val="auto"/>
        </w:rPr>
      </w:pPr>
    </w:p>
    <w:p>
      <w:pPr>
        <w:jc w:val="both"/>
        <w:ind w:right="440" w:firstLine="494"/>
        <w:spacing w:after="0" w:line="266"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66" w:lineRule="exact"/>
        <w:rPr>
          <w:sz w:val="20"/>
          <w:szCs w:val="20"/>
          <w:color w:val="auto"/>
        </w:rPr>
      </w:pPr>
    </w:p>
    <w:p>
      <w:pPr>
        <w:ind w:left="860" w:right="200" w:hanging="366"/>
        <w:spacing w:after="0" w:line="261" w:lineRule="auto"/>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stock-based awards are expected to be outstanding. As we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1"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Contractual Term</w:t>
      </w:r>
      <w:r>
        <w:rPr>
          <w:rFonts w:ascii="Times New Roman" w:cs="Times New Roman" w:eastAsia="Times New Roman" w:hAnsi="Times New Roman"/>
          <w:sz w:val="18"/>
          <w:szCs w:val="18"/>
          <w:color w:val="auto"/>
        </w:rPr>
        <w:t>—The contractual term represents the nominal period that the stock-based awards are outstanding.</w:t>
      </w:r>
    </w:p>
    <w:p>
      <w:pPr>
        <w:spacing w:after="0" w:line="117" w:lineRule="exact"/>
        <w:rPr>
          <w:rFonts w:ascii="Times New Roman" w:cs="Times New Roman" w:eastAsia="Times New Roman" w:hAnsi="Times New Roman"/>
          <w:sz w:val="18"/>
          <w:szCs w:val="18"/>
          <w:color w:val="auto"/>
        </w:rPr>
      </w:pPr>
    </w:p>
    <w:p>
      <w:pPr>
        <w:ind w:left="860" w:right="80" w:hanging="366"/>
        <w:spacing w:after="0" w:line="284" w:lineRule="auto"/>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constant maturity notes with terms approximately equal to the stock-based awards’ expected term.</w:t>
      </w:r>
    </w:p>
    <w:p>
      <w:pPr>
        <w:spacing w:after="0" w:line="50" w:lineRule="exact"/>
        <w:rPr>
          <w:rFonts w:ascii="Times New Roman" w:cs="Times New Roman" w:eastAsia="Times New Roman" w:hAnsi="Times New Roman"/>
          <w:sz w:val="18"/>
          <w:szCs w:val="18"/>
          <w:color w:val="auto"/>
        </w:rPr>
      </w:pPr>
    </w:p>
    <w:p>
      <w:pPr>
        <w:ind w:left="860" w:right="20" w:hanging="366"/>
        <w:spacing w:after="0" w:line="267" w:lineRule="auto"/>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—Since we do not have a trading history of common stock, the expected volatility was derived from the average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volatilities of the common stock of several public companies within the industry that we consider to be comparable to our business over a period equivalent to the expected term of the stock-based awards.</w:t>
      </w:r>
    </w:p>
    <w:p>
      <w:pPr>
        <w:spacing w:after="0" w:line="65"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rate is zero as we have not paid and do not anticipate paying any dividends in the foreseeable future.</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0" w:name="page121"/>
    <w:bookmarkEnd w:id="120"/>
    <w:p>
      <w:pPr>
        <w:ind w:left="860" w:hanging="366"/>
        <w:spacing w:after="0" w:line="281" w:lineRule="auto"/>
        <w:tabs>
          <w:tab w:leader="none" w:pos="8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Fair Value of Common Stock</w:t>
      </w:r>
      <w:r>
        <w:rPr>
          <w:rFonts w:ascii="Times New Roman" w:cs="Times New Roman" w:eastAsia="Times New Roman" w:hAnsi="Times New Roman"/>
          <w:sz w:val="17"/>
          <w:szCs w:val="17"/>
          <w:color w:val="auto"/>
        </w:rPr>
        <w:t>—Prior to our IPO, the fair value of the shares of common stock underlying the stock-based awards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by our board of directors with input from management. Because there was no public market for our common stock, our board of directors determined the fair value of our common stock at the time of grant of the stock-based award by considering a number of objective and subjective factors, including having valuations of the common stock performed by a third-party valuation specialist, as further described below.</w:t>
      </w:r>
    </w:p>
    <w:p>
      <w:pPr>
        <w:spacing w:after="0" w:line="166" w:lineRule="exact"/>
        <w:rPr>
          <w:sz w:val="20"/>
          <w:szCs w:val="20"/>
          <w:color w:val="auto"/>
        </w:rPr>
      </w:pPr>
    </w:p>
    <w:p>
      <w:pPr>
        <w:jc w:val="both"/>
        <w:ind w:right="460" w:firstLine="494"/>
        <w:spacing w:after="0" w:line="266" w:lineRule="auto"/>
        <w:rPr>
          <w:sz w:val="20"/>
          <w:szCs w:val="20"/>
          <w:color w:val="auto"/>
        </w:rPr>
      </w:pPr>
      <w:r>
        <w:rPr>
          <w:rFonts w:ascii="Times New Roman" w:cs="Times New Roman" w:eastAsia="Times New Roman" w:hAnsi="Times New Roman"/>
          <w:sz w:val="18"/>
          <w:szCs w:val="18"/>
          <w:color w:val="auto"/>
        </w:rPr>
        <w:t>As of December 31, 2020, the total compensation cost related to nonvested service-based awards not yet recognized is $4,602. The weighted-average period over which the nonvested awards is expected to be recognized is 2.9 years. The aggregate intrinsic value of options outstanding as of December 31, 2020 was $238.8 million, of which $154.1 million related to vested options and $84.7 million related to unvested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21"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the shares of common stock underlying our stock-based awards prior to our IPO was determined by our board of directors with input from management and contemporaneous third-party valuations. We believe that our board of directors had the relevant experience and expertise to determine the fair value of our common stock prior to our IPO. Given the absence of a public trading market of our common stock, and in accordance with the </w:t>
      </w:r>
      <w:r>
        <w:rPr>
          <w:rFonts w:ascii="Times New Roman" w:cs="Times New Roman" w:eastAsia="Times New Roman" w:hAnsi="Times New Roman"/>
          <w:sz w:val="18"/>
          <w:szCs w:val="18"/>
          <w:i w:val="1"/>
          <w:iCs w:val="1"/>
          <w:color w:val="auto"/>
        </w:rPr>
        <w:t>American Institute of Certified Public Accountants Practice Aid, Valuation of Privately-Held Company Equity Securities Issued as Compensation</w:t>
      </w:r>
      <w:r>
        <w:rPr>
          <w:rFonts w:ascii="Times New Roman" w:cs="Times New Roman" w:eastAsia="Times New Roman" w:hAnsi="Times New Roman"/>
          <w:sz w:val="18"/>
          <w:szCs w:val="18"/>
          <w:color w:val="auto"/>
        </w:rPr>
        <w:t>, our board of directors exercised reasonable judgment and considered numerous and subjective factors to determine the best estimate of the fair value of our common stock at each grant date. These factors include:</w:t>
      </w:r>
    </w:p>
    <w:p>
      <w:pPr>
        <w:spacing w:after="0" w:line="79" w:lineRule="exact"/>
        <w:rPr>
          <w:sz w:val="20"/>
          <w:szCs w:val="20"/>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of our common stock performed by independent third-party specialists;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convertible preferred stock relative to those of our common stock;</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convertible preferred stock sold to third-party investors by us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key personnel and the experience of our management;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the company;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17" w:lineRule="exact"/>
        <w:rPr>
          <w:rFonts w:ascii="Times New Roman" w:cs="Times New Roman" w:eastAsia="Times New Roman" w:hAnsi="Times New Roman"/>
          <w:sz w:val="18"/>
          <w:szCs w:val="18"/>
          <w:color w:val="auto"/>
        </w:rPr>
      </w:pPr>
    </w:p>
    <w:p>
      <w:pPr>
        <w:ind w:left="860" w:right="200" w:hanging="366"/>
        <w:spacing w:after="0" w:line="282" w:lineRule="auto"/>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25"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 The valuation method considers the total number of shares authorized and outstanding, as well as recent issuances of both preferred and common stock.</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1" w:name="page122"/>
    <w:bookmarkEnd w:id="121"/>
    <w:p>
      <w:pPr>
        <w:ind w:firstLine="494"/>
        <w:spacing w:after="0" w:line="266"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 and assumptions that are highly complex and subjective, such as those regarding the time to the liquidation event and volatility. Changes in these estimates and assumptions or the relationships between these assumptions impact our valuations as of each valuation date and may have a material impact on the valuation of common stock.</w:t>
      </w:r>
    </w:p>
    <w:p>
      <w:pPr>
        <w:spacing w:after="0" w:line="176"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Following our IPO, the fair value of each share of underlying common stock will be based on the closing price of our common stock as reported by Nasdaq on the date of grant. Future expense amounts for any particular period could be affected by changes in our assumptions or market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audited financial statements for the year ended December 31, 2020 included elsewhere in this Annual Report on Form 10-K for the year ended December 31,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40" w:firstLine="49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completed our initial public offering, although circumstances could cause us to lose that status earlier. We will remain an emerging growth company until the earlier of (1) the last day of the fiscal year (a) following the fifth anniversary of the closing of our initial public offering, (b) in which we have total annual gross revenue of at least $1.07 billion or (c) in which we are deemed to be a large accelerated filer, which requires the market value of our common stock that is held by non-affiliates to exceed $700 million as of the prior June 30th, and (2) the date on which we have issued more than $1 billion in non-convertible debt during the prior three-year period.</w:t>
      </w:r>
    </w:p>
    <w:p>
      <w:pPr>
        <w:spacing w:after="0" w:line="192" w:lineRule="exact"/>
        <w:rPr>
          <w:sz w:val="20"/>
          <w:szCs w:val="20"/>
          <w:color w:val="auto"/>
        </w:rPr>
      </w:pPr>
    </w:p>
    <w:p>
      <w:pPr>
        <w:ind w:right="120" w:firstLine="494"/>
        <w:spacing w:after="0" w:line="281"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64" w:lineRule="exact"/>
        <w:rPr>
          <w:sz w:val="20"/>
          <w:szCs w:val="20"/>
          <w:color w:val="auto"/>
        </w:rPr>
      </w:pPr>
    </w:p>
    <w:p>
      <w:pPr>
        <w:ind w:right="140" w:firstLine="494"/>
        <w:spacing w:after="0" w:line="25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225"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We had cash and cash equivalents of $361.4 million as of December 31, 2020, which consists of interest-bearing U.S. treasury securities and money market funds. Our exposure due to changes in interest rates is not material due to the nature and amount of our money-market funds and short-term marketable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foreign vendors that are located outside the United States in the future. This may subject us to fluctuations in foreign currency exchange rates in the future.</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23" w:name="page124"/>
    <w:bookmarkEnd w:id="1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Report of Independent Registered Public Accounting Firm</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10340" w:type="dxa"/>
            <w:vAlign w:val="bottom"/>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Balance Sheets as of December 31, 2020 and 2019</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10340" w:type="dxa"/>
            <w:vAlign w:val="bottom"/>
          </w:tcPr>
          <w:p>
            <w:pPr>
              <w:spacing w:after="0"/>
              <w:rPr>
                <w:rFonts w:ascii="Times New Roman" w:cs="Times New Roman" w:eastAsia="Times New Roman" w:hAnsi="Times New Roman"/>
                <w:sz w:val="18"/>
                <w:szCs w:val="18"/>
                <w:u w:val="single" w:color="auto"/>
                <w:color w:val="0000EE"/>
              </w:rPr>
            </w:pPr>
            <w:hyperlink w:anchor="page127">
              <w:r>
                <w:rPr>
                  <w:rFonts w:ascii="Times New Roman" w:cs="Times New Roman" w:eastAsia="Times New Roman" w:hAnsi="Times New Roman"/>
                  <w:sz w:val="18"/>
                  <w:szCs w:val="18"/>
                  <w:u w:val="single" w:color="auto"/>
                  <w:color w:val="0000EE"/>
                </w:rPr>
                <w:t>Statements of Operations and Comprehensive Loss for the Years Ended December 31, 2020, 2019, and 2018</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10340" w:type="dxa"/>
            <w:vAlign w:val="bottom"/>
          </w:tcPr>
          <w:p>
            <w:pPr>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Statements of Convertible Preferred Stock and Stockholders’ (Deficit) Equity for the Years Ended December 31, 2020, 2019, and 2018</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0340" w:type="dxa"/>
            <w:vAlign w:val="bottom"/>
          </w:tcPr>
          <w:p>
            <w:pPr>
              <w:spacing w:after="0"/>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Statements of Cash Flows for the Years Ended December 31, 2020, 2019, and 2018</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0340" w:type="dxa"/>
            <w:vAlign w:val="bottom"/>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Notes to Financial Statements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4" w:name="page125"/>
    <w:bookmarkEnd w:id="12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PMV Pharmaceuticals, Inc. (the Company) as of December 31, 2020 and 2019, the related statements of operations and comprehensive loss, convertible preferred stock and stockholders’ (deficit)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365,531</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8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00" w:type="dxa"/>
            <w:vAlign w:val="bottom"/>
          </w:tcPr>
          <w:p>
            <w:pPr>
              <w:spacing w:after="0"/>
              <w:rPr>
                <w:sz w:val="19"/>
                <w:szCs w:val="19"/>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 accumulated liquidation value of $0 and $169,385</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December 31, 2020 and 2019, respectively</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$0.00001 par value, 5,000,000 and no shares authorized at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30, 2020 and 2019, respectively, no shares issued or</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2020 and 2019, respectively</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$0.00001 par value, 1,000,000,000 and 33,250,829 shares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44,777,818 and 3,046,200 shares issued and outstanding</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at December 31, 2020 and 2019, 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(109,880)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(75,440)</w:t>
            </w: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0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365,531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16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1"/>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12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73"/>
        </w:trPr>
        <w:tc>
          <w:tcPr>
            <w:tcW w:w="67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gains on marketable securities, net of tax</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100" w:type="dxa"/>
            <w:vAlign w:val="bottom"/>
            <w:tcBorders>
              <w:bottom w:val="single" w:sz="8" w:color="CFF0FC"/>
            </w:tcBorders>
          </w:tcPr>
          <w:p>
            <w:pPr>
              <w:spacing w:after="0"/>
              <w:rPr>
                <w:sz w:val="22"/>
                <w:szCs w:val="22"/>
                <w:color w:val="auto"/>
              </w:rPr>
            </w:pPr>
          </w:p>
        </w:tc>
      </w:tr>
      <w:tr>
        <w:trPr>
          <w:trHeight w:val="21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r>
      <w:tr>
        <w:trPr>
          <w:trHeight w:val="234"/>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14,364,475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3,035,243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3,012,284</w:t>
            </w:r>
          </w:p>
        </w:tc>
        <w:tc>
          <w:tcPr>
            <w:tcW w:w="100" w:type="dxa"/>
            <w:vAlign w:val="bottom"/>
          </w:tcPr>
          <w:p>
            <w:pPr>
              <w:spacing w:after="0"/>
              <w:rPr>
                <w:sz w:val="20"/>
                <w:szCs w:val="20"/>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Statements of Convertible Preferred Stock and Stockholders’ (Deficit) Equity</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ectPr>
          <w:pgSz w:w="11900" w:h="16838" w:orient="portrait"/>
          <w:cols w:equalWidth="0" w:num="1">
            <w:col w:w="11220"/>
          </w:cols>
          <w:pgMar w:left="320" w:top="333" w:right="359" w:bottom="1440" w:gutter="0" w:footer="0" w:header="0"/>
        </w:sect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0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56"/>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Balances at December 31, 2017</w:t>
            </w:r>
          </w:p>
        </w:tc>
        <w:tc>
          <w:tcPr>
            <w:tcW w:w="116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920" w:type="dxa"/>
            <w:vAlign w:val="bottom"/>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17,396,640</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available for sale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2018</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17,396,640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Issuance of Series C convertible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issuance costs of $168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5,469,606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available for sale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2019</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22,866,246</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Issuance of Series D convertible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issuance costs of $208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5,321,864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preferred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stock to</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(28,188,110)</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(238,723)</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$20,359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available for sale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3"/>
        </w:trPr>
        <w:tc>
          <w:tcPr>
            <w:tcW w:w="146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2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20" w:type="dxa"/>
            <w:vAlign w:val="bottom"/>
          </w:tcPr>
          <w:p>
            <w:pPr>
              <w:spacing w:after="0"/>
              <w:rPr>
                <w:sz w:val="13"/>
                <w:szCs w:val="13"/>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(32,550)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0" w:type="dxa"/>
            <w:vAlign w:val="bottom"/>
          </w:tcPr>
          <w:p>
            <w:pPr>
              <w:spacing w:after="0"/>
              <w:rPr>
                <w:sz w:val="1"/>
                <w:szCs w:val="1"/>
                <w:color w:val="auto"/>
              </w:rPr>
            </w:pPr>
          </w:p>
        </w:tc>
      </w:tr>
      <w:tr>
        <w:trPr>
          <w:trHeight w:val="218"/>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3,012,284</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(17,538)</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0" w:type="dxa"/>
            <w:vAlign w:val="bottom"/>
          </w:tcPr>
          <w:p>
            <w:pPr>
              <w:spacing w:after="0"/>
              <w:rPr>
                <w:sz w:val="1"/>
                <w:szCs w:val="1"/>
                <w:color w:val="auto"/>
              </w:rPr>
            </w:pPr>
          </w:p>
        </w:tc>
      </w:tr>
      <w:tr>
        <w:trPr>
          <w:trHeight w:val="445"/>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3,012,284</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0"/>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(25,352)</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0" w:type="dxa"/>
            <w:vAlign w:val="bottom"/>
          </w:tcPr>
          <w:p>
            <w:pPr>
              <w:spacing w:after="0"/>
              <w:rPr>
                <w:sz w:val="1"/>
                <w:szCs w:val="1"/>
                <w:color w:val="auto"/>
              </w:rPr>
            </w:pPr>
          </w:p>
        </w:tc>
      </w:tr>
      <w:tr>
        <w:trPr>
          <w:trHeight w:val="446"/>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3,046,200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28,188,110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238,723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13,529,750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223,176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(34,440)</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0" w:type="dxa"/>
            <w:vAlign w:val="bottom"/>
          </w:tcPr>
          <w:p>
            <w:pPr>
              <w:spacing w:after="0"/>
              <w:rPr>
                <w:sz w:val="1"/>
                <w:szCs w:val="1"/>
                <w:color w:val="auto"/>
              </w:rPr>
            </w:pPr>
          </w:p>
        </w:tc>
      </w:tr>
      <w:tr>
        <w:trPr>
          <w:trHeight w:val="445"/>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44,777,818</w:t>
            </w:r>
          </w:p>
        </w:tc>
        <w:tc>
          <w:tcPr>
            <w:tcW w:w="200" w:type="dxa"/>
            <w:vAlign w:val="bottom"/>
          </w:tcPr>
          <w:p>
            <w:pPr>
              <w:spacing w:after="0"/>
              <w:rPr>
                <w:sz w:val="20"/>
                <w:szCs w:val="20"/>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469,001</w:t>
            </w:r>
          </w:p>
        </w:tc>
        <w:tc>
          <w:tcPr>
            <w:tcW w:w="2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(109,880)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-5039995</wp:posOffset>
            </wp:positionV>
            <wp:extent cx="7132320" cy="5040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240"/>
            <w:col w:w="6060"/>
          </w:cols>
          <w:pgMar w:left="320" w:top="333" w:right="359" w:bottom="1440" w:gutter="0" w:footer="0" w:header="0"/>
          <w:type w:val="continuous"/>
        </w:sectPr>
      </w:pP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6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13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7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r>
      <w:tr>
        <w:trPr>
          <w:trHeight w:val="173"/>
        </w:trPr>
        <w:tc>
          <w:tcPr>
            <w:tcW w:w="66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(17,538)</w:t>
            </w:r>
          </w:p>
        </w:tc>
      </w:tr>
      <w:tr>
        <w:trPr>
          <w:trHeight w:val="21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premiums on marketable securities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(2,732)</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(43,452)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(48,678)</w:t>
            </w: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convertible preferred stock, net of</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shares, net of issuance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223,176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292,972</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288,144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23,792</w:t>
            </w:r>
          </w:p>
        </w:tc>
        <w:tc>
          <w:tcPr>
            <w:tcW w:w="12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30,307</w:t>
            </w:r>
          </w:p>
        </w:tc>
        <w:tc>
          <w:tcPr>
            <w:tcW w:w="120" w:type="dxa"/>
            <w:vAlign w:val="bottom"/>
            <w:tcBorders>
              <w:bottom w:val="single" w:sz="8" w:color="CFF0FC"/>
            </w:tcBorders>
          </w:tcPr>
          <w:p>
            <w:pPr>
              <w:spacing w:after="0"/>
              <w:rPr>
                <w:sz w:val="22"/>
                <w:szCs w:val="2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financing activities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warrant liability to common stock</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194" w:lineRule="exact"/>
        <w:rPr>
          <w:sz w:val="20"/>
          <w:szCs w:val="20"/>
          <w:color w:val="auto"/>
        </w:rPr>
      </w:pPr>
    </w:p>
    <w:p>
      <w:pPr>
        <w:ind w:left="500" w:right="7940" w:hanging="492"/>
        <w:spacing w:after="0" w:line="378" w:lineRule="auto"/>
        <w:tabs>
          <w:tab w:leader="none" w:pos="231"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Formation and Business of the Company Organization</w:t>
      </w: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80"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9"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On September 25, 2020, the Company completed an initial public offering (the “IPO”) of 13,529,750 shares of common stock, at a public offering price of $18.00 per share including the exercise in full by the underwriters of their option to purchase up to 1,764,750 additional shares of commons stock, for aggregate gross proceeds of $243,536 and its shares started trading on The Nasdaq Global Select Market under the ticker symbol “PMVP.” The Company received $223,176 in net proceeds after deducting underwriting discounts and commissions and other offering expenses payable by the Company. In connection with the closing of the IPO, all of the Company’s outstanding shares of convertible preferred stock outstanding at the time of the IPO automatically converted into 28,188,110 shares of common stock. On September 18, 2020, the Company amended its certificate of incorporation to effect a 5.2651-for-1 reverse stock split of its issued and outstanding common and convertible preferred stock. The accompanying financial statements and related notes give retroactive effect to the reverse stock split for all periods presented.</w:t>
      </w:r>
    </w:p>
    <w:p>
      <w:pPr>
        <w:spacing w:after="0" w:line="192"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During the year ended December 31, 2020, the Company incurred a net loss of $34,440 and used $32,739 of cash for operations. At December 31, 2020, the Company had accumulated deficit of $109,880. Cash and cash equivalents at December 31, 2020 were $361,422.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80" w:firstLine="494"/>
        <w:spacing w:after="0" w:line="289" w:lineRule="auto"/>
        <w:rPr>
          <w:sz w:val="20"/>
          <w:szCs w:val="20"/>
          <w:color w:val="auto"/>
        </w:rPr>
      </w:pPr>
      <w:r>
        <w:rPr>
          <w:rFonts w:ascii="Times New Roman" w:cs="Times New Roman" w:eastAsia="Times New Roman" w:hAnsi="Times New Roman"/>
          <w:sz w:val="17"/>
          <w:szCs w:val="17"/>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3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2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40" w:firstLine="568"/>
        <w:spacing w:after="0" w:line="258" w:lineRule="auto"/>
        <w:rPr>
          <w:sz w:val="20"/>
          <w:szCs w:val="20"/>
          <w:color w:val="auto"/>
        </w:rPr>
      </w:pPr>
      <w:r>
        <w:rPr>
          <w:rFonts w:ascii="Times New Roman" w:cs="Times New Roman" w:eastAsia="Times New Roman" w:hAnsi="Times New Roman"/>
          <w:sz w:val="18"/>
          <w:szCs w:val="18"/>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 which was effected on September 24, 2020. The par value of the common stock and convertible preferred stock were not adjusted as a result of the reverse stock split. Accordingly, all common stock, convertible preferred stock, stock options, and related per share amounts in these financial statements have been retroactively adjusted for all periods presented to give effect to the reverse stock split.</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860" w:right="460" w:hanging="366"/>
        <w:spacing w:after="0" w:line="282" w:lineRule="auto"/>
        <w:tabs>
          <w:tab w:leader="none" w:pos="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3" w:lineRule="exact"/>
        <w:rPr>
          <w:rFonts w:ascii="Times New Roman" w:cs="Times New Roman" w:eastAsia="Times New Roman" w:hAnsi="Times New Roman"/>
          <w:sz w:val="18"/>
          <w:szCs w:val="18"/>
          <w:color w:val="auto"/>
        </w:rPr>
      </w:pPr>
    </w:p>
    <w:p>
      <w:pPr>
        <w:ind w:left="860" w:right="480" w:hanging="366"/>
        <w:spacing w:after="0" w:line="282" w:lineRule="auto"/>
        <w:tabs>
          <w:tab w:leader="none" w:pos="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162" w:lineRule="exact"/>
        <w:rPr>
          <w:sz w:val="20"/>
          <w:szCs w:val="20"/>
          <w:color w:val="auto"/>
        </w:rPr>
      </w:pPr>
    </w:p>
    <w:p>
      <w:pPr>
        <w:ind w:right="400" w:firstLine="494"/>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225"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at December 31, 2019. The Company had no marketable debt securities at December 31, 2020.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which is recorded in Interest income, net. For the years ending December 31, 2020, 2019, and 2018, the Company recorded $152, $62, and $319 of amortization, respectively.</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2" w:lineRule="exact"/>
        <w:rPr>
          <w:sz w:val="20"/>
          <w:szCs w:val="20"/>
          <w:color w:val="auto"/>
        </w:rPr>
      </w:pPr>
    </w:p>
    <w:p>
      <w:pPr>
        <w:ind w:right="20" w:firstLine="494"/>
        <w:spacing w:after="0" w:line="232"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remaining term of the lease.</w:t>
      </w:r>
    </w:p>
    <w:p>
      <w:pPr>
        <w:spacing w:after="0" w:line="199" w:lineRule="exact"/>
        <w:rPr>
          <w:sz w:val="20"/>
          <w:szCs w:val="20"/>
          <w:color w:val="auto"/>
        </w:rPr>
      </w:pPr>
    </w:p>
    <w:p>
      <w:pPr>
        <w:ind w:right="100" w:firstLine="494"/>
        <w:spacing w:after="0" w:line="282" w:lineRule="auto"/>
        <w:rPr>
          <w:sz w:val="20"/>
          <w:szCs w:val="20"/>
          <w:color w:val="auto"/>
        </w:rPr>
      </w:pPr>
      <w:r>
        <w:rPr>
          <w:rFonts w:ascii="Times New Roman" w:cs="Times New Roman" w:eastAsia="Times New Roman" w:hAnsi="Times New Roman"/>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Long-lived assets, which are comprised of property and equipment to be held and used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Income/Loss</w:t>
      </w:r>
    </w:p>
    <w:p>
      <w:pPr>
        <w:spacing w:after="0" w:line="121"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The Company recorded $3, $10, and $52 in other comprehensive income related to unrealized gains on marketable securities, net of tax for the years ended December 31, 2020, 2019, and 2018, respectively. The Company presents comprehensive income in a single statement within its financial statements.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40" w:firstLine="49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Costs for certain research and development activities are recognized based on the terms of the individual arrangements, which may differ from the pattern of costs incurred, and are reflected in the financial statements as a prepaid expenses or as accrued research and development expenses. All costs associated with research and development are expensed as incurred.</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The Company’s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convertible preferred stock to its redemption value until it is probable that the security will become redeemable. The convertible preferred stock converted to common stock in connection with the Company’s Initial Public Offering (“IPO”) on September 25, 2020.</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1"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The Company may issue certain financial instruments with embedded features which may be accounted for as separate derivative assets or liabilities, dependent on their specific contractual terms or other conditions. These derivative assets or liabilities are required to be measured at fair value at issuance and remeasured at the end of each reporting period. To determine the fair value of these instruments the Company uses a discounted cash flow analysis, as these instruments are not quoted on an active market. Increases or decreases in fair value from initial measurement and each reporting period are recorded in the statement of operations and comprehensive loss as change in fair value of derivative liabilities.</w:t>
      </w:r>
    </w:p>
    <w:p>
      <w:pPr>
        <w:spacing w:after="0" w:line="263"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-38735</wp:posOffset>
            </wp:positionV>
            <wp:extent cx="38735"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26"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program allows for grants of stock options and restricted stock awards. Grants are awarded to employees and non-employees, including directors.</w:t>
      </w:r>
    </w:p>
    <w:p>
      <w:pPr>
        <w:spacing w:after="0" w:line="160"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employee compensation arrangements in accordance with provisions of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awards and stock options.</w:t>
      </w:r>
    </w:p>
    <w:p>
      <w:pPr>
        <w:spacing w:after="0" w:line="185" w:lineRule="exact"/>
        <w:rPr>
          <w:sz w:val="20"/>
          <w:szCs w:val="20"/>
          <w:color w:val="auto"/>
        </w:rPr>
      </w:pPr>
    </w:p>
    <w:p>
      <w:pPr>
        <w:ind w:right="180" w:firstLine="494"/>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3" w:name="page134"/>
    <w:bookmarkEnd w:id="13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performance-based vesting conditions is recognized based on grant date fair value over the requisite service period using the accelerated attribution method to the extent achievement of the of performance condition is probable.</w:t>
      </w:r>
    </w:p>
    <w:p>
      <w:pPr>
        <w:spacing w:after="0" w:line="162"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88"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Prior to the Company’s IPO, 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considered the estimated fair value of the common stock as of the measurement date. Prior to the Initial Public Offering, the estimated fair value of the common stock was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segment.</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 xml:space="preserve">Basic net loss per share is computed using the “two-class” method which includes the weighted average number of shares of common stock outstanding during the period and other securities that participate in dividends (a participating security). The Company’s convertible preferred stock are participating securities as defined by ASC 260-10,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 dilutive effects of a warrant,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convertible preferred stock and stock options outstanding during the period calculated in accordance with the treasury stock method, or the two-class method, whichever is more dilutive. The Company allocates net earnings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2020 and 2019, the Company has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87"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requiring lessees to recognize operating and financing lease liabilities on the balance sheet, as well as corresponding right-of-use assets. The new lease standard also makes some changes to lessor accounting and aligns key aspects of the lessor accounting model with the revenue recognition standard. In addition, disclosures will be required to enable users of financial statements to assess the amount, timing, and uncertainty of cash flows arising from leases. In June 2020, the FASB also issued ASU 2020-05,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and Leases (Topic 842): Effective Dates for Certain Entities, </w:t>
      </w:r>
      <w:r>
        <w:rPr>
          <w:rFonts w:ascii="Times New Roman" w:cs="Times New Roman" w:eastAsia="Times New Roman" w:hAnsi="Times New Roman"/>
          <w:sz w:val="18"/>
          <w:szCs w:val="18"/>
          <w:color w:val="auto"/>
        </w:rPr>
        <w:t>which requires nonpublic entities to adopt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ASU 2016-02 for fiscal years beginning after December 15, 2021, and for interim periods within fiscal years beginning after December 15, 2022.</w:t>
      </w:r>
    </w:p>
    <w:p>
      <w:pPr>
        <w:spacing w:after="0" w:line="185"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Upon its IPO, the Company qualified as an emerging growth company (“EGC”). Qualifying as an EGC allows the Company to employ extended transition provisions by using nonpublic business entity adoption dates for new or revised accounting standards, so long as the issuer maintains its status as an EGC. The Company expects to adopt this standard for the annual period ending December 31, 2021, with the provisions of the new standard reflected in quarterly periods of that annual period. The Company is currently evaluating the impact of this accounting standard update on its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239" w:lineRule="exact"/>
        <w:rPr>
          <w:sz w:val="20"/>
          <w:szCs w:val="20"/>
          <w:color w:val="auto"/>
        </w:rPr>
      </w:pPr>
    </w:p>
    <w:p>
      <w:pPr>
        <w:ind w:right="260" w:firstLine="494"/>
        <w:spacing w:after="0" w:line="257"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currently only includes share-based payments to employees) to include share-based payments issued to nonemployees for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adopted this guidance, using the modified retrospective method, on January 1, 2020, and the adoption did not have a material impact on its financial statements.</w:t>
      </w:r>
    </w:p>
    <w:p>
      <w:pPr>
        <w:spacing w:after="0" w:line="182"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This standard modifies disclosure requirements related to fair value measurement and is effective for all entities for fiscal years beginning after December 15, 2019. Early adoption is permitted. Implementation on a prospective or retrospective basis varies by specific disclosure requirement. The standard also allows for early adoption of any removed or modified disclosures upon issuance while delaying adoption of the additional disclosures until their effective date. The Company adopted this guidance, using the retrospective method, on January 1, 2020, and the adoption did not have a material impact on its financial statements.</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and marketable securities. Cash and cash equivalents are held in accounts at two financial institutions.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80"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strategic relationships and dependence on key individuals.</w:t>
      </w:r>
    </w:p>
    <w:p>
      <w:pPr>
        <w:spacing w:after="0" w:line="18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it was unable to maintain clearance, it could have a materially adverse impact on the Company.</w:t>
      </w:r>
    </w:p>
    <w:p>
      <w:pPr>
        <w:spacing w:after="0" w:line="176"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Financial Instruments and Fair Value Measurements</w:t>
      </w:r>
    </w:p>
    <w:p>
      <w:pPr>
        <w:spacing w:after="0" w:line="121" w:lineRule="exact"/>
        <w:rPr>
          <w:sz w:val="20"/>
          <w:szCs w:val="20"/>
          <w:color w:val="auto"/>
        </w:rPr>
      </w:pPr>
    </w:p>
    <w:p>
      <w:pPr>
        <w:ind w:right="160" w:firstLine="494"/>
        <w:spacing w:after="0" w:line="312" w:lineRule="auto"/>
        <w:rPr>
          <w:sz w:val="20"/>
          <w:szCs w:val="20"/>
          <w:color w:val="auto"/>
        </w:rPr>
      </w:pPr>
      <w:r>
        <w:rPr>
          <w:rFonts w:ascii="Times New Roman" w:cs="Times New Roman" w:eastAsia="Times New Roman" w:hAnsi="Times New Roman"/>
          <w:sz w:val="17"/>
          <w:szCs w:val="17"/>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2020 and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1018"/>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priced</w:t>
            </w:r>
          </w:p>
        </w:tc>
        <w:tc>
          <w:tcPr>
            <w:tcW w:w="100" w:type="dxa"/>
            <w:vAlign w:val="bottom"/>
          </w:tcPr>
          <w:p>
            <w:pPr>
              <w:spacing w:after="0"/>
              <w:rPr>
                <w:sz w:val="11"/>
                <w:szCs w:val="11"/>
                <w:color w:val="auto"/>
              </w:rPr>
            </w:pPr>
          </w:p>
        </w:tc>
        <w:tc>
          <w:tcPr>
            <w:tcW w:w="1200" w:type="dxa"/>
            <w:vAlign w:val="bottom"/>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00" w:type="dxa"/>
            <w:vAlign w:val="bottom"/>
          </w:tcPr>
          <w:p>
            <w:pPr>
              <w:spacing w:after="0"/>
              <w:rPr>
                <w:sz w:val="12"/>
                <w:szCs w:val="12"/>
                <w:color w:val="auto"/>
              </w:rPr>
            </w:pPr>
          </w:p>
        </w:tc>
        <w:tc>
          <w:tcPr>
            <w:tcW w:w="12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2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22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2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240,033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240,033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360,041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360,041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240,033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018"/>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priced</w:t>
            </w:r>
          </w:p>
        </w:tc>
        <w:tc>
          <w:tcPr>
            <w:tcW w:w="100" w:type="dxa"/>
            <w:vAlign w:val="bottom"/>
          </w:tcPr>
          <w:p>
            <w:pPr>
              <w:spacing w:after="0"/>
              <w:rPr>
                <w:sz w:val="11"/>
                <w:szCs w:val="11"/>
                <w:color w:val="auto"/>
              </w:rPr>
            </w:pPr>
          </w:p>
        </w:tc>
        <w:tc>
          <w:tcPr>
            <w:tcW w:w="1200" w:type="dxa"/>
            <w:vAlign w:val="bottom"/>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00" w:type="dxa"/>
            <w:vAlign w:val="bottom"/>
          </w:tcPr>
          <w:p>
            <w:pPr>
              <w:spacing w:after="0"/>
              <w:rPr>
                <w:sz w:val="12"/>
                <w:szCs w:val="12"/>
                <w:color w:val="auto"/>
              </w:rPr>
            </w:pPr>
          </w:p>
        </w:tc>
        <w:tc>
          <w:tcPr>
            <w:tcW w:w="12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2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22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2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FF0F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99,499</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99,496</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97,816</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 w:type="dxa"/>
            <w:vAlign w:val="bottom"/>
            <w:tcBorders>
              <w:bottom w:val="single" w:sz="8" w:color="auto"/>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Liabilities</w:t>
            </w:r>
          </w:p>
        </w:tc>
        <w:tc>
          <w:tcPr>
            <w:tcW w:w="20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0" w:firstLine="49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equivalents of $360.0 million as of December 31, 2020 consisted of money market funds of $240.0 million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of $120.0 million. Cash equivalents of $71.3 million as of December 31, 2019 consisted of money market funds of $1.7 million and corporate debt securities of $69.6 million. Money market funds are classified within level 1 of the fair value hierarchy because they are valued using quoted market prices in active markets, whereas corporate securities are classified within level 2 of the fair value hierarchy because they are valued using inputs other than quoted prices that are observable for the asset or liability either directly or indirectly.</w:t>
      </w:r>
    </w:p>
    <w:p>
      <w:pPr>
        <w:spacing w:after="0" w:line="179" w:lineRule="exact"/>
        <w:rPr>
          <w:sz w:val="20"/>
          <w:szCs w:val="20"/>
          <w:color w:val="auto"/>
        </w:rPr>
      </w:pPr>
    </w:p>
    <w:p>
      <w:pPr>
        <w:ind w:right="20" w:firstLine="49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Marketable securities of $28.2 million as of December 31, 2019 consisted of corporate debt securities classified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2 of the fair value hierarchy because they are valued using inputs other than quoted prices that are observable for the asset or liability either directly or indirectly. There were no marketable securities as of December 31, 2020.</w:t>
      </w:r>
    </w:p>
    <w:p>
      <w:pPr>
        <w:spacing w:after="0" w:line="171" w:lineRule="exact"/>
        <w:rPr>
          <w:sz w:val="20"/>
          <w:szCs w:val="20"/>
          <w:color w:val="auto"/>
        </w:rPr>
      </w:pPr>
    </w:p>
    <w:p>
      <w:pPr>
        <w:ind w:right="180" w:firstLine="49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 Liability – </w:t>
      </w:r>
      <w:r>
        <w:rPr>
          <w:rFonts w:ascii="Times New Roman" w:cs="Times New Roman" w:eastAsia="Times New Roman" w:hAnsi="Times New Roman"/>
          <w:sz w:val="18"/>
          <w:szCs w:val="18"/>
          <w:color w:val="auto"/>
        </w:rPr>
        <w:t>The fair value of the warrants to purchase common stock is based on significant inputs not observable in the market,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 level 3 measurement within the fair value hierarchy. The warrants to purchase common stock were exercised on September 24, 2020 and the fair value of the liability was reclassified to additional paid-in capital. Warrant liability consisted of the following: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7980" w:type="dxa"/>
            <w:vAlign w:val="bottom"/>
          </w:tcPr>
          <w:p>
            <w:pPr>
              <w:jc w:val="center"/>
              <w:ind w:left="3168"/>
              <w:spacing w:after="0"/>
              <w:rPr>
                <w:sz w:val="20"/>
                <w:szCs w:val="20"/>
                <w:color w:val="auto"/>
              </w:rPr>
            </w:pPr>
            <w:r>
              <w:rPr>
                <w:rFonts w:ascii="Times New Roman" w:cs="Times New Roman" w:eastAsia="Times New Roman" w:hAnsi="Times New Roman"/>
                <w:sz w:val="20"/>
                <w:szCs w:val="20"/>
                <w:b w:val="1"/>
                <w:bCs w:val="1"/>
                <w:color w:val="auto"/>
                <w:w w:val="98"/>
              </w:rPr>
              <w:t>PMV Pharmaceuticals, Inc.</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jc w:val="center"/>
              <w:ind w:left="3168"/>
              <w:spacing w:after="0"/>
              <w:rPr>
                <w:sz w:val="20"/>
                <w:szCs w:val="20"/>
                <w:color w:val="auto"/>
              </w:rPr>
            </w:pPr>
            <w:r>
              <w:rPr>
                <w:rFonts w:ascii="Times New Roman" w:cs="Times New Roman" w:eastAsia="Times New Roman" w:hAnsi="Times New Roman"/>
                <w:sz w:val="20"/>
                <w:szCs w:val="20"/>
                <w:b w:val="1"/>
                <w:bCs w:val="1"/>
                <w:color w:val="auto"/>
                <w:w w:val="99"/>
              </w:rPr>
              <w:t>Notes to Financial Statements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jc w:val="center"/>
              <w:ind w:left="3188"/>
              <w:spacing w:after="0"/>
              <w:rPr>
                <w:sz w:val="20"/>
                <w:szCs w:val="20"/>
                <w:color w:val="auto"/>
              </w:rPr>
            </w:pPr>
            <w:r>
              <w:rPr>
                <w:rFonts w:ascii="Times New Roman" w:cs="Times New Roman" w:eastAsia="Times New Roman" w:hAnsi="Times New Roman"/>
                <w:sz w:val="20"/>
                <w:szCs w:val="20"/>
                <w:b w:val="1"/>
                <w:bCs w:val="1"/>
                <w:color w:val="auto"/>
                <w:w w:val="99"/>
              </w:rPr>
              <w:t>December 31, 2020 and 2019</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980" w:type="dxa"/>
            <w:vAlign w:val="bottom"/>
          </w:tcPr>
          <w:p>
            <w:pPr>
              <w:jc w:val="center"/>
              <w:ind w:left="3168"/>
              <w:spacing w:after="0"/>
              <w:rPr>
                <w:sz w:val="20"/>
                <w:szCs w:val="20"/>
                <w:color w:val="auto"/>
              </w:rPr>
            </w:pPr>
            <w:r>
              <w:rPr>
                <w:rFonts w:ascii="Times New Roman" w:cs="Times New Roman" w:eastAsia="Times New Roman" w:hAnsi="Times New Roman"/>
                <w:sz w:val="20"/>
                <w:szCs w:val="20"/>
                <w:b w:val="1"/>
                <w:bCs w:val="1"/>
                <w:color w:val="auto"/>
                <w:w w:val="98"/>
              </w:rPr>
              <w:t>(in thousands except share and per share amounts)</w:t>
            </w: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8"/>
        </w:trPr>
        <w:tc>
          <w:tcPr>
            <w:tcW w:w="7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9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to additional paid-in capital upon exercise</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9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9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 placed in service</w:t>
            </w: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2020, 2019, and 2018 was $318, $388, and $338,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consists of the following:</w:t>
            </w: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6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2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Commitments and Contingencies</w:t>
      </w:r>
    </w:p>
    <w:p>
      <w:pPr>
        <w:spacing w:after="0" w:line="121" w:lineRule="exact"/>
        <w:rPr>
          <w:sz w:val="20"/>
          <w:szCs w:val="20"/>
          <w:color w:val="auto"/>
        </w:rPr>
      </w:pPr>
    </w:p>
    <w:p>
      <w:pPr>
        <w:ind w:right="620" w:firstLine="494"/>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space in Cranbury, New Jersey; South Brunswick, New Jersey; and Lexington, Massachusetts. At December 31, 2020, the minimum lease payments under these leases are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7080" w:type="dxa"/>
            <w:vAlign w:val="bottom"/>
            <w:gridSpan w:val="2"/>
          </w:tcPr>
          <w:p>
            <w:pPr>
              <w:jc w:val="center"/>
              <w:ind w:right="1956"/>
              <w:spacing w:after="0"/>
              <w:rPr>
                <w:sz w:val="20"/>
                <w:szCs w:val="20"/>
                <w:color w:val="auto"/>
              </w:rPr>
            </w:pPr>
            <w:r>
              <w:rPr>
                <w:rFonts w:ascii="Times New Roman" w:cs="Times New Roman" w:eastAsia="Times New Roman" w:hAnsi="Times New Roman"/>
                <w:sz w:val="20"/>
                <w:szCs w:val="20"/>
                <w:b w:val="1"/>
                <w:bCs w:val="1"/>
                <w:color w:val="auto"/>
                <w:w w:val="98"/>
              </w:rPr>
              <w:t>PMV Pharmaceuticals, Inc.</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100" w:type="dxa"/>
            <w:vAlign w:val="bottom"/>
          </w:tcPr>
          <w:p>
            <w:pPr>
              <w:spacing w:after="0"/>
              <w:rPr>
                <w:sz w:val="19"/>
                <w:szCs w:val="19"/>
                <w:color w:val="auto"/>
              </w:rPr>
            </w:pPr>
          </w:p>
        </w:tc>
        <w:tc>
          <w:tcPr>
            <w:tcW w:w="7080" w:type="dxa"/>
            <w:vAlign w:val="bottom"/>
            <w:gridSpan w:val="2"/>
          </w:tcPr>
          <w:p>
            <w:pPr>
              <w:jc w:val="center"/>
              <w:ind w:right="1956"/>
              <w:spacing w:after="0"/>
              <w:rPr>
                <w:sz w:val="20"/>
                <w:szCs w:val="20"/>
                <w:color w:val="auto"/>
              </w:rPr>
            </w:pPr>
            <w:r>
              <w:rPr>
                <w:rFonts w:ascii="Times New Roman" w:cs="Times New Roman" w:eastAsia="Times New Roman" w:hAnsi="Times New Roman"/>
                <w:sz w:val="20"/>
                <w:szCs w:val="20"/>
                <w:b w:val="1"/>
                <w:bCs w:val="1"/>
                <w:color w:val="auto"/>
                <w:w w:val="99"/>
              </w:rPr>
              <w:t>Notes to Financial Statements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100" w:type="dxa"/>
            <w:vAlign w:val="bottom"/>
          </w:tcPr>
          <w:p>
            <w:pPr>
              <w:spacing w:after="0"/>
              <w:rPr>
                <w:sz w:val="19"/>
                <w:szCs w:val="19"/>
                <w:color w:val="auto"/>
              </w:rPr>
            </w:pPr>
          </w:p>
        </w:tc>
        <w:tc>
          <w:tcPr>
            <w:tcW w:w="7080" w:type="dxa"/>
            <w:vAlign w:val="bottom"/>
            <w:gridSpan w:val="2"/>
          </w:tcPr>
          <w:p>
            <w:pPr>
              <w:jc w:val="center"/>
              <w:ind w:right="1936"/>
              <w:spacing w:after="0"/>
              <w:rPr>
                <w:sz w:val="20"/>
                <w:szCs w:val="20"/>
                <w:color w:val="auto"/>
              </w:rPr>
            </w:pPr>
            <w:r>
              <w:rPr>
                <w:rFonts w:ascii="Times New Roman" w:cs="Times New Roman" w:eastAsia="Times New Roman" w:hAnsi="Times New Roman"/>
                <w:sz w:val="20"/>
                <w:szCs w:val="20"/>
                <w:b w:val="1"/>
                <w:bCs w:val="1"/>
                <w:color w:val="auto"/>
                <w:w w:val="99"/>
              </w:rPr>
              <w:t>December 31, 2020 and 2019</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2"/>
        </w:trPr>
        <w:tc>
          <w:tcPr>
            <w:tcW w:w="3100" w:type="dxa"/>
            <w:vAlign w:val="bottom"/>
          </w:tcPr>
          <w:p>
            <w:pPr>
              <w:spacing w:after="0"/>
              <w:rPr>
                <w:sz w:val="22"/>
                <w:szCs w:val="22"/>
                <w:color w:val="auto"/>
              </w:rPr>
            </w:pPr>
          </w:p>
        </w:tc>
        <w:tc>
          <w:tcPr>
            <w:tcW w:w="7080" w:type="dxa"/>
            <w:vAlign w:val="bottom"/>
            <w:gridSpan w:val="2"/>
          </w:tcPr>
          <w:p>
            <w:pPr>
              <w:jc w:val="center"/>
              <w:ind w:right="1956"/>
              <w:spacing w:after="0"/>
              <w:rPr>
                <w:sz w:val="20"/>
                <w:szCs w:val="20"/>
                <w:color w:val="auto"/>
              </w:rPr>
            </w:pPr>
            <w:r>
              <w:rPr>
                <w:rFonts w:ascii="Times New Roman" w:cs="Times New Roman" w:eastAsia="Times New Roman" w:hAnsi="Times New Roman"/>
                <w:sz w:val="20"/>
                <w:szCs w:val="20"/>
                <w:b w:val="1"/>
                <w:bCs w:val="1"/>
                <w:color w:val="auto"/>
                <w:w w:val="98"/>
              </w:rPr>
              <w:t>(in thousands except share and per share amounts)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80"/>
        </w:trPr>
        <w:tc>
          <w:tcPr>
            <w:tcW w:w="31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708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19"/>
                <w:szCs w:val="19"/>
                <w:color w:val="auto"/>
              </w:rPr>
            </w:pPr>
          </w:p>
        </w:tc>
      </w:tr>
      <w:tr>
        <w:trPr>
          <w:trHeight w:val="22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r>
      <w:tr>
        <w:trPr>
          <w:trHeight w:val="229"/>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3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Rent expense recorded during the years ended December 31, 2020, 2019, and 2018 was $561, $580, and $479, respectively.</w:t>
      </w:r>
    </w:p>
    <w:p>
      <w:pPr>
        <w:spacing w:after="0" w:line="225"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has a five-year extension option, and is intended to replace our two existing facilities. Payments under this lease will total $19.6 million through May 2032.</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 December 31, 2020, there were no purchase commitments with third-party suppliers.</w:t>
      </w:r>
    </w:p>
    <w:p>
      <w:pPr>
        <w:spacing w:after="0" w:line="3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40" w:firstLine="56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Convertible Preferred Stock</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As of December 31, 2019, the Company’s Certificate of Incorporation, as amended and restated, authorized the Company to issue up to 22,883,426 shares of convertible preferred stock with a par value of $0.00001 per share. 1,657,903 shares were designated as Series Seed convertible preferred stock (Series Seed Preferred), 8,076,985 shares were designated as Series A convertible preferred stock (Series A Preferred), 7,672,560 shares were designated as Series B convertible preferred stock (Series B Preferred) and 5,475,978 shares were designated as Series C convertible preferred stock (Series C Preferred). At December 31, 2019, the Company had an aggregate of 22,866,246 shares of Series Seed Preferred, Series A Preferred, Series B Preferred and Series C Preferred (collectively, “Preferred Stock”) issued and outstanding. All share amounts presented are reverse-split adjusted.</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December 31, 2019, the Preferred Stock consisted of the following (in thousands except for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 issued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 issuable</w:t>
            </w:r>
          </w:p>
        </w:tc>
        <w:tc>
          <w:tcPr>
            <w:tcW w:w="2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upon</w:t>
            </w:r>
          </w:p>
        </w:tc>
        <w:tc>
          <w:tcPr>
            <w:tcW w:w="2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0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preference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conversion</w:t>
            </w:r>
          </w:p>
        </w:tc>
        <w:tc>
          <w:tcPr>
            <w:tcW w:w="20" w:type="dxa"/>
            <w:vAlign w:val="bottom"/>
          </w:tcPr>
          <w:p>
            <w:pPr>
              <w:spacing w:after="0"/>
              <w:rPr>
                <w:sz w:val="20"/>
                <w:szCs w:val="20"/>
                <w:color w:val="auto"/>
              </w:rPr>
            </w:pPr>
          </w:p>
        </w:tc>
      </w:tr>
      <w:tr>
        <w:trPr>
          <w:trHeight w:val="205"/>
        </w:trPr>
        <w:tc>
          <w:tcPr>
            <w:tcW w:w="21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Series Seed</w:t>
            </w:r>
          </w:p>
        </w:tc>
        <w:tc>
          <w:tcPr>
            <w:tcW w:w="1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1,657,903</w:t>
            </w:r>
          </w:p>
        </w:tc>
        <w:tc>
          <w:tcPr>
            <w:tcW w:w="3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1,647,102</w:t>
            </w: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1,647,102</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8,076,985</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8,076,982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30,734</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8,076,982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7,672,560</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7,672,556</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7,672,556</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Series C Preferred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5,475,978</w:t>
            </w:r>
          </w:p>
        </w:tc>
        <w:tc>
          <w:tcPr>
            <w:tcW w:w="3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5,469,606</w:t>
            </w: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61,705</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61,873</w:t>
            </w:r>
          </w:p>
        </w:tc>
        <w:tc>
          <w:tcPr>
            <w:tcW w:w="3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5,469,606</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22,883,426</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22,866,246</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168,933</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169,385</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22,866,246</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66" w:lineRule="exact"/>
        <w:rPr>
          <w:sz w:val="20"/>
          <w:szCs w:val="20"/>
          <w:color w:val="auto"/>
        </w:rPr>
      </w:pPr>
    </w:p>
    <w:p>
      <w:pPr>
        <w:ind w:right="440" w:firstLine="535"/>
        <w:spacing w:after="0" w:line="266" w:lineRule="auto"/>
        <w:rPr>
          <w:sz w:val="20"/>
          <w:szCs w:val="20"/>
          <w:color w:val="auto"/>
        </w:rPr>
      </w:pPr>
      <w:r>
        <w:rPr>
          <w:rFonts w:ascii="Times New Roman" w:cs="Times New Roman" w:eastAsia="Times New Roman" w:hAnsi="Times New Roman"/>
          <w:sz w:val="18"/>
          <w:szCs w:val="18"/>
          <w:color w:val="auto"/>
        </w:rPr>
        <w:t>In July 2020, the Company issued 5,321,864 shares of Series D Preferred Stock at a price of $13.1533 per share, resulting in gross proceeds of $70,000. In connection with the IPO on September 25, 2020, all of the Company’s convertible preferred stock, including Series D Preferred Stock, outstanding at the time of the IPO automatically converted into an aggregate of 28,188,110 shares of common stock.</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holders of Preferred Stock have the rights, preferences, privileges and restrictions as set forth below:</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00" w:firstLine="569"/>
        <w:spacing w:after="0" w:line="261" w:lineRule="auto"/>
        <w:rPr>
          <w:sz w:val="20"/>
          <w:szCs w:val="20"/>
          <w:color w:val="auto"/>
        </w:rPr>
      </w:pPr>
      <w:r>
        <w:rPr>
          <w:rFonts w:ascii="Times New Roman" w:cs="Times New Roman" w:eastAsia="Times New Roman" w:hAnsi="Times New Roman"/>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December 31, 2019.</w:t>
      </w:r>
    </w:p>
    <w:p>
      <w:pPr>
        <w:spacing w:after="0" w:line="2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The holders of each share of Preferred Stock are entitled to voting rights equal to the number of shares of common stock into which the shares could be converted. As long as any 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$1.8517 for Series Seed Preferred, $3.7266 for Series A Preferred, $9.6093 for Series B Preferred and $11.3121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189"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Each share of Preferred Stock is convertible into shares of common stock, at the option of the holder, at any time after date of issuance. Each share of Preferred Stock automatically converts to the number of shares of common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 (ii) the closing of a public offering, in which the gross cash proceeds are at least $40,000 and the initial offering price to the public is at least $11.3121 per share (as adjusted for any stock splits, stock dividends, combinations, subdivisions, recapitalizations, reorganizations, reclassifications or the like). At December 31, 2019, the conversion price for each share of Series Seed Preferred, Series A Preferred, Series B Preferred and Series C Preferred is $1.8517, $3.7266, $9.6093 and $11.3121, respectively.</w:t>
      </w: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right="580" w:firstLine="569"/>
        <w:spacing w:after="0" w:line="282" w:lineRule="auto"/>
        <w:rPr>
          <w:sz w:val="20"/>
          <w:szCs w:val="20"/>
          <w:color w:val="auto"/>
        </w:rPr>
      </w:pPr>
      <w:r>
        <w:rPr>
          <w:rFonts w:ascii="Times New Roman" w:cs="Times New Roman" w:eastAsia="Times New Roman" w:hAnsi="Times New Roman"/>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Common Stock</w:t>
      </w:r>
    </w:p>
    <w:p>
      <w:pPr>
        <w:spacing w:after="0" w:line="121" w:lineRule="exact"/>
        <w:rPr>
          <w:sz w:val="20"/>
          <w:szCs w:val="20"/>
          <w:color w:val="auto"/>
        </w:rPr>
      </w:pPr>
    </w:p>
    <w:p>
      <w:pPr>
        <w:ind w:right="180" w:firstLine="56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December 31, 2020 and 2019, there were 44,777,818 and 3,046,200 shares of common stock issued and outstanding, respectively.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December 31, 2020, no dividends on common stock had been declared by the Company.</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 December 31, 2020 and 2019, the Company had reserved shares of common stock for issuance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3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22,866,246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and outstanding</w:t>
            </w:r>
          </w:p>
        </w:tc>
        <w:tc>
          <w:tcPr>
            <w:tcW w:w="23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4,090,970</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2,767,868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stock option grants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4,609,725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1,530,523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employee stock purchase plan</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400,752</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9,101,447</w:t>
            </w: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27,175,437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Stock Plan</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120" w:firstLine="569"/>
        <w:spacing w:after="0" w:line="256"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initially reserved for issuance under the 2020 Plan is 4,406,374, which shall be cumulatively increased on January 1, 2021 and each January 1 thereafter by 5% of the number of shares of the Company’s common stock outstanding on the immediately preceding December 31. As of December 31, 2020, there were 4,372,183 shares available for issuance under the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on September 24, 2020. A total of 400,752 shares of common stock were initially reserved for issuance under this plan, which shall be increased on January 1, 2021 to the lesser of (i) 801,504 shares of common stock, (ii) 1% of the outstanding shares of common stock on the last day of the immediately preceding Fiscal Year, or (iii) an amount determined by the Administrator no later than the last day of the immediately preceding Fiscal Year. The 2020 ESPP allows employees to purchase shares of Company common stock at a 15% discount using payroll deductions. Offering periods last six months each, and employees are entitled to purchase shares at the end of the offering period based on the discount as applied to the lower of the price at the beginning of the period or the end of the period. No shares were issued under the 2020 ESPP in 2020.</w:t>
      </w:r>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2013 Equity Incentive Plan</w:t>
      </w:r>
    </w:p>
    <w:p>
      <w:pPr>
        <w:spacing w:after="0" w:line="121" w:lineRule="exact"/>
        <w:rPr>
          <w:sz w:val="20"/>
          <w:szCs w:val="20"/>
          <w:color w:val="auto"/>
        </w:rPr>
      </w:pPr>
    </w:p>
    <w:p>
      <w:pPr>
        <w:ind w:right="480" w:firstLine="569"/>
        <w:spacing w:after="0" w:line="282" w:lineRule="auto"/>
        <w:rPr>
          <w:sz w:val="20"/>
          <w:szCs w:val="20"/>
          <w:color w:val="auto"/>
        </w:rPr>
      </w:pPr>
      <w:r>
        <w:rPr>
          <w:rFonts w:ascii="Times New Roman" w:cs="Times New Roman" w:eastAsia="Times New Roman" w:hAnsi="Times New Roman"/>
          <w:sz w:val="18"/>
          <w:szCs w:val="18"/>
          <w:color w:val="auto"/>
        </w:rPr>
        <w:t>In 2014, the Company adopted the 2013 Stock Plan (the “Plan”). On September 24, 2020, this plan was replaced by the 2020 Plan, and future issuances of incentive instruments will be governed by that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8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8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2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8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8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Grant</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000s)</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697,042</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2,685,615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7.88</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949,650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(249,758)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249,758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133,589</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(133,589)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(33,916)</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2019</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1,530,523</w:t>
            </w:r>
          </w:p>
        </w:tc>
        <w:tc>
          <w:tcPr>
            <w:tcW w:w="2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2,767,868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4,406,374</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(1,375,196)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1,375,196</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48,024</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(48,024)</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4,609,725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4,090,970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20" w:type="dxa"/>
            <w:vAlign w:val="bottom"/>
            <w:tcBorders>
              <w:top w:val="single" w:sz="8" w:color="CFF0FC"/>
              <w:bottom w:val="single" w:sz="8" w:color="CFF0FC"/>
            </w:tcBorders>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2,593,714</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20" w:type="dxa"/>
            <w:vAlign w:val="bottom"/>
            <w:tcBorders>
              <w:bottom w:val="single" w:sz="8" w:color="CFF0FC"/>
            </w:tcBorders>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2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159,309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2,683,468</w:t>
            </w: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480" w:firstLine="54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 ended December 31, 2020 and 2019 was $3.34 and $2.30, respectively.</w:t>
      </w:r>
    </w:p>
    <w:p>
      <w:pPr>
        <w:spacing w:after="0" w:line="162" w:lineRule="exact"/>
        <w:rPr>
          <w:sz w:val="20"/>
          <w:szCs w:val="20"/>
          <w:color w:val="auto"/>
        </w:rPr>
      </w:pPr>
    </w:p>
    <w:p>
      <w:pPr>
        <w:ind w:right="40" w:firstLine="5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as of December 31, 2020 and 2019 is calculated based on the difference between the exercise price and the fair value of our common stock. The intrinsic value of options exercised in 2020 and 2019 was $245 and $20,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2" w:name="page143"/>
    <w:bookmarkEnd w:id="14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241"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At December 31, 2020, the total compensation cost related to nonvested service-based awards not yet recognized is $4,602. The weighted-average period over which the nonvested awards is expected to be recognized is 2.9 years.</w:t>
      </w:r>
    </w:p>
    <w:p>
      <w:pPr>
        <w:spacing w:after="0" w:line="54" w:lineRule="exact"/>
        <w:rPr>
          <w:sz w:val="20"/>
          <w:szCs w:val="20"/>
          <w:color w:val="auto"/>
        </w:rPr>
      </w:pPr>
    </w:p>
    <w:p>
      <w:pPr>
        <w:ind w:right="100" w:firstLine="5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granted 119,012 stock options at a grant-date fair value of $2.58 per share to an executive that begins vesting only upon the attainment of certain liquidity events. With the completion of the IPO on September 25, 2020, the performance condition was satisfied. The compensation cost associated with this award of $305 will be recognized ratably over the four-year vesting period commencing on September 25, 2020.</w:t>
      </w:r>
    </w:p>
    <w:p>
      <w:pPr>
        <w:spacing w:after="0" w:line="72" w:lineRule="exact"/>
        <w:rPr>
          <w:sz w:val="20"/>
          <w:szCs w:val="20"/>
          <w:color w:val="auto"/>
        </w:rPr>
      </w:pPr>
    </w:p>
    <w:p>
      <w:pPr>
        <w:ind w:right="60" w:firstLine="53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granted 45,332 stock options at a grant-date fair value of $4.22 per share to a board member that vested upon the attainment of certain liquidity events. With the completion of the IPO on September 25, 2020, the performance condition was satisfied. The compensation cost associated with this award of $113 was recognized in the year ended December 31, 2020.</w:t>
      </w:r>
    </w:p>
    <w:p>
      <w:pPr>
        <w:spacing w:after="0" w:line="176" w:lineRule="exact"/>
        <w:rPr>
          <w:sz w:val="20"/>
          <w:szCs w:val="20"/>
          <w:color w:val="auto"/>
        </w:rPr>
      </w:pPr>
    </w:p>
    <w:p>
      <w:pPr>
        <w:jc w:val="both"/>
        <w:ind w:right="80" w:firstLine="56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options valuation model. The fair value of employee stock options is being amortized on a straight-line basis over the requisite service period of the awards. The fair value of employee stock options was estimated using the following assumptions: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9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19"/>
                <w:szCs w:val="19"/>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- 1.51%</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- 2.51%</w:t>
            </w:r>
          </w:p>
        </w:tc>
        <w:tc>
          <w:tcPr>
            <w:tcW w:w="26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2.68% - 2.83%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- 6.37</w:t>
            </w: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4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gridSpan w:val="3"/>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19"/>
                <w:szCs w:val="19"/>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FF0FC"/>
          </w:tcPr>
          <w:p>
            <w:pPr>
              <w:spacing w:after="0"/>
              <w:rPr>
                <w:sz w:val="19"/>
                <w:szCs w:val="19"/>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- 72.69%</w:t>
            </w:r>
          </w:p>
        </w:tc>
        <w:tc>
          <w:tcPr>
            <w:tcW w:w="2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63.74% - 81.20%</w:t>
            </w:r>
          </w:p>
        </w:tc>
        <w:tc>
          <w:tcPr>
            <w:tcW w:w="120" w:type="dxa"/>
            <w:vAlign w:val="bottom"/>
          </w:tcPr>
          <w:p>
            <w:pPr>
              <w:spacing w:after="0"/>
              <w:rPr>
                <w:sz w:val="20"/>
                <w:szCs w:val="20"/>
                <w:color w:val="auto"/>
              </w:rPr>
            </w:pPr>
          </w:p>
        </w:tc>
      </w:tr>
    </w:tbl>
    <w:p>
      <w:pPr>
        <w:spacing w:after="0" w:line="2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options granted and stock purchase rights under the ESPP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3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7840" w:type="dxa"/>
            <w:vAlign w:val="bottom"/>
          </w:tcPr>
          <w:p>
            <w:pPr>
              <w:spacing w:after="0"/>
              <w:rPr>
                <w:sz w:val="20"/>
                <w:szCs w:val="20"/>
                <w:color w:val="auto"/>
              </w:rPr>
            </w:pPr>
          </w:p>
        </w:tc>
        <w:tc>
          <w:tcPr>
            <w:tcW w:w="3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7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0.65</w:t>
            </w:r>
          </w:p>
        </w:tc>
        <w:tc>
          <w:tcPr>
            <w:tcW w:w="120" w:type="dxa"/>
            <w:vAlign w:val="bottom"/>
          </w:tcPr>
          <w:p>
            <w:pPr>
              <w:spacing w:after="0"/>
              <w:rPr>
                <w:sz w:val="19"/>
                <w:szCs w:val="19"/>
                <w:color w:val="auto"/>
              </w:rPr>
            </w:pPr>
          </w:p>
        </w:tc>
      </w:tr>
      <w:tr>
        <w:trPr>
          <w:trHeight w:val="22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r>
    </w:tbl>
    <w:p>
      <w:pPr>
        <w:spacing w:after="0" w:line="2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Total Stock-Based Compensation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Stock-based compensation expense recorded under ASC 718 (and under ASC 718 and ASC 505 in 2019 and 2018, prior to the adoption of ASU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2018-07) related to options granted was allocated to research and development and general and administrative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spacing w:after="0"/>
              <w:rPr>
                <w:sz w:val="19"/>
                <w:szCs w:val="19"/>
                <w:color w:val="auto"/>
              </w:rPr>
            </w:pPr>
          </w:p>
        </w:tc>
        <w:tc>
          <w:tcPr>
            <w:tcW w:w="2640" w:type="dxa"/>
            <w:vAlign w:val="bottom"/>
            <w:tcBorders>
              <w:bottom w:val="single" w:sz="8" w:color="CFF0FC"/>
            </w:tcBorders>
            <w:gridSpan w:val="2"/>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40" w:type="dxa"/>
            <w:vAlign w:val="bottom"/>
            <w:gridSpan w:val="2"/>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Borders>
              <w:bottom w:val="single" w:sz="8" w:color="CFF0FC"/>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50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Income Taxes</w:t>
      </w:r>
    </w:p>
    <w:p>
      <w:pPr>
        <w:spacing w:after="0" w:line="121"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The provision for income taxes consisted of current state taxes of $6, $8, and $3 for the years ended December 31, 2020, 2019, and 2018, respectively. The effective tax rate for the Company for the years ended December 31, 2020, 2019, and 2018 was zero percent, respectively. A reconciliation of income tax computed at the statutory federal income tax rate to the provision for income taxes included in the accompanying statements of operations for the Company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360" w:type="dxa"/>
            <w:vAlign w:val="bottom"/>
          </w:tcPr>
          <w:p>
            <w:pPr>
              <w:spacing w:after="0"/>
              <w:rPr>
                <w:sz w:val="17"/>
                <w:szCs w:val="17"/>
                <w:color w:val="auto"/>
              </w:rPr>
            </w:pPr>
          </w:p>
        </w:tc>
        <w:tc>
          <w:tcPr>
            <w:tcW w:w="152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52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7"/>
                <w:szCs w:val="17"/>
                <w:color w:val="auto"/>
              </w:rPr>
            </w:pPr>
          </w:p>
        </w:tc>
        <w:tc>
          <w:tcPr>
            <w:tcW w:w="13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3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vMerge w:val="continue"/>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vMerge w:val="continue"/>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00" w:firstLine="569"/>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2020, 2019, and 2018, the Company’s effective tax rate is below the federal statutory income tax rate of 21% primarily due to state income taxes, net of federal benefit and the Company’s position to establish a full valuation allowance on its deferred tax assets.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significant portions of the deferred tax assets and liabilities are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2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 compensation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Accruals and reserves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(31,458)</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(21,106)</w:t>
            </w: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assets recognized</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80" w:firstLine="569"/>
        <w:spacing w:after="0" w:line="282" w:lineRule="auto"/>
        <w:rPr>
          <w:sz w:val="20"/>
          <w:szCs w:val="20"/>
          <w:color w:val="auto"/>
        </w:rPr>
      </w:pPr>
      <w:r>
        <w:rPr>
          <w:rFonts w:ascii="Times New Roman" w:cs="Times New Roman" w:eastAsia="Times New Roman" w:hAnsi="Times New Roman"/>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241"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At December 31, 2020 and 2019, the Company had net operating loss carryforwards of $97,665 and $66,352, respectively. At December 31, 2020, the Company had state net operating loss carryforwards for New Jersey, California and Massachusetts of approximately $92,805, $4,912, and $950 respectively. At December 31, 2019, the Company had state net operating loss carryforwards for New Jersey, California and Massachusetts of approximately $61,503, $4,912 and $901, respectively. The federal and state net operating loss carryforwards expire beginning in the year 2033. The Company also has federal and state research and development credit carryforward of approximately $3,470 and $2,169, respectively, at December 31, 2020 and 2019. The federal credits will begin to expire in 2034 if not utilized. The California state credits carryforward indefinitely and the New Jersey state credits expire starting in 2022.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88" w:lineRule="exact"/>
        <w:rPr>
          <w:sz w:val="20"/>
          <w:szCs w:val="20"/>
          <w:color w:val="auto"/>
        </w:rPr>
      </w:pPr>
    </w:p>
    <w:p>
      <w:pPr>
        <w:jc w:val="both"/>
        <w:ind w:right="340" w:firstLine="569"/>
        <w:spacing w:after="0" w:line="266" w:lineRule="auto"/>
        <w:rPr>
          <w:sz w:val="20"/>
          <w:szCs w:val="20"/>
          <w:color w:val="auto"/>
        </w:rPr>
      </w:pPr>
      <w:r>
        <w:rPr>
          <w:rFonts w:ascii="Times New Roman" w:cs="Times New Roman" w:eastAsia="Times New Roman" w:hAnsi="Times New Roman"/>
          <w:sz w:val="18"/>
          <w:szCs w:val="18"/>
          <w:color w:val="212529"/>
        </w:rPr>
        <w:t>The Company accrues interest and penalties related to unrecognized tax benefits in the Provision for income taxes line item in the statements of operations and comprehensive loss</w:t>
      </w:r>
      <w:r>
        <w:rPr>
          <w:rFonts w:ascii="Times New Roman" w:cs="Times New Roman" w:eastAsia="Times New Roman" w:hAnsi="Times New Roman"/>
          <w:sz w:val="18"/>
          <w:szCs w:val="18"/>
          <w:b w:val="1"/>
          <w:bCs w:val="1"/>
          <w:color w:val="212529"/>
        </w:rPr>
        <w:t>.</w:t>
      </w:r>
      <w:r>
        <w:rPr>
          <w:rFonts w:ascii="Times New Roman" w:cs="Times New Roman" w:eastAsia="Times New Roman" w:hAnsi="Times New Roman"/>
          <w:sz w:val="18"/>
          <w:szCs w:val="18"/>
          <w:color w:val="212529"/>
        </w:rPr>
        <w:t xml:space="preserve"> As of December 31, 2020 and 2019, the Company had not accrued any interest or penalties related to uncertain tax positions.</w:t>
      </w:r>
    </w:p>
    <w:p>
      <w:pPr>
        <w:spacing w:after="0" w:line="176"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If the ending balance of $877 and $543 of unrecognized tax benefits as of December 31, 2020 and 2019, respectively, were recognized, none of the recognition would affect the income tax rate. The following table summarized the activity related to the Company’s unrecognized tax benefits: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01"/>
        </w:trPr>
        <w:tc>
          <w:tcPr>
            <w:tcW w:w="77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7"/>
                <w:szCs w:val="17"/>
                <w:color w:val="auto"/>
              </w:rPr>
            </w:pPr>
          </w:p>
        </w:tc>
      </w:tr>
      <w:tr>
        <w:trPr>
          <w:trHeight w:val="238"/>
        </w:trPr>
        <w:tc>
          <w:tcPr>
            <w:tcW w:w="7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r>
      <w:tr>
        <w:trPr>
          <w:trHeight w:val="22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Increases (decreases) related to prior year tax positions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40" w:firstLine="569"/>
        <w:spacing w:after="0" w:line="282" w:lineRule="auto"/>
        <w:rPr>
          <w:sz w:val="20"/>
          <w:szCs w:val="20"/>
          <w:color w:val="auto"/>
        </w:rPr>
      </w:pPr>
      <w:r>
        <w:rPr>
          <w:rFonts w:ascii="Times New Roman" w:cs="Times New Roman" w:eastAsia="Times New Roman" w:hAnsi="Times New Roman"/>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62"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The Company’s tax years 2013 to 2020 will remain open for examination by the federal and state authorities for three and four years, respectively, from the date of utilization of any net operating loss credits.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Net Loss per Share</w:t>
      </w:r>
    </w:p>
    <w:p>
      <w:pPr>
        <w:spacing w:after="0" w:line="121" w:lineRule="exact"/>
        <w:rPr>
          <w:sz w:val="20"/>
          <w:szCs w:val="20"/>
          <w:color w:val="auto"/>
        </w:rPr>
      </w:pPr>
    </w:p>
    <w:p>
      <w:pPr>
        <w:ind w:right="160" w:firstLine="56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380" w:type="dxa"/>
            <w:vAlign w:val="bottom"/>
            <w:tcBorders>
              <w:bottom w:val="single" w:sz="8" w:color="auto"/>
            </w:tcBorders>
            <w:gridSpan w:val="5"/>
          </w:tcPr>
          <w:p>
            <w:pPr>
              <w:ind w:left="14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w:t>
            </w:r>
          </w:p>
        </w:tc>
        <w:tc>
          <w:tcPr>
            <w:tcW w:w="10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22,866,246</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17,396,640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080" w:type="dxa"/>
            <w:vAlign w:val="bottom"/>
          </w:tcPr>
          <w:p>
            <w:pPr>
              <w:spacing w:after="0"/>
              <w:rPr>
                <w:sz w:val="19"/>
                <w:szCs w:val="19"/>
                <w:color w:val="auto"/>
              </w:rPr>
            </w:pPr>
          </w:p>
        </w:tc>
        <w:tc>
          <w:tcPr>
            <w:tcW w:w="2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4,090,970</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2,767,868</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2,685,615</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4,090,970</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25,644,914</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20,093,055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282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2020 and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r>
      <w:tr>
        <w:trPr>
          <w:trHeight w:val="22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120" w:type="dxa"/>
            <w:vAlign w:val="bottom"/>
            <w:shd w:val="clear" w:color="auto" w:fill="CCEEFF"/>
          </w:tcPr>
          <w:p>
            <w:pPr>
              <w:spacing w:after="0"/>
              <w:rPr>
                <w:sz w:val="19"/>
                <w:szCs w:val="19"/>
                <w:color w:val="auto"/>
              </w:rPr>
            </w:pP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 basic and</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14,364,475</w:t>
            </w: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3,035,243</w:t>
            </w:r>
          </w:p>
        </w:tc>
        <w:tc>
          <w:tcPr>
            <w:tcW w:w="26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3,012,284</w:t>
            </w:r>
          </w:p>
        </w:tc>
        <w:tc>
          <w:tcPr>
            <w:tcW w:w="120" w:type="dxa"/>
            <w:vAlign w:val="bottom"/>
            <w:tcBorders>
              <w:bottom w:val="single" w:sz="8" w:color="CCEEFF"/>
            </w:tcBorders>
          </w:tcPr>
          <w:p>
            <w:pPr>
              <w:spacing w:after="0"/>
              <w:rPr>
                <w:sz w:val="20"/>
                <w:szCs w:val="20"/>
                <w:color w:val="auto"/>
              </w:rPr>
            </w:pPr>
          </w:p>
        </w:tc>
      </w:tr>
      <w:tr>
        <w:trPr>
          <w:trHeight w:val="22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19"/>
                <w:szCs w:val="19"/>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Related Parties</w:t>
      </w:r>
    </w:p>
    <w:p>
      <w:pPr>
        <w:spacing w:after="0" w:line="121"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The Company has consulting agreements with two members of the Board of Directors. Consulting fees paid in the year ended December 31, 2020, 2019, and 2018 were $112. There were no amounts owed under the consulting agreement at December 31, 2020 or 2019.</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An investor provided financing consulting services to the Company. Fees paid to the investor in the year ended December 31, 2020 were $65.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6" w:name="page147"/>
    <w:bookmarkEnd w:id="14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180" w:firstLine="569"/>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 conducted an evaluation, under the supervision and with the participation of our management, including our Chief Executive Officer and Chief Financial Officer, of our disclosure controls and procedures, as such term is defined under Rule 13a-15(e) promulgated under the Securities Exchange Act of 1934, as amended, or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69"/>
        <w:spacing w:after="0" w:line="277" w:lineRule="auto"/>
        <w:rPr>
          <w:sz w:val="20"/>
          <w:szCs w:val="20"/>
          <w:color w:val="auto"/>
        </w:rPr>
      </w:pPr>
      <w:r>
        <w:rPr>
          <w:rFonts w:ascii="Times New Roman" w:cs="Times New Roman" w:eastAsia="Times New Roman" w:hAnsi="Times New Roman"/>
          <w:sz w:val="17"/>
          <w:szCs w:val="17"/>
          <w:color w:val="auto"/>
        </w:rPr>
        <w:t xml:space="preserve">Our management is also responsible for establishing and maintaining for us adequate internal control over financial reporting, as such term is defined in Exchange Act Rule 13a-15(f). Under the supervision and with the participation of our management, including our Chief Executive Officer and Chief Financial Officer, our management conducted an evaluation of the effectiveness of our internal control over financial reporting based on the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Control—Integrated </w:t>
      </w:r>
      <w:r>
        <w:rPr>
          <w:rFonts w:ascii="Times New Roman" w:cs="Times New Roman" w:eastAsia="Times New Roman" w:hAnsi="Times New Roman"/>
          <w:sz w:val="17"/>
          <w:szCs w:val="17"/>
          <w:color w:val="auto"/>
        </w:rPr>
        <w:t>Framework (2013 framework) issued by the Committee of Sponsoring Organizations of the Treadway Commission. Based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evaluation under this framework, our management concluded that our internal control over financial reporting was effective as of December 31, 2020.</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fourth quarter of the year ended December 31, 2020 that has materially affected, or is reasonably likely to materially affect, our internal control over financial reporting.</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47" w:name="page148"/>
    <w:bookmarkEnd w:id="147"/>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“Directors and Corporate Governance,” “Director Compensation” and “Section 16(a) Beneficial Ownership Reporting Compliance” in our definitive proxy statement for the annual meeting of stockholders to be held in June 2021 to be filed with the SEC on or before April 23, 2021, or the Proxy Statement, and is incorporated herein by reference.</w:t>
      </w:r>
    </w:p>
    <w:p>
      <w:pPr>
        <w:spacing w:after="0" w:line="2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ind w:right="500" w:firstLine="56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“Executive Compensation,” “Director Compensation,” “Equity Compensation Plan Information,”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“Beneficial Ownership of Shares of Common Stock” and “Equity Compensation Plan Information”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“Certain Relationships and Related Transactions”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21" w:lineRule="exact"/>
        <w:rPr>
          <w:sz w:val="20"/>
          <w:szCs w:val="20"/>
          <w:color w:val="auto"/>
        </w:rPr>
      </w:pPr>
    </w:p>
    <w:p>
      <w:pPr>
        <w:ind w:right="140" w:firstLine="56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“Item 2 – Ratification of Independent Registered Public Accounting Firm” in the Proxy Statement and is incorporated herein by reference.</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333" w:right="6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gridSpan w:val="8"/>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0" w:type="dxa"/>
            <w:vAlign w:val="bottom"/>
          </w:tcPr>
          <w:p>
            <w:pPr>
              <w:spacing w:after="0"/>
              <w:rPr>
                <w:sz w:val="1"/>
                <w:szCs w:val="1"/>
                <w:color w:val="auto"/>
              </w:rPr>
            </w:pPr>
          </w:p>
        </w:tc>
      </w:tr>
      <w:tr>
        <w:trPr>
          <w:trHeight w:val="432"/>
        </w:trPr>
        <w:tc>
          <w:tcPr>
            <w:tcW w:w="67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9"/>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720" w:type="dxa"/>
            <w:vAlign w:val="bottom"/>
            <w:tcBorders>
              <w:top w:val="single" w:sz="8" w:color="auto"/>
            </w:tcBorders>
            <w:gridSpan w:val="17"/>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Amended and Restated Certificate of Incorporation of the Registrant, as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amended, as currently in effect.</w:t>
              </w:r>
            </w:hyperlink>
          </w:p>
        </w:tc>
        <w:tc>
          <w:tcPr>
            <w:tcW w:w="2900" w:type="dxa"/>
            <w:vAlign w:val="bottom"/>
            <w:tcBorders>
              <w:top w:val="single" w:sz="8" w:color="0000EE"/>
            </w:tcBorders>
            <w:gridSpan w:val="8"/>
          </w:tcPr>
          <w:p>
            <w:pPr>
              <w:spacing w:after="0"/>
              <w:rPr>
                <w:sz w:val="17"/>
                <w:szCs w:val="17"/>
                <w:color w:val="auto"/>
              </w:rPr>
            </w:pPr>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Amended and Restated Bylaws of the Registrant, as currently in effect.</w:t>
              </w:r>
            </w:hyperlink>
          </w:p>
        </w:tc>
        <w:tc>
          <w:tcPr>
            <w:tcW w:w="0" w:type="dxa"/>
            <w:vAlign w:val="bottom"/>
          </w:tcPr>
          <w:p>
            <w:pPr>
              <w:spacing w:after="0"/>
              <w:rPr>
                <w:sz w:val="1"/>
                <w:szCs w:val="1"/>
                <w:color w:val="auto"/>
              </w:rPr>
            </w:pPr>
          </w:p>
        </w:tc>
      </w:tr>
      <w:tr>
        <w:trPr>
          <w:trHeight w:val="33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Description of Securities of the Registrant</w:t>
              </w:r>
            </w:hyperlink>
          </w:p>
        </w:tc>
        <w:tc>
          <w:tcPr>
            <w:tcW w:w="0" w:type="dxa"/>
            <w:vAlign w:val="bottom"/>
          </w:tcPr>
          <w:p>
            <w:pPr>
              <w:spacing w:after="0"/>
              <w:rPr>
                <w:sz w:val="1"/>
                <w:szCs w:val="1"/>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Amended and Restated Investors’ Rights Agreement, dated July 17, 2020,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and among the Registrant and certain of its stockholders.</w:t>
              </w:r>
            </w:hyperlink>
          </w:p>
        </w:tc>
        <w:tc>
          <w:tcPr>
            <w:tcW w:w="1460" w:type="dxa"/>
            <w:vAlign w:val="bottom"/>
            <w:tcBorders>
              <w:top w:val="single" w:sz="8" w:color="0000EE"/>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Specimen common stock certificate of the Registrant.</w:t>
              </w:r>
            </w:hyperlink>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Form of Indemnification Agreement between the Registrant and each of its</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directors and executive officers.</w:t>
              </w:r>
            </w:hyperlink>
          </w:p>
        </w:tc>
        <w:tc>
          <w:tcPr>
            <w:tcW w:w="3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2013 Equity Incentive Plan, as amended, and forms of agreement thereunder.</w:t>
              </w:r>
            </w:hyperlink>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2020 Equity Incentive Plan and forms of agreements thereunder.</w:t>
              </w:r>
            </w:hyperlink>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2020 Employee Stock Purchase Plan and forms of agreements thereunder.</w:t>
              </w:r>
            </w:hyperlink>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Employment Offer Letter, dated August 17, 2020, by and between the</w:t>
              </w:r>
            </w:hyperlink>
          </w:p>
        </w:tc>
        <w:tc>
          <w:tcPr>
            <w:tcW w:w="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Registrant and David H. Mack, Ph.D.</w:t>
              </w:r>
            </w:hyperlink>
          </w:p>
        </w:tc>
        <w:tc>
          <w:tcPr>
            <w:tcW w:w="30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Employment Offer Letter, dated August 17, 2020, by and between the</w:t>
              </w:r>
            </w:hyperlink>
          </w:p>
        </w:tc>
        <w:tc>
          <w:tcPr>
            <w:tcW w:w="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gridSpan w:val="17"/>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Registrant and Winston Kung</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5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Employment Offer Letter, dated August 18, 2020, by and between the</w:t>
              </w:r>
            </w:hyperlink>
          </w:p>
        </w:tc>
        <w:tc>
          <w:tcPr>
            <w:tcW w:w="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Registrant and Leila Alland, M.D.</w:t>
              </w:r>
            </w:hyperlink>
          </w:p>
        </w:tc>
        <w:tc>
          <w:tcPr>
            <w:tcW w:w="3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5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Employment Offer Letter, dated August 18, 2020, by and between the</w:t>
              </w:r>
            </w:hyperlink>
          </w:p>
        </w:tc>
        <w:tc>
          <w:tcPr>
            <w:tcW w:w="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Registrant and Deepika Jalota, Pharm.D.</w:t>
              </w:r>
            </w:hyperlink>
          </w:p>
        </w:tc>
        <w:tc>
          <w:tcPr>
            <w:tcW w:w="2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Employee Incentive Compensation Plan.</w:t>
              </w:r>
            </w:hyperlink>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u w:val="single" w:color="auto"/>
                <w:color w:val="0000EE"/>
              </w:rPr>
            </w:pPr>
            <w:hyperlink r:id="rId201">
              <w:r>
                <w:rPr>
                  <w:rFonts w:ascii="Times New Roman" w:cs="Times New Roman" w:eastAsia="Times New Roman" w:hAnsi="Times New Roman"/>
                  <w:sz w:val="18"/>
                  <w:szCs w:val="18"/>
                  <w:u w:val="single" w:color="auto"/>
                  <w:color w:val="0000EE"/>
                </w:rPr>
                <w:t>Change in Control and Severance Policy.</w:t>
              </w:r>
            </w:hyperlink>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Amended and Restated Change in Control and Severance Policy Participation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Agreement, dated August 17, 2020, by and between the Registrant and David</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H. Mack, Ph.D.</w:t>
              </w:r>
            </w:hyperlink>
          </w:p>
        </w:tc>
        <w:tc>
          <w:tcPr>
            <w:tcW w:w="4440" w:type="dxa"/>
            <w:vAlign w:val="bottom"/>
            <w:tcBorders>
              <w:top w:val="single" w:sz="8" w:color="0000EE"/>
            </w:tcBorders>
            <w:gridSpan w:val="13"/>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5720" w:type="dxa"/>
            <w:vAlign w:val="bottom"/>
            <w:gridSpan w:val="17"/>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Amended and Restated Change in Control and Severance Policy Participation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Agreement, dated August 17, 2020, by and between the Registrant and</w:t>
              </w:r>
            </w:hyperlink>
          </w:p>
        </w:tc>
        <w:tc>
          <w:tcPr>
            <w:tcW w:w="500" w:type="dxa"/>
            <w:vAlign w:val="bottom"/>
            <w:tcBorders>
              <w:top w:val="single" w:sz="8" w:color="0000EE"/>
            </w:tcBorders>
            <w:gridSpan w:val="5"/>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Winston Kung.</w:t>
              </w:r>
            </w:hyperlink>
          </w:p>
        </w:tc>
        <w:tc>
          <w:tcPr>
            <w:tcW w:w="4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gridSpan w:val="10"/>
          </w:tcPr>
          <w:p>
            <w:pPr>
              <w:jc w:val="center"/>
              <w:ind w:left="4110"/>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5"/>
                <w:szCs w:val="15"/>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31"/>
        </w:trPr>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2020</w:t>
            </w:r>
          </w:p>
        </w:tc>
      </w:tr>
      <w:tr>
        <w:trPr>
          <w:trHeight w:val="553"/>
        </w:trPr>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2020</w:t>
            </w:r>
          </w:p>
        </w:tc>
      </w:tr>
      <w:tr>
        <w:trPr>
          <w:trHeight w:val="675"/>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3"/>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38"/>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3"/>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38"/>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38"/>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38"/>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3"/>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4"/>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3"/>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3"/>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338"/>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338"/>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770"/>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bl>
    <w:p>
      <w:pPr>
        <w:sectPr>
          <w:pgSz w:w="11900" w:h="16838" w:orient="portrait"/>
          <w:cols w:equalWidth="0" w:num="2">
            <w:col w:w="6720" w:space="140"/>
            <w:col w:w="4380"/>
          </w:cols>
          <w:pgMar w:left="320" w:top="333" w:right="3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720" w:type="dxa"/>
            <w:vAlign w:val="bottom"/>
            <w:gridSpan w:val="18"/>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Amended and Restated Change in Control and Severance Policy Participation</w:t>
              </w:r>
            </w:hyperlink>
          </w:p>
        </w:tc>
      </w:tr>
      <w:tr>
        <w:trPr>
          <w:trHeight w:val="196"/>
        </w:trPr>
        <w:tc>
          <w:tcPr>
            <w:tcW w:w="100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Agreement, dated August 18, 2020, by and between the Registrant and Leila</w:t>
              </w:r>
            </w:hyperlink>
          </w:p>
        </w:tc>
        <w:tc>
          <w:tcPr>
            <w:tcW w:w="80" w:type="dxa"/>
            <w:vAlign w:val="bottom"/>
            <w:tcBorders>
              <w:top w:val="single" w:sz="8" w:color="0000EE"/>
            </w:tcBorders>
            <w:gridSpan w:val="2"/>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720" w:type="dxa"/>
            <w:vAlign w:val="bottom"/>
            <w:gridSpan w:val="18"/>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Alland, M.D.</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720" w:type="dxa"/>
            <w:vAlign w:val="bottom"/>
            <w:gridSpan w:val="18"/>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Amended and Restated Change in Control and Severance Policy Participation</w:t>
              </w:r>
            </w:hyperlink>
          </w:p>
        </w:tc>
      </w:tr>
      <w:tr>
        <w:trPr>
          <w:trHeight w:val="196"/>
        </w:trPr>
        <w:tc>
          <w:tcPr>
            <w:tcW w:w="100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Agreement, dated August 18, 2020, by and between the Registrant and</w:t>
              </w:r>
            </w:hyperlink>
          </w:p>
        </w:tc>
        <w:tc>
          <w:tcPr>
            <w:tcW w:w="500" w:type="dxa"/>
            <w:vAlign w:val="bottom"/>
            <w:tcBorders>
              <w:top w:val="single" w:sz="8" w:color="0000EE"/>
            </w:tcBorders>
            <w:gridSpan w:val="8"/>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Deepika Jalota, Pharm.D.</w:t>
              </w:r>
            </w:hyperlink>
          </w:p>
        </w:tc>
        <w:tc>
          <w:tcPr>
            <w:tcW w:w="3860" w:type="dxa"/>
            <w:vAlign w:val="bottom"/>
            <w:gridSpan w:val="13"/>
          </w:tcPr>
          <w:p>
            <w:pPr>
              <w:spacing w:after="0"/>
              <w:rPr>
                <w:sz w:val="17"/>
                <w:szCs w:val="17"/>
                <w:color w:val="auto"/>
              </w:rPr>
            </w:pP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720" w:type="dxa"/>
            <w:vAlign w:val="bottom"/>
            <w:gridSpan w:val="18"/>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u w:val="single" w:color="auto"/>
                  <w:color w:val="0000EE"/>
                </w:rPr>
                <w:t>Outside Director Compensation Policy</w:t>
              </w:r>
              <w:r>
                <w:rPr>
                  <w:rFonts w:ascii="Times New Roman" w:cs="Times New Roman" w:eastAsia="Times New Roman" w:hAnsi="Times New Roman"/>
                  <w:sz w:val="18"/>
                  <w:szCs w:val="18"/>
                  <w:color w:val="0000EE"/>
                </w:rPr>
                <w:t>.</w:t>
              </w:r>
            </w:hyperlink>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Consulting Agreement, dated January 1, 2016, by and between the Registrant</w:t>
              </w:r>
            </w:hyperlink>
          </w:p>
        </w:tc>
        <w:tc>
          <w:tcPr>
            <w:tcW w:w="14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720" w:type="dxa"/>
            <w:vAlign w:val="bottom"/>
            <w:gridSpan w:val="18"/>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and Arnold Levine, Ph.D.</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Consulting Agreement, dated July 14, 2017, by and between the Registrant and</w:t>
              </w:r>
            </w:hyperlink>
          </w:p>
        </w:tc>
      </w:tr>
      <w:tr>
        <w:trPr>
          <w:trHeight w:val="196"/>
        </w:trPr>
        <w:tc>
          <w:tcPr>
            <w:tcW w:w="100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Richard Heyman, Ph.D.</w:t>
              </w:r>
            </w:hyperlink>
          </w:p>
        </w:tc>
        <w:tc>
          <w:tcPr>
            <w:tcW w:w="3980" w:type="dxa"/>
            <w:vAlign w:val="bottom"/>
            <w:gridSpan w:val="14"/>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720" w:type="dxa"/>
            <w:vAlign w:val="bottom"/>
            <w:gridSpan w:val="18"/>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Lease Agreement, dated March 3, 2015, by and between the Registrant and</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Cedar Brook 2005, LP, as amended by the First Amendment to Lease dated</w:t>
              </w:r>
            </w:hyperlink>
          </w:p>
        </w:tc>
        <w:tc>
          <w:tcPr>
            <w:tcW w:w="28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720" w:type="dxa"/>
            <w:vAlign w:val="bottom"/>
            <w:gridSpan w:val="18"/>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April 24, 2017.</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157">
              <w:r>
                <w:rPr>
                  <w:rFonts w:ascii="Times New Roman" w:cs="Times New Roman" w:eastAsia="Times New Roman" w:hAnsi="Times New Roman"/>
                  <w:sz w:val="18"/>
                  <w:szCs w:val="18"/>
                  <w:color w:val="0000EE"/>
                  <w:w w:val="99"/>
                </w:rPr>
                <w:t>Lease Agreement, dated January 8, 2021, by and between the Registrant and</w:t>
              </w:r>
            </w:hyperlink>
          </w:p>
        </w:tc>
        <w:tc>
          <w:tcPr>
            <w:tcW w:w="2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720" w:type="dxa"/>
            <w:vAlign w:val="bottom"/>
            <w:gridSpan w:val="18"/>
          </w:tcPr>
          <w:p>
            <w:pPr>
              <w:spacing w:after="0" w:line="196" w:lineRule="exact"/>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BMR-ONE RESEARCH WAY LLC.</w:t>
              </w:r>
            </w:hyperlink>
          </w:p>
        </w:tc>
      </w:tr>
      <w:tr>
        <w:trPr>
          <w:trHeight w:val="20"/>
        </w:trPr>
        <w:tc>
          <w:tcPr>
            <w:tcW w:w="1000" w:type="dxa"/>
            <w:vAlign w:val="bottom"/>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20" w:type="dxa"/>
            <w:vAlign w:val="bottom"/>
            <w:gridSpan w:val="18"/>
          </w:tcPr>
          <w:p>
            <w:pPr>
              <w:spacing w:after="0"/>
              <w:rPr>
                <w:rFonts w:ascii="Times New Roman" w:cs="Times New Roman" w:eastAsia="Times New Roman" w:hAnsi="Times New Roman"/>
                <w:sz w:val="18"/>
                <w:szCs w:val="18"/>
                <w:u w:val="single" w:color="auto"/>
                <w:color w:val="0000EE"/>
              </w:rPr>
            </w:pPr>
            <w:hyperlink w:anchor="page249">
              <w:r>
                <w:rPr>
                  <w:rFonts w:ascii="Times New Roman" w:cs="Times New Roman" w:eastAsia="Times New Roman" w:hAnsi="Times New Roman"/>
                  <w:sz w:val="18"/>
                  <w:szCs w:val="18"/>
                  <w:u w:val="single" w:color="auto"/>
                  <w:color w:val="0000EE"/>
                </w:rPr>
                <w:t>Consent of Independent Registered Public Accounting Firm.</w:t>
              </w:r>
            </w:hyperlink>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152">
              <w:r>
                <w:rPr>
                  <w:rFonts w:ascii="Times New Roman" w:cs="Times New Roman" w:eastAsia="Times New Roman" w:hAnsi="Times New Roman"/>
                  <w:sz w:val="18"/>
                  <w:szCs w:val="18"/>
                  <w:color w:val="0000EE"/>
                  <w:w w:val="99"/>
                </w:rPr>
                <w:t>Power of Attorney (contained in the signature page to this Annual Report on</w:t>
              </w:r>
            </w:hyperlink>
          </w:p>
        </w:tc>
        <w:tc>
          <w:tcPr>
            <w:tcW w:w="2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Form 10-K).</w:t>
              </w:r>
            </w:hyperlink>
          </w:p>
        </w:tc>
        <w:tc>
          <w:tcPr>
            <w:tcW w:w="4760" w:type="dxa"/>
            <w:vAlign w:val="bottom"/>
            <w:gridSpan w:val="16"/>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50">
              <w:r>
                <w:rPr>
                  <w:rFonts w:ascii="Times New Roman" w:cs="Times New Roman" w:eastAsia="Times New Roman" w:hAnsi="Times New Roman"/>
                  <w:sz w:val="18"/>
                  <w:szCs w:val="18"/>
                  <w:color w:val="0000EE"/>
                  <w:w w:val="99"/>
                </w:rPr>
                <w:t>Certification of Principal Executive Officer Pursuant to Rules 13a-14(a) and</w:t>
              </w:r>
            </w:hyperlink>
          </w:p>
        </w:tc>
        <w:tc>
          <w:tcPr>
            <w:tcW w:w="22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50">
              <w:r>
                <w:rPr>
                  <w:rFonts w:ascii="Times New Roman" w:cs="Times New Roman" w:eastAsia="Times New Roman" w:hAnsi="Times New Roman"/>
                  <w:sz w:val="18"/>
                  <w:szCs w:val="18"/>
                  <w:color w:val="0000EE"/>
                  <w:w w:val="99"/>
                </w:rPr>
                <w:t>15d-14(a) under the Securities Exchange Act of 1934, as Adopted Pursuant to</w:t>
              </w:r>
            </w:hyperlink>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720" w:type="dxa"/>
            <w:vAlign w:val="bottom"/>
            <w:gridSpan w:val="18"/>
          </w:tcPr>
          <w:p>
            <w:pPr>
              <w:spacing w:after="0" w:line="196" w:lineRule="exact"/>
              <w:rPr>
                <w:rFonts w:ascii="Times New Roman" w:cs="Times New Roman" w:eastAsia="Times New Roman" w:hAnsi="Times New Roman"/>
                <w:sz w:val="18"/>
                <w:szCs w:val="18"/>
                <w:color w:val="0000EE"/>
              </w:rPr>
            </w:pPr>
            <w:hyperlink w:anchor="page250">
              <w:r>
                <w:rPr>
                  <w:rFonts w:ascii="Times New Roman" w:cs="Times New Roman" w:eastAsia="Times New Roman" w:hAnsi="Times New Roman"/>
                  <w:sz w:val="18"/>
                  <w:szCs w:val="18"/>
                  <w:color w:val="0000EE"/>
                </w:rPr>
                <w:t>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720" w:type="dxa"/>
            <w:vAlign w:val="bottom"/>
            <w:gridSpan w:val="18"/>
          </w:tcPr>
          <w:p>
            <w:pPr>
              <w:spacing w:after="0"/>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color w:val="0000EE"/>
                </w:rPr>
                <w:t>Certification of Principal Financial Officer Pursuant to Rules 13a-14(a) and</w:t>
              </w:r>
            </w:hyperlink>
          </w:p>
        </w:tc>
      </w:tr>
      <w:tr>
        <w:trPr>
          <w:trHeight w:val="20"/>
        </w:trPr>
        <w:tc>
          <w:tcPr>
            <w:tcW w:w="1000" w:type="dxa"/>
            <w:vAlign w:val="bottom"/>
          </w:tcPr>
          <w:p>
            <w:pPr>
              <w:spacing w:after="0" w:line="20" w:lineRule="exact"/>
              <w:rPr>
                <w:sz w:val="1"/>
                <w:szCs w:val="1"/>
                <w:color w:val="auto"/>
              </w:rPr>
            </w:pPr>
          </w:p>
        </w:tc>
        <w:tc>
          <w:tcPr>
            <w:tcW w:w="528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51">
              <w:r>
                <w:rPr>
                  <w:rFonts w:ascii="Times New Roman" w:cs="Times New Roman" w:eastAsia="Times New Roman" w:hAnsi="Times New Roman"/>
                  <w:sz w:val="18"/>
                  <w:szCs w:val="18"/>
                  <w:color w:val="0000EE"/>
                  <w:w w:val="99"/>
                </w:rPr>
                <w:t>15d-14(a) under the Securities Exchange Act of 1934, as Adopted Pursuant to</w:t>
              </w:r>
            </w:hyperlink>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720" w:type="dxa"/>
            <w:vAlign w:val="bottom"/>
            <w:gridSpan w:val="18"/>
          </w:tcPr>
          <w:p>
            <w:pPr>
              <w:spacing w:after="0" w:line="196" w:lineRule="exact"/>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color w:val="0000EE"/>
                </w:rPr>
                <w:t>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52">
              <w:r>
                <w:rPr>
                  <w:rFonts w:ascii="Times New Roman" w:cs="Times New Roman" w:eastAsia="Times New Roman" w:hAnsi="Times New Roman"/>
                  <w:sz w:val="18"/>
                  <w:szCs w:val="18"/>
                  <w:color w:val="0000EE"/>
                  <w:w w:val="99"/>
                </w:rPr>
                <w:t>Certification of Principal Executive Officer Pursuant to 18 U.S.C. Section</w:t>
              </w:r>
            </w:hyperlink>
          </w:p>
        </w:tc>
        <w:tc>
          <w:tcPr>
            <w:tcW w:w="380" w:type="dxa"/>
            <w:vAlign w:val="bottom"/>
            <w:gridSpan w:val="8"/>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5720" w:type="dxa"/>
            <w:vAlign w:val="bottom"/>
            <w:gridSpan w:val="18"/>
          </w:tcPr>
          <w:p>
            <w:pPr>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1350, as Adopted Pursuant to Section 906 of the Sarbanes-Oxley Act of 2002.</w:t>
              </w:r>
            </w:hyperlink>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720" w:type="dxa"/>
            <w:vAlign w:val="bottom"/>
            <w:gridSpan w:val="18"/>
          </w:tcPr>
          <w:p>
            <w:pPr>
              <w:spacing w:after="0"/>
              <w:rPr>
                <w:rFonts w:ascii="Times New Roman" w:cs="Times New Roman" w:eastAsia="Times New Roman" w:hAnsi="Times New Roman"/>
                <w:sz w:val="18"/>
                <w:szCs w:val="18"/>
                <w:color w:val="0000EE"/>
              </w:rPr>
            </w:pPr>
            <w:hyperlink w:anchor="page253">
              <w:r>
                <w:rPr>
                  <w:rFonts w:ascii="Times New Roman" w:cs="Times New Roman" w:eastAsia="Times New Roman" w:hAnsi="Times New Roman"/>
                  <w:sz w:val="18"/>
                  <w:szCs w:val="18"/>
                  <w:color w:val="0000EE"/>
                </w:rPr>
                <w:t>Certification of Principal Financial Officer Pursuant to 18 U.S.C. Section</w:t>
              </w:r>
            </w:hyperlink>
          </w:p>
        </w:tc>
      </w:tr>
      <w:tr>
        <w:trPr>
          <w:trHeight w:val="20"/>
        </w:trPr>
        <w:tc>
          <w:tcPr>
            <w:tcW w:w="1000" w:type="dxa"/>
            <w:vAlign w:val="bottom"/>
          </w:tcPr>
          <w:p>
            <w:pPr>
              <w:spacing w:after="0" w:line="20" w:lineRule="exact"/>
              <w:rPr>
                <w:sz w:val="1"/>
                <w:szCs w:val="1"/>
                <w:color w:val="auto"/>
              </w:rPr>
            </w:pPr>
          </w:p>
        </w:tc>
        <w:tc>
          <w:tcPr>
            <w:tcW w:w="5280" w:type="dxa"/>
            <w:vAlign w:val="bottom"/>
            <w:gridSpan w:val="9"/>
            <w:shd w:val="clear" w:color="auto" w:fill="0000EE"/>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5720" w:type="dxa"/>
            <w:vAlign w:val="bottom"/>
            <w:gridSpan w:val="18"/>
          </w:tcPr>
          <w:p>
            <w:pPr>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1350, as Adopted Pursuant to Section 906 of the Sarbanes-Oxley Act of 2002.</w:t>
              </w:r>
            </w:hyperlink>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121"/>
        </w:trPr>
        <w:tc>
          <w:tcPr>
            <w:tcW w:w="10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425"/>
        </w:trPr>
        <w:tc>
          <w:tcPr>
            <w:tcW w:w="1000" w:type="dxa"/>
            <w:vAlign w:val="bottom"/>
          </w:tcPr>
          <w:p>
            <w:pPr>
              <w:spacing w:after="0"/>
              <w:rPr>
                <w:sz w:val="24"/>
                <w:szCs w:val="24"/>
                <w:color w:val="auto"/>
              </w:rPr>
            </w:pPr>
          </w:p>
        </w:tc>
        <w:tc>
          <w:tcPr>
            <w:tcW w:w="5100" w:type="dxa"/>
            <w:vAlign w:val="bottom"/>
            <w:gridSpan w:val="8"/>
          </w:tcPr>
          <w:p>
            <w:pPr>
              <w:ind w:left="448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10.13</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September 4, 2020</w:t>
            </w:r>
          </w:p>
        </w:tc>
      </w:tr>
      <w:tr>
        <w:trPr>
          <w:trHeight w:val="770"/>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10.14</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September 4, 2020</w:t>
            </w:r>
          </w:p>
        </w:tc>
      </w:tr>
      <w:tr>
        <w:trPr>
          <w:trHeight w:val="769"/>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10.15</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September 4, 2020</w:t>
            </w:r>
          </w:p>
        </w:tc>
      </w:tr>
      <w:tr>
        <w:trPr>
          <w:trHeight w:val="338"/>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10.16</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September 4, 2020</w:t>
            </w:r>
          </w:p>
        </w:tc>
      </w:tr>
      <w:tr>
        <w:trPr>
          <w:trHeight w:val="553"/>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10.17</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September 4, 2020</w:t>
            </w:r>
          </w:p>
        </w:tc>
      </w:tr>
      <w:tr>
        <w:trPr>
          <w:trHeight w:val="553"/>
        </w:trPr>
        <w:tc>
          <w:tcPr>
            <w:tcW w:w="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10.18</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September 4, 2020</w:t>
            </w:r>
          </w:p>
        </w:tc>
      </w:tr>
    </w:tbl>
    <w:p>
      <w:pPr>
        <w:sectPr>
          <w:pgSz w:w="11900" w:h="16838" w:orient="portrait"/>
          <w:cols w:equalWidth="0" w:num="2">
            <w:col w:w="6720" w:space="220"/>
            <w:col w:w="4180"/>
          </w:cols>
          <w:pgMar w:left="320" w:top="324" w:right="459" w:bottom="1440" w:gutter="0" w:footer="0" w:header="0"/>
        </w:sectPr>
      </w:pPr>
    </w:p>
    <w:bookmarkStart w:id="150" w:name="page151"/>
    <w:bookmarkEnd w:id="150"/>
    <w:p>
      <w:pPr>
        <w:ind w:left="440" w:hanging="432"/>
        <w:spacing w:after="0"/>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ind w:left="440" w:hanging="432"/>
        <w:spacing w:after="0" w:line="230" w:lineRule="auto"/>
        <w:tabs>
          <w:tab w:leader="none" w:pos="4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Indicated management contract or compensatory plan.</w:t>
      </w:r>
    </w:p>
    <w:p>
      <w:pPr>
        <w:spacing w:after="0" w:line="64" w:lineRule="exact"/>
        <w:rPr>
          <w:sz w:val="20"/>
          <w:szCs w:val="20"/>
          <w:color w:val="auto"/>
        </w:rPr>
      </w:pPr>
    </w:p>
    <w:p>
      <w:pPr>
        <w:ind w:left="440" w:hanging="432"/>
        <w:spacing w:after="0" w:line="254" w:lineRule="auto"/>
        <w:tabs>
          <w:tab w:leader="none" w:pos="440" w:val="left"/>
        </w:tabs>
        <w:numPr>
          <w:ilvl w:val="0"/>
          <w:numId w:val="7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elected not to include summary information.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78" w:right="45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80" w:firstLine="5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Mack, Ph.D. and Winston Kung,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256"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6"/>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2021</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H. Mack, Ph.D.</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2021</w:t>
            </w:r>
          </w:p>
        </w:tc>
      </w:tr>
      <w:tr>
        <w:trPr>
          <w:trHeight w:val="178"/>
        </w:trPr>
        <w:tc>
          <w:tcPr>
            <w:tcW w:w="3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Winston Kung</w:t>
            </w:r>
          </w:p>
        </w:tc>
        <w:tc>
          <w:tcPr>
            <w:tcW w:w="100" w:type="dxa"/>
            <w:vAlign w:val="bottom"/>
          </w:tcPr>
          <w:p>
            <w:pPr>
              <w:spacing w:after="0"/>
              <w:rPr>
                <w:sz w:val="15"/>
                <w:szCs w:val="15"/>
                <w:color w:val="auto"/>
              </w:rPr>
            </w:pPr>
          </w:p>
        </w:tc>
        <w:tc>
          <w:tcPr>
            <w:tcW w:w="4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and Chief Financial Officer</w:t>
            </w:r>
          </w:p>
        </w:tc>
        <w:tc>
          <w:tcPr>
            <w:tcW w:w="12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34"/>
        </w:trPr>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45"/>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Heyman</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Chairman of the Board of Directors</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2021</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Heyman, Ph.D.</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Arnold Levine</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2021</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Arnold Levine, Ph.D.</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Thilo Schroeder</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2021</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Thilo Schroeder, Ph.D.</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Laurie Stelzer</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2021</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Laurie Stelzer</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Thompson</w:t>
            </w: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2021</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Thompson, M.D.</w:t>
            </w: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643"/>
        </w:trPr>
        <w:tc>
          <w:tcPr>
            <w:tcW w:w="3260" w:type="dxa"/>
            <w:vAlign w:val="bottom"/>
          </w:tcPr>
          <w:p>
            <w:pPr>
              <w:spacing w:after="0"/>
              <w:rPr>
                <w:sz w:val="24"/>
                <w:szCs w:val="24"/>
                <w:color w:val="auto"/>
              </w:rPr>
            </w:pPr>
          </w:p>
        </w:tc>
        <w:tc>
          <w:tcPr>
            <w:tcW w:w="4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94" w:lineRule="exact"/>
        <w:rPr>
          <w:sz w:val="20"/>
          <w:szCs w:val="20"/>
          <w:color w:val="auto"/>
        </w:rPr>
      </w:pPr>
    </w:p>
    <w:p>
      <w:pPr>
        <w:jc w:val="both"/>
        <w:ind w:firstLine="832"/>
        <w:spacing w:after="0" w:line="266" w:lineRule="auto"/>
        <w:rPr>
          <w:sz w:val="20"/>
          <w:szCs w:val="20"/>
          <w:color w:val="auto"/>
        </w:rPr>
      </w:pPr>
      <w:r>
        <w:rPr>
          <w:rFonts w:ascii="Times New Roman" w:cs="Times New Roman" w:eastAsia="Times New Roman" w:hAnsi="Times New Roman"/>
          <w:sz w:val="19"/>
          <w:szCs w:val="19"/>
          <w:color w:val="auto"/>
        </w:rPr>
        <w:t>The following summary describes our common stock and preferred stock, as well as certain provisions of our amended and restated certificate of incorporation and amended and restated bylaws. This summary does not purport to be complete and is qualified in its entirety by the provisions of our amended and restated certificate of incorporation and amended and restated bylaws, copies of which have been filed as exhibits to this Annual Report on Form 10-K, as well as to the applicable provisions of the Delaware General Corporation Law.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Stock</w:t>
      </w:r>
    </w:p>
    <w:p>
      <w:pPr>
        <w:spacing w:after="0" w:line="220" w:lineRule="exact"/>
        <w:rPr>
          <w:sz w:val="20"/>
          <w:szCs w:val="20"/>
          <w:color w:val="auto"/>
        </w:rPr>
      </w:pPr>
    </w:p>
    <w:p>
      <w:pPr>
        <w:jc w:val="both"/>
        <w:ind w:firstLine="832"/>
        <w:spacing w:after="0" w:line="269" w:lineRule="auto"/>
        <w:rPr>
          <w:sz w:val="20"/>
          <w:szCs w:val="20"/>
          <w:color w:val="auto"/>
        </w:rPr>
      </w:pPr>
      <w:r>
        <w:rPr>
          <w:rFonts w:ascii="Times New Roman" w:cs="Times New Roman" w:eastAsia="Times New Roman" w:hAnsi="Times New Roman"/>
          <w:sz w:val="20"/>
          <w:szCs w:val="20"/>
          <w:color w:val="auto"/>
        </w:rPr>
        <w:t>Our authorized capital stock consists of 1,000,000,000 shares of common stock, par value $0.00001 per share, and 5,000,000 shares of preferred stock, par value $0.00001 per share. All of our outstanding shares of common stock are paid and nonassessable.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20" w:lineRule="exact"/>
        <w:rPr>
          <w:sz w:val="20"/>
          <w:szCs w:val="20"/>
          <w:color w:val="auto"/>
        </w:rPr>
      </w:pPr>
    </w:p>
    <w:p>
      <w:pPr>
        <w:jc w:val="both"/>
        <w:ind w:firstLine="832"/>
        <w:spacing w:after="0" w:line="254" w:lineRule="auto"/>
        <w:rPr>
          <w:sz w:val="20"/>
          <w:szCs w:val="20"/>
          <w:color w:val="auto"/>
        </w:rPr>
      </w:pPr>
      <w:r>
        <w:rPr>
          <w:rFonts w:ascii="Times New Roman" w:cs="Times New Roman" w:eastAsia="Times New Roman" w:hAnsi="Times New Roman"/>
          <w:sz w:val="20"/>
          <w:szCs w:val="20"/>
          <w:color w:val="auto"/>
        </w:rPr>
        <w:t>Our common stock is listed on the Nasdaq Global Select Market under the symbol “PMVP.” The transfer agent and registrar for our common stock is American Stock Transfer &amp; Trust Company, LLC. The transfer agent and registrar’s address is 6201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Avenue, Brooklyn, NY 11219, and its telephone number is (800) 937-5449.</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20"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color w:val="auto"/>
        </w:rPr>
        <w:t>Each holder of common stock is entitled to one vote for each share on all matters submitted to a vote of the stockholders, including the election of directors. Our stockholders do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20" w:lineRule="exact"/>
        <w:rPr>
          <w:sz w:val="20"/>
          <w:szCs w:val="20"/>
          <w:color w:val="auto"/>
        </w:rPr>
      </w:pPr>
    </w:p>
    <w:p>
      <w:pPr>
        <w:jc w:val="both"/>
        <w:ind w:right="20" w:firstLine="832"/>
        <w:spacing w:after="0" w:line="269" w:lineRule="auto"/>
        <w:rPr>
          <w:sz w:val="20"/>
          <w:szCs w:val="20"/>
          <w:color w:val="auto"/>
        </w:rPr>
      </w:pPr>
      <w:r>
        <w:rPr>
          <w:rFonts w:ascii="Times New Roman" w:cs="Times New Roman" w:eastAsia="Times New Roman" w:hAnsi="Times New Roman"/>
          <w:sz w:val="20"/>
          <w:szCs w:val="20"/>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20" w:lineRule="exact"/>
        <w:rPr>
          <w:sz w:val="20"/>
          <w:szCs w:val="20"/>
          <w:color w:val="auto"/>
        </w:rPr>
      </w:pPr>
    </w:p>
    <w:p>
      <w:pPr>
        <w:jc w:val="both"/>
        <w:ind w:firstLine="832"/>
        <w:spacing w:after="0" w:line="269" w:lineRule="auto"/>
        <w:rPr>
          <w:sz w:val="20"/>
          <w:szCs w:val="20"/>
          <w:color w:val="auto"/>
        </w:rPr>
      </w:pPr>
      <w:r>
        <w:rPr>
          <w:rFonts w:ascii="Times New Roman" w:cs="Times New Roman" w:eastAsia="Times New Roman" w:hAnsi="Times New Roman"/>
          <w:sz w:val="20"/>
          <w:szCs w:val="20"/>
          <w:color w:val="auto"/>
        </w:rPr>
        <w:t>In the event of our liquidation, dissolution or winding up, holders of our common stock will be entitled to share ratably in the net assets legally available for distribution to stockholders after the payment of all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53" w:name="page154"/>
    <w:bookmarkEnd w:id="153"/>
    <w:p>
      <w:pPr>
        <w:jc w:val="both"/>
        <w:spacing w:after="0" w:line="269" w:lineRule="auto"/>
        <w:rPr>
          <w:sz w:val="20"/>
          <w:szCs w:val="20"/>
          <w:color w:val="auto"/>
        </w:rPr>
      </w:pPr>
      <w:r>
        <w:rPr>
          <w:rFonts w:ascii="Times New Roman" w:cs="Times New Roman" w:eastAsia="Times New Roman" w:hAnsi="Times New Roman"/>
          <w:sz w:val="20"/>
          <w:szCs w:val="20"/>
          <w:color w:val="auto"/>
        </w:rPr>
        <w:t>debts and other liabilities and the satisfaction of any liquidation preference granted to the holders of any then-outstanding shares of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and Preferences</w:t>
      </w:r>
    </w:p>
    <w:p>
      <w:pPr>
        <w:spacing w:after="0" w:line="220" w:lineRule="exact"/>
        <w:rPr>
          <w:sz w:val="20"/>
          <w:szCs w:val="20"/>
          <w:color w:val="auto"/>
        </w:rPr>
      </w:pPr>
    </w:p>
    <w:p>
      <w:pPr>
        <w:jc w:val="both"/>
        <w:ind w:firstLine="832"/>
        <w:spacing w:after="0" w:line="274" w:lineRule="auto"/>
        <w:rPr>
          <w:sz w:val="20"/>
          <w:szCs w:val="20"/>
          <w:color w:val="auto"/>
        </w:rPr>
      </w:pPr>
      <w:r>
        <w:rPr>
          <w:rFonts w:ascii="Times New Roman" w:cs="Times New Roman" w:eastAsia="Times New Roman" w:hAnsi="Times New Roman"/>
          <w:sz w:val="19"/>
          <w:szCs w:val="19"/>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20"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the board of directors is authorized,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p>
      <w:pPr>
        <w:spacing w:after="0" w:line="185" w:lineRule="exact"/>
        <w:rPr>
          <w:sz w:val="20"/>
          <w:szCs w:val="20"/>
          <w:color w:val="auto"/>
        </w:rPr>
      </w:pPr>
    </w:p>
    <w:p>
      <w:pPr>
        <w:jc w:val="both"/>
        <w:ind w:firstLine="832"/>
        <w:spacing w:after="0" w:line="254" w:lineRule="auto"/>
        <w:rPr>
          <w:sz w:val="20"/>
          <w:szCs w:val="20"/>
          <w:color w:val="auto"/>
        </w:rPr>
      </w:pPr>
      <w:r>
        <w:rPr>
          <w:rFonts w:ascii="Times New Roman" w:cs="Times New Roman" w:eastAsia="Times New Roman" w:hAnsi="Times New Roman"/>
          <w:sz w:val="20"/>
          <w:szCs w:val="20"/>
          <w:color w:val="auto"/>
        </w:rPr>
        <w:t>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Preferred stock will be fully paid and nonassessable upon issuance.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Registration Rights of Certain Stockholders</w:t>
      </w:r>
    </w:p>
    <w:p>
      <w:pPr>
        <w:spacing w:after="0" w:line="220"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color w:val="auto"/>
        </w:rPr>
        <w:t>Certain of our stockholders have registration rights under our amended and restated investors’ rights agreement (the “Investors’ Rights Agreement”), between us and such stockholders. These stockholders (and certain of their permitted transferees), may request that we file registration statements under the Securities Act of 1933, as amended, or the Securities Act, and, upon such request and subject to minimum size and other conditions, we will be required to effect any such registration. We are generally obligated to bear the expenses, other than underwriting discounts and sales commissions, of all of these registrations. This summary does not purport to be complete and is qualified in its entirety by the provisions of the Investors’ Rights Agreement, a copy of which has been filed as an exhibit to this Annual Report on Form 10-K.</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Anti-Takeover Effects of Certain Provisions of Delaware Law, Our Amended and Restated Certificate of Incorporation and Our Amended and Restated Bylaws</w:t>
      </w:r>
    </w:p>
    <w:p>
      <w:pPr>
        <w:spacing w:after="0" w:line="156" w:lineRule="exact"/>
        <w:rPr>
          <w:sz w:val="20"/>
          <w:szCs w:val="20"/>
          <w:color w:val="auto"/>
        </w:rPr>
      </w:pPr>
    </w:p>
    <w:p>
      <w:pPr>
        <w:jc w:val="both"/>
        <w:ind w:firstLine="832"/>
        <w:spacing w:after="0" w:line="249" w:lineRule="auto"/>
        <w:rPr>
          <w:sz w:val="20"/>
          <w:szCs w:val="20"/>
          <w:color w:val="auto"/>
        </w:rPr>
      </w:pPr>
      <w:r>
        <w:rPr>
          <w:rFonts w:ascii="Times New Roman" w:cs="Times New Roman" w:eastAsia="Times New Roman" w:hAnsi="Times New Roman"/>
          <w:sz w:val="20"/>
          <w:szCs w:val="20"/>
          <w:color w:val="auto"/>
        </w:rPr>
        <w:t>Certain provisions of Delaware law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Classified Board of Directors</w:t>
      </w:r>
    </w:p>
    <w:p>
      <w:pPr>
        <w:spacing w:after="0" w:line="220" w:lineRule="exact"/>
        <w:rPr>
          <w:sz w:val="20"/>
          <w:szCs w:val="20"/>
          <w:color w:val="auto"/>
        </w:rPr>
      </w:pPr>
    </w:p>
    <w:p>
      <w:pPr>
        <w:jc w:val="both"/>
        <w:ind w:right="20" w:firstLine="832"/>
        <w:spacing w:after="0" w:line="269" w:lineRule="auto"/>
        <w:rPr>
          <w:sz w:val="20"/>
          <w:szCs w:val="20"/>
          <w:color w:val="auto"/>
        </w:rPr>
      </w:pPr>
      <w:r>
        <w:rPr>
          <w:rFonts w:ascii="Times New Roman" w:cs="Times New Roman" w:eastAsia="Times New Roman" w:hAnsi="Times New Roman"/>
          <w:sz w:val="20"/>
          <w:szCs w:val="20"/>
          <w:color w:val="auto"/>
        </w:rPr>
        <w:t>Our board of directors is divided into three classes, designated Class I, Class II and Class III. Each class will be an equal number of directors, as nearly as possible, consisting of one third of the total number of directors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4" w:name="page155"/>
    <w:bookmarkEnd w:id="154"/>
    <w:p>
      <w:pPr>
        <w:jc w:val="both"/>
        <w:spacing w:after="0" w:line="269" w:lineRule="auto"/>
        <w:rPr>
          <w:sz w:val="20"/>
          <w:szCs w:val="20"/>
          <w:color w:val="auto"/>
        </w:rPr>
      </w:pPr>
      <w:r>
        <w:rPr>
          <w:rFonts w:ascii="Times New Roman" w:cs="Times New Roman" w:eastAsia="Times New Roman" w:hAnsi="Times New Roman"/>
          <w:sz w:val="20"/>
          <w:szCs w:val="20"/>
          <w:color w:val="auto"/>
        </w:rPr>
        <w:t>constituting the entire board of directors. At each annual meeting of stockholders, successors to the class of directors whose term expires at that annual meeting will be elected for a three-year term.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Removal of Directors</w:t>
      </w:r>
    </w:p>
    <w:p>
      <w:pPr>
        <w:spacing w:after="0" w:line="220" w:lineRule="exact"/>
        <w:rPr>
          <w:sz w:val="20"/>
          <w:szCs w:val="20"/>
          <w:color w:val="auto"/>
        </w:rPr>
      </w:pPr>
    </w:p>
    <w:p>
      <w:pPr>
        <w:jc w:val="both"/>
        <w:ind w:right="20" w:firstLine="832"/>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stockholders may only remove a director for cause by a vote of at least a majority of the voting power of the issued and outstanding capital stock of the Company entitled to vote.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 Vacancies</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Only our board of directors may fill vacant directorships.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Cumulative Voting</w:t>
      </w:r>
    </w:p>
    <w:p>
      <w:pPr>
        <w:spacing w:after="0" w:line="220" w:lineRule="exact"/>
        <w:rPr>
          <w:sz w:val="20"/>
          <w:szCs w:val="20"/>
          <w:color w:val="auto"/>
        </w:rPr>
      </w:pPr>
    </w:p>
    <w:p>
      <w:pPr>
        <w:jc w:val="both"/>
        <w:ind w:firstLine="832"/>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Stockholders do not have the right to cumulate votes in the election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Special Meetings of Stockholders</w:t>
      </w:r>
    </w:p>
    <w:p>
      <w:pPr>
        <w:spacing w:after="0" w:line="220" w:lineRule="exact"/>
        <w:rPr>
          <w:sz w:val="20"/>
          <w:szCs w:val="20"/>
          <w:color w:val="auto"/>
        </w:rPr>
      </w:pPr>
    </w:p>
    <w:p>
      <w:pPr>
        <w:jc w:val="both"/>
        <w:ind w:firstLine="832"/>
        <w:spacing w:after="0" w:line="24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provide that, except as otherwise required by law or subject to the terms of any series of Preferred Stock,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Advance Notice Procedures for Director Nominations</w:t>
      </w:r>
    </w:p>
    <w:p>
      <w:pPr>
        <w:spacing w:after="0" w:line="220"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color w:val="auto"/>
        </w:rPr>
        <w:t>Our amended and restated bylaws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our amended and restated bylaws do not give the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Action by Written Consent</w:t>
      </w:r>
    </w:p>
    <w:p>
      <w:pPr>
        <w:spacing w:after="0" w:line="220" w:lineRule="exact"/>
        <w:rPr>
          <w:sz w:val="20"/>
          <w:szCs w:val="20"/>
          <w:color w:val="auto"/>
        </w:rPr>
      </w:pPr>
    </w:p>
    <w:p>
      <w:pPr>
        <w:jc w:val="both"/>
        <w:ind w:firstLine="832"/>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Amending our Certificate of Incorporation and Bylaws</w:t>
      </w:r>
    </w:p>
    <w:p>
      <w:pPr>
        <w:spacing w:after="0" w:line="220" w:lineRule="exact"/>
        <w:rPr>
          <w:sz w:val="20"/>
          <w:szCs w:val="20"/>
          <w:color w:val="auto"/>
        </w:rPr>
      </w:pPr>
    </w:p>
    <w:p>
      <w:pPr>
        <w:jc w:val="both"/>
        <w:ind w:firstLine="832"/>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may be amended or altered in any manner provided by the General Corporation Law of the State of Delaware, or DGCL, except that amendment of certain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5" w:name="page156"/>
    <w:bookmarkEnd w:id="155"/>
    <w:p>
      <w:pPr>
        <w:jc w:val="both"/>
        <w:spacing w:after="0" w:line="246" w:lineRule="auto"/>
        <w:rPr>
          <w:sz w:val="20"/>
          <w:szCs w:val="20"/>
          <w:color w:val="auto"/>
        </w:rPr>
      </w:pPr>
      <w:r>
        <w:rPr>
          <w:rFonts w:ascii="Times New Roman" w:cs="Times New Roman" w:eastAsia="Times New Roman" w:hAnsi="Times New Roman"/>
          <w:sz w:val="20"/>
          <w:szCs w:val="20"/>
          <w:color w:val="auto"/>
        </w:rPr>
        <w:t>provisions would require the approval of two-thirds of our then outstanding voting securities.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 two-thirds majority of our then outstanding voting securities. Additionally, our amended and restated certificate of incorporation provides that our bylaws may be amended, altered or repealed by the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Authorized but Unissued Shares</w:t>
      </w:r>
    </w:p>
    <w:p>
      <w:pPr>
        <w:spacing w:after="0" w:line="220"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color w:val="auto"/>
        </w:rPr>
        <w:t>Our authorized but unissued shares of common stock and preferred stock will be available for future issuances without stockholder approval, except as required by the listing standards of the Nasdaq Stock Market LLC,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Delaware Anti-takeover Statute</w:t>
      </w:r>
    </w:p>
    <w:p>
      <w:pPr>
        <w:spacing w:after="0" w:line="220"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97" w:lineRule="exact"/>
        <w:rPr>
          <w:sz w:val="20"/>
          <w:szCs w:val="20"/>
          <w:color w:val="auto"/>
        </w:rPr>
      </w:pPr>
    </w:p>
    <w:p>
      <w:pPr>
        <w:jc w:val="both"/>
        <w:ind w:firstLine="832"/>
        <w:spacing w:after="0" w:line="254" w:lineRule="auto"/>
        <w:rPr>
          <w:sz w:val="20"/>
          <w:szCs w:val="20"/>
          <w:color w:val="auto"/>
        </w:rPr>
      </w:pPr>
      <w:r>
        <w:rPr>
          <w:rFonts w:ascii="Times New Roman" w:cs="Times New Roman" w:eastAsia="Times New Roman" w:hAnsi="Times New Roman"/>
          <w:sz w:val="20"/>
          <w:szCs w:val="20"/>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549"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LEASE</w:t>
      </w:r>
    </w:p>
    <w:p>
      <w:pPr>
        <w:spacing w:after="0" w:line="200" w:lineRule="exact"/>
        <w:rPr>
          <w:sz w:val="20"/>
          <w:szCs w:val="20"/>
          <w:color w:val="auto"/>
        </w:rPr>
      </w:pPr>
    </w:p>
    <w:p>
      <w:pPr>
        <w:spacing w:after="0" w:line="22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0" w:lineRule="exact"/>
        <w:rPr>
          <w:sz w:val="20"/>
          <w:szCs w:val="20"/>
          <w:color w:val="auto"/>
        </w:rPr>
      </w:pPr>
    </w:p>
    <w:p>
      <w:pPr>
        <w:spacing w:after="0" w:line="2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BMR-ONE RESEARCH WAY LLC,</w:t>
      </w:r>
    </w:p>
    <w:p>
      <w:pPr>
        <w:spacing w:after="0" w:line="1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9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PMV PHARMACEUTICALS, INC.,</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1667510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2"/>
                <w:szCs w:val="22"/>
                <w:color w:val="auto"/>
              </w:rPr>
            </w:pPr>
          </w:p>
        </w:tc>
        <w:tc>
          <w:tcPr>
            <w:tcW w:w="8320" w:type="dxa"/>
            <w:vAlign w:val="bottom"/>
          </w:tcPr>
          <w:p>
            <w:pPr>
              <w:ind w:left="4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500" w:type="dxa"/>
            <w:vAlign w:val="bottom"/>
          </w:tcPr>
          <w:p>
            <w:pPr>
              <w:spacing w:after="0"/>
              <w:rPr>
                <w:sz w:val="22"/>
                <w:szCs w:val="22"/>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Lease of Premises.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Basic Lease Provisions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Term</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Possession and Commencement Date.</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Condition of Premises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Rent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Rent Adjustments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Property Management Fee</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Security Deposit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Use</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Rules and Regulations, CC&amp;Rs and Parking Facilities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Control by Landlord</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Quiet Enjoyment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Utilities and Services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Alterations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Repairs and Maintenance</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Estoppel Certificate</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Hazardous Materials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Odors and Exhaust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Damage or Destruction</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Eminent Domain</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Surrender</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 Over</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Indemnification and Exculpation</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Assignment or Subletting</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Subordination and Attornment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Defaults and Remedies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Bankruptcy</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Brokers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Definition of Landlord</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Limitation of Landlord’s Liability</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Joint and Several Obligations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Representations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Miscellaneous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83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Rooftop Installation Area</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82"/>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83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Option to Extend Term</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LEASE (this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is entered into as of this 8th day of January, 2021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BMR-ONE RESEARCH WAY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PMV PHARMACEUTICALS,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10" w:lineRule="exact"/>
        <w:rPr>
          <w:sz w:val="20"/>
          <w:szCs w:val="20"/>
          <w:color w:val="auto"/>
        </w:rPr>
      </w:pPr>
    </w:p>
    <w:p>
      <w:pPr>
        <w:jc w:val="both"/>
        <w:ind w:firstLine="872"/>
        <w:spacing w:after="0" w:line="244" w:lineRule="auto"/>
        <w:tabs>
          <w:tab w:leader="none" w:pos="172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owns certain real property (the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and the improvements on the Property located at One Research Way, Princeton, New Jersey, in the office and warehouse complex known as Forrestal Center (the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including the building located thereon (the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firstLine="872"/>
        <w:spacing w:after="0" w:line="258" w:lineRule="auto"/>
        <w:tabs>
          <w:tab w:leader="none" w:pos="171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wishes to lease to Tenant, and Tenant desires to lease from Landlord, the Premises (as defined below), pursuant to the terms and conditions of this Lease, as detailed below.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3" w:lineRule="exact"/>
        <w:rPr>
          <w:sz w:val="20"/>
          <w:szCs w:val="20"/>
          <w:color w:val="auto"/>
        </w:rPr>
      </w:pPr>
    </w:p>
    <w:p>
      <w:pPr>
        <w:jc w:val="both"/>
        <w:ind w:firstLine="8"/>
        <w:spacing w:after="0" w:line="236" w:lineRule="auto"/>
        <w:tabs>
          <w:tab w:leader="none" w:pos="81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of Premises</w:t>
      </w:r>
      <w:r>
        <w:rPr>
          <w:rFonts w:ascii="Times New Roman" w:cs="Times New Roman" w:eastAsia="Times New Roman" w:hAnsi="Times New Roman"/>
          <w:sz w:val="22"/>
          <w:szCs w:val="22"/>
          <w:color w:val="auto"/>
        </w:rPr>
        <w:t xml:space="preserve">. Effective on the Term Commencement Date (as defined below), Landlord hereby leases to Tenant, and Tenant hereby leases from Landlord, the premises shown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including shafts, cable runs, mechanical spaces, rooftop areas, landscaping, parking facilities, private drives and other improvements and appurtenances related thereto (including the Building), together with the benefit of the rights and easements appurtenant to the Property as part of the Project, for the use by Tenant in accordance with the Permitted Use (as defined below) and no other uses (collectively,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Basic Lease Provisions</w:t>
      </w:r>
      <w:r>
        <w:rPr>
          <w:rFonts w:ascii="Times New Roman" w:cs="Times New Roman" w:eastAsia="Times New Roman" w:hAnsi="Times New Roman"/>
          <w:sz w:val="22"/>
          <w:szCs w:val="22"/>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Rentable Area</w:t>
      </w:r>
      <w:r>
        <w:rPr>
          <w:rFonts w:ascii="Times New Roman" w:cs="Times New Roman" w:eastAsia="Times New Roman" w:hAnsi="Times New Roman"/>
          <w:sz w:val="22"/>
          <w:szCs w:val="22"/>
          <w:color w:val="auto"/>
        </w:rPr>
        <w:t>” of the Premises: The Parties stipulate and agree that the Rentable Area of the Premises is 50,581 square feet. In no event shall the Rentable Area of the Premises be deemed to have increased unless due to a change in the outer dimensions of the exterior walls of the Premises.</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2.3. Monthly and annual installments of Base Rent for the Premises (“</w:t>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 as of the Rent Commencement Date (as defined below), subject to adjustment under this Lease,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9" w:name="page160"/>
    <w:bookmarkEnd w:id="159"/>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be as described in the Base Rent table in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For the avoidance of doubt, the following Base Rent table assumes the Term Commencement Date occurs on the Estimated Term Commencement Date (as such terms are defined below). If the Term Commencement Date occurs on a date other than the Estimated Term Commencement Date, then,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annual increases to Base Rent shall occur on the anniversary of the actual Term Commencement Date established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w:t>
      </w:r>
    </w:p>
    <w:p>
      <w:pPr>
        <w:spacing w:after="0" w:line="184" w:lineRule="exact"/>
        <w:rPr>
          <w:sz w:val="20"/>
          <w:szCs w:val="20"/>
          <w:color w:val="auto"/>
        </w:rPr>
      </w:pPr>
    </w:p>
    <w:tbl>
      <w:tblPr>
        <w:tblLayout w:type="fixed"/>
        <w:tblInd w:w="30" w:type="dxa"/>
        <w:tblCellMar>
          <w:top w:w="0" w:type="dxa"/>
          <w:left w:w="0" w:type="dxa"/>
          <w:bottom w:w="0" w:type="dxa"/>
          <w:right w:w="0" w:type="dxa"/>
        </w:tblCellMar>
      </w:tblPr>
      <w:tr>
        <w:trPr>
          <w:trHeight w:val="216"/>
        </w:trPr>
        <w:tc>
          <w:tcPr>
            <w:tcW w:w="1280" w:type="dxa"/>
            <w:vAlign w:val="bottom"/>
            <w:tcBorders>
              <w:top w:val="single" w:sz="8" w:color="auto"/>
              <w:left w:val="single" w:sz="8" w:color="auto"/>
            </w:tcBorders>
          </w:tcPr>
          <w:p>
            <w:pPr>
              <w:spacing w:after="0"/>
              <w:rPr>
                <w:sz w:val="18"/>
                <w:szCs w:val="18"/>
                <w:color w:val="auto"/>
              </w:rPr>
            </w:pPr>
          </w:p>
        </w:tc>
        <w:tc>
          <w:tcPr>
            <w:tcW w:w="1800" w:type="dxa"/>
            <w:vAlign w:val="bottom"/>
            <w:tcBorders>
              <w:top w:val="single" w:sz="8" w:color="auto"/>
              <w:right w:val="single" w:sz="8" w:color="auto"/>
            </w:tcBorders>
            <w:gridSpan w:val="2"/>
            <w:vMerge w:val="restart"/>
          </w:tcPr>
          <w:p>
            <w:pPr>
              <w:jc w:val="center"/>
              <w:ind w:right="1280"/>
              <w:spacing w:after="0"/>
              <w:rPr>
                <w:sz w:val="20"/>
                <w:szCs w:val="20"/>
                <w:color w:val="auto"/>
              </w:rPr>
            </w:pPr>
            <w:r>
              <w:rPr>
                <w:rFonts w:ascii="Times New Roman" w:cs="Times New Roman" w:eastAsia="Times New Roman" w:hAnsi="Times New Roman"/>
                <w:sz w:val="22"/>
                <w:szCs w:val="22"/>
                <w:b w:val="1"/>
                <w:bCs w:val="1"/>
                <w:color w:val="auto"/>
                <w:w w:val="98"/>
              </w:rPr>
              <w:t>Dates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Square Feet of</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80" w:type="dxa"/>
            <w:vAlign w:val="bottom"/>
            <w:tcBorders>
              <w:top w:val="single" w:sz="8" w:color="auto"/>
              <w:right w:val="single" w:sz="8" w:color="auto"/>
            </w:tcBorders>
            <w:gridSpan w:val="3"/>
          </w:tcPr>
          <w:p>
            <w:pPr>
              <w:jc w:val="center"/>
              <w:ind w:right="260"/>
              <w:spacing w:after="0" w:line="216" w:lineRule="exact"/>
              <w:rPr>
                <w:sz w:val="20"/>
                <w:szCs w:val="20"/>
                <w:color w:val="auto"/>
              </w:rPr>
            </w:pPr>
            <w:r>
              <w:rPr>
                <w:rFonts w:ascii="Times New Roman" w:cs="Times New Roman" w:eastAsia="Times New Roman" w:hAnsi="Times New Roman"/>
                <w:sz w:val="22"/>
                <w:szCs w:val="22"/>
                <w:b w:val="1"/>
                <w:bCs w:val="1"/>
                <w:color w:val="auto"/>
                <w:w w:val="98"/>
              </w:rPr>
              <w:t>Base Rent per Square</w:t>
            </w: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right w:val="single" w:sz="8" w:color="auto"/>
            </w:tcBorders>
            <w:gridSpan w:val="4"/>
          </w:tcPr>
          <w:p>
            <w:pPr>
              <w:jc w:val="center"/>
              <w:ind w:right="360"/>
              <w:spacing w:after="0" w:line="216" w:lineRule="exact"/>
              <w:rPr>
                <w:sz w:val="20"/>
                <w:szCs w:val="20"/>
                <w:color w:val="auto"/>
              </w:rPr>
            </w:pPr>
            <w:r>
              <w:rPr>
                <w:rFonts w:ascii="Times New Roman" w:cs="Times New Roman" w:eastAsia="Times New Roman" w:hAnsi="Times New Roman"/>
                <w:sz w:val="22"/>
                <w:szCs w:val="22"/>
                <w:b w:val="1"/>
                <w:bCs w:val="1"/>
                <w:color w:val="auto"/>
                <w:w w:val="98"/>
              </w:rPr>
              <w:t>Monthly Base</w:t>
            </w:r>
          </w:p>
        </w:tc>
        <w:tc>
          <w:tcPr>
            <w:tcW w:w="192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w w:val="97"/>
              </w:rPr>
              <w:t>Annual Base Rent**</w:t>
            </w:r>
          </w:p>
        </w:tc>
        <w:tc>
          <w:tcPr>
            <w:tcW w:w="0" w:type="dxa"/>
            <w:vAlign w:val="bottom"/>
          </w:tcPr>
          <w:p>
            <w:pPr>
              <w:spacing w:after="0"/>
              <w:rPr>
                <w:sz w:val="1"/>
                <w:szCs w:val="1"/>
                <w:color w:val="auto"/>
              </w:rPr>
            </w:pPr>
          </w:p>
        </w:tc>
      </w:tr>
      <w:tr>
        <w:trPr>
          <w:trHeight w:val="20"/>
        </w:trPr>
        <w:tc>
          <w:tcPr>
            <w:tcW w:w="1280" w:type="dxa"/>
            <w:vAlign w:val="bottom"/>
            <w:tcBorders>
              <w:left w:val="single" w:sz="8" w:color="auto"/>
            </w:tcBorders>
          </w:tcPr>
          <w:p>
            <w:pPr>
              <w:spacing w:after="0" w:line="20" w:lineRule="exact"/>
              <w:rPr>
                <w:sz w:val="1"/>
                <w:szCs w:val="1"/>
                <w:color w:val="auto"/>
              </w:rPr>
            </w:pPr>
          </w:p>
        </w:tc>
        <w:tc>
          <w:tcPr>
            <w:tcW w:w="1800" w:type="dxa"/>
            <w:vAlign w:val="bottom"/>
            <w:tcBorders>
              <w:right w:val="single" w:sz="8" w:color="auto"/>
            </w:tcBorders>
            <w:gridSpan w:val="2"/>
            <w:vMerge w:val="continue"/>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tcBorders>
              <w:left w:val="single" w:sz="8" w:color="auto"/>
            </w:tcBorders>
          </w:tcPr>
          <w:p>
            <w:pPr>
              <w:spacing w:after="0"/>
              <w:rPr>
                <w:sz w:val="19"/>
                <w:szCs w:val="19"/>
                <w:color w:val="auto"/>
              </w:rPr>
            </w:pPr>
          </w:p>
        </w:tc>
        <w:tc>
          <w:tcPr>
            <w:tcW w:w="1800" w:type="dxa"/>
            <w:vAlign w:val="bottom"/>
            <w:tcBorders>
              <w:right w:val="single" w:sz="8" w:color="auto"/>
            </w:tcBorders>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5"/>
              </w:rPr>
              <w:t>Rentable Area</w:t>
            </w:r>
          </w:p>
        </w:tc>
        <w:tc>
          <w:tcPr>
            <w:tcW w:w="240" w:type="dxa"/>
            <w:vAlign w:val="bottom"/>
            <w:tcBorders>
              <w:right w:val="single" w:sz="8" w:color="auto"/>
            </w:tcBorders>
            <w:vMerge w:val="continue"/>
          </w:tcPr>
          <w:p>
            <w:pPr>
              <w:spacing w:after="0"/>
              <w:rPr>
                <w:sz w:val="19"/>
                <w:szCs w:val="19"/>
                <w:color w:val="auto"/>
              </w:rPr>
            </w:pPr>
          </w:p>
        </w:tc>
        <w:tc>
          <w:tcPr>
            <w:tcW w:w="2240" w:type="dxa"/>
            <w:vAlign w:val="bottom"/>
            <w:gridSpan w:val="3"/>
          </w:tcPr>
          <w:p>
            <w:pPr>
              <w:ind w:left="100"/>
              <w:spacing w:after="0" w:line="223" w:lineRule="exact"/>
              <w:rPr>
                <w:sz w:val="20"/>
                <w:szCs w:val="20"/>
                <w:color w:val="auto"/>
              </w:rPr>
            </w:pPr>
            <w:r>
              <w:rPr>
                <w:rFonts w:ascii="Times New Roman" w:cs="Times New Roman" w:eastAsia="Times New Roman" w:hAnsi="Times New Roman"/>
                <w:sz w:val="22"/>
                <w:szCs w:val="22"/>
                <w:b w:val="1"/>
                <w:bCs w:val="1"/>
                <w:color w:val="auto"/>
                <w:w w:val="92"/>
              </w:rPr>
              <w:t>Foot of Rentable Area**</w:t>
            </w:r>
          </w:p>
        </w:tc>
        <w:tc>
          <w:tcPr>
            <w:tcW w:w="1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right w:val="single" w:sz="8" w:color="auto"/>
            </w:tcBorders>
            <w:gridSpan w:val="3"/>
          </w:tcPr>
          <w:p>
            <w:pPr>
              <w:jc w:val="center"/>
              <w:ind w:right="680"/>
              <w:spacing w:after="0" w:line="223" w:lineRule="exact"/>
              <w:rPr>
                <w:sz w:val="20"/>
                <w:szCs w:val="20"/>
                <w:color w:val="auto"/>
              </w:rPr>
            </w:pPr>
            <w:r>
              <w:rPr>
                <w:rFonts w:ascii="Times New Roman" w:cs="Times New Roman" w:eastAsia="Times New Roman" w:hAnsi="Times New Roman"/>
                <w:sz w:val="22"/>
                <w:szCs w:val="22"/>
                <w:b w:val="1"/>
                <w:bCs w:val="1"/>
                <w:color w:val="auto"/>
                <w:w w:val="98"/>
              </w:rPr>
              <w:t>Rent**</w:t>
            </w:r>
          </w:p>
        </w:tc>
        <w:tc>
          <w:tcPr>
            <w:tcW w:w="192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88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8"/>
              </w:rPr>
              <w:t>January 1, 2022 – February 28,</w:t>
            </w:r>
          </w:p>
        </w:tc>
        <w:tc>
          <w:tcPr>
            <w:tcW w:w="1540" w:type="dxa"/>
            <w:vAlign w:val="bottom"/>
            <w:gridSpan w:val="2"/>
          </w:tcPr>
          <w:p>
            <w:pPr>
              <w:jc w:val="center"/>
              <w:ind w:left="92"/>
              <w:spacing w:after="0" w:line="209" w:lineRule="exact"/>
              <w:rPr>
                <w:sz w:val="20"/>
                <w:szCs w:val="20"/>
                <w:color w:val="auto"/>
              </w:rPr>
            </w:pPr>
            <w:r>
              <w:rPr>
                <w:rFonts w:ascii="Times New Roman" w:cs="Times New Roman" w:eastAsia="Times New Roman" w:hAnsi="Times New Roman"/>
                <w:sz w:val="22"/>
                <w:szCs w:val="22"/>
                <w:color w:val="auto"/>
                <w:w w:val="97"/>
              </w:rPr>
              <w:t>30,000*</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$32.50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6"/>
              </w:rPr>
              <w:t>$81,250.00</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$975,000.00</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2022</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8"/>
              </w:rPr>
              <w:t>March 1, 2022 – December 31,</w:t>
            </w:r>
          </w:p>
        </w:tc>
        <w:tc>
          <w:tcPr>
            <w:tcW w:w="1540" w:type="dxa"/>
            <w:vAlign w:val="bottom"/>
            <w:gridSpan w:val="2"/>
          </w:tcPr>
          <w:p>
            <w:pPr>
              <w:jc w:val="center"/>
              <w:ind w:left="92"/>
              <w:spacing w:after="0" w:line="209" w:lineRule="exact"/>
              <w:rPr>
                <w:sz w:val="20"/>
                <w:szCs w:val="20"/>
                <w:color w:val="auto"/>
              </w:rPr>
            </w:pPr>
            <w:r>
              <w:rPr>
                <w:rFonts w:ascii="Times New Roman" w:cs="Times New Roman" w:eastAsia="Times New Roman" w:hAnsi="Times New Roman"/>
                <w:sz w:val="22"/>
                <w:szCs w:val="22"/>
                <w:color w:val="auto"/>
                <w:w w:val="97"/>
              </w:rPr>
              <w:t>30,000*</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$33.48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6"/>
              </w:rPr>
              <w:t>$83,700.00</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$1,004,400.00</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2022</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8"/>
              </w:rPr>
              <w:t>January 1, 2023 – February 28,</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$33.48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$141,120.00</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$1,693,451.88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2023</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2023 – February 29,</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$34.48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$145,336.07</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$1,744,032.88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2024</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2024 – February 28,</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$35.51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$149,677.61</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$1,796,131.31</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2025</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2025 – February 28,</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$36.58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$154,187.75</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$1,850,252.98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2026</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2026 – February 28,</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$37.68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$158,824.34</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$1,905,892.08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2027</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2027 – February 29,</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$38.81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$163,587.38</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$1,963,048.67</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2028</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2028 – February 28,</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$39.97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$168,476.88</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$2,021,722.57</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2029</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2029 – February 28,</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$41.17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$173,534.98</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$2,082,419.77</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2030</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2030 – February 28,</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$42.41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$178,761.68</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$2,145,140.21</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2031</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March 1, 2031 – February 29,</w:t>
            </w:r>
          </w:p>
        </w:tc>
        <w:tc>
          <w:tcPr>
            <w:tcW w:w="1540" w:type="dxa"/>
            <w:vAlign w:val="bottom"/>
            <w:gridSpan w:val="2"/>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right w:val="single" w:sz="8" w:color="auto"/>
            </w:tcBorders>
            <w:gridSpan w:val="3"/>
          </w:tcPr>
          <w:p>
            <w:pPr>
              <w:jc w:val="center"/>
              <w:ind w:right="260"/>
              <w:spacing w:after="0" w:line="209" w:lineRule="exact"/>
              <w:rPr>
                <w:sz w:val="20"/>
                <w:szCs w:val="20"/>
                <w:color w:val="auto"/>
              </w:rPr>
            </w:pPr>
            <w:r>
              <w:rPr>
                <w:rFonts w:ascii="Times New Roman" w:cs="Times New Roman" w:eastAsia="Times New Roman" w:hAnsi="Times New Roman"/>
                <w:sz w:val="22"/>
                <w:szCs w:val="22"/>
                <w:color w:val="auto"/>
                <w:w w:val="97"/>
              </w:rPr>
              <w:t>$43.68 annually</w:t>
            </w:r>
          </w:p>
        </w:tc>
        <w:tc>
          <w:tcPr>
            <w:tcW w:w="1600" w:type="dxa"/>
            <w:vAlign w:val="bottom"/>
            <w:gridSpan w:val="4"/>
          </w:tcPr>
          <w:p>
            <w:pPr>
              <w:jc w:val="center"/>
              <w:ind w:left="212"/>
              <w:spacing w:after="0" w:line="209" w:lineRule="exact"/>
              <w:rPr>
                <w:sz w:val="20"/>
                <w:szCs w:val="20"/>
                <w:color w:val="auto"/>
              </w:rPr>
            </w:pPr>
            <w:r>
              <w:rPr>
                <w:rFonts w:ascii="Times New Roman" w:cs="Times New Roman" w:eastAsia="Times New Roman" w:hAnsi="Times New Roman"/>
                <w:sz w:val="22"/>
                <w:szCs w:val="22"/>
                <w:color w:val="auto"/>
                <w:w w:val="98"/>
              </w:rPr>
              <w:t>$184,114.84</w:t>
            </w:r>
          </w:p>
        </w:tc>
        <w:tc>
          <w:tcPr>
            <w:tcW w:w="360" w:type="dxa"/>
            <w:vAlign w:val="bottom"/>
            <w:tcBorders>
              <w:right w:val="single" w:sz="8" w:color="auto"/>
            </w:tcBorders>
          </w:tcPr>
          <w:p>
            <w:pPr>
              <w:spacing w:after="0"/>
              <w:rPr>
                <w:sz w:val="18"/>
                <w:szCs w:val="18"/>
                <w:color w:val="auto"/>
              </w:rPr>
            </w:pPr>
          </w:p>
        </w:tc>
        <w:tc>
          <w:tcPr>
            <w:tcW w:w="18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$2,209,378.08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tcBorders>
            <w:gridSpan w:val="2"/>
          </w:tcPr>
          <w:p>
            <w:pPr>
              <w:jc w:val="center"/>
              <w:ind w:left="1152"/>
              <w:spacing w:after="0"/>
              <w:rPr>
                <w:sz w:val="20"/>
                <w:szCs w:val="20"/>
                <w:color w:val="auto"/>
              </w:rPr>
            </w:pPr>
            <w:r>
              <w:rPr>
                <w:rFonts w:ascii="Times New Roman" w:cs="Times New Roman" w:eastAsia="Times New Roman" w:hAnsi="Times New Roman"/>
                <w:sz w:val="22"/>
                <w:szCs w:val="22"/>
                <w:color w:val="auto"/>
                <w:w w:val="95"/>
              </w:rPr>
              <w:t>2032</w:t>
            </w:r>
          </w:p>
        </w:tc>
        <w:tc>
          <w:tcPr>
            <w:tcW w:w="1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308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March 1, 2032 – May 31, 2032</w:t>
            </w:r>
          </w:p>
        </w:tc>
        <w:tc>
          <w:tcPr>
            <w:tcW w:w="1540" w:type="dxa"/>
            <w:vAlign w:val="bottom"/>
            <w:gridSpan w:val="2"/>
          </w:tcPr>
          <w:p>
            <w:pPr>
              <w:jc w:val="center"/>
              <w:ind w:left="112"/>
              <w:spacing w:after="0"/>
              <w:rPr>
                <w:sz w:val="20"/>
                <w:szCs w:val="20"/>
                <w:color w:val="auto"/>
              </w:rPr>
            </w:pPr>
            <w:r>
              <w:rPr>
                <w:rFonts w:ascii="Times New Roman" w:cs="Times New Roman" w:eastAsia="Times New Roman" w:hAnsi="Times New Roman"/>
                <w:sz w:val="22"/>
                <w:szCs w:val="22"/>
                <w:color w:val="auto"/>
                <w:w w:val="99"/>
              </w:rPr>
              <w:t>50,581</w:t>
            </w:r>
          </w:p>
        </w:tc>
        <w:tc>
          <w:tcPr>
            <w:tcW w:w="2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Borders>
              <w:right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22"/>
                <w:szCs w:val="22"/>
                <w:color w:val="auto"/>
                <w:w w:val="97"/>
              </w:rPr>
              <w:t>$44.99 annually</w:t>
            </w:r>
          </w:p>
        </w:tc>
        <w:tc>
          <w:tcPr>
            <w:tcW w:w="1600" w:type="dxa"/>
            <w:vAlign w:val="bottom"/>
            <w:gridSpan w:val="4"/>
          </w:tcPr>
          <w:p>
            <w:pPr>
              <w:jc w:val="center"/>
              <w:ind w:left="212"/>
              <w:spacing w:after="0"/>
              <w:rPr>
                <w:sz w:val="20"/>
                <w:szCs w:val="20"/>
                <w:color w:val="auto"/>
              </w:rPr>
            </w:pPr>
            <w:r>
              <w:rPr>
                <w:rFonts w:ascii="Times New Roman" w:cs="Times New Roman" w:eastAsia="Times New Roman" w:hAnsi="Times New Roman"/>
                <w:sz w:val="22"/>
                <w:szCs w:val="22"/>
                <w:color w:val="auto"/>
                <w:w w:val="98"/>
              </w:rPr>
              <w:t>$189,636.60</w:t>
            </w:r>
          </w:p>
        </w:tc>
        <w:tc>
          <w:tcPr>
            <w:tcW w:w="360" w:type="dxa"/>
            <w:vAlign w:val="bottom"/>
            <w:tcBorders>
              <w:right w:val="single" w:sz="8" w:color="auto"/>
            </w:tcBorders>
          </w:tcPr>
          <w:p>
            <w:pPr>
              <w:spacing w:after="0"/>
              <w:rPr>
                <w:sz w:val="23"/>
                <w:szCs w:val="2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$2,275,639.19</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28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 Note:</w:t>
            </w:r>
          </w:p>
        </w:tc>
        <w:tc>
          <w:tcPr>
            <w:tcW w:w="10080" w:type="dxa"/>
            <w:vAlign w:val="bottom"/>
          </w:tcPr>
          <w:p>
            <w:pPr>
              <w:ind w:left="540"/>
              <w:spacing w:after="0"/>
              <w:rPr>
                <w:sz w:val="20"/>
                <w:szCs w:val="20"/>
                <w:color w:val="auto"/>
              </w:rPr>
            </w:pPr>
            <w:r>
              <w:rPr>
                <w:rFonts w:ascii="Times New Roman" w:cs="Times New Roman" w:eastAsia="Times New Roman" w:hAnsi="Times New Roman"/>
                <w:sz w:val="22"/>
                <w:szCs w:val="22"/>
                <w:i w:val="1"/>
                <w:iCs w:val="1"/>
                <w:color w:val="auto"/>
              </w:rPr>
              <w:t>The square feet of Rentable Area for the Premises is 50,581 Square Feet; however, for the first twelve (12)</w:t>
            </w:r>
          </w:p>
        </w:tc>
      </w:tr>
      <w:tr>
        <w:trPr>
          <w:trHeight w:val="286"/>
        </w:trPr>
        <w:tc>
          <w:tcPr>
            <w:tcW w:w="1180" w:type="dxa"/>
            <w:vAlign w:val="bottom"/>
          </w:tcPr>
          <w:p>
            <w:pPr>
              <w:spacing w:after="0"/>
              <w:rPr>
                <w:sz w:val="24"/>
                <w:szCs w:val="24"/>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22"/>
                <w:szCs w:val="22"/>
                <w:i w:val="1"/>
                <w:iCs w:val="1"/>
                <w:color w:val="auto"/>
              </w:rPr>
              <w:t>months of the Term following the Rent</w:t>
            </w:r>
          </w:p>
        </w:tc>
      </w:tr>
      <w:tr>
        <w:trPr>
          <w:trHeight w:val="675"/>
        </w:trPr>
        <w:tc>
          <w:tcPr>
            <w:tcW w:w="1180" w:type="dxa"/>
            <w:vAlign w:val="bottom"/>
          </w:tcPr>
          <w:p>
            <w:pPr>
              <w:spacing w:after="0"/>
              <w:rPr>
                <w:sz w:val="24"/>
                <w:szCs w:val="24"/>
                <w:color w:val="auto"/>
              </w:rPr>
            </w:pPr>
          </w:p>
        </w:tc>
        <w:tc>
          <w:tcPr>
            <w:tcW w:w="10080" w:type="dxa"/>
            <w:vAlign w:val="bottom"/>
          </w:tcPr>
          <w:p>
            <w:pPr>
              <w:jc w:val="right"/>
              <w:ind w:right="5472"/>
              <w:spacing w:after="0"/>
              <w:rPr>
                <w:sz w:val="20"/>
                <w:szCs w:val="20"/>
                <w:color w:val="auto"/>
              </w:rPr>
            </w:pPr>
            <w:r>
              <w:rPr>
                <w:rFonts w:ascii="Times New Roman" w:cs="Times New Roman" w:eastAsia="Times New Roman" w:hAnsi="Times New Roman"/>
                <w:sz w:val="22"/>
                <w:szCs w:val="22"/>
                <w:color w:val="auto"/>
              </w:rPr>
              <w:t>2</w:t>
            </w:r>
          </w:p>
        </w:tc>
      </w:tr>
      <w:tr>
        <w:trPr>
          <w:trHeight w:val="103"/>
        </w:trPr>
        <w:tc>
          <w:tcPr>
            <w:tcW w:w="1180" w:type="dxa"/>
            <w:vAlign w:val="bottom"/>
            <w:tcBorders>
              <w:bottom w:val="single" w:sz="8" w:color="9A9A9A"/>
            </w:tcBorders>
          </w:tcPr>
          <w:p>
            <w:pPr>
              <w:spacing w:after="0"/>
              <w:rPr>
                <w:sz w:val="8"/>
                <w:szCs w:val="8"/>
                <w:color w:val="auto"/>
              </w:rPr>
            </w:pPr>
          </w:p>
        </w:tc>
        <w:tc>
          <w:tcPr>
            <w:tcW w:w="10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60" w:name="page161"/>
    <w:bookmarkEnd w:id="160"/>
    <w:p>
      <w:pPr>
        <w:ind w:left="1720"/>
        <w:spacing w:after="0"/>
        <w:rPr>
          <w:sz w:val="20"/>
          <w:szCs w:val="20"/>
          <w:color w:val="auto"/>
        </w:rPr>
      </w:pPr>
      <w:r>
        <w:rPr>
          <w:rFonts w:ascii="Times New Roman" w:cs="Times New Roman" w:eastAsia="Times New Roman" w:hAnsi="Times New Roman"/>
          <w:sz w:val="21"/>
          <w:szCs w:val="21"/>
          <w:i w:val="1"/>
          <w:iCs w:val="1"/>
          <w:color w:val="auto"/>
        </w:rPr>
        <w:t>Commencement Date it is agreed that the square feet used to calculate Base Rent shall be 30,000 Square Feet</w:t>
      </w:r>
    </w:p>
    <w:p>
      <w:pPr>
        <w:spacing w:after="0" w:line="218"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 Note:</w:t>
      </w:r>
      <w:r>
        <w:rPr>
          <w:sz w:val="20"/>
          <w:szCs w:val="20"/>
          <w:color w:val="auto"/>
        </w:rPr>
        <w:tab/>
      </w:r>
      <w:r>
        <w:rPr>
          <w:rFonts w:ascii="Times New Roman" w:cs="Times New Roman" w:eastAsia="Times New Roman" w:hAnsi="Times New Roman"/>
          <w:sz w:val="21"/>
          <w:szCs w:val="21"/>
          <w:i w:val="1"/>
          <w:iCs w:val="1"/>
          <w:color w:val="auto"/>
        </w:rPr>
        <w:t>Rent table reflects annual adjustments described in Section 7.1, and is subject to Section 7.2</w:t>
      </w:r>
    </w:p>
    <w:p>
      <w:pPr>
        <w:spacing w:after="0" w:line="210" w:lineRule="exact"/>
        <w:rPr>
          <w:sz w:val="20"/>
          <w:szCs w:val="20"/>
          <w:color w:val="auto"/>
        </w:rPr>
      </w:pPr>
    </w:p>
    <w:p>
      <w:pPr>
        <w:ind w:left="880"/>
        <w:spacing w:after="0"/>
        <w:tabs>
          <w:tab w:leader="none" w:pos="18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Estimated Term Commencement Date: April 15, 2021</w:t>
      </w:r>
    </w:p>
    <w:p>
      <w:pPr>
        <w:spacing w:after="0" w:line="206" w:lineRule="exact"/>
        <w:rPr>
          <w:sz w:val="20"/>
          <w:szCs w:val="20"/>
          <w:color w:val="auto"/>
        </w:rPr>
      </w:pPr>
    </w:p>
    <w:p>
      <w:pPr>
        <w:ind w:left="880"/>
        <w:spacing w:after="0"/>
        <w:tabs>
          <w:tab w:leader="none" w:pos="18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Term Expiration Date: May 31, 2032</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2.6. Security Deposit: Eight Hundred and Twenty One Thousand Nine Hundred Forty One and 25/100 Dollars ($821,941.25), subject to adjustment in accordance with the terms hereof.</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2.7. Permitted Use: Office and laboratory use in conformity with all federal, state, municipal and local laws, codes, ordinances, rules and regulations of Governmental Authorities (as defined below), committees, associations, or other regulatory committees, agencies or governing bodies having jurisdiction over the Premises or any portion thereof, Landlord or Tenant, including both statutory and common law and hazardous waste rules and regulations (“</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880"/>
        <w:spacing w:after="0"/>
        <w:tabs>
          <w:tab w:leader="none" w:pos="18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Address for Rent Payment:</w:t>
      </w: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BMR-One Research Way LLC</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Attention Entity 540</w:t>
      </w:r>
    </w:p>
    <w:p>
      <w:pPr>
        <w:ind w:left="5200"/>
        <w:spacing w:after="0" w:line="230" w:lineRule="auto"/>
        <w:rPr>
          <w:sz w:val="20"/>
          <w:szCs w:val="20"/>
          <w:color w:val="auto"/>
        </w:rPr>
      </w:pPr>
      <w:r>
        <w:rPr>
          <w:rFonts w:ascii="Times New Roman" w:cs="Times New Roman" w:eastAsia="Times New Roman" w:hAnsi="Times New Roman"/>
          <w:sz w:val="22"/>
          <w:szCs w:val="22"/>
          <w:color w:val="auto"/>
        </w:rPr>
        <w:t>P.O. Box 511415</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Los Angeles, California 90051-7970</w:t>
      </w:r>
    </w:p>
    <w:p>
      <w:pPr>
        <w:spacing w:after="0" w:line="182" w:lineRule="exact"/>
        <w:rPr>
          <w:sz w:val="20"/>
          <w:szCs w:val="20"/>
          <w:color w:val="auto"/>
        </w:rPr>
      </w:pPr>
    </w:p>
    <w:p>
      <w:pPr>
        <w:ind w:left="880"/>
        <w:spacing w:after="0"/>
        <w:tabs>
          <w:tab w:leader="none" w:pos="18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Address for Notices to Landlord:</w:t>
      </w: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BMR-One Research Way LLC</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4570 Executive Drive, Suite 400</w:t>
      </w:r>
    </w:p>
    <w:p>
      <w:pPr>
        <w:ind w:left="5200"/>
        <w:spacing w:after="0" w:line="230" w:lineRule="auto"/>
        <w:rPr>
          <w:sz w:val="20"/>
          <w:szCs w:val="20"/>
          <w:color w:val="auto"/>
        </w:rPr>
      </w:pPr>
      <w:r>
        <w:rPr>
          <w:rFonts w:ascii="Times New Roman" w:cs="Times New Roman" w:eastAsia="Times New Roman" w:hAnsi="Times New Roman"/>
          <w:sz w:val="22"/>
          <w:szCs w:val="22"/>
          <w:color w:val="auto"/>
        </w:rPr>
        <w:t>San Diego, California 92121</w:t>
      </w:r>
    </w:p>
    <w:p>
      <w:pPr>
        <w:ind w:left="5200"/>
        <w:spacing w:after="0" w:line="231" w:lineRule="auto"/>
        <w:rPr>
          <w:sz w:val="20"/>
          <w:szCs w:val="20"/>
          <w:color w:val="auto"/>
        </w:rPr>
      </w:pPr>
      <w:r>
        <w:rPr>
          <w:rFonts w:ascii="Times New Roman" w:cs="Times New Roman" w:eastAsia="Times New Roman" w:hAnsi="Times New Roman"/>
          <w:sz w:val="22"/>
          <w:szCs w:val="22"/>
          <w:color w:val="auto"/>
        </w:rPr>
        <w:t>Attn: Legal Department</w:t>
      </w:r>
    </w:p>
    <w:p>
      <w:pPr>
        <w:ind w:left="5200"/>
        <w:spacing w:after="0"/>
        <w:rPr>
          <w:sz w:val="20"/>
          <w:szCs w:val="20"/>
          <w:color w:val="auto"/>
        </w:rPr>
      </w:pPr>
      <w:r>
        <w:rPr>
          <w:rFonts w:ascii="Times New Roman" w:cs="Times New Roman" w:eastAsia="Times New Roman" w:hAnsi="Times New Roman"/>
          <w:sz w:val="22"/>
          <w:szCs w:val="22"/>
          <w:color w:val="auto"/>
        </w:rPr>
        <w:t>Email: legalreview@biomedrealty.com</w:t>
      </w:r>
    </w:p>
    <w:p>
      <w:pPr>
        <w:spacing w:after="0" w:line="1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1" w:name="page162"/>
    <w:bookmarkEnd w:id="161"/>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Address for Notices to Tenant:</w:t>
      </w:r>
    </w:p>
    <w:p>
      <w:pPr>
        <w:spacing w:after="0" w:line="20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Prior to Term Commencement Date:</w:t>
      </w: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8 Clarke Drive, Unit 3</w:t>
      </w:r>
    </w:p>
    <w:p>
      <w:pPr>
        <w:ind w:left="5200"/>
        <w:spacing w:after="0" w:line="230" w:lineRule="auto"/>
        <w:rPr>
          <w:sz w:val="20"/>
          <w:szCs w:val="20"/>
          <w:color w:val="auto"/>
        </w:rPr>
      </w:pPr>
      <w:r>
        <w:rPr>
          <w:rFonts w:ascii="Times New Roman" w:cs="Times New Roman" w:eastAsia="Times New Roman" w:hAnsi="Times New Roman"/>
          <w:sz w:val="22"/>
          <w:szCs w:val="22"/>
          <w:color w:val="auto"/>
        </w:rPr>
        <w:t>Cranbury, NJ 08512</w:t>
      </w:r>
    </w:p>
    <w:p>
      <w:pPr>
        <w:ind w:left="5200"/>
        <w:spacing w:after="0" w:line="231" w:lineRule="auto"/>
        <w:rPr>
          <w:sz w:val="20"/>
          <w:szCs w:val="20"/>
          <w:color w:val="auto"/>
        </w:rPr>
      </w:pPr>
      <w:r>
        <w:rPr>
          <w:rFonts w:ascii="Times New Roman" w:cs="Times New Roman" w:eastAsia="Times New Roman" w:hAnsi="Times New Roman"/>
          <w:sz w:val="22"/>
          <w:szCs w:val="22"/>
          <w:color w:val="auto"/>
        </w:rPr>
        <w:t>Attn: Rob Ticktin</w:t>
      </w:r>
    </w:p>
    <w:p>
      <w:pPr>
        <w:ind w:left="5200"/>
        <w:spacing w:after="0"/>
        <w:rPr>
          <w:sz w:val="20"/>
          <w:szCs w:val="20"/>
          <w:color w:val="auto"/>
        </w:rPr>
      </w:pPr>
      <w:r>
        <w:rPr>
          <w:rFonts w:ascii="Times New Roman" w:cs="Times New Roman" w:eastAsia="Times New Roman" w:hAnsi="Times New Roman"/>
          <w:sz w:val="22"/>
          <w:szCs w:val="22"/>
          <w:color w:val="auto"/>
        </w:rPr>
        <w:t>Email: rticktin@pmvpharma.com</w:t>
      </w:r>
    </w:p>
    <w:p>
      <w:pPr>
        <w:spacing w:after="0" w:line="17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From and after Term Commencement Date:</w:t>
      </w: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One Research Way</w:t>
      </w:r>
    </w:p>
    <w:p>
      <w:pPr>
        <w:ind w:left="4860"/>
        <w:spacing w:after="0" w:line="230" w:lineRule="auto"/>
        <w:rPr>
          <w:sz w:val="20"/>
          <w:szCs w:val="20"/>
          <w:color w:val="auto"/>
        </w:rPr>
      </w:pPr>
      <w:r>
        <w:rPr>
          <w:rFonts w:ascii="Times New Roman" w:cs="Times New Roman" w:eastAsia="Times New Roman" w:hAnsi="Times New Roman"/>
          <w:sz w:val="22"/>
          <w:szCs w:val="22"/>
          <w:color w:val="auto"/>
        </w:rPr>
        <w:t>Princeton, New Jersey 08540</w:t>
      </w:r>
    </w:p>
    <w:p>
      <w:pPr>
        <w:ind w:left="4860"/>
        <w:spacing w:after="0" w:line="231" w:lineRule="auto"/>
        <w:rPr>
          <w:sz w:val="20"/>
          <w:szCs w:val="20"/>
          <w:color w:val="auto"/>
        </w:rPr>
      </w:pPr>
      <w:r>
        <w:rPr>
          <w:rFonts w:ascii="Times New Roman" w:cs="Times New Roman" w:eastAsia="Times New Roman" w:hAnsi="Times New Roman"/>
          <w:sz w:val="22"/>
          <w:szCs w:val="22"/>
          <w:color w:val="auto"/>
        </w:rPr>
        <w:t>Attn: Rob Ticktin</w:t>
      </w:r>
    </w:p>
    <w:p>
      <w:pPr>
        <w:ind w:left="5200"/>
        <w:spacing w:after="0"/>
        <w:rPr>
          <w:sz w:val="20"/>
          <w:szCs w:val="20"/>
          <w:color w:val="auto"/>
        </w:rPr>
      </w:pPr>
      <w:r>
        <w:rPr>
          <w:rFonts w:ascii="Times New Roman" w:cs="Times New Roman" w:eastAsia="Times New Roman" w:hAnsi="Times New Roman"/>
          <w:sz w:val="22"/>
          <w:szCs w:val="22"/>
          <w:color w:val="auto"/>
        </w:rPr>
        <w:t>Email: rticktin@pmvpharma.com</w:t>
      </w:r>
    </w:p>
    <w:p>
      <w:pPr>
        <w:spacing w:after="0" w:line="182" w:lineRule="exact"/>
        <w:rPr>
          <w:sz w:val="20"/>
          <w:szCs w:val="20"/>
          <w:color w:val="auto"/>
        </w:rPr>
      </w:pPr>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Address for Invoices to Tenant:</w:t>
      </w:r>
    </w:p>
    <w:p>
      <w:pPr>
        <w:spacing w:after="0" w:line="20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Prior to Term Commencement Date:</w:t>
      </w: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8 Clarke Drive, Unit 3</w:t>
      </w:r>
    </w:p>
    <w:p>
      <w:pPr>
        <w:ind w:left="5200"/>
        <w:spacing w:after="0" w:line="230" w:lineRule="auto"/>
        <w:rPr>
          <w:sz w:val="20"/>
          <w:szCs w:val="20"/>
          <w:color w:val="auto"/>
        </w:rPr>
      </w:pPr>
      <w:r>
        <w:rPr>
          <w:rFonts w:ascii="Times New Roman" w:cs="Times New Roman" w:eastAsia="Times New Roman" w:hAnsi="Times New Roman"/>
          <w:sz w:val="22"/>
          <w:szCs w:val="22"/>
          <w:color w:val="auto"/>
        </w:rPr>
        <w:t>Cranbury, NJ 08512</w:t>
      </w:r>
    </w:p>
    <w:p>
      <w:pPr>
        <w:ind w:left="5200"/>
        <w:spacing w:after="0" w:line="231" w:lineRule="auto"/>
        <w:rPr>
          <w:sz w:val="20"/>
          <w:szCs w:val="20"/>
          <w:color w:val="auto"/>
        </w:rPr>
      </w:pPr>
      <w:r>
        <w:rPr>
          <w:rFonts w:ascii="Times New Roman" w:cs="Times New Roman" w:eastAsia="Times New Roman" w:hAnsi="Times New Roman"/>
          <w:sz w:val="22"/>
          <w:szCs w:val="22"/>
          <w:color w:val="auto"/>
        </w:rPr>
        <w:t>Attn: JD Kern</w:t>
      </w:r>
    </w:p>
    <w:p>
      <w:pPr>
        <w:ind w:left="5200"/>
        <w:spacing w:after="0"/>
        <w:rPr>
          <w:sz w:val="20"/>
          <w:szCs w:val="20"/>
          <w:color w:val="auto"/>
        </w:rPr>
      </w:pPr>
      <w:r>
        <w:rPr>
          <w:rFonts w:ascii="Times New Roman" w:cs="Times New Roman" w:eastAsia="Times New Roman" w:hAnsi="Times New Roman"/>
          <w:sz w:val="22"/>
          <w:szCs w:val="22"/>
          <w:color w:val="auto"/>
        </w:rPr>
        <w:t>Email: invoices@pmvpharma.com</w:t>
      </w:r>
    </w:p>
    <w:p>
      <w:pPr>
        <w:spacing w:after="0" w:line="17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From and after Term Commencement Date:</w:t>
      </w: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One Research Way</w:t>
      </w:r>
    </w:p>
    <w:p>
      <w:pPr>
        <w:ind w:left="4860"/>
        <w:spacing w:after="0" w:line="230" w:lineRule="auto"/>
        <w:rPr>
          <w:sz w:val="20"/>
          <w:szCs w:val="20"/>
          <w:color w:val="auto"/>
        </w:rPr>
      </w:pPr>
      <w:r>
        <w:rPr>
          <w:rFonts w:ascii="Times New Roman" w:cs="Times New Roman" w:eastAsia="Times New Roman" w:hAnsi="Times New Roman"/>
          <w:sz w:val="22"/>
          <w:szCs w:val="22"/>
          <w:color w:val="auto"/>
        </w:rPr>
        <w:t>Princeton, New Jersey 08540</w:t>
      </w:r>
    </w:p>
    <w:p>
      <w:pPr>
        <w:ind w:left="4860"/>
        <w:spacing w:after="0" w:line="231" w:lineRule="auto"/>
        <w:rPr>
          <w:sz w:val="20"/>
          <w:szCs w:val="20"/>
          <w:color w:val="auto"/>
        </w:rPr>
      </w:pPr>
      <w:r>
        <w:rPr>
          <w:rFonts w:ascii="Times New Roman" w:cs="Times New Roman" w:eastAsia="Times New Roman" w:hAnsi="Times New Roman"/>
          <w:sz w:val="22"/>
          <w:szCs w:val="22"/>
          <w:color w:val="auto"/>
        </w:rPr>
        <w:t>Attn: JD Kern</w:t>
      </w:r>
    </w:p>
    <w:p>
      <w:pPr>
        <w:ind w:left="4860"/>
        <w:spacing w:after="0"/>
        <w:rPr>
          <w:sz w:val="20"/>
          <w:szCs w:val="20"/>
          <w:color w:val="auto"/>
        </w:rPr>
      </w:pPr>
      <w:r>
        <w:rPr>
          <w:rFonts w:ascii="Times New Roman" w:cs="Times New Roman" w:eastAsia="Times New Roman" w:hAnsi="Times New Roman"/>
          <w:sz w:val="22"/>
          <w:szCs w:val="22"/>
          <w:color w:val="auto"/>
        </w:rPr>
        <w:t>Email: invoices@pmvpharma.com</w:t>
      </w:r>
    </w:p>
    <w:p>
      <w:pPr>
        <w:spacing w:after="0" w:line="182"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The following Exhibits are attached hereto and incorporated herein by reference: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Exhibit A</w:t>
            </w:r>
          </w:p>
        </w:tc>
        <w:tc>
          <w:tcPr>
            <w:tcW w:w="8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Premises</w:t>
            </w:r>
          </w:p>
        </w:tc>
      </w:tr>
      <w:tr>
        <w:trPr>
          <w:trHeight w:val="243"/>
        </w:trPr>
        <w:tc>
          <w:tcPr>
            <w:tcW w:w="308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81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Work Letter</w:t>
            </w:r>
          </w:p>
        </w:tc>
      </w:tr>
      <w:tr>
        <w:trPr>
          <w:trHeight w:val="243"/>
        </w:trPr>
        <w:tc>
          <w:tcPr>
            <w:tcW w:w="308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Exhibit B-1</w:t>
            </w:r>
          </w:p>
        </w:tc>
        <w:tc>
          <w:tcPr>
            <w:tcW w:w="81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Tenant Work Insurance Schedule</w:t>
            </w:r>
          </w:p>
        </w:tc>
      </w:tr>
      <w:tr>
        <w:trPr>
          <w:trHeight w:val="243"/>
        </w:trPr>
        <w:tc>
          <w:tcPr>
            <w:tcW w:w="308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Exhibit B-2</w:t>
            </w:r>
          </w:p>
        </w:tc>
        <w:tc>
          <w:tcPr>
            <w:tcW w:w="81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Building Standards</w:t>
            </w:r>
          </w:p>
        </w:tc>
      </w:tr>
      <w:tr>
        <w:trPr>
          <w:trHeight w:val="239"/>
        </w:trPr>
        <w:tc>
          <w:tcPr>
            <w:tcW w:w="3080" w:type="dxa"/>
            <w:vAlign w:val="bottom"/>
          </w:tcPr>
          <w:p>
            <w:pPr>
              <w:ind w:left="1720"/>
              <w:spacing w:after="0" w:line="239" w:lineRule="exact"/>
              <w:rPr>
                <w:sz w:val="20"/>
                <w:szCs w:val="20"/>
                <w:color w:val="auto"/>
              </w:rPr>
            </w:pPr>
            <w:r>
              <w:rPr>
                <w:rFonts w:ascii="Times New Roman" w:cs="Times New Roman" w:eastAsia="Times New Roman" w:hAnsi="Times New Roman"/>
                <w:sz w:val="22"/>
                <w:szCs w:val="22"/>
                <w:color w:val="auto"/>
              </w:rPr>
              <w:t>Exhibit C</w:t>
            </w:r>
          </w:p>
        </w:tc>
        <w:tc>
          <w:tcPr>
            <w:tcW w:w="8180" w:type="dxa"/>
            <w:vAlign w:val="bottom"/>
          </w:tcPr>
          <w:p>
            <w:pPr>
              <w:ind w:left="360"/>
              <w:spacing w:after="0" w:line="239" w:lineRule="exact"/>
              <w:rPr>
                <w:sz w:val="20"/>
                <w:szCs w:val="20"/>
                <w:color w:val="auto"/>
              </w:rPr>
            </w:pPr>
            <w:r>
              <w:rPr>
                <w:rFonts w:ascii="Times New Roman" w:cs="Times New Roman" w:eastAsia="Times New Roman" w:hAnsi="Times New Roman"/>
                <w:sz w:val="22"/>
                <w:szCs w:val="22"/>
                <w:color w:val="auto"/>
              </w:rPr>
              <w:t>Acknowledgement of Term Commencement Date and Term Expiration Date</w:t>
            </w:r>
          </w:p>
        </w:tc>
      </w:tr>
      <w:tr>
        <w:trPr>
          <w:trHeight w:val="247"/>
        </w:trPr>
        <w:tc>
          <w:tcPr>
            <w:tcW w:w="3080" w:type="dxa"/>
            <w:vAlign w:val="bottom"/>
          </w:tcPr>
          <w:p>
            <w:pPr>
              <w:ind w:left="1720"/>
              <w:spacing w:after="0" w:line="247" w:lineRule="exact"/>
              <w:rPr>
                <w:sz w:val="20"/>
                <w:szCs w:val="20"/>
                <w:color w:val="auto"/>
              </w:rPr>
            </w:pPr>
            <w:r>
              <w:rPr>
                <w:rFonts w:ascii="Times New Roman" w:cs="Times New Roman" w:eastAsia="Times New Roman" w:hAnsi="Times New Roman"/>
                <w:sz w:val="22"/>
                <w:szCs w:val="22"/>
                <w:color w:val="auto"/>
              </w:rPr>
              <w:t>Exhibit D</w:t>
            </w:r>
          </w:p>
        </w:tc>
        <w:tc>
          <w:tcPr>
            <w:tcW w:w="8180" w:type="dxa"/>
            <w:vAlign w:val="bottom"/>
          </w:tcPr>
          <w:p>
            <w:pPr>
              <w:ind w:left="360"/>
              <w:spacing w:after="0" w:line="247" w:lineRule="exact"/>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Intentionally Omitted]</w:t>
            </w:r>
          </w:p>
        </w:tc>
      </w:tr>
      <w:tr>
        <w:trPr>
          <w:trHeight w:val="243"/>
        </w:trPr>
        <w:tc>
          <w:tcPr>
            <w:tcW w:w="308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81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Form of Letter of Credit</w:t>
            </w:r>
          </w:p>
        </w:tc>
      </w:tr>
      <w:tr>
        <w:trPr>
          <w:trHeight w:val="282"/>
        </w:trPr>
        <w:tc>
          <w:tcPr>
            <w:tcW w:w="308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Exhibit F</w:t>
            </w:r>
          </w:p>
        </w:tc>
        <w:tc>
          <w:tcPr>
            <w:tcW w:w="8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Rules and Regulations</w:t>
            </w:r>
          </w:p>
        </w:tc>
      </w:tr>
      <w:tr>
        <w:trPr>
          <w:trHeight w:val="459"/>
        </w:trPr>
        <w:tc>
          <w:tcPr>
            <w:tcW w:w="3080" w:type="dxa"/>
            <w:vAlign w:val="bottom"/>
          </w:tcPr>
          <w:p>
            <w:pPr>
              <w:spacing w:after="0"/>
              <w:rPr>
                <w:sz w:val="24"/>
                <w:szCs w:val="24"/>
                <w:color w:val="auto"/>
              </w:rPr>
            </w:pPr>
          </w:p>
        </w:tc>
        <w:tc>
          <w:tcPr>
            <w:tcW w:w="81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4</w:t>
            </w:r>
          </w:p>
        </w:tc>
      </w:tr>
      <w:tr>
        <w:trPr>
          <w:trHeight w:val="103"/>
        </w:trPr>
        <w:tc>
          <w:tcPr>
            <w:tcW w:w="3080" w:type="dxa"/>
            <w:vAlign w:val="bottom"/>
            <w:tcBorders>
              <w:bottom w:val="single" w:sz="8" w:color="9A9A9A"/>
            </w:tcBorders>
          </w:tcPr>
          <w:p>
            <w:pPr>
              <w:spacing w:after="0"/>
              <w:rPr>
                <w:sz w:val="8"/>
                <w:szCs w:val="8"/>
                <w:color w:val="auto"/>
              </w:rPr>
            </w:pPr>
          </w:p>
        </w:tc>
        <w:tc>
          <w:tcPr>
            <w:tcW w:w="8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62" w:name="page163"/>
    <w:bookmarkEnd w:id="162"/>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1"/>
          <w:szCs w:val="21"/>
          <w:color w:val="auto"/>
        </w:rPr>
        <w:t>Exhibit G</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1"/>
          <w:szCs w:val="21"/>
          <w:color w:val="auto"/>
        </w:rPr>
        <w:t>Exhibit H</w:t>
      </w:r>
    </w:p>
    <w:p>
      <w:pPr>
        <w:ind w:left="1720"/>
        <w:spacing w:after="0" w:line="231" w:lineRule="auto"/>
        <w:rPr>
          <w:sz w:val="20"/>
          <w:szCs w:val="20"/>
          <w:color w:val="auto"/>
        </w:rPr>
      </w:pPr>
      <w:r>
        <w:rPr>
          <w:rFonts w:ascii="Times New Roman" w:cs="Times New Roman" w:eastAsia="Times New Roman" w:hAnsi="Times New Roman"/>
          <w:sz w:val="22"/>
          <w:szCs w:val="22"/>
          <w:color w:val="auto"/>
        </w:rPr>
        <w:t>Exhibit I</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Exhibit 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Intentionally Omitted]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Tenant’s Personal Property</w:t>
      </w:r>
    </w:p>
    <w:p>
      <w:pPr>
        <w:spacing w:after="0" w:line="230" w:lineRule="auto"/>
        <w:rPr>
          <w:sz w:val="20"/>
          <w:szCs w:val="20"/>
          <w:color w:val="auto"/>
        </w:rPr>
      </w:pPr>
      <w:r>
        <w:rPr>
          <w:rFonts w:ascii="Times New Roman" w:cs="Times New Roman" w:eastAsia="Times New Roman" w:hAnsi="Times New Roman"/>
          <w:sz w:val="22"/>
          <w:szCs w:val="22"/>
          <w:color w:val="auto"/>
        </w:rPr>
        <w:t>Form of Estoppel Certificate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Forrestal Center Signage Criteria</w:t>
      </w:r>
    </w:p>
    <w:p>
      <w:pPr>
        <w:spacing w:after="0" w:line="193" w:lineRule="exact"/>
        <w:rPr>
          <w:sz w:val="20"/>
          <w:szCs w:val="20"/>
          <w:color w:val="auto"/>
        </w:rPr>
      </w:pPr>
    </w:p>
    <w:p>
      <w:pPr>
        <w:sectPr>
          <w:pgSz w:w="11900" w:h="16838" w:orient="portrait"/>
          <w:cols w:equalWidth="0" w:num="2">
            <w:col w:w="2720" w:space="720"/>
            <w:col w:w="7800"/>
          </w:cols>
          <w:pgMar w:left="320" w:top="567" w:right="339" w:bottom="1440" w:gutter="0" w:footer="0" w:header="0"/>
        </w:sectPr>
      </w:pPr>
    </w:p>
    <w:p>
      <w:pPr>
        <w:jc w:val="both"/>
        <w:ind w:firstLine="8"/>
        <w:spacing w:after="0" w:line="244" w:lineRule="auto"/>
        <w:tabs>
          <w:tab w:leader="none" w:pos="81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term of the leasehold granted by this Lease (as the same may be extended pursuant to </w:t>
      </w:r>
      <w:r>
        <w:rPr>
          <w:rFonts w:ascii="Times New Roman" w:cs="Times New Roman" w:eastAsia="Times New Roman" w:hAnsi="Times New Roman"/>
          <w:sz w:val="22"/>
          <w:szCs w:val="22"/>
          <w:u w:val="single" w:color="auto"/>
          <w:color w:val="auto"/>
        </w:rPr>
        <w:t>Article 41</w:t>
      </w:r>
      <w:r>
        <w:rPr>
          <w:rFonts w:ascii="Times New Roman" w:cs="Times New Roman" w:eastAsia="Times New Roman" w:hAnsi="Times New Roman"/>
          <w:sz w:val="22"/>
          <w:szCs w:val="22"/>
          <w:color w:val="auto"/>
        </w:rPr>
        <w:t xml:space="preserve"> hereof, and as the same may be earlier terminated in accordance with this Lease,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shall commence on the actual Term Commencement Date (as defined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and end on May 31, 2032 (the “</w:t>
      </w:r>
      <w:r>
        <w:rPr>
          <w:rFonts w:ascii="Times New Roman" w:cs="Times New Roman" w:eastAsia="Times New Roman" w:hAnsi="Times New Roman"/>
          <w:sz w:val="22"/>
          <w:szCs w:val="22"/>
          <w:u w:val="single" w:color="auto"/>
          <w:color w:val="auto"/>
        </w:rPr>
        <w:t>Term Expiration Date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Possession and Commencement Date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color w:val="auto"/>
        </w:rPr>
        <w:t>4.1. The “</w:t>
      </w:r>
      <w:r>
        <w:rPr>
          <w:rFonts w:ascii="Times New Roman" w:cs="Times New Roman" w:eastAsia="Times New Roman" w:hAnsi="Times New Roman"/>
          <w:sz w:val="21"/>
          <w:szCs w:val="21"/>
          <w:u w:val="single" w:color="auto"/>
          <w:color w:val="auto"/>
        </w:rPr>
        <w:t>Term Commencement Date</w:t>
      </w:r>
      <w:r>
        <w:rPr>
          <w:rFonts w:ascii="Times New Roman" w:cs="Times New Roman" w:eastAsia="Times New Roman" w:hAnsi="Times New Roman"/>
          <w:sz w:val="21"/>
          <w:szCs w:val="21"/>
          <w:color w:val="auto"/>
        </w:rPr>
        <w:t xml:space="preserve">” shall be the date Landlord tenders possession of the Premises to Tenant. Tenant shall execute and deliver to Landlord written acknowledgment of the actual Term Commencement Date within ten (10) days after Tenant takes occupancy of the Premises, in the form attached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Failure to execute and deliver such acknowledgment, however, shall not affect the Term Commencement Date or Landlord’s or Tenant’s liability hereunder. Failure by Tenant to obtain any governmental licensing or similar governmental approval of the Premises required for the Permitted Use by Tenant shall not serve to extend the Term Commencement Date. Tenant agrees that in the event Landlord does not tender possession of the Premises to Tenant on or before the Estimated Term Commencement Date for any reason, then</w:t>
      </w:r>
    </w:p>
    <w:p>
      <w:pPr>
        <w:spacing w:after="0" w:line="6" w:lineRule="exact"/>
        <w:rPr>
          <w:sz w:val="20"/>
          <w:szCs w:val="20"/>
          <w:color w:val="auto"/>
        </w:rPr>
      </w:pPr>
    </w:p>
    <w:p>
      <w:pPr>
        <w:jc w:val="both"/>
        <w:ind w:firstLine="8"/>
        <w:spacing w:after="0" w:line="232" w:lineRule="auto"/>
        <w:tabs>
          <w:tab w:leader="none" w:pos="32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shall not be void or voidable and (b) Landlord shall not be liable to Tenant for any loss or damage resulting therefrom. Notwithstanding the foregoing, but subject to any Force Majeure (as hereinafter defined) or any action or omission of Tenant that delays the delivery of the Premises to Tenant, if Landlord has not tendered possession of the Premises to Tenant by the day that is sixty (60) days after the Estimated Term Commencement Date, the per diem Base Rent shall abate by one (1) day for each day after such 60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that Landlord has not delivered the Premises to Tenant. If possession of Landlord’s delivery of the Premises to Tenant is delayed by any action or omission of Tenant, then the Term Commencement Date shall be the date that the Term Commencement Date would have occurred but for such delay.</w:t>
      </w:r>
    </w:p>
    <w:p>
      <w:pPr>
        <w:spacing w:after="0" w:line="181"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4.2. Following the Term Commencement Date, Tenant shall cause the Tenant Improvements to be constructed in the Premises pursuant to the Work Letter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Work Letter</w:t>
      </w:r>
      <w:r>
        <w:rPr>
          <w:rFonts w:ascii="Times New Roman" w:cs="Times New Roman" w:eastAsia="Times New Roman" w:hAnsi="Times New Roman"/>
          <w:sz w:val="22"/>
          <w:szCs w:val="22"/>
          <w:color w:val="auto"/>
        </w:rPr>
        <w:t>”) at a cost to Landlord not to exceed Four Million Forty-Six Thousand Four Hundred Eighty Dollars ($4,046,480.00) (based upon Eighty Dollars ($80.00) per square foot of Rentable Area (as defined below)) (the “</w:t>
      </w:r>
      <w:r>
        <w:rPr>
          <w:rFonts w:ascii="Times New Roman" w:cs="Times New Roman" w:eastAsia="Times New Roman" w:hAnsi="Times New Roman"/>
          <w:sz w:val="22"/>
          <w:szCs w:val="22"/>
          <w:u w:val="single" w:color="auto"/>
          <w:color w:val="auto"/>
        </w:rPr>
        <w:t>TI Allowance</w:t>
      </w:r>
      <w:r>
        <w:rPr>
          <w:rFonts w:ascii="Times New Roman" w:cs="Times New Roman" w:eastAsia="Times New Roman" w:hAnsi="Times New Roman"/>
          <w:sz w:val="22"/>
          <w:szCs w:val="22"/>
          <w:color w:val="auto"/>
        </w:rPr>
        <w:t>”). The TI Allowance may be applied to the costs of (m) construction, (n) project review by Landlord (which fee shall equal three percent (3%) of the cost of the TI Allowance), (o) commissioning of mechanical, electrical and plumbing systems by a licensed, qualified commissioning agent hired by Tenant, and review of such party’s commissioning report by a licensed, qualified commissioning agent hired by Landlord, (p) space planning, architect, engineering and other related services performed by third parties unaffiliated with Tenant, (q) building permits and other taxes, fees, charges and levies by Governmental Authorities (as defined below) for permits or for inspections of the Tenant Improvements, and (r) costs and expenses for labor, material, equipment and fixtures. Additionally, up to Two Hundred Fifty-Two Thousand Nine Hundred Five Dollars ($252,905.00) of the TI Allowance may be applied to the costs of telecommunications and data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163" w:name="page164"/>
    <w:bookmarkEnd w:id="163"/>
    <w:p>
      <w:pPr>
        <w:jc w:val="both"/>
        <w:spacing w:after="0" w:line="235" w:lineRule="auto"/>
        <w:rPr>
          <w:sz w:val="20"/>
          <w:szCs w:val="20"/>
          <w:color w:val="auto"/>
        </w:rPr>
      </w:pPr>
      <w:r>
        <w:rPr>
          <w:rFonts w:ascii="Times New Roman" w:cs="Times New Roman" w:eastAsia="Times New Roman" w:hAnsi="Times New Roman"/>
          <w:sz w:val="22"/>
          <w:szCs w:val="22"/>
          <w:color w:val="auto"/>
        </w:rPr>
        <w:t>cabling or other infrastructure, information technology (IT) infrastructure, and Tenant’s furniture, fixtures and equipment. In no event shall the TI Allowance be used for (v) the cost of work that is not authorized by the Approved Plans (as defined in the Work Letter and as the same may be modified by Change Requests (as defined in and in accordance with the Work Letter) or otherwise approved in writing by Landlord, (w) payments to Tenant or any affiliates of Tenant, (x) the purchase of any furniture, personal property or other non-building system equipment, except and to the extent expressly provided in the immediately foregoing sentence, (y) costs arising from any default by Tenant of its obligations under this Lease or (z) costs that are recoverable by Tenant from a third party (e.g., insurers, warrantors, or tortfeasors).</w:t>
      </w:r>
    </w:p>
    <w:p>
      <w:pPr>
        <w:spacing w:after="0" w:line="18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4.3. Tenant shall have until eighteen (18) months after the Term Commencement Date (the “</w:t>
      </w:r>
      <w:r>
        <w:rPr>
          <w:rFonts w:ascii="Times New Roman" w:cs="Times New Roman" w:eastAsia="Times New Roman" w:hAnsi="Times New Roman"/>
          <w:sz w:val="22"/>
          <w:szCs w:val="22"/>
          <w:u w:val="single" w:color="auto"/>
          <w:color w:val="auto"/>
        </w:rPr>
        <w:t>TI Deadline</w:t>
      </w:r>
      <w:r>
        <w:rPr>
          <w:rFonts w:ascii="Times New Roman" w:cs="Times New Roman" w:eastAsia="Times New Roman" w:hAnsi="Times New Roman"/>
          <w:sz w:val="22"/>
          <w:szCs w:val="22"/>
          <w:color w:val="auto"/>
        </w:rPr>
        <w:t>”), to submit Fund Requests (as defined in the Work Letter) to Landlord for disbursement of the unused portion of the TI Allowance, after which date Landlord’s obligation to fund any such costs for which Tenant has not submitted a Fund Request to Landlord shall expire.</w:t>
      </w:r>
    </w:p>
    <w:p>
      <w:pPr>
        <w:spacing w:after="0" w:line="18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4.4. In no event shall any unused TI Allowance entitle Tenant to a credit against Rent payable under this Lease. Tenant shall deliver to Landlord (a) a certificate of occupancy (or its substantial equivalent) for the Premises suitable for the Permitted Use and (b) a Certificate of Substantial Completion in the form of the American Institute of Architects document G704, executed by the project architect and the general contractor.</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4.5. Prior to entering upon the Premises, Tenant shall furnish to Landlord evidence satisfactory to Landlord that insurance coverages required of Tenant under the provisions of </w:t>
      </w:r>
      <w:r>
        <w:rPr>
          <w:rFonts w:ascii="Times New Roman" w:cs="Times New Roman" w:eastAsia="Times New Roman" w:hAnsi="Times New Roman"/>
          <w:sz w:val="22"/>
          <w:szCs w:val="22"/>
          <w:u w:val="single" w:color="auto"/>
          <w:color w:val="auto"/>
        </w:rPr>
        <w:t>Article 22</w:t>
      </w:r>
      <w:r>
        <w:rPr>
          <w:rFonts w:ascii="Times New Roman" w:cs="Times New Roman" w:eastAsia="Times New Roman" w:hAnsi="Times New Roman"/>
          <w:sz w:val="22"/>
          <w:szCs w:val="22"/>
          <w:color w:val="auto"/>
        </w:rPr>
        <w:t xml:space="preserve"> are in effect, and such entry shall be subject to all the terms and conditions of this Lease other than the payment of Base Rent.</w:t>
      </w:r>
    </w:p>
    <w:p>
      <w:pPr>
        <w:spacing w:after="0" w:line="173"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4.6. Landlord and Tenant shall mutually agree upon the selection of the architect, engineer, general contractor and major subcontractors, and Landlord and Tenant shall each participate in the review of the competitive bid process. Landlord may refuse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lab areas.</w:t>
      </w:r>
    </w:p>
    <w:p>
      <w:pPr>
        <w:spacing w:after="0" w:line="177" w:lineRule="exact"/>
        <w:rPr>
          <w:sz w:val="20"/>
          <w:szCs w:val="20"/>
          <w:color w:val="auto"/>
        </w:rPr>
      </w:pPr>
    </w:p>
    <w:p>
      <w:pPr>
        <w:jc w:val="both"/>
        <w:ind w:firstLine="8"/>
        <w:spacing w:after="0" w:line="234" w:lineRule="auto"/>
        <w:tabs>
          <w:tab w:leader="none" w:pos="81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 of Premises</w:t>
      </w:r>
      <w:r>
        <w:rPr>
          <w:rFonts w:ascii="Times New Roman" w:cs="Times New Roman" w:eastAsia="Times New Roman" w:hAnsi="Times New Roman"/>
          <w:sz w:val="22"/>
          <w:szCs w:val="22"/>
          <w:color w:val="auto"/>
        </w:rPr>
        <w:t xml:space="preserve">. Tenant acknowledges that neither Landlord nor any agent of Landlord has made any representation or warranty with respect to the condition of the Premises or with respect to the suitability of the Premises for the conduct of Tenant’s business. Tenant acknowledges that (a) it is fully familiar with the condition of the Premises and agrees to take the same in its condition “as is” as of the Term Commencement Date and (b) Landlord shall have no obligation to alter, repair or otherwise prepare the Premises for Tenant’s occupancy or to pay for or construct any improvements to the Premises, except with respect to payment of the TI Allowance, and except that the Premises shall be delivered to Tenant in broom clean condition;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Premises may contain personal property, trade fixtures, furniture and equipment to the extent that Tenant has purchased same by bill of sale from the previous tenant of the Premises. Tenant’s taking of possession of the Premises shall, except as otherwise agreed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4" w:name="page165"/>
    <w:bookmarkEnd w:id="164"/>
    <w:p>
      <w:pPr>
        <w:spacing w:after="0" w:line="258" w:lineRule="auto"/>
        <w:rPr>
          <w:sz w:val="20"/>
          <w:szCs w:val="20"/>
          <w:color w:val="auto"/>
        </w:rPr>
      </w:pPr>
      <w:r>
        <w:rPr>
          <w:rFonts w:ascii="Times New Roman" w:cs="Times New Roman" w:eastAsia="Times New Roman" w:hAnsi="Times New Roman"/>
          <w:sz w:val="22"/>
          <w:szCs w:val="22"/>
          <w:color w:val="auto"/>
        </w:rPr>
        <w:t>to in writing by Landlord and Tenant, conclusively establish that the Premises were at such time in good, sanitary and satisfactory condition and repair.</w:t>
      </w:r>
    </w:p>
    <w:p>
      <w:pPr>
        <w:spacing w:after="0" w:line="158" w:lineRule="exact"/>
        <w:rPr>
          <w:sz w:val="20"/>
          <w:szCs w:val="20"/>
          <w:color w:val="auto"/>
        </w:rPr>
      </w:pPr>
    </w:p>
    <w:p>
      <w:pPr>
        <w:ind w:left="820" w:hanging="812"/>
        <w:spacing w:after="0"/>
        <w:tabs>
          <w:tab w:leader="none" w:pos="8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6.1. Tenant shall pay to Landlord as Base Rent for the Premises, commencing on January 1, 2022 (the “</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xml:space="preserve">”), the sums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subject to the rental adjustments provided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hereof. Base Rent shall be paid in equal monthly installments 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subject to the rental adjustments provided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hereof, each in advance on the first day of each and every calendar month during the Term.</w:t>
      </w:r>
    </w:p>
    <w:p>
      <w:pPr>
        <w:spacing w:after="0" w:line="180"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6.2. In addition to Base Rent, Tenant shall pay to Landlord as additional rent (“</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at times hereinafter specified in this Lease (a) amounts related to Insurance Costs and Taxes (each as defined below), (b) the Property Management Fee (as defined below) and (c) 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181"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6.3. Base Rent and Additional Rent shall together be denominated “</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Rent shall be paid to Landlord, without abatement, deduction or offset, in lawful money of the United States of America to the address set forth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177"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6.4. Tenant’s obligation to pay Rent shall not be discharged or otherwise affected by (a) any Applicable Laws now or hereafter applicable to the Premises, (b) any other restriction on Tenant’s use, (c) except as expressly provided herein, any casualty or taking or (d) any other occurrence; and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nothing in this sentence shall in any way affect Tenant’s obligations with respect to any other period.</w:t>
      </w:r>
    </w:p>
    <w:p>
      <w:pPr>
        <w:spacing w:after="0" w:line="178" w:lineRule="exact"/>
        <w:rPr>
          <w:sz w:val="20"/>
          <w:szCs w:val="20"/>
          <w:color w:val="auto"/>
        </w:rPr>
      </w:pPr>
    </w:p>
    <w:p>
      <w:pPr>
        <w:ind w:left="820" w:hanging="812"/>
        <w:spacing w:after="0"/>
        <w:tabs>
          <w:tab w:leader="none" w:pos="8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 Adjustments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7.1. Base Rent shall be subject to an annual upward adjustment of three percent (3%) of the then-current Base Rent. The first such adjustment shall become effective commencing on the first (1</w:t>
      </w:r>
      <w:r>
        <w:rPr>
          <w:rFonts w:ascii="Times New Roman" w:cs="Times New Roman" w:eastAsia="Times New Roman" w:hAnsi="Times New Roman"/>
          <w:sz w:val="18"/>
          <w:szCs w:val="18"/>
          <w:color w:val="auto"/>
        </w:rPr>
        <w:t>st</w:t>
      </w:r>
      <w:r>
        <w:rPr>
          <w:rFonts w:ascii="Times New Roman" w:cs="Times New Roman" w:eastAsia="Times New Roman" w:hAnsi="Times New Roman"/>
          <w:sz w:val="22"/>
          <w:szCs w:val="22"/>
          <w:color w:val="auto"/>
        </w:rPr>
        <w:t>) annual anniversary of the Term Commencement Date, and subsequent adjustments shall become effective on every successive annual anniversary for so long as this Lease continues in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5" w:name="page166"/>
    <w:bookmarkEnd w:id="165"/>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7.2. Notwithstanding anything to the contrary contained in this Lease, and so long as no Default (as defined below) by Tenant has occurred, Tenant shall not be required to pay Base Rent for the period prior to the Rent Commencement Date (such period, the “</w:t>
      </w:r>
      <w:r>
        <w:rPr>
          <w:rFonts w:ascii="Times New Roman" w:cs="Times New Roman" w:eastAsia="Times New Roman" w:hAnsi="Times New Roman"/>
          <w:sz w:val="22"/>
          <w:szCs w:val="22"/>
          <w:u w:val="single" w:color="auto"/>
          <w:color w:val="auto"/>
        </w:rPr>
        <w:t>Free Rent Period</w:t>
      </w:r>
      <w:r>
        <w:rPr>
          <w:rFonts w:ascii="Times New Roman" w:cs="Times New Roman" w:eastAsia="Times New Roman" w:hAnsi="Times New Roman"/>
          <w:sz w:val="22"/>
          <w:szCs w:val="22"/>
          <w:color w:val="auto"/>
        </w:rPr>
        <w:t xml:space="preserve">”). During the Free Rent Period, Tenant shall continue to be responsible for the payment of all of Tenant’s other Rent obligations under this Lease, including all Additional Rent such as (a) amounts related to Insurance Costs and Taxes (each as defined below), (b) the Property Management Fee (as defined below) and (c) any other amounts that Tenant assumes or agrees to pay under the provisions of this Lease that are owed to Landlord. Upon the occurrence of any Default, the Free Rent Period shall immediately expire, and Tenant shall no longer be entitled to any further abatement of Base Rent pursuant to this Section. In the event of any Default that results in termination of this Lease, then, as part of the recovery to which Landlord is entitled pursuant to this Lease, and in addition to any other rights or remedies to which Landlord may be entitled pursuant to this Lease (including </w:t>
      </w:r>
      <w:r>
        <w:rPr>
          <w:rFonts w:ascii="Times New Roman" w:cs="Times New Roman" w:eastAsia="Times New Roman" w:hAnsi="Times New Roman"/>
          <w:sz w:val="22"/>
          <w:szCs w:val="22"/>
          <w:u w:val="single" w:color="auto"/>
          <w:color w:val="auto"/>
        </w:rPr>
        <w:t>Article 31</w:t>
      </w:r>
      <w:r>
        <w:rPr>
          <w:rFonts w:ascii="Times New Roman" w:cs="Times New Roman" w:eastAsia="Times New Roman" w:hAnsi="Times New Roman"/>
          <w:sz w:val="22"/>
          <w:szCs w:val="22"/>
          <w:color w:val="auto"/>
        </w:rPr>
        <w:t>), at law or in equity, Landlord shall be entitled to the immediate recovery, as of the day immediately prior to such termination of the Lease, of the unamortized amount of Base Rent that Tenant would have paid had the Free Rent Period not been in effect.</w:t>
      </w:r>
    </w:p>
    <w:p>
      <w:pPr>
        <w:spacing w:after="0" w:line="185" w:lineRule="exact"/>
        <w:rPr>
          <w:sz w:val="20"/>
          <w:szCs w:val="20"/>
          <w:color w:val="auto"/>
        </w:rPr>
      </w:pPr>
    </w:p>
    <w:p>
      <w:pPr>
        <w:ind w:left="820" w:hanging="812"/>
        <w:spacing w:after="0"/>
        <w:tabs>
          <w:tab w:leader="none" w:pos="8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color w:val="auto"/>
        </w:rPr>
        <w:t>8.1. Commencing on the Term Commencement Date and continuing for each calendar year or, at Landlord’s option, tax year (each such “tax year” being a period of twelve (12) consecutive calendar months for which the applicable taxing authority levies or assesses Taxes), for the balance of the Term Tenant shall pay to Landlord the amount of all Taxes levied and assessed for any such year upon the Premises.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government impositions, including property tax costs consisting of real and personal property taxes (including amounts due under any improvement bond upon the Premises or any portion thereof) or assessments in lieu thereof imposed by any federal, state, regional, local or municipal governmental authority, agency or subdivision (each, a “</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taxes on or measured by gross rentals received from the rental of space at the Premises; taxes based on the square footage of the Premises or any portion thereof, as well as any parking charges, utilities surcharges or any other costs levied, assessed or imposed by, or at the direction of, or arising from Applicable Laws or interpretations thereof, promulgated by any Governmental Authority in connection with the use or occupancy of the Premises or the parking facilities serving the Premises; taxes on this transaction or any document to which Tenant is a party creating or transferring an interest in the Premises; any fee for a business license to operate an office building; and any expenses, including the reasonable cost of attorneys or experts, reasonably incurred by Landlord in seeking reduction by the taxing authority of the applicable taxes, less tax refunds obtained as a result of an application for review thereof. Taxes shall not include any net income, franchise, capital stock, estate or inheritance taxes, or taxes that are the personal obligation of Tenant.</w:t>
      </w:r>
    </w:p>
    <w:p>
      <w:pPr>
        <w:spacing w:after="0" w:line="17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8.2. Tenant shall be solely responsible for the payment of any and all taxes levied upon (a) personal property and trade fixtures located at the Premises and (b) any gross or net receipts of or sales by Tenant, and shall pay the same at least twenty (20) days prior to delinquency.</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8.3. To the extent Landlord is required by a lender, Tenant shall timely pay all tax and insurance impound payments due on the Premises.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6" w:name="page167"/>
    <w:bookmarkEnd w:id="166"/>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8.4. Tenant shall not be responsible for Taxes attributable to the time period prior to the Term Commencement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Landlord shall permit Tenant possession of the Premises prior to the Term Commencement Date, Tenant shall be responsible for Taxes from such earlier date of possession. Tenant’s responsibility for Taxes shall continue to the latest of (a) the date of termination of the Lease, (b) the date Tenant has fully vacated the Premises and (c) if termination of the Lease is due to a default by Tenant, the date of rental commencement of a replacement tenant.</w:t>
      </w:r>
    </w:p>
    <w:p>
      <w:pPr>
        <w:spacing w:after="0" w:line="177"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8.5. Taxes for the calendar year in which Tenant’s obligation to share therein commences and for the calendar year in which such obligation ceases shall be prorated on a basis reasonably determined by Landlord. Taxes that are incurred for an extended time period shall be prorated based upon the time periods to which they apply so that the amounts attributed to the Premises relate in a reasonable manner to the time period wherein Tenant has an obligation to share in Taxes.</w:t>
      </w:r>
    </w:p>
    <w:p>
      <w:pPr>
        <w:spacing w:after="0" w:line="18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8.6. Within thirty (30) days after the end of each calendar month, Tenant shall submit to Landlord an invoice, or, in the event an invoice is not available, an itemized list, of all costs and expenses that (a) Tenant has incurred (either internally or by employing third parties) during the prior month and (b) for which Tenant reasonably believes it is entitled to reimbursements from Landlord pursuant to the terms of this Lease or that Tenant reasonably believes is the responsibility of Landlord pursuant to this Lease or the Work Letter.</w:t>
      </w:r>
    </w:p>
    <w:p>
      <w:pPr>
        <w:spacing w:after="0" w:line="177" w:lineRule="exact"/>
        <w:rPr>
          <w:sz w:val="20"/>
          <w:szCs w:val="20"/>
          <w:color w:val="auto"/>
        </w:rPr>
      </w:pPr>
    </w:p>
    <w:p>
      <w:pPr>
        <w:jc w:val="both"/>
        <w:ind w:firstLine="8"/>
        <w:spacing w:after="0" w:line="235" w:lineRule="auto"/>
        <w:tabs>
          <w:tab w:leader="none" w:pos="81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Property Management Fee</w:t>
      </w:r>
      <w:r>
        <w:rPr>
          <w:rFonts w:ascii="Times New Roman" w:cs="Times New Roman" w:eastAsia="Times New Roman" w:hAnsi="Times New Roman"/>
          <w:sz w:val="22"/>
          <w:szCs w:val="22"/>
          <w:color w:val="auto"/>
        </w:rPr>
        <w:t>9. . Tenant shall pay to Landlord on the first day of each calendar month of the Term, as Additional Rent, the Property Management Fee (as defined below). Commencing on the Term Commencement Date, the “</w:t>
      </w:r>
      <w:r>
        <w:rPr>
          <w:rFonts w:ascii="Times New Roman" w:cs="Times New Roman" w:eastAsia="Times New Roman" w:hAnsi="Times New Roman"/>
          <w:sz w:val="22"/>
          <w:szCs w:val="22"/>
          <w:u w:val="single" w:color="auto"/>
          <w:color w:val="auto"/>
        </w:rPr>
        <w:t>Property Management Fee</w:t>
      </w:r>
      <w:r>
        <w:rPr>
          <w:rFonts w:ascii="Times New Roman" w:cs="Times New Roman" w:eastAsia="Times New Roman" w:hAnsi="Times New Roman"/>
          <w:sz w:val="22"/>
          <w:szCs w:val="22"/>
          <w:color w:val="auto"/>
        </w:rPr>
        <w:t>” shall be Two Thousand and Fifty-Four and 00/100 Dollars ($2,054.85) per month, and shall be subject to an annual upward adjustment of three percent (3%) of the then-current Property Management Fee, effective on every annual anniversary of the Term Commencement Date for so long as this Lease continues in effect. Tenant shall pay the Property Management Fee with respect to the entire Term, including any extensions thereof or any holdover periods, regardless of whether Tenant is obligated to pay Base Rent or any other Rent with respect to any such period or portion thereof.</w:t>
      </w:r>
    </w:p>
    <w:p>
      <w:pPr>
        <w:spacing w:after="0" w:line="18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Deposit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 xml:space="preserve">10.1. Tenant shall deposit with Landlord on or before the Execution Date the sum set forth in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Security Deposit</w:t>
      </w:r>
      <w:r>
        <w:rPr>
          <w:rFonts w:ascii="Times New Roman" w:cs="Times New Roman" w:eastAsia="Times New Roman" w:hAnsi="Times New Roman"/>
          <w:sz w:val="21"/>
          <w:szCs w:val="21"/>
          <w:color w:val="auto"/>
        </w:rPr>
        <w:t>”), which sum shall be held by Landlord as security for the faithful performance by Tenant of all of the terms, covenants and conditions of this Lease to be kept and performed by Tenant. If Tenant Defaults (as defined below) with respect to any provision of this Lease, including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If any portion of the Security 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Article shall survive the expiration or earlier termination of this Lease.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7" w:name="page168"/>
    <w:bookmarkEnd w:id="167"/>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10.2.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10.3. Landlord may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10.4. If Tenant shall fully and faithfully perform every provision of this Lease to be performed by it, then the Security Deposit, or any balance thereof, shall be returned to Tenant (or, at Landlord’s option, to the last assignee of Tenant’s interest hereunder) within sixty (60) days after the expiration or earlier termination of this Lease.</w:t>
      </w:r>
    </w:p>
    <w:p>
      <w:pPr>
        <w:spacing w:after="0" w:line="173"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10.5. If the Security Deposit shall be in cash, Landlord shall hold the Security Deposit in an account at a banking organization selected by Landlord;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177"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10.6. The Security Deposit may be in the form of cash, a letter of credit or any other security instrument acceptable to Landlord in its sole discretion. Tenant may at any time, except when Tenant is in Default (as defined below), deliver a letter of credit (the “</w:t>
      </w:r>
      <w:r>
        <w:rPr>
          <w:rFonts w:ascii="Times New Roman" w:cs="Times New Roman" w:eastAsia="Times New Roman" w:hAnsi="Times New Roman"/>
          <w:sz w:val="22"/>
          <w:szCs w:val="22"/>
          <w:u w:val="single" w:color="auto"/>
          <w:color w:val="auto"/>
        </w:rPr>
        <w:t>L/C Security</w:t>
      </w:r>
      <w:r>
        <w:rPr>
          <w:rFonts w:ascii="Times New Roman" w:cs="Times New Roman" w:eastAsia="Times New Roman" w:hAnsi="Times New Roman"/>
          <w:sz w:val="22"/>
          <w:szCs w:val="22"/>
          <w:color w:val="auto"/>
        </w:rPr>
        <w:t>”) as the entire Security Deposit, as follows:</w:t>
      </w:r>
    </w:p>
    <w:p>
      <w:pPr>
        <w:spacing w:after="0" w:line="173" w:lineRule="exact"/>
        <w:rPr>
          <w:sz w:val="20"/>
          <w:szCs w:val="20"/>
          <w:color w:val="auto"/>
        </w:rPr>
      </w:pPr>
    </w:p>
    <w:p>
      <w:pPr>
        <w:jc w:val="both"/>
        <w:ind w:firstLine="1735"/>
        <w:spacing w:after="0" w:line="244" w:lineRule="auto"/>
        <w:tabs>
          <w:tab w:leader="none" w:pos="261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Tenant elects to deliver L/C Security, then Tenant shall provide Landlord, and maintain in full force and effect throughout the Term and until the date that is ninety (90) days after the then-current Term Expiration Date, a letter of credit in the form of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issued by an issuer reasonably satisfactory to Landlord, in the amount of the Security Deposit, with an initial term of at least one year. Landlord may require the L/C Security to be re-issued by a different issuer at any time during the Term if Landlord reasonably believes that the issuing bank of the L/C Security is or may soon become insolvent; provided, however, Landlord shall return the existing L/C Security to the existing issuer immediately upon receipt of the substitute L/C Security. If any issuer of the L/C Security shall become insolvent or placed into FDIC receivership, then Tenant shall immediately deliver to Landlord (without the requirement of notice from Landlord) substitute L/C Security issued by an issuer reasonably satisfactory to Landlord, and otherwise conforming to the requirements set forth in this Article. As used herein with respect to the issuer of the L/C Security, “insolvent” means the determination of insolvency as made by such issuer’s primary bank regulator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state bank supervisor for state chartered banks; the OCC or OTS, respectively, for federally chartered banks or thrifts; or the Federal Reserve for its member banks). If, at the Term Expiration Date, any Rent remains uncalculated or unpaid, then (i) Landlord shall with reasonable diligence complete any necessary calculations, (ii) Tenant shall extend the expiry date of such L/C Security from time to time as Landlord reasonably requires and (iii) in such extended period, Landlord shall not unreasonably refuse to consent to an appropriate reduction of the L/C Security. Tenant shall reimburse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8" w:name="page169"/>
    <w:bookmarkEnd w:id="168"/>
    <w:p>
      <w:pPr>
        <w:spacing w:after="0" w:line="258" w:lineRule="auto"/>
        <w:rPr>
          <w:sz w:val="20"/>
          <w:szCs w:val="20"/>
          <w:color w:val="auto"/>
        </w:rPr>
      </w:pPr>
      <w:r>
        <w:rPr>
          <w:rFonts w:ascii="Times New Roman" w:cs="Times New Roman" w:eastAsia="Times New Roman" w:hAnsi="Times New Roman"/>
          <w:sz w:val="22"/>
          <w:szCs w:val="22"/>
          <w:color w:val="auto"/>
        </w:rPr>
        <w:t>Landlord’s legal costs (as estimated by Landlord’s counsel) in handling Landlord’s acceptance of L/C Security or its replacement or extension.</w:t>
      </w:r>
    </w:p>
    <w:p>
      <w:pPr>
        <w:spacing w:after="0" w:line="158" w:lineRule="exact"/>
        <w:rPr>
          <w:sz w:val="20"/>
          <w:szCs w:val="20"/>
          <w:color w:val="auto"/>
        </w:rPr>
      </w:pPr>
    </w:p>
    <w:p>
      <w:pPr>
        <w:ind w:firstLine="1735"/>
        <w:spacing w:after="0" w:line="258" w:lineRule="auto"/>
        <w:tabs>
          <w:tab w:leader="none" w:pos="262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delivers to Landlord satisfactory L/C Security in place of the entire Security Deposit, Landlord shall remit to Tenant any cash Security Deposit Landlord previously held.</w:t>
      </w:r>
    </w:p>
    <w:p>
      <w:pPr>
        <w:spacing w:after="0" w:line="158" w:lineRule="exact"/>
        <w:rPr>
          <w:rFonts w:ascii="Times New Roman" w:cs="Times New Roman" w:eastAsia="Times New Roman" w:hAnsi="Times New Roman"/>
          <w:sz w:val="22"/>
          <w:szCs w:val="22"/>
          <w:color w:val="auto"/>
        </w:rPr>
      </w:pPr>
    </w:p>
    <w:p>
      <w:pPr>
        <w:jc w:val="both"/>
        <w:ind w:firstLine="1735"/>
        <w:spacing w:after="0" w:line="245" w:lineRule="auto"/>
        <w:tabs>
          <w:tab w:leader="none" w:pos="2615"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may draw upon the L/C Security, and hold and apply the proceeds in the same manner and for the same purposes as the Security Deposit, if (i) an uncured Default (as defined below) exists, (ii) as of the date that is forty-five (45) days before any L/C Security expires (even if such scheduled expiry date is after the Term Expiration Date) Tenant has not delivered to Landlord an amendment or replacement for such L/C Security, reasonably satisfactory to Landlord, extending the expiry date to the earlier of (1) six (6) months after the then-current Term Expiration Date or (2) the date that is one year after the then-current expiry date of the L/C Security, (iii) the L/C Security provides for automatic renewals, Landlord asks the issuer to confirm the current L/C Security expiry date, and the issuer fails to do so within ten (10) business days, (iv) Tenant fails to pay (when and as Landlord reasonably requires) any bank charges for Landlord’s transfer of the L/C Security or (v)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w:t>
      </w:r>
    </w:p>
    <w:p>
      <w:pPr>
        <w:spacing w:after="0" w:line="177" w:lineRule="exact"/>
        <w:rPr>
          <w:rFonts w:ascii="Times New Roman" w:cs="Times New Roman" w:eastAsia="Times New Roman" w:hAnsi="Times New Roman"/>
          <w:sz w:val="21"/>
          <w:szCs w:val="21"/>
          <w:color w:val="auto"/>
        </w:rPr>
      </w:pPr>
    </w:p>
    <w:p>
      <w:pPr>
        <w:jc w:val="both"/>
        <w:ind w:firstLine="1735"/>
        <w:spacing w:after="0" w:line="249" w:lineRule="auto"/>
        <w:tabs>
          <w:tab w:leader="none" w:pos="2627"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170" w:lineRule="exact"/>
        <w:rPr>
          <w:rFonts w:ascii="Times New Roman" w:cs="Times New Roman" w:eastAsia="Times New Roman" w:hAnsi="Times New Roman"/>
          <w:sz w:val="21"/>
          <w:szCs w:val="21"/>
          <w:color w:val="auto"/>
        </w:rPr>
      </w:pPr>
    </w:p>
    <w:p>
      <w:pPr>
        <w:ind w:left="2620" w:hanging="885"/>
        <w:spacing w:after="0"/>
        <w:tabs>
          <w:tab w:leader="none" w:pos="262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transfers its interest in the Premises, then Tenant shall at Tenant’s expense, within five</w:t>
      </w:r>
    </w:p>
    <w:p>
      <w:pPr>
        <w:spacing w:after="0" w:line="25" w:lineRule="exact"/>
        <w:rPr>
          <w:rFonts w:ascii="Times New Roman" w:cs="Times New Roman" w:eastAsia="Times New Roman" w:hAnsi="Times New Roman"/>
          <w:sz w:val="21"/>
          <w:szCs w:val="21"/>
          <w:color w:val="auto"/>
        </w:rPr>
      </w:pPr>
    </w:p>
    <w:p>
      <w:pPr>
        <w:jc w:val="both"/>
        <w:ind w:firstLine="8"/>
        <w:spacing w:after="0" w:line="234" w:lineRule="auto"/>
        <w:tabs>
          <w:tab w:leader="none" w:pos="3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w:t>
      </w:r>
    </w:p>
    <w:p>
      <w:pPr>
        <w:spacing w:after="0" w:line="177"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color w:val="auto"/>
        </w:rPr>
        <w:t>10.7 If, as of the fourth (4</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anniversary of the Rent Commencement Date, Tenant has not been in Default under this Lease prior to such date (the “</w:t>
      </w:r>
      <w:r>
        <w:rPr>
          <w:rFonts w:ascii="Times New Roman" w:cs="Times New Roman" w:eastAsia="Times New Roman" w:hAnsi="Times New Roman"/>
          <w:sz w:val="21"/>
          <w:szCs w:val="21"/>
          <w:u w:val="single" w:color="auto"/>
          <w:color w:val="auto"/>
        </w:rPr>
        <w:t>SD Reduction Obligation</w:t>
      </w:r>
      <w:r>
        <w:rPr>
          <w:rFonts w:ascii="Times New Roman" w:cs="Times New Roman" w:eastAsia="Times New Roman" w:hAnsi="Times New Roman"/>
          <w:sz w:val="21"/>
          <w:szCs w:val="21"/>
          <w:color w:val="auto"/>
        </w:rPr>
        <w:t>”), then Tenant, within ninety (90) days after the fourth (4</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anniversary of the Rent Commencement Date so long as no Default is then existing, may notify Landlord in writing that it wishes to decrease the Security Deposit to Four Hundred and Ten Thousand Nine Hundred Seventy and 63/100 Dollars ($410,970.63) (the “</w:t>
      </w:r>
      <w:r>
        <w:rPr>
          <w:rFonts w:ascii="Times New Roman" w:cs="Times New Roman" w:eastAsia="Times New Roman" w:hAnsi="Times New Roman"/>
          <w:sz w:val="21"/>
          <w:szCs w:val="21"/>
          <w:u w:val="single" w:color="auto"/>
          <w:color w:val="auto"/>
        </w:rPr>
        <w:t>Reduced Security Deposit</w:t>
      </w:r>
      <w:r>
        <w:rPr>
          <w:rFonts w:ascii="Times New Roman" w:cs="Times New Roman" w:eastAsia="Times New Roman" w:hAnsi="Times New Roman"/>
          <w:sz w:val="21"/>
          <w:szCs w:val="21"/>
          <w:color w:val="auto"/>
        </w:rPr>
        <w:t>”). Within ten (10) Business Days following Landlord’s receipt of such notice, Landlord shall (x) confirm in writing that the SD Reduction Obligation has been satisfied and that the Security Deposit shall be deemed to equal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9" w:name="page170"/>
    <w:bookmarkEnd w:id="169"/>
    <w:p>
      <w:pPr>
        <w:jc w:val="both"/>
        <w:spacing w:after="0" w:line="236" w:lineRule="auto"/>
        <w:rPr>
          <w:sz w:val="20"/>
          <w:szCs w:val="20"/>
          <w:color w:val="auto"/>
        </w:rPr>
      </w:pPr>
      <w:r>
        <w:rPr>
          <w:rFonts w:ascii="Times New Roman" w:cs="Times New Roman" w:eastAsia="Times New Roman" w:hAnsi="Times New Roman"/>
          <w:sz w:val="22"/>
          <w:szCs w:val="22"/>
          <w:color w:val="auto"/>
        </w:rPr>
        <w:t>the Reduced Security Deposit, or (y) provide Tenant with satisfactory written evidence that such SD Reduction Obligation has not been satisfied. Upon Landlord’s confirmation that the SD Reduction Obligation has been satisfied, (i) if the Security Deposit is in the form of cash, Landlord shall return to Tenant the excess amount within ten (10) Business Days following Landlord’s correspondence in the immediately preceding sentence, or (ii) if the Security Deposit is in the form of the L/C Security, the Tenant may provide to Landlord, and Landlord shall accept, a replacement L/C Security in the amount of the Reduced Security Deposit.</w:t>
      </w:r>
    </w:p>
    <w:p>
      <w:pPr>
        <w:spacing w:after="0" w:line="73" w:lineRule="exact"/>
        <w:rPr>
          <w:sz w:val="20"/>
          <w:szCs w:val="20"/>
          <w:color w:val="auto"/>
        </w:rPr>
      </w:pPr>
    </w:p>
    <w:p>
      <w:pPr>
        <w:ind w:left="920" w:hanging="912"/>
        <w:spacing w:after="0"/>
        <w:tabs>
          <w:tab w:leader="none" w:pos="9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11.1. Tenant shall use the Premises for the Permitted Use, and shall not use the Premises, or permit or suffer the Premises to be used, for any other purpose without Landlord’s prior written consent, which consent Landlord may withhold in its sole and absolute discretion.</w:t>
      </w:r>
    </w:p>
    <w:p>
      <w:pPr>
        <w:spacing w:after="0" w:line="173"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color w:val="auto"/>
        </w:rPr>
        <w:t xml:space="preserve">11.2. Tenant shall not use or occupy the Premises in violation of Applicable Laws; zoning ordinances; or the certificate of occupancy (or its substantial equivalent) issued for the Premises or any portion thereof, and shall, upon five (5) days’ written notice from Landlord, discontinue any use of the Premises that is declared or claimed by any Governmental Authority having jurisdiction to be a violation of any of the above, or that in Landlord’s reasonable opinion violates any of the above. Tenant shall take such further actions and execute such further documents in connection with this Lease as are necessary to comply with Applicable Laws relating to privacy, personal information and data security. Tenant acknowledges that Landlord may collect certain personal information (e.g., names, email addresses and contact information) of Tenant’s and its affiliates’ employees (and, if applicable, subcontractors and consultants), and use such information in connection with performing Landlord’s duties and obligations, and exercising its rights under this Lease. Tenant shall not retain, use or disclose any personal information received from Landlord pursuant to this Lease for any purpose other than to perform its duties and obligations, and exercise its rights under this Lease or as required by Applicable Law. In the event of a conflict between this Section and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37</w:t>
      </w:r>
      <w:r>
        <w:rPr>
          <w:rFonts w:ascii="Times New Roman" w:cs="Times New Roman" w:eastAsia="Times New Roman" w:hAnsi="Times New Roman"/>
          <w:sz w:val="21"/>
          <w:szCs w:val="21"/>
          <w:color w:val="auto"/>
        </w:rPr>
        <w:t>, this Section shall govern.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 and shall indemnify, defend (at the option of and with counsel reasonably acceptable to the indemnified party(ies)), save, reimburse and hold harmless (collectively, “</w:t>
      </w:r>
      <w:r>
        <w:rPr>
          <w:rFonts w:ascii="Times New Roman" w:cs="Times New Roman" w:eastAsia="Times New Roman" w:hAnsi="Times New Roman"/>
          <w:sz w:val="21"/>
          <w:szCs w:val="21"/>
          <w:u w:val="single" w:color="auto"/>
          <w:color w:val="auto"/>
        </w:rPr>
        <w:t>Indemnify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as the case may require) Landlord and its affiliates, employees, agents and contractors; and any lender, mortgagee, ground lessor or beneficiary (each, a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and, collectively with Landlord and its affiliates, employees, agents and contractors, the “</w:t>
      </w:r>
      <w:r>
        <w:rPr>
          <w:rFonts w:ascii="Times New Roman" w:cs="Times New Roman" w:eastAsia="Times New Roman" w:hAnsi="Times New Roman"/>
          <w:sz w:val="21"/>
          <w:szCs w:val="21"/>
          <w:u w:val="single" w:color="auto"/>
          <w:color w:val="auto"/>
        </w:rPr>
        <w:t>Landlord Indemnitees</w:t>
      </w:r>
      <w:r>
        <w:rPr>
          <w:rFonts w:ascii="Times New Roman" w:cs="Times New Roman" w:eastAsia="Times New Roman" w:hAnsi="Times New Roman"/>
          <w:sz w:val="21"/>
          <w:szCs w:val="21"/>
          <w:color w:val="auto"/>
        </w:rPr>
        <w:t>”) harmless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of any kind or nature that arise before, during or after the Term as a result of Tenant’s breach of this Section.</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11.3. Tenant shall not do or permit to be done anything that will invalidate or increase the cost of any fire, environmental, extended coverage or any other insurance policy covering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0" w:name="page171"/>
    <w:bookmarkEnd w:id="170"/>
    <w:p>
      <w:pPr>
        <w:jc w:val="both"/>
        <w:spacing w:after="0" w:line="244" w:lineRule="auto"/>
        <w:rPr>
          <w:sz w:val="20"/>
          <w:szCs w:val="20"/>
          <w:color w:val="auto"/>
        </w:rPr>
      </w:pPr>
      <w:r>
        <w:rPr>
          <w:rFonts w:ascii="Times New Roman" w:cs="Times New Roman" w:eastAsia="Times New Roman" w:hAnsi="Times New Roman"/>
          <w:sz w:val="22"/>
          <w:szCs w:val="22"/>
          <w:color w:val="auto"/>
        </w:rPr>
        <w:t>Premises or any portion thereof, and shall comply with all rules, orders, regulations and requirements of the insurers of the Premises or any portion thereof, and Tenant shall promptly, upon demand, reimburse Landlord for any additional premium charged for such policy by reason of Tenant’s failure to comply with the provisions of this Article.</w:t>
      </w:r>
    </w:p>
    <w:p>
      <w:pPr>
        <w:spacing w:after="0" w:line="173" w:lineRule="exact"/>
        <w:rPr>
          <w:sz w:val="20"/>
          <w:szCs w:val="20"/>
          <w:color w:val="auto"/>
        </w:rPr>
      </w:pPr>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Tenant shall keep all doors opening onto public corridors closed, except when in use for ingress and egress.</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11.5. No additional locks or bolts of any kind shall be placed upon any of the doors or windows by Tenant, nor shall any changes be made to existing locks or the mechanisms thereof without Landlord’s prior written consent. Tenant shall, upon termination of this Lease, return to Landlord all keys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177"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11.6. No awnings or other projections shall be attached to any outside wall of the Building. No curtains, blinds, shades or screens shall be attached to or hung in, or used in connection with, any window or door of the Premises other than Landlord’s standard window coverings. Neither the interior nor exterior of any windows shall be coated or otherwise sunscreened without Landlord’s prior written consent, nor shall any bottles, parcels or other articles be placed on the windowsills or items attached to windows that are visible from outside the Premises. No equipment, furniture or other items of personal property shall be placed on any exterior balcony without Landlord’s prior written consent.</w:t>
      </w:r>
    </w:p>
    <w:p>
      <w:pPr>
        <w:spacing w:after="0" w:line="181"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11.7. No sign, advertisement or notice (“</w:t>
      </w:r>
      <w:r>
        <w:rPr>
          <w:rFonts w:ascii="Times New Roman" w:cs="Times New Roman" w:eastAsia="Times New Roman" w:hAnsi="Times New Roman"/>
          <w:sz w:val="22"/>
          <w:szCs w:val="22"/>
          <w:u w:val="single" w:color="auto"/>
          <w:color w:val="auto"/>
        </w:rPr>
        <w:t>Signage</w:t>
      </w:r>
      <w:r>
        <w:rPr>
          <w:rFonts w:ascii="Times New Roman" w:cs="Times New Roman" w:eastAsia="Times New Roman" w:hAnsi="Times New Roman"/>
          <w:sz w:val="22"/>
          <w:szCs w:val="22"/>
          <w:color w:val="auto"/>
        </w:rPr>
        <w:t xml:space="preserve">”) shall be exhibited, painted or affixed by Tenant on any exterior part of the Premises without Landlord’s prior written consent. Signage shall conform to the criteria and design for the Project set forth in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attached hereto. For any Signage, Tenant shall, at Tenant’s own cost and expense, (a) acquire all permits for such Signage in compliance with Applicable Laws and (b) design, fabricate, install and maintain such Signage in a first-class condition. Tenant shall be responsible for reimbursing Landlord for costs incurred by Landlord in removing any of Tenant’s Signage upon the expiration or earlier termination of the Lease. At Landlord’s option, Landlord may install any such Signage, and Tenant shall pay all costs associated with such installation within thirty (30) days after demand therefor. Notwithstanding the immediately foregoing sentence, Landlord shall provide exterior wayfinding Signage for Tenant at Landlord’s sole cost and expense, which shall be of a size, color and type and be located in a place acceptable to Landlord. Tenant shall have the right to install two (2) signs on the facade of the Building and branding at the main entrance of the Building identifying Tenant, subject to all Applicable Laws and Landlord’s prior written approval with regards to installation, size, design, location and other reasonable criteria, which approval shall not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Tenant shall be responsible for removing such Signage upon the expiration or earlier termination of this Lease at its sole cost and expense.</w:t>
      </w:r>
    </w:p>
    <w:p>
      <w:pPr>
        <w:spacing w:after="0" w:line="18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11.8. Tenant may only place equipment within the Premises with floor loading consistent with the Building’s structural design unless Tenant obtains Landlord’s prior written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approval. Tenant may place such equipment only in a location designed to carry the weight of such equipment.</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11.9. Tenant shall not (a) use or allow the Premises to be used for immoral, unlawful or objectionable purposes or (b) cause, maintain or permit any nuisance or waste in, on or about the Premises.</w:t>
      </w:r>
    </w:p>
    <w:p>
      <w:pPr>
        <w:spacing w:after="0" w:line="15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11.10. Notwithstanding any other provision herein to the contrary, Tenant shall be responsible for all liabilities, costs and expenses arising from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Times New Roman" w:cs="Times New Roman" w:eastAsia="Times New Roman" w:hAnsi="Times New Roman"/>
          <w:sz w:val="22"/>
          <w:szCs w:val="22"/>
          <w:u w:val="single" w:color="auto"/>
          <w:color w:val="auto"/>
        </w:rPr>
        <w:t>ADA</w:t>
      </w:r>
      <w:r>
        <w:rPr>
          <w:rFonts w:ascii="Times New Roman" w:cs="Times New Roman" w:eastAsia="Times New Roman" w:hAnsi="Times New Roman"/>
          <w:sz w:val="22"/>
          <w:szCs w:val="22"/>
          <w:color w:val="auto"/>
        </w:rPr>
        <w:t>”), and Tenant shall Indemnify the Landlord Indemnitees from and against any Claims arising from any such failure of the Premises to comply with the ADA. For the avoidance of doubt, “Lenders” shall also include historic tax credit investors and new market tax credit investors. The provisions of this Section shall survive the expiration or earlier termination of this Lease.</w:t>
      </w:r>
    </w:p>
    <w:p>
      <w:pPr>
        <w:spacing w:after="0" w:line="183"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11.11 Tenant shall establish and maintain a chemical safety program administered by a licensed, qualified individual in accordance with the requirements of the New Jersey Water Supply Authority (“</w:t>
      </w:r>
      <w:r>
        <w:rPr>
          <w:rFonts w:ascii="Times New Roman" w:cs="Times New Roman" w:eastAsia="Times New Roman" w:hAnsi="Times New Roman"/>
          <w:sz w:val="22"/>
          <w:szCs w:val="22"/>
          <w:u w:val="single" w:color="auto"/>
          <w:color w:val="auto"/>
        </w:rPr>
        <w:t>NJWSA</w:t>
      </w:r>
      <w:r>
        <w:rPr>
          <w:rFonts w:ascii="Times New Roman" w:cs="Times New Roman" w:eastAsia="Times New Roman" w:hAnsi="Times New Roman"/>
          <w:sz w:val="22"/>
          <w:szCs w:val="22"/>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the NJWSA and any other applicable Governmental Authority with respect to such chemical safety program and (b) this Section, including without limitation a list of all chemicals used, handled or stored by the Tenant at the Premises. Notwithstanding the foregoing, Landlord shall obtain and maintain during the Term (m) any permit required by the NJWSA (“</w:t>
      </w:r>
      <w:r>
        <w:rPr>
          <w:rFonts w:ascii="Times New Roman" w:cs="Times New Roman" w:eastAsia="Times New Roman" w:hAnsi="Times New Roman"/>
          <w:sz w:val="22"/>
          <w:szCs w:val="22"/>
          <w:u w:val="single" w:color="auto"/>
          <w:color w:val="auto"/>
        </w:rPr>
        <w:t>NJWSA Permit</w:t>
      </w:r>
      <w:r>
        <w:rPr>
          <w:rFonts w:ascii="Times New Roman" w:cs="Times New Roman" w:eastAsia="Times New Roman" w:hAnsi="Times New Roman"/>
          <w:sz w:val="22"/>
          <w:szCs w:val="22"/>
          <w:color w:val="auto"/>
        </w:rPr>
        <w:t>”) and (n) to the extent Tenant installs an acid neutralization tank system (the “</w:t>
      </w:r>
      <w:r>
        <w:rPr>
          <w:rFonts w:ascii="Times New Roman" w:cs="Times New Roman" w:eastAsia="Times New Roman" w:hAnsi="Times New Roman"/>
          <w:sz w:val="22"/>
          <w:szCs w:val="22"/>
          <w:u w:val="single" w:color="auto"/>
          <w:color w:val="auto"/>
        </w:rPr>
        <w:t>Acid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Neutralization Tank</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a wastewater treatment operator license from the State of New Jersey with respect to Tenant’s use of the Acid Neutralization Tank in the Building. Tenant shall not introduce anything into the Acid Neutralization Tank (x) in violation of the terms of the NJWSA Permit, (y) in violation of Applicable Laws or (z) that would interfere with the proper functioning of the Acid Neutralization Tank. Tenant agrees to reasonably cooperate with Landlord in order to obtain the NJWSA Permit and the wastewater treatment operator license. Tenant shall reimburse Landlord within ten (10) business days after demand for any costs incurred by Landlord pursuant to this Section.</w:t>
      </w:r>
    </w:p>
    <w:p>
      <w:pPr>
        <w:spacing w:after="0" w:line="72" w:lineRule="exact"/>
        <w:rPr>
          <w:sz w:val="20"/>
          <w:szCs w:val="20"/>
          <w:color w:val="auto"/>
        </w:rPr>
      </w:pPr>
    </w:p>
    <w:p>
      <w:pPr>
        <w:ind w:left="920" w:hanging="912"/>
        <w:spacing w:after="0"/>
        <w:tabs>
          <w:tab w:leader="none" w:pos="9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Rules and Regulations, CC&amp;Rs and Parking Facilities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12.1. Tenant shall and shall ensure that its contractors, subcontractors, employees, subtenants and invitees faithfully observe and comply with the rules and regulations adopted by Landlord and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together with such other reasonable and nondiscriminatory rules and regulations as are hereafter promulgated by Landlord in its sole and absolute discretion (the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12.2. This Lease is subject to any recorded covenants, conditions or restrictions on the Property or Premises, as the same may be amended, amended and restated, supplemented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2"/>
          <w:szCs w:val="22"/>
          <w:color w:val="auto"/>
        </w:rPr>
        <w:t>otherwise modified from time to time (the “</w:t>
      </w:r>
      <w:r>
        <w:rPr>
          <w:rFonts w:ascii="Times New Roman" w:cs="Times New Roman" w:eastAsia="Times New Roman" w:hAnsi="Times New Roman"/>
          <w:sz w:val="22"/>
          <w:szCs w:val="22"/>
          <w:u w:val="single" w:color="auto"/>
          <w:color w:val="auto"/>
        </w:rPr>
        <w:t>CC&amp;Rs</w:t>
      </w:r>
      <w:r>
        <w:rPr>
          <w:rFonts w:ascii="Times New Roman" w:cs="Times New Roman" w:eastAsia="Times New Roman" w:hAnsi="Times New Roman"/>
          <w:sz w:val="22"/>
          <w:szCs w:val="22"/>
          <w:color w:val="auto"/>
        </w:rPr>
        <w:t>”). Tenant shall, at its sole cost and expense, comply with the CC&amp;Rs.</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12.3. Notwithstanding anything in this Lease to the contrary, Tenant may not install any security systems (including cameras) outside the Premises or that record sounds or images outside the Premises without Landlord’s prior written consent, which Landlord may withhold in its sole and absolute discretion.</w:t>
      </w:r>
    </w:p>
    <w:p>
      <w:pPr>
        <w:spacing w:after="0" w:line="173"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21"/>
          <w:szCs w:val="21"/>
          <w:color w:val="auto"/>
        </w:rPr>
        <w:t>12.4. Tenant shall have a non-exclusive, irrevocable license to use all available parking spaces in the parking facilities serving the Premises, which, to Landlord’s knowledge and without having undertaken any independent or internal investigation or due diligence, is approximately 211 parking spaces, during the Term at no additional cost. Landlord makes no representations or warranties to Tenant with respect to the number of parking spaces in such parking facilities, and Landlord shall have no liability to Tenant if the number of parking spaces in such parking facilities is more or less than 211 parking spaces.</w:t>
      </w:r>
    </w:p>
    <w:p>
      <w:pPr>
        <w:spacing w:after="0" w:line="168" w:lineRule="exact"/>
        <w:rPr>
          <w:sz w:val="20"/>
          <w:szCs w:val="20"/>
          <w:color w:val="auto"/>
        </w:rPr>
      </w:pPr>
    </w:p>
    <w:p>
      <w:pPr>
        <w:ind w:left="920" w:hanging="912"/>
        <w:spacing w:after="0"/>
        <w:tabs>
          <w:tab w:leader="none" w:pos="9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 by Landlord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13.1. Landlord reserves full control over the Premises to the extent not inconsistent with Tenant’s enjoyment of the same as provided by this Lease. This reservation includes Landlord’s right to subdivide the Premises; convert the Premises to condominium units; change the size of the Premises by selling all or a portion of the Premises or adding real property and any improvements thereon to the Premises; grant easements and licenses to third parties; and maintain or establish ownership of the Premises separate from fee title to the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such rights shall be exercised in a way that does not materially adversely affect Tenant’s beneficial use and occupancy of the Premises, including the Permitted Use and Tenant’s access to the Premises.</w:t>
      </w:r>
    </w:p>
    <w:p>
      <w:pPr>
        <w:spacing w:after="0" w:line="18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13.2. Tenant shall, at Landlord’s request, promptly execute such further documents as may be reasonably appropriate to assist Landlord in the performance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need not execute any document that creates additional liability for Tenant or that deprives Tenant of the quiet enjoyment and use of the Premises as provided for in this Lease.</w:t>
      </w:r>
    </w:p>
    <w:p>
      <w:pPr>
        <w:spacing w:after="0" w:line="180"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13.3. Landlord may, at any and all reasonable times during business hours (or during non-business hours, if (a) with respect to </w:t>
      </w:r>
      <w:r>
        <w:rPr>
          <w:rFonts w:ascii="Times New Roman" w:cs="Times New Roman" w:eastAsia="Times New Roman" w:hAnsi="Times New Roman"/>
          <w:sz w:val="22"/>
          <w:szCs w:val="22"/>
          <w:u w:val="single" w:color="auto"/>
          <w:color w:val="auto"/>
        </w:rPr>
        <w:t>Subsections 13.3(v)</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13.3(y)</w:t>
      </w:r>
      <w:r>
        <w:rPr>
          <w:rFonts w:ascii="Times New Roman" w:cs="Times New Roman" w:eastAsia="Times New Roman" w:hAnsi="Times New Roman"/>
          <w:sz w:val="22"/>
          <w:szCs w:val="22"/>
          <w:color w:val="auto"/>
        </w:rPr>
        <w:t xml:space="preserve">, Tenant so requests, and (b) with respect to </w:t>
      </w:r>
      <w:r>
        <w:rPr>
          <w:rFonts w:ascii="Times New Roman" w:cs="Times New Roman" w:eastAsia="Times New Roman" w:hAnsi="Times New Roman"/>
          <w:sz w:val="22"/>
          <w:szCs w:val="22"/>
          <w:u w:val="single" w:color="auto"/>
          <w:color w:val="auto"/>
        </w:rPr>
        <w:t>Subsection 13.3(z)</w:t>
      </w:r>
      <w:r>
        <w:rPr>
          <w:rFonts w:ascii="Times New Roman" w:cs="Times New Roman" w:eastAsia="Times New Roman" w:hAnsi="Times New Roman"/>
          <w:sz w:val="22"/>
          <w:szCs w:val="22"/>
          <w:color w:val="auto"/>
        </w:rPr>
        <w:t xml:space="preserve">, if Landlord so requests), and upon twenty-four (24) hours’ prior notice (which may be oral or by email to the office manager or other Tenant-designated individual at the Premises; but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time restrictions shall apply or advance notice be required if an emergency necessitates immediate entry), enter the Premises to (v) inspect the same and to determine whether Tenant is in compliance with its obligations hereunder, (w) supply any service Landlord is required to provide hereunder, (x) post notices of nonresponsibility, (y) access the telephone equipment, electrical substation and fire risers and (z) show the Premises to prospective tenants during the final year of the Term and current and prospective purchasers and lenders at any time or permit a future tenant of the Premises to inspect and measure the Premises in anticipation of such tenant’s future occupancy of the Premises. In no event shall Tenant’s Rent abate as a result of Landlord’s activities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3" w:name="page174"/>
    <w:bookmarkEnd w:id="173"/>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177" w:lineRule="exact"/>
        <w:rPr>
          <w:sz w:val="20"/>
          <w:szCs w:val="20"/>
          <w:color w:val="auto"/>
        </w:rPr>
      </w:pPr>
    </w:p>
    <w:p>
      <w:pPr>
        <w:jc w:val="both"/>
        <w:ind w:firstLine="8"/>
        <w:spacing w:after="0" w:line="238" w:lineRule="auto"/>
        <w:tabs>
          <w:tab w:leader="none" w:pos="9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Quiet Enjoyment</w:t>
      </w:r>
      <w:r>
        <w:rPr>
          <w:rFonts w:ascii="Times New Roman" w:cs="Times New Roman" w:eastAsia="Times New Roman" w:hAnsi="Times New Roman"/>
          <w:sz w:val="22"/>
          <w:szCs w:val="22"/>
          <w:color w:val="auto"/>
        </w:rPr>
        <w:t>. Landlord covenants that Tenant, upon paying the Rent and performing its obligations contained in this Lease, may peacefully and quietly have, hold and enjoy the Premises, free from any claim by Landlord or persons claiming under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17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Utilities and Services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15.1 Tenant shall, at its sole cost and expense, promptly and properly observe and comply with (including in the making by Tenant of any Alterations to the Premises) all present and Applicable Laws.</w:t>
      </w:r>
    </w:p>
    <w:p>
      <w:pPr>
        <w:spacing w:after="0" w:line="15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15.2 Tenant shall, at Tenant’s sole cost and expense, procure and maintain contracts, with copies of the same and of any related records furnished promptly to Landlord after execution thereof, in customary form and substance for, and with contractors specializing and experienced in, the maintenance of the following equipment and improvements, if any, if and when installed on the Premises: (a) heating, ventilating and air conditioning (“</w:t>
      </w:r>
      <w:r>
        <w:rPr>
          <w:rFonts w:ascii="Times New Roman" w:cs="Times New Roman" w:eastAsia="Times New Roman" w:hAnsi="Times New Roman"/>
          <w:sz w:val="22"/>
          <w:szCs w:val="22"/>
          <w:u w:val="single" w:color="auto"/>
          <w:color w:val="auto"/>
        </w:rPr>
        <w:t>HVAC</w:t>
      </w:r>
      <w:r>
        <w:rPr>
          <w:rFonts w:ascii="Times New Roman" w:cs="Times New Roman" w:eastAsia="Times New Roman" w:hAnsi="Times New Roman"/>
          <w:sz w:val="22"/>
          <w:szCs w:val="22"/>
          <w:color w:val="auto"/>
        </w:rPr>
        <w:t>”) equipment, (b) boilers and pressure vessels, (c) fire extinguishing systems, including fire alarm and smoke detection devices, (d) landscaping and irrigation systems, (e) roof coverings and drains, (f) clarifiers, (g) basic utility feeds to the perimeter of the Building and (h) any other equipment reasonably required by Landlord. Notwithstanding the foregoing, Landlord reserves the right, upon notice to Tenant, to procure and maintain any or all of such service contracts, and if Landlord so elects, Tenant shall reimburse Landlord, upon demand, for the costs thereof. Tenant shall maintain temperature and humidity in the Premises in accordance with ASHRAE standards at all times.</w:t>
      </w:r>
    </w:p>
    <w:p>
      <w:pPr>
        <w:spacing w:after="0" w:line="179"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15.3 Within sixty (60) days after the Term Commencement Date, and within sixty (60) days after the beginning of each calendar year during the Term, Landlord shall give Tenant a written estimate for such calendar year of Taxes and the cost of insurance provided by Landlord (“</w:t>
      </w:r>
      <w:r>
        <w:rPr>
          <w:rFonts w:ascii="Times New Roman" w:cs="Times New Roman" w:eastAsia="Times New Roman" w:hAnsi="Times New Roman"/>
          <w:sz w:val="22"/>
          <w:szCs w:val="22"/>
          <w:u w:val="single" w:color="auto"/>
          <w:color w:val="auto"/>
        </w:rPr>
        <w:t>Insurance Costs</w:t>
      </w:r>
      <w:r>
        <w:rPr>
          <w:rFonts w:ascii="Times New Roman" w:cs="Times New Roman" w:eastAsia="Times New Roman" w:hAnsi="Times New Roman"/>
          <w:sz w:val="22"/>
          <w:szCs w:val="22"/>
          <w:color w:val="auto"/>
        </w:rPr>
        <w:t>”). Tenant shall pay such estimated amounts to Landlord in advance in equal monthly installments. Within ninety (90) days after the end of each calendar year, Landlord shall furnish to Tenant a statement showing in reasonable detail the costs incurred by Landlord for Taxes and Insurance Costs related to the Premises during such year (the “</w:t>
      </w:r>
      <w:r>
        <w:rPr>
          <w:rFonts w:ascii="Times New Roman" w:cs="Times New Roman" w:eastAsia="Times New Roman" w:hAnsi="Times New Roman"/>
          <w:sz w:val="22"/>
          <w:szCs w:val="22"/>
          <w:u w:val="single" w:color="auto"/>
          <w:color w:val="auto"/>
        </w:rPr>
        <w:t>Annual Statement</w:t>
      </w:r>
      <w:r>
        <w:rPr>
          <w:rFonts w:ascii="Times New Roman" w:cs="Times New Roman" w:eastAsia="Times New Roman" w:hAnsi="Times New Roman"/>
          <w:sz w:val="22"/>
          <w:szCs w:val="22"/>
          <w:color w:val="auto"/>
        </w:rPr>
        <w:t>”), and Tenant shall pay to Landlord the costs incurred in excess of the payments previously made by Tenant within ten (10) days of receipt of the Annual Statement. In the event that the payments previously made by Tenant for the Taxes and Insurance Costs exceed Tenant’s obligation, such excess amount shall be credited by Landlord to the Rent or other charges next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color w:val="auto"/>
        </w:rPr>
        <w:t xml:space="preserve">due and 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Term has expired, Landlord shall remit such excess amount to Tenant.</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15.4 All utilities currently serving the Premises are separately metered. Tenant shall make all arrangements for and pay directly for all water, electricity, air, sewer, refuse, gas, heat, light, power, telephone service and any other service or utility Tenant requires at the Premises. Landlord shall reasonably cooperate with Tenant in transferring the billing for water service to the Premises from Landlord to Tenant.</w:t>
      </w:r>
    </w:p>
    <w:p>
      <w:pPr>
        <w:spacing w:after="0" w:line="18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15.5 Landlord shall not be liable for, nor shall any eviction of Tenant result from, the failure to furnish any utility or service, whether or not such failure is caused by Force Majeure (as defined below) or, to the extent permitted by Applicable Laws, Landlord’s negligence. In the event of such failure, Tenant shall not be entitled to termination of this Lease or any abatement or reduction of Rent, nor shall Tenant be relieved from the operation of any covenant or agreement of this Lease.</w:t>
      </w:r>
    </w:p>
    <w:p>
      <w:pPr>
        <w:spacing w:after="0" w:line="18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color w:val="auto"/>
        </w:rPr>
        <w:t>15.6 Tenant shall pay for, prior to delinquency of payment therefor, any utilities and services that may be furnished to the Premises during or, if Tenant occupies the Premises after the expiration or earlier termination of the Term, after the Term.</w:t>
      </w:r>
    </w:p>
    <w:p>
      <w:pPr>
        <w:spacing w:after="0" w:line="200" w:lineRule="exact"/>
        <w:rPr>
          <w:sz w:val="20"/>
          <w:szCs w:val="20"/>
          <w:color w:val="auto"/>
        </w:rPr>
      </w:pPr>
    </w:p>
    <w:p>
      <w:pPr>
        <w:spacing w:after="0" w:line="22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15.7 Tenant shall not, without Landlord’s prior written consent, use any device in the Premises (including data processing machines) that will in any way increase the amount of ventilation, air exchange, gas, steam, electricity or water beyond the existing capacity of the Premises usually furnished or supplied for the Permitted Use.</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15.8 A back-up generator is currently connected to the Premises’ emergency electrical panel (the “</w:t>
      </w:r>
      <w:r>
        <w:rPr>
          <w:rFonts w:ascii="Times New Roman" w:cs="Times New Roman" w:eastAsia="Times New Roman" w:hAnsi="Times New Roman"/>
          <w:sz w:val="22"/>
          <w:szCs w:val="22"/>
          <w:u w:val="single" w:color="auto"/>
          <w:color w:val="auto"/>
        </w:rPr>
        <w:t>Generator</w:t>
      </w:r>
      <w:r>
        <w:rPr>
          <w:rFonts w:ascii="Times New Roman" w:cs="Times New Roman" w:eastAsia="Times New Roman" w:hAnsi="Times New Roman"/>
          <w:sz w:val="22"/>
          <w:szCs w:val="22"/>
          <w:color w:val="auto"/>
        </w:rPr>
        <w:t xml:space="preserve">”). Tenant shall maintain, repair and (if necessary) replace the Generator at its sole cost and expense. Landlord expressly disclaims any warranties with regard to the Generator or the installation thereof, including any warranty of merchantability or fitness for a particular purpose. The provisions of </w:t>
      </w:r>
      <w:r>
        <w:rPr>
          <w:rFonts w:ascii="Times New Roman" w:cs="Times New Roman" w:eastAsia="Times New Roman" w:hAnsi="Times New Roman"/>
          <w:sz w:val="22"/>
          <w:szCs w:val="22"/>
          <w:u w:val="single" w:color="auto"/>
          <w:color w:val="auto"/>
        </w:rPr>
        <w:t>Section 15.5</w:t>
      </w:r>
      <w:r>
        <w:rPr>
          <w:rFonts w:ascii="Times New Roman" w:cs="Times New Roman" w:eastAsia="Times New Roman" w:hAnsi="Times New Roman"/>
          <w:sz w:val="22"/>
          <w:szCs w:val="22"/>
          <w:color w:val="auto"/>
        </w:rPr>
        <w:t xml:space="preserve"> of this Lease shall apply to the Generator.</w:t>
      </w:r>
    </w:p>
    <w:p>
      <w:pPr>
        <w:spacing w:after="0" w:line="18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color w:val="auto"/>
        </w:rPr>
        <w:t>15.9 For any utilities serving the Premises for which Tenant is billed directly by such utility provider, Tenant agrees to furnish to Landlord (a) any invoices or statements for such utilities within thirty (30) days after Tenant’s receipt thereof,</w:t>
      </w:r>
    </w:p>
    <w:p>
      <w:pPr>
        <w:spacing w:after="0" w:line="2" w:lineRule="exact"/>
        <w:rPr>
          <w:sz w:val="20"/>
          <w:szCs w:val="20"/>
          <w:color w:val="auto"/>
        </w:rPr>
      </w:pPr>
    </w:p>
    <w:p>
      <w:pPr>
        <w:jc w:val="both"/>
        <w:ind w:firstLine="8"/>
        <w:spacing w:after="0" w:line="243" w:lineRule="auto"/>
        <w:tabs>
          <w:tab w:leader="none" w:pos="309"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after Landlord’s request, any other utility usage information reasonably requested by Landlord, and (c) within thirty (30) days after each calendar year during the Term, authorization to allow Landlord to access Tenant’s usage information necessary for Landlord to complete an ENERGY STAR® Statement of Performance (or similar comprehensive utility usage report (e.g., related to Labs 21), if requested by Landlord) and any other information reasonably requested by Landlord for the immediately preceding year; and Tenant shall comply with any other energy usage or consumption requirements required by Applicable Laws. Tenant shall retain records of utility usage at the Premises, including invoices and statements from the utility provider, for at least sixty (60) months, or such other period of time as may be requested by Landlord. Tenant acknowledges that any utility information for the Premises may be shared with third parties, including Landlord’s consultants and Governmental Authorities. In the event that Tenant fails to comply with this Section, Tenant hereby authorizes Landlord to collect utility usage information directly from the applicable utility providers, and Tenant shall pay Landlord a fee of One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5" w:name="page176"/>
    <w:bookmarkEnd w:id="175"/>
    <w:p>
      <w:pPr>
        <w:jc w:val="both"/>
        <w:spacing w:after="0" w:line="244" w:lineRule="auto"/>
        <w:rPr>
          <w:sz w:val="20"/>
          <w:szCs w:val="20"/>
          <w:color w:val="auto"/>
        </w:rPr>
      </w:pPr>
      <w:r>
        <w:rPr>
          <w:rFonts w:ascii="Times New Roman" w:cs="Times New Roman" w:eastAsia="Times New Roman" w:hAnsi="Times New Roman"/>
          <w:sz w:val="22"/>
          <w:szCs w:val="22"/>
          <w:color w:val="auto"/>
        </w:rPr>
        <w:t>Thousand Dollars ($1,000) per month to collect such utility usage information.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173" w:lineRule="exact"/>
        <w:rPr>
          <w:sz w:val="20"/>
          <w:szCs w:val="20"/>
          <w:color w:val="auto"/>
        </w:rPr>
      </w:pPr>
    </w:p>
    <w:p>
      <w:pPr>
        <w:ind w:left="920" w:hanging="912"/>
        <w:spacing w:after="0"/>
        <w:tabs>
          <w:tab w:leader="none" w:pos="9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color w:val="auto"/>
        </w:rPr>
        <w:t>16.1. Tenant shall make no alterations, additions or improvements other than the Tenant Improvements in or to the Premises or engage in any construction, demolition, reconstruction, renovation or other work (whether major or minor) of any kind in, at or serving the Premises (“</w:t>
      </w:r>
      <w:r>
        <w:rPr>
          <w:rFonts w:ascii="Times New Roman" w:cs="Times New Roman" w:eastAsia="Times New Roman" w:hAnsi="Times New Roman"/>
          <w:sz w:val="21"/>
          <w:szCs w:val="21"/>
          <w:u w:val="single" w:color="auto"/>
          <w:color w:val="auto"/>
        </w:rPr>
        <w:t>Alterations</w:t>
      </w:r>
      <w:r>
        <w:rPr>
          <w:rFonts w:ascii="Times New Roman" w:cs="Times New Roman" w:eastAsia="Times New Roman" w:hAnsi="Times New Roman"/>
          <w:sz w:val="21"/>
          <w:szCs w:val="21"/>
          <w:color w:val="auto"/>
        </w:rPr>
        <w:t xml:space="preserve">”) without Landlord’s prior written approval, which approval may be subject to the consent of one or more Lenders, if required under any applicable Loan Document, but which approval Landlord shall not otherwise unreasonably withhold;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in the event any proposed Alteration affects (a) any structural portions of the Building, including exterior walls, the roof, the foundation or slab, foundation or slab systems (including barriers and subslab systems) or the core of the Building, (b) the exterior of the Building or (c) any Building systems, including elevator, plumbing, HVAC, electrical, security, life safety and power, then Landlord may withhold its approval in its sole and absolute discretion. Tenant shall, in making any Alterations, use only those architects, contractors, suppliers and mechanics of which Landlord has given prior written approval, which approval shall be in Landlord’s sole and absolute discretion. In seeking Landlord’s approval, Tenant shall provide Landlord, at least sixty (60) days in advance of the desired commencement date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provided that Tenant shall not commence any such Alterations that require Landlord’s consent unless and until Tenant has received the written approval of Landlord and any and all Lenders whose consent is required under any applicable Loan Document. In no event shall Tenant use or Landlord be required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lab areas. Notwithstanding the foregoing, Landlord shall not unreasonably withhold, condition, or delay its approval of strictly cosmetic changes to the Premises that do not require any permits or more than three (3) total contractors and subcontractors (“</w:t>
      </w:r>
      <w:r>
        <w:rPr>
          <w:rFonts w:ascii="Times New Roman" w:cs="Times New Roman" w:eastAsia="Times New Roman" w:hAnsi="Times New Roman"/>
          <w:sz w:val="21"/>
          <w:szCs w:val="21"/>
          <w:u w:val="single" w:color="auto"/>
          <w:color w:val="auto"/>
        </w:rPr>
        <w:t>Cosmetic Alterations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(y) the cost of any Cosmetic Alterations does not exceed Fifty Thousand Dollars ($50,000) in any one instance or One Hundred Thousand Dollars ($100,000) annually, (z) such Cosmetic Alterations are not reasonably expected to have any material adverse effect on the Project and do not (i) require any structural or other substantial modifications to the Premises, (ii) require any changes to or adversely affect the Building systems, (iii) affect any portion of the Building or Project that is exterior to the Premises or (iv) trigger any requirement under Applicable Laws that would require Landlord to make any alteration or improvement to the Premises, the Building or the Project.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6" w:name="page177"/>
    <w:bookmarkEnd w:id="176"/>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16.2. Tenant shall not construct or permit to be constructed partitions or other obstructions that might interfere with free access to mechanical installation or service facilities of the Building, or interfere with the moving of Landlord’s equipment to or from the enclosures containing such installations or facilities.</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16.3. Tenant shall accomplish any work performed on the Premises in such a manner as to permit any life safety systems to remain fully operable at all times.</w:t>
      </w:r>
    </w:p>
    <w:p>
      <w:pPr>
        <w:spacing w:after="0" w:line="15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16.4. Any work performed on the Premises by Tenant or Tenant’s contractors shall be done at such times and in such manner as Landlord may from time to time designate. Tenant covenants and agrees that all work done by Tenant or Tenant’s contractors shall be performed in full compliance with Applicable Laws. Within thirty (30) days after completion of any Alterations, Tenant shall provide Landlord with complete “as built” drawing print sets and electronic CADD files on disc (or files in such other current format in common use as Landlord reasonably approves or requires) showing any changes in the Premises, as well as a commissioning report prepared by a licensed, qualified commissioning agent hired by Tenant and approved by Landlord for all new or affected mechanical, electrical and plumbing systems. Any such “as built” plans shall show the applicable Alterations as an overlay on the Building as-built plans;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Landlord provides the Building “as built” plans to Tenant.</w:t>
      </w:r>
    </w:p>
    <w:p>
      <w:pPr>
        <w:spacing w:after="0" w:line="183"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Before commencing any Alterations or Tenant Improvements, Tenant shall (a) give Landlord at least sixty</w:t>
      </w:r>
    </w:p>
    <w:p>
      <w:pPr>
        <w:spacing w:after="0" w:line="14" w:lineRule="exact"/>
        <w:rPr>
          <w:sz w:val="20"/>
          <w:szCs w:val="20"/>
          <w:color w:val="auto"/>
        </w:rPr>
      </w:pPr>
    </w:p>
    <w:p>
      <w:pPr>
        <w:jc w:val="both"/>
        <w:ind w:firstLine="8"/>
        <w:spacing w:after="0" w:line="233" w:lineRule="auto"/>
        <w:tabs>
          <w:tab w:leader="none" w:pos="42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written notice of the proposed commencement of such work and the names and addresses of the persons supply labor or materials therefor so that Landlord may enter the Premises to post and keep posted thereon and therein notices or to take any further action that Landlord may reasonably deem proper for the protection of Landlord’s interest in the Premises and (b) shall, if required by Landlord, secure, at Tenant’s own cost and expense, a completion and lien indemnity bond satisfactory to Landlord for any such work exceeding $300,000 in the aggregate.</w:t>
      </w:r>
    </w:p>
    <w:p>
      <w:pPr>
        <w:spacing w:after="0" w:line="17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16.6. Tenant shall repair any damage to the Premises arising from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173"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16.7. The Premises plus any Alterations; Signage; Tenant Improvements; attached equipment, decorations, fixtures and trade fixtures; movable laboratory casework and related appliances; and other additions and improvements attached to or built into the Premises made by either of the parties (including all floor and wall coverings; paneling; sinks and related plumbing fixtures; laboratory benches; exterior venting fume hoods; walk-in freezers and refrigerators and attached machinery and equipment existing in the Premises as of the Execution Date or which are paid for, in whole or in part, with the TI Allowance; ductwork; conduits; electrical panels and circuits; and built-in furniture and cabinets, in each case, together with all additions and accessories thereto), shall (unless, prior to such construction or installation, Landlord elects otherwise in writing) at all times remain the property of Landlord, shall remain in the Premises and shall (unless, prior to construction or installation thereof, Landlord elects otherwise in writing) be surrendered to Landlord upon the expiration or earlier termination of this Lease. For the avoidance of doubt, the items listed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may be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7" w:name="page178"/>
    <w:bookmarkEnd w:id="17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updated by Tenant from and after the Term Commencement Date, subject to Landlord’s written consent) constitute Tenant’s property and shall be removed by Tenant upon the expiration or earlier termination of the Lease.</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16.8. Notwithstanding any other provision of this Article to the contrary, in no event shall Tenant remove any improvement from the Premises in which any Lender has a security interest or as to which Landlord contributed payment, including the Tenant Improvements, without Landlord’s prior written consent, which consent Landlord may withhold in its sole and absolute discretion.</w:t>
      </w:r>
    </w:p>
    <w:p>
      <w:pPr>
        <w:spacing w:after="0" w:line="180"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16.9. If Tenant shall fail to remove any of its property from the Premises prior to the expiration or earlier termination of this Lease, then Landlord may, at its option, remove the same in any manner that Landlord shall choose and store such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such personal property.</w:t>
      </w:r>
    </w:p>
    <w:p>
      <w:pPr>
        <w:spacing w:after="0" w:line="183"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16.10. Tenant shall pay to Landlord an amount equal to three percent (3%) of the cost to Tenant of all Alterations to cover Landlord’s overhead and expenses for plan review, engineering review, coordination, scheduling and supervision thereof or obtaining any required Lender consent. For purposes of payment of such sum, Tenant shall submit to Landlord copies of all bills, invoices and statements covering the costs of such charges, accompanied by payment to Landlord of the fee set forth in this Section. Tenant shall reimburse Landlord for any extra expenses incurred by Landlord by reason of faulty work done by Tenant or its contractors, or by reason of delays arising from such faulty work, or by reason of inadequate clean-up.</w:t>
      </w:r>
    </w:p>
    <w:p>
      <w:pPr>
        <w:spacing w:after="0" w:line="181"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16.11. Within sixty (60) days after final completion of the Tenant Improvements or any Alterations performed by Tenant with respect to the Premises, Tenant shall submit to Landlord documentation showing the amounts expended by Tenant with respect to such Tenant Improvements and Alterations, together with supporting documentation reasonably acceptable to Landlord.</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16.12. Tenant shall take, and shall cause its contractors to take, commercially reasonable steps to protect the Premises during the performance of any Alterations or Tenant Improvements, including covering or temporarily removing any window coverings so as to guard against dust, debris or damage.</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16.13. Tenant shall require its contractors and subcontractors performing work on the Premises to name Landlord and BioMed Realty, L.P. and their respective officers, employees, directors, representatives, agents, general partners, members, subsidiaries, affiliates and Lenders (collectively with Landlord, the “</w:t>
      </w:r>
      <w:r>
        <w:rPr>
          <w:rFonts w:ascii="Times New Roman" w:cs="Times New Roman" w:eastAsia="Times New Roman" w:hAnsi="Times New Roman"/>
          <w:sz w:val="22"/>
          <w:szCs w:val="22"/>
          <w:u w:val="single" w:color="auto"/>
          <w:color w:val="auto"/>
        </w:rPr>
        <w:t>Landlord Parties</w:t>
      </w:r>
      <w:r>
        <w:rPr>
          <w:rFonts w:ascii="Times New Roman" w:cs="Times New Roman" w:eastAsia="Times New Roman" w:hAnsi="Times New Roman"/>
          <w:sz w:val="22"/>
          <w:szCs w:val="22"/>
          <w:color w:val="auto"/>
        </w:rPr>
        <w:t>”) as additional insureds on their respective insurance policies.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8" w:name="page179"/>
    <w:bookmarkEnd w:id="178"/>
    <w:p>
      <w:pPr>
        <w:ind w:left="920" w:hanging="912"/>
        <w:spacing w:after="0"/>
        <w:tabs>
          <w:tab w:leader="none" w:pos="9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Repairs and Maintenance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2" w:lineRule="auto"/>
        <w:rPr>
          <w:sz w:val="20"/>
          <w:szCs w:val="20"/>
          <w:color w:val="auto"/>
        </w:rPr>
      </w:pPr>
      <w:r>
        <w:rPr>
          <w:rFonts w:ascii="Times New Roman" w:cs="Times New Roman" w:eastAsia="Times New Roman" w:hAnsi="Times New Roman"/>
          <w:sz w:val="22"/>
          <w:szCs w:val="22"/>
          <w:color w:val="auto"/>
        </w:rPr>
        <w:t>17.1 Tenant, at its sole cost and expense, shall maintain and keep the Premises, all improvements thereon, and all appurtenances thereto, including sidewalks, parking areas, curbs, roads, driveways, lighting standards, landscaping, sewers, water, gas and electrical distribution systems and facilities, drainage facilities, and all signs, both illuminated and non-illuminated that are now or hereafter on the Premises, in good condition and in a manner consistent with the Permitted Use. Tenant shall make all repairs, replacements and improvements, including all structural, roof, HVAC, plumbing and electrical repairs, replacements and improvements required, and shall keep the same free and clear from all rubbish, debris, insects, rodents and other vermin and pests. Tenant shall, no later than January 31</w:t>
      </w:r>
      <w:r>
        <w:rPr>
          <w:rFonts w:ascii="Times New Roman" w:cs="Times New Roman" w:eastAsia="Times New Roman" w:hAnsi="Times New Roman"/>
          <w:sz w:val="18"/>
          <w:szCs w:val="18"/>
          <w:color w:val="auto"/>
        </w:rPr>
        <w:t>st</w:t>
      </w:r>
      <w:r>
        <w:rPr>
          <w:rFonts w:ascii="Times New Roman" w:cs="Times New Roman" w:eastAsia="Times New Roman" w:hAnsi="Times New Roman"/>
          <w:sz w:val="22"/>
          <w:szCs w:val="22"/>
          <w:color w:val="auto"/>
        </w:rPr>
        <w:t xml:space="preserve"> of each calendar year during the Term, provide to Landlord a copy of the budget for maintenance, repairs and replacements at the Premises for the preceding calendar year, as well as a detailed summary of the amounts actually expended by Tenant during such period for maintenance, repairs and replacements at the Premises. During the Term of this Lease, and in addition to the maintenance contracts required by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color w:val="auto"/>
        </w:rPr>
        <w:t xml:space="preserve"> of the Lease, Tenant, at its sole cost and expense, shall hire a reputable property and building manager with experience in managing first class office and laboratory properties, which shall be subject to Landlord’s prior written consent, not to be unreasonably withheld, conditioned or delayed, to manage the Building and the Project in accordance with the terms of this Lease, including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w:t>
      </w:r>
      <w:r>
        <w:rPr>
          <w:rFonts w:ascii="Times New Roman" w:cs="Times New Roman" w:eastAsia="Times New Roman" w:hAnsi="Times New Roman"/>
          <w:sz w:val="22"/>
          <w:szCs w:val="22"/>
          <w:color w:val="auto"/>
        </w:rPr>
        <w:t xml:space="preserve">. In addition, Tenant shall, within ten (10) days after receipt of written notice from Landlord, provide to Landlord any maintenance records that Landlord reasonably requests. All repairs made by Tenant shall be at least equal in quality to the original work, and shall be made only by a licensed, bonded contractor approved in advance by Landlord;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such contractor need not be bonded or approved by Landlord if the non-structural alterations, repairs, additions or improvements to be performed do not exceed Twenty-Five Thousand Dollars ($25,000) in value. Landlord may impose reasonable restrictions and requirements with respect to such repairs. Tenant shall not take or omit to take any action, the taking or omission of which shall cause waste, damage or injury to the Premises. Tenant shall Indemnify Landlord from and against any and all Claims (as defined below) arising from the failure of Tenant or Tenant’s Agents to perform the covenants contained in this paragraph. “</w:t>
      </w:r>
      <w:r>
        <w:rPr>
          <w:rFonts w:ascii="Times New Roman" w:cs="Times New Roman" w:eastAsia="Times New Roman" w:hAnsi="Times New Roman"/>
          <w:sz w:val="22"/>
          <w:szCs w:val="22"/>
          <w:u w:val="single" w:color="auto"/>
          <w:color w:val="auto"/>
        </w:rPr>
        <w:t>Tenant’s Agents</w:t>
      </w:r>
      <w:r>
        <w:rPr>
          <w:rFonts w:ascii="Times New Roman" w:cs="Times New Roman" w:eastAsia="Times New Roman" w:hAnsi="Times New Roman"/>
          <w:sz w:val="22"/>
          <w:szCs w:val="22"/>
          <w:color w:val="auto"/>
        </w:rPr>
        <w:t>” shall be defined to include Tenant’s officers, employees, agents, contractors, invitees, customers and subcontractors.</w:t>
      </w:r>
    </w:p>
    <w:p>
      <w:pPr>
        <w:spacing w:after="0" w:line="180"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17.2 Tenant shall maintain the lines designating the parking spaces in good condition and paint the same as often as may be necessary, so that they are easily discernable at all times; resurface the parking areas as necessary to maintain them in good condition; paint any exterior portions of the Building as necessary to maintain them in good condition; maintain the roof and landscaping in good condition; maintain sightly screens, barricades or enclosures around any waste or storage areas; and take all reasonable precautions to insure that the drainage facilities of the roof are not clogged and are in good and operable condition at all times.</w:t>
      </w:r>
    </w:p>
    <w:p>
      <w:pPr>
        <w:spacing w:after="0" w:line="181"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17.3 There shall be no abatement of Rent and no liability of Landlord by reason of any injury to or interference with Tenant’s business arising from the making of any repairs, alterations or improvements in or to any portion of the Premises, or in or to improvements, fixtures, equipment and personal property therein.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9" w:name="page180"/>
    <w:bookmarkEnd w:id="179"/>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17.4 During the Term, Landlord shall not be required to maintain or make any repairs or replacements of any nature or description whatsoever to the Premises. Tenant hereby expressly waives the right to make repairs at the expense of Landlord as provided for in any Applicable Laws in effect at the time of execution of this Lease, or in any other Applicable Laws that may hereafter be enacted, and waives its rights under Applicable Laws relating to a landlord’s duty to maintain its premises in a tenantable condition. Notwithstanding the foregoing, if Tenant shall fail, after reasonable notice, to maintain or to commence and thereafter to proceed with diligence to make any repair required of it pursuant to the terms of this Lease, Landlord, without being under any obligation to do so and without thereby waiving such default by Tenant, may so maintain or make such repair and may charge Tenant for the costs thereof. Any expense reasonably incurred by Landlord in connection with the making of such repairs may be billed by Landlord to Tenant monthly or, at Landlord’s option, immediately, and shall be due and payable within ten (10) days after such billing or, at Landlord’s option, may be deducted from the Security Deposit.</w:t>
      </w:r>
    </w:p>
    <w:p>
      <w:pPr>
        <w:spacing w:after="0" w:line="179"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17.5 Landlord and Landlord’s agents shall have the right to enter upon the Premises or any portion thereof for the purposes of performing any repairs or maintenance Landlord is permitted to make pursuant to this Lease, and of ascertaining the condition of the Premises or whether Tenant is observing and performing Tenant’s obligations hereunder, all without unreasonable interference from Tenant or Tenant’s Agents. Except for emergency maintenance or repairs, the right of entry contained in this paragraph shall be exercisable at reasonable times, at reasonable hours and on reasonable notice.</w:t>
      </w:r>
    </w:p>
    <w:p>
      <w:pPr>
        <w:spacing w:after="0" w:line="177"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17.7 Tenant shall, upon the expiration or sooner termination of the Term, surrender the Premises to Landlord in as good a condition as when received, ordinary wear and tear excepted and with the Tenant Improvements in substantially the same condition as existed upon Substantial Completion of the Tenant Improvements; and shall, at Landlord’s request and Tenant’s sole cost and expense, remove all telephone and data systems, wiring and equipment from the Premises, and repair any damage to the Premises caused thereby. Landlord shall have no obligation to alter, remodel, improve, repair, decorate or paint the Premises or any part thereof.</w:t>
      </w:r>
    </w:p>
    <w:p>
      <w:pPr>
        <w:spacing w:after="0" w:line="181"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17.8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177"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17.9 This Article relates to repairs and maintenance arising in the ordinary course of operation of the Premises. In the event of a casualty described in </w:t>
      </w:r>
      <w:r>
        <w:rPr>
          <w:rFonts w:ascii="Times New Roman" w:cs="Times New Roman" w:eastAsia="Times New Roman" w:hAnsi="Times New Roman"/>
          <w:sz w:val="22"/>
          <w:szCs w:val="22"/>
          <w:u w:val="single" w:color="auto"/>
          <w:color w:val="auto"/>
        </w:rPr>
        <w:t>Article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23</w:t>
      </w:r>
      <w:r>
        <w:rPr>
          <w:rFonts w:ascii="Times New Roman" w:cs="Times New Roman" w:eastAsia="Times New Roman" w:hAnsi="Times New Roman"/>
          <w:sz w:val="22"/>
          <w:szCs w:val="22"/>
          <w:color w:val="auto"/>
        </w:rPr>
        <w:t xml:space="preserve"> shall apply in lieu of this Article. In the event of eminent domain, </w:t>
      </w:r>
      <w:r>
        <w:rPr>
          <w:rFonts w:ascii="Times New Roman" w:cs="Times New Roman" w:eastAsia="Times New Roman" w:hAnsi="Times New Roman"/>
          <w:sz w:val="22"/>
          <w:szCs w:val="22"/>
          <w:u w:val="single" w:color="auto"/>
          <w:color w:val="auto"/>
        </w:rPr>
        <w:t>Article 24</w:t>
      </w:r>
      <w:r>
        <w:rPr>
          <w:rFonts w:ascii="Times New Roman" w:cs="Times New Roman" w:eastAsia="Times New Roman" w:hAnsi="Times New Roman"/>
          <w:sz w:val="22"/>
          <w:szCs w:val="22"/>
          <w:color w:val="auto"/>
        </w:rPr>
        <w:t xml:space="preserve"> shall apply in lieu of this Article.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0" w:name="page181"/>
    <w:bookmarkEnd w:id="180"/>
    <w:p>
      <w:pPr>
        <w:ind w:left="920" w:hanging="912"/>
        <w:spacing w:after="0"/>
        <w:tabs>
          <w:tab w:leader="none" w:pos="9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18.1. Subject to the immediately succeeding sentence, Tenant shall keep the Premises free from any liens arising from work or services performed, materials furnished to or obligations incurred by Tenant. Tenant further covenants and agrees that any mechanic’s or materialman’s lien filed against the Premises for work or services claimed to have been done for, or materials claimed to have been furnished to, or obligations incurred by Tenant shall be discharged or bonded by Tenant within ten (10) days after the filing thereof, at Tenant’s sole cost and expense.</w:t>
      </w:r>
    </w:p>
    <w:p>
      <w:pPr>
        <w:spacing w:after="0" w:line="177"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18.2. Should Tenant fail to discharge or bond against any lien of the nature described in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 Landlord may, at Landlord’s election, pay such claim or post a statutory lien bond or otherwise provide security to eliminate the lien as a claim against title, and Tenant shall immediately reimburse Landlord for the costs thereof as Additional Rent. Tenant shall Indemnify the Landlord Indemnitees from and against any Claims arising from any such liens, including any administrative, court or other legal proceedings related to such liens.</w:t>
      </w:r>
    </w:p>
    <w:p>
      <w:pPr>
        <w:spacing w:after="0" w:line="177"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18.3.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w:t>
      </w:r>
    </w:p>
    <w:p>
      <w:pPr>
        <w:spacing w:after="0" w:line="185" w:lineRule="exact"/>
        <w:rPr>
          <w:sz w:val="20"/>
          <w:szCs w:val="20"/>
          <w:color w:val="auto"/>
        </w:rPr>
      </w:pPr>
    </w:p>
    <w:p>
      <w:pPr>
        <w:jc w:val="both"/>
        <w:ind w:firstLine="8"/>
        <w:spacing w:after="0" w:line="234" w:lineRule="auto"/>
        <w:tabs>
          <w:tab w:leader="none" w:pos="91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Estoppel Certificate</w:t>
      </w:r>
      <w:r>
        <w:rPr>
          <w:rFonts w:ascii="Times New Roman" w:cs="Times New Roman" w:eastAsia="Times New Roman" w:hAnsi="Times New Roman"/>
          <w:sz w:val="22"/>
          <w:szCs w:val="22"/>
          <w:color w:val="auto"/>
        </w:rPr>
        <w:t xml:space="preserve">. Tenant shall, within ten (10) days after receipt of written notice from Landlord, execute, acknowledge and deliver a statement in writing substantially in the form attached to this Lease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or on any other form reasonably requested by a current or proposed Lender or encumbrancer or proposed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 knowledge, any uncured defaults on the part of Landlord hereunder, or specifying such defaults if any are claimed, and (c) setting forth such further information with respect to this Lease or the Premises as may be requested thereon. Any such statements may be relied upon by any prospective purchaser or encumbrancer of all or any portion of the Property. Tenant’s failure to deliver any such statement within such the prescribed time shall, at Landlord’s option, constitute a Default (as defined below) under this Lease, and, in any event, shall be binding upon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1" w:name="page182"/>
    <w:bookmarkEnd w:id="181"/>
    <w:p>
      <w:pPr>
        <w:spacing w:after="0" w:line="258" w:lineRule="auto"/>
        <w:rPr>
          <w:sz w:val="20"/>
          <w:szCs w:val="20"/>
          <w:color w:val="auto"/>
        </w:rPr>
      </w:pPr>
      <w:r>
        <w:rPr>
          <w:rFonts w:ascii="Times New Roman" w:cs="Times New Roman" w:eastAsia="Times New Roman" w:hAnsi="Times New Roman"/>
          <w:sz w:val="22"/>
          <w:szCs w:val="22"/>
          <w:color w:val="auto"/>
        </w:rPr>
        <w:t>Tenant that the Lease is in full force and effect and without modification except as may be represented by Landlord in any certificate prepared by Landlord and delivered to Tenant for execution.</w:t>
      </w:r>
    </w:p>
    <w:p>
      <w:pPr>
        <w:spacing w:after="0" w:line="158" w:lineRule="exact"/>
        <w:rPr>
          <w:sz w:val="20"/>
          <w:szCs w:val="20"/>
          <w:color w:val="auto"/>
        </w:rPr>
      </w:pPr>
    </w:p>
    <w:p>
      <w:pPr>
        <w:ind w:left="920" w:hanging="912"/>
        <w:spacing w:after="0"/>
        <w:tabs>
          <w:tab w:leader="none" w:pos="9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20.1. Tenant shall not cause or permit any Hazardous Materials (as defined below) to be brought upon, kept or used in or about the Premises in violation of Applicable Laws by Tenant or any of its employees, agents, contractors or invitees (collectively with Tenant, each a “</w:t>
      </w:r>
      <w:r>
        <w:rPr>
          <w:rFonts w:ascii="Times New Roman" w:cs="Times New Roman" w:eastAsia="Times New Roman" w:hAnsi="Times New Roman"/>
          <w:sz w:val="21"/>
          <w:szCs w:val="21"/>
          <w:u w:val="single" w:color="auto"/>
          <w:color w:val="auto"/>
        </w:rPr>
        <w:t>Tenant Party</w:t>
      </w:r>
      <w:r>
        <w:rPr>
          <w:rFonts w:ascii="Times New Roman" w:cs="Times New Roman" w:eastAsia="Times New Roman" w:hAnsi="Times New Roman"/>
          <w:sz w:val="21"/>
          <w:szCs w:val="21"/>
          <w:color w:val="auto"/>
        </w:rPr>
        <w:t>”). If (a) Tenant breaches such obligation, (b) the presence of Hazardous Materials as a result of such a breach results in contamination of the Premises, any portion thereof, or any adjacent property, (c) contamination of the Premises otherwise occurs during the Term or any extension or renewal hereof or holding over hereunder or</w:t>
      </w:r>
    </w:p>
    <w:p>
      <w:pPr>
        <w:spacing w:after="0" w:line="1" w:lineRule="exact"/>
        <w:rPr>
          <w:sz w:val="20"/>
          <w:szCs w:val="20"/>
          <w:color w:val="auto"/>
        </w:rPr>
      </w:pPr>
    </w:p>
    <w:p>
      <w:pPr>
        <w:jc w:val="both"/>
        <w:ind w:firstLine="8"/>
        <w:spacing w:after="0" w:line="242" w:lineRule="auto"/>
        <w:tabs>
          <w:tab w:leader="none" w:pos="31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contamination of the Premises occurs as a result of Hazardous Materials that are placed on or under or are released into the Premises by a Tenant Party, then Tenant shall Indemnify the Landlord Indemnitees from and against any and all Claims of any kind or nature, including (w) diminution in value of the Premises or any portion thereof, (x) damages for the loss or restriction on use of rentable or usable space or of any amenity of the Premises, (y) damages arising from any adverse impact on marketing of space in the Premises or any portion thereof and (z)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Premises. Without limiting the foregoing, if the presence of any Hazardous Materials in, on, under or about the Premises, any portion thereof or any adjacent property caused or permitted by any Tenant Party results in any contamination of the Premises, any portion thereof or any adjacent property, then Tenant shall promptly take all actions at its sole cost and expense as are necessary to return the Premises, any portion thereof or any adjacent property to its respective condition existing prior to the time of such contamination;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Landlord’s written approval of such action shall first be obtained, which approval Landlord shall not unreasonably withhold;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it shall be reasonable for Landlord to withhold its consent if such actions could have a material adverse long-term or short-term effect on the Premises,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184"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20.2.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in the form of a Tier II form pursuant to Section 312 of the Emergency Planning and Community Right-to-Know Act of 1986 (or any successor statute) or any other form reasonably requested by Landlord, (b) a list of any and all approvals or permits from Governmental Authorities required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2" w:name="page183"/>
    <w:bookmarkEnd w:id="182"/>
    <w:p>
      <w:pPr>
        <w:jc w:val="both"/>
        <w:spacing w:after="0" w:line="243" w:lineRule="auto"/>
        <w:rPr>
          <w:sz w:val="20"/>
          <w:szCs w:val="20"/>
          <w:color w:val="auto"/>
        </w:rPr>
      </w:pPr>
      <w:r>
        <w:rPr>
          <w:rFonts w:ascii="Times New Roman" w:cs="Times New Roman" w:eastAsia="Times New Roman" w:hAnsi="Times New Roman"/>
          <w:sz w:val="21"/>
          <w:szCs w:val="21"/>
          <w:color w:val="auto"/>
        </w:rPr>
        <w:t>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Premises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Premises for the closure of any such storage tanks (collectively, “</w:t>
      </w:r>
      <w:r>
        <w:rPr>
          <w:rFonts w:ascii="Times New Roman" w:cs="Times New Roman" w:eastAsia="Times New Roman" w:hAnsi="Times New Roman"/>
          <w:sz w:val="21"/>
          <w:szCs w:val="21"/>
          <w:u w:val="single" w:color="auto"/>
          <w:color w:val="auto"/>
        </w:rPr>
        <w:t>Hazardous Materials Documents</w:t>
      </w:r>
      <w:r>
        <w:rPr>
          <w:rFonts w:ascii="Times New Roman" w:cs="Times New Roman" w:eastAsia="Times New Roman" w:hAnsi="Times New Roman"/>
          <w:sz w:val="21"/>
          <w:szCs w:val="21"/>
          <w:color w:val="auto"/>
        </w:rPr>
        <w:t xml:space="preserve">”). Tenant shall deliver to Landlord updated Hazardous Materials Documents, within fourteen (14)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in which case Tenant shall deliver updated Hazardous Materials documents (without Landlord having to request them) before or, if not practicable to do so before, as soon as reasonably practicable after the occurrence of the events in </w:t>
      </w:r>
      <w:r>
        <w:rPr>
          <w:rFonts w:ascii="Times New Roman" w:cs="Times New Roman" w:eastAsia="Times New Roman" w:hAnsi="Times New Roman"/>
          <w:sz w:val="21"/>
          <w:szCs w:val="21"/>
          <w:u w:val="single" w:color="auto"/>
          <w:color w:val="auto"/>
        </w:rPr>
        <w:t>Subsection 20.2(m)</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documents containing information of a proprietary nature, unless such documents contain a reference to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spacing w:after="0" w:line="178"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2"/>
          <w:szCs w:val="22"/>
          <w:color w:val="auto"/>
        </w:rPr>
        <w:t>20.3. Tenant represents and warrants to Landlord that it is not nor has it been, in connection with the use, disposal or storage of Hazardous Materials, (a) subject to a material enforcement order issued by any Governmental Authority or (b) required to take any remedial action.</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20.4. At any time, and from time to time, prior to the expiration of the Term, Landlord shall have the right to conduct appropriate tests of the Premises or any portion thereof to demonstrate that Hazardous Materials are present or that contamination has occurred due to the acts or omissions of a Tenant Party. Tenant shall pay all reasonable costs of such tests if such tests reveal that Hazardous Materials exist at the Premises in violation of this Lease.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3" w:name="page184"/>
    <w:bookmarkEnd w:id="183"/>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20.5.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183"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20.6.</w:t>
      </w:r>
      <w:r>
        <w:rPr>
          <w:sz w:val="20"/>
          <w:szCs w:val="20"/>
          <w:color w:val="auto"/>
        </w:rPr>
        <w:tab/>
      </w:r>
      <w:r>
        <w:rPr>
          <w:rFonts w:ascii="Times New Roman" w:cs="Times New Roman" w:eastAsia="Times New Roman" w:hAnsi="Times New Roman"/>
          <w:sz w:val="21"/>
          <w:szCs w:val="21"/>
          <w:color w:val="auto"/>
        </w:rPr>
        <w:t>Tenant shall promptly report to Landlord any actual or suspected presence of mold or water intrusion at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Premises.</w:t>
      </w:r>
    </w:p>
    <w:p>
      <w:pPr>
        <w:spacing w:after="0" w:line="182"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2"/>
          <w:szCs w:val="22"/>
          <w:color w:val="auto"/>
        </w:rPr>
        <w:t xml:space="preserve">20.7.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20.8. As used herein, the term “</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toxic, explosive, corrosive, flammable, infectious, radioactive, carcinogenic, mutagenic or otherwise hazardous substance, material or waste that is or becomes regulated by Applicable Laws or any Governmental Authority.</w:t>
      </w:r>
    </w:p>
    <w:p>
      <w:pPr>
        <w:spacing w:after="0" w:line="173" w:lineRule="exact"/>
        <w:rPr>
          <w:sz w:val="20"/>
          <w:szCs w:val="20"/>
          <w:color w:val="auto"/>
        </w:rPr>
      </w:pPr>
    </w:p>
    <w:p>
      <w:pPr>
        <w:jc w:val="both"/>
        <w:ind w:firstLine="8"/>
        <w:spacing w:after="0" w:line="244" w:lineRule="auto"/>
        <w:tabs>
          <w:tab w:leader="none" w:pos="91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Odors and Exhaust</w:t>
      </w:r>
      <w:r>
        <w:rPr>
          <w:rFonts w:ascii="Times New Roman" w:cs="Times New Roman" w:eastAsia="Times New Roman" w:hAnsi="Times New Roman"/>
          <w:sz w:val="22"/>
          <w:szCs w:val="22"/>
          <w:color w:val="auto"/>
        </w:rPr>
        <w:t>. Tenant acknowledges that Landlord would not enter into this Lease with Tenant unless Tenant assured Landlord that under no circumstances will the Premises be damaged by any exhaust from Tenant’s operations, including Tenant’s vivarium. Landlord and Tenant therefore agree as follows:</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21.1. Tenant shall not cause or permit (or conduct any activities that would cause) any release of any odors or fumes of any kind from the Premises.</w:t>
      </w:r>
    </w:p>
    <w:p>
      <w:pPr>
        <w:spacing w:after="0" w:line="15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21.2. If the Building has a ventilation system that, in Landlord’s judgment, is adequate, suitable, and appropriate to vent the Premises in a manner that does not release odors affecting any indoor or outdoor part of the Premises,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Premises (indoor and outdoor areas) in an odor-free manner, and Landlord may require Tenant to abate and remove all odors in a manner that goes beyond the requirements of Applicable Laws.</w:t>
      </w:r>
    </w:p>
    <w:p>
      <w:pPr>
        <w:spacing w:after="0" w:line="17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21.3.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4" w:name="page185"/>
    <w:bookmarkEnd w:id="18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Landlord’s judgment, emanate from Tenant’s Premises. Any work Tenant performs under this Section shall constitute Alterations.</w:t>
      </w:r>
    </w:p>
    <w:p>
      <w:pPr>
        <w:spacing w:after="0" w:line="158"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21.4. Tenant’s responsibility to remove, eliminate and abate odors, fumes and exhaust shall continue throughout the Term. Landlord’s approval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spacing w:after="0" w:line="177"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21.5.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spacing w:after="0" w:line="183" w:lineRule="exact"/>
        <w:rPr>
          <w:sz w:val="20"/>
          <w:szCs w:val="20"/>
          <w:color w:val="auto"/>
        </w:rPr>
      </w:pPr>
    </w:p>
    <w:p>
      <w:pPr>
        <w:ind w:left="920" w:hanging="912"/>
        <w:spacing w:after="0"/>
        <w:tabs>
          <w:tab w:leader="none" w:pos="9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22.1. Landlord shall maintain insurance for the Premises in amounts equal to full replacement cost (exclusive of the costs of excavation, foundations and footings, engineering costs or such other costs to the extent the same are not incurred in the event of a rebuild and without reference to depreciation taken by Landlord upon its books or tax returns) or such lesser coverage as Landlord may elect,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coverage shall not be less than the amount of such insurance Landlord’s Lender, if any, requires Landlord to maintain,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Workers’ Compensation insurance and fidelity bonds for employees employed to perform services. Notwithstanding the foregoing, Landlord may, but shall not be deemed required to, provide insurance for any improvements installed by Tenant or that are in addition to the standard improvements customarily furnished by Landlord, without regard to whether or not such are made a part of or are affixed to the Building.</w:t>
      </w:r>
    </w:p>
    <w:p>
      <w:pPr>
        <w:spacing w:after="0" w:line="185"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22.2. In addition, Landlord shall carry Commercial General Liability insurance with limits of not less than One Million Dollars ($1,000,000) per occurrence/general aggregate for bodily injury (including death), or property damage with respect to the Premises.</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22.3.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5" w:name="page186"/>
    <w:bookmarkEnd w:id="185"/>
    <w:p>
      <w:pPr>
        <w:jc w:val="both"/>
        <w:ind w:firstLine="1735"/>
        <w:spacing w:after="0" w:line="236" w:lineRule="auto"/>
        <w:tabs>
          <w:tab w:leader="none" w:pos="26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Commercial General Liability insurance on a broad-based occurrence coverage form, with coverages including but not limited to bodily injury (including death), property damage (including loss of use resulting therefrom), premises/operations, personal &amp; advertising injury, and contractual liability with limits of liability of not less than $5,000,000 for bodily injury and property damage per occurrence, $10,000,000 general aggregate, which limits may be met by use of excess and/or umbrella liability insurance;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coverage is at least as broad as the primary coverages required herein.</w:t>
      </w:r>
    </w:p>
    <w:p>
      <w:pPr>
        <w:spacing w:after="0" w:line="181"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Automobile Liability insurance covering liability arising from the use or operation of any auto on behalf of Tenant or invited by Tenant (including those owned, hired, rented, leased, borrowed, scheduled or non-owned). Coverage shall be on a broad-based occurrence form in an amount not less than $2,000,000 combined single limit per accident for bodily injury and property damage. Such coverage shall apply to all vehicles and persons, whether accessing the property with active or passive consent.</w:t>
      </w:r>
    </w:p>
    <w:p>
      <w:pPr>
        <w:spacing w:after="0" w:line="176"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Commercial Property insurance covering property damage to the full replacement cost value and business interruption. Covered property shall include all tenant improvements in the Premises (to the extent not insured by Landlord pursuant to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Tenant Improvements, Alterations or other work performed on the Premises by Tenant (collectively, “</w:t>
      </w:r>
      <w:r>
        <w:rPr>
          <w:rFonts w:ascii="Times New Roman" w:cs="Times New Roman" w:eastAsia="Times New Roman" w:hAnsi="Times New Roman"/>
          <w:sz w:val="22"/>
          <w:szCs w:val="22"/>
          <w:u w:val="single" w:color="auto"/>
          <w:color w:val="auto"/>
        </w:rPr>
        <w:t>Tenant Work</w:t>
      </w:r>
      <w:r>
        <w:rPr>
          <w:rFonts w:ascii="Times New Roman" w:cs="Times New Roman" w:eastAsia="Times New Roman" w:hAnsi="Times New Roman"/>
          <w:sz w:val="22"/>
          <w:szCs w:val="22"/>
          <w:color w:val="auto"/>
        </w:rPr>
        <w:t>”), shall name Landlord and Landlord’s current and future mortgagees as loss payees as their interests may appear. Such insurance shall be written on an “all risk” of physical loss or damage basis including the perils of fire, extended coverage, electrical injury, mechanical breakdown, windstorm, vandalism, malicious mischief, sprinkler leakage, back-up of sewers or drains, flood, earthquake, terrorism and such other risks Landlord may from time to time designate, for the full replacement cost value of the covered items with an agreed amount endorsement with no co-insurance. Business interruption coverage shall have limits sufficient to cover Tenant’s lost profits and necessary continuing expenses, including rents due Landlord under the Lease. The minimum period of indemnity for business interruption coverage shall be twenty-four (24) months.</w:t>
      </w:r>
    </w:p>
    <w:p>
      <w:pPr>
        <w:spacing w:after="0" w:line="179"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 in compliance with all Applicable Laws or as may be available on a voluntary basis. Employer’s Liability must be at least in the amount of $1,000,000 for bodily injury by accident for each employee, $1,000,000 for bodily injury by disease for each employee, and $1,000,000 bodily injury by disease for policy limit.</w:t>
      </w:r>
    </w:p>
    <w:p>
      <w:pPr>
        <w:spacing w:after="0" w:line="173" w:lineRule="exact"/>
        <w:rPr>
          <w:rFonts w:ascii="Times New Roman" w:cs="Times New Roman" w:eastAsia="Times New Roman" w:hAnsi="Times New Roman"/>
          <w:sz w:val="22"/>
          <w:szCs w:val="22"/>
          <w:color w:val="auto"/>
        </w:rPr>
      </w:pPr>
    </w:p>
    <w:p>
      <w:pPr>
        <w:ind w:firstLine="1735"/>
        <w:spacing w:after="0" w:line="258" w:lineRule="auto"/>
        <w:tabs>
          <w:tab w:leader="none" w:pos="26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Medical malpractice insurance at limits of not less than $1,000,000 each claim during such periods, if any, that Tenant engages in the practice of medicine or clinical trials involving human beings at the Premises.</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5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all construction by Tenant at the Premises, with respect to tenant improvements being constructed (including the Tenant Improvements and any Alterations, insurance required in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must be in place.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6" w:name="page187"/>
    <w:bookmarkEnd w:id="186"/>
    <w:p>
      <w:pPr>
        <w:jc w:val="both"/>
        <w:ind w:firstLine="864"/>
        <w:spacing w:after="0" w:line="232" w:lineRule="auto"/>
        <w:rPr>
          <w:sz w:val="20"/>
          <w:szCs w:val="20"/>
          <w:color w:val="auto"/>
        </w:rPr>
      </w:pPr>
      <w:r>
        <w:rPr>
          <w:rFonts w:ascii="Times New Roman" w:cs="Times New Roman" w:eastAsia="Times New Roman" w:hAnsi="Times New Roman"/>
          <w:sz w:val="22"/>
          <w:szCs w:val="22"/>
          <w:color w:val="auto"/>
        </w:rPr>
        <w:t>22.4. The insurance required of Tenant by this Article shall be with companies at all times having a current rating of not less than A- and financial category rating of at least Class VII in “A.M. Best’s Insurance Guide” current edition. Tenant shall obtain for Landlord from the insurance companies/broker or cause the insurance companies/broker to furnish certificates of insurance evidencing all coverages required herein to Landlord. Landlord reserves the right to require complete, certified copies of all required insurance policies including any endorsements. No such policy shall be cancelable or subject to reduction of coverage or other modification or cancellation except after thirty (30) days’ prior written notice to Landlord from Tenant or its insurers (except in the event of non-payment of premium, in which case ten (10) days’ written notice shall be given). All such policies shall be written as primary policies, not contributing with and not in excess of the coverage that Landlord may carry. Tenant’s required policies shall contain severability of interests clauses stating that, except with respect to limits of insurance, coverage shall apply separately to each insured or additional insured. Tenant shall, on the date of expiration of such policies, furnish Landlord with renewal certificates of insurance or binders. Tenant agrees that if Tenant does not take out and maintain such insurance, Landlord may (but shall not be required to) procure such insurance on Tenant’s behalf and at its cost to be paid by Tenant as Additional Rent. Commercial General Liability, Commercial Automobile Liability, Umbrella Liability and Pollution Legal Liability insurance as required above shall name the Landlord Parties as additional insureds as respects liability arising from work or operations performed by or on behalf of Tenant, Tenant’s use or occupancy of Premises, and ownership, maintenance or use of vehicles by or on behalf of Tenant. Tenant must disclose any self-insurance, including self-insurance retentions, to Landlord in writing in advance, which shall be subject to Landlord’s prior written approval in its sole discretion. If Tenant self-insures with Landlord’s prior written approval, Tenant is itself acting as though it were providing the insurance required under the provisions of this Lease, and Tenant shall pay those amounts due in lieu of insurance proceeds that would have been covered and payable if the insurance policies had been carried for such self-insured coverages, which amounts shall be treated as insurance proceeds for all purposes under this Lease.</w:t>
      </w:r>
    </w:p>
    <w:p>
      <w:pPr>
        <w:spacing w:after="0" w:line="184"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21"/>
          <w:szCs w:val="21"/>
          <w:color w:val="auto"/>
        </w:rPr>
        <w:t>22.5. In each instance where insurance is to name the Landlord Parties as additional insureds, Tenant shall, upon Landlord’s written request, also designate and furnish certificates evidencing the Landlord Parties as additional insureds to (a) any Lender of Landlord holding a security interest in the Premises, (b) the landlord under any lease whereunder Landlord is a tenant of the real property upon which the Premises is located if the interest of Landlord is or shall become that of a tenant under a ground lease rather than that of a fee owner and (c) any management company retained by Landlord to manage the Premises.</w:t>
      </w:r>
    </w:p>
    <w:p>
      <w:pPr>
        <w:spacing w:after="0" w:line="16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22.6.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carry such insurance as Tenant desires for Tenant’s protection with respect to personal property of Tenant or business interruption.</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22.7. Tenant, on behalf of itself and its insurers, hereby waives any and all rights of recovery against the Landlord Parties with respect to any loss, damage, claims, suits or demands, howsoever caused, that are covered, or should have been covered, by valid and collectible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7" w:name="page188"/>
    <w:bookmarkEnd w:id="187"/>
    <w:p>
      <w:pPr>
        <w:jc w:val="both"/>
        <w:spacing w:after="0" w:line="234" w:lineRule="auto"/>
        <w:rPr>
          <w:sz w:val="20"/>
          <w:szCs w:val="20"/>
          <w:color w:val="auto"/>
        </w:rPr>
      </w:pPr>
      <w:r>
        <w:rPr>
          <w:rFonts w:ascii="Times New Roman" w:cs="Times New Roman" w:eastAsia="Times New Roman" w:hAnsi="Times New Roman"/>
          <w:sz w:val="22"/>
          <w:szCs w:val="22"/>
          <w:color w:val="auto"/>
        </w:rPr>
        <w:t>workers’ compensation, employer’s liability insurance and other liability insurance required to obtained and carried by Tenant pursuant to this Article, including any deductibles or self-insurance maintained thereunder. Tenant agrees to endorse the required workers’ compensation, employer’s liability and other liability insurance policies to permit waivers of subrogation as required hereunder and hold harmless and indemnify the Landlord Parties for any loss or expense incurred as a result of a failure to obtain such waivers of subrogation from insurers. Such waivers shall continue so long as Tenant’s insurers so permit. Any termination of such a waiver shall be by written notice to Landlord, containing a description of the circumstances hereinafter set forth in this Section. Tenant, upon obtaining the policies of workers’ compensation, employer’s liability and other liability insurance required or permitted under this Lease, shall give notice to its insurance carriers that the foregoing waiver of subrogation is contained in this Lease. If such policies shall not be obtainable with such waiver or shall be so obtainable only at a premium over that chargeable without such waiver, then Tenant shall notify Landlord of such conditions.</w:t>
      </w:r>
    </w:p>
    <w:p>
      <w:pPr>
        <w:spacing w:after="0" w:line="179"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22.8. Landlord may require insurance policy limits required under this Lease to be raised to conform with requirements of Landlord’s Lender.</w:t>
      </w:r>
    </w:p>
    <w:p>
      <w:pPr>
        <w:spacing w:after="0" w:line="15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22.9. In addition to other insurance required by this Lease to be carried by Tenant, if Tenant sells, merchandises, transfers, gives away or exchanges alcoholic beverages in, upon or from any part of the Premises, then Tenant shall, at Tenant’s sole cost and expense, purchase and maintain in full force and effect during the Term dram shop insurance in form and substance satisfactory to Landlord, with total limits of liability for bodily injury, loss of means of support and property damage for each occurrence in an amount and with a carrier reasonably acceptable to Landlord, and otherwise in compliance with the general provisions of this Article governing the provision of insurance by Tenant. Such policy shall name the Landlord Parties as additional insureds against any liability by virtue of Applicable Laws concerning the use, sale or giving away of alcoholic beverages. If at any time such insurance is for any reason not in force, then during all and any such times no selling, merchandising, transferring, giving away or exchanging of alcoholic beverages shall be conducted by Tenant in, upon or from any part of the Premises.</w:t>
      </w:r>
    </w:p>
    <w:p>
      <w:pPr>
        <w:spacing w:after="0" w:line="179"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22.10. Any costs incurred by Landlord pursuant to this Article shall be included as Insurance Costs payable by Tenant pursuant to this Lease</w:t>
      </w:r>
    </w:p>
    <w:p>
      <w:pPr>
        <w:spacing w:after="0" w:line="158" w:lineRule="exact"/>
        <w:rPr>
          <w:sz w:val="20"/>
          <w:szCs w:val="20"/>
          <w:color w:val="auto"/>
        </w:rPr>
      </w:pPr>
    </w:p>
    <w:p>
      <w:pPr>
        <w:ind w:left="880"/>
        <w:spacing w:after="0"/>
        <w:tabs>
          <w:tab w:leader="none" w:pos="2040" w:val="left"/>
        </w:tabs>
        <w:rPr>
          <w:sz w:val="20"/>
          <w:szCs w:val="20"/>
          <w:color w:val="auto"/>
        </w:rPr>
      </w:pPr>
      <w:r>
        <w:rPr>
          <w:rFonts w:ascii="Times New Roman" w:cs="Times New Roman" w:eastAsia="Times New Roman" w:hAnsi="Times New Roman"/>
          <w:sz w:val="22"/>
          <w:szCs w:val="22"/>
          <w:color w:val="auto"/>
        </w:rPr>
        <w:t>22.11.</w:t>
      </w:r>
      <w:r>
        <w:rPr>
          <w:sz w:val="20"/>
          <w:szCs w:val="20"/>
          <w:color w:val="auto"/>
        </w:rPr>
        <w:tab/>
      </w:r>
      <w:r>
        <w:rPr>
          <w:rFonts w:ascii="Times New Roman" w:cs="Times New Roman" w:eastAsia="Times New Roman" w:hAnsi="Times New Roman"/>
          <w:sz w:val="21"/>
          <w:szCs w:val="21"/>
          <w:color w:val="auto"/>
        </w:rPr>
        <w:t>The provisions of this Article shall survive the expiration or earlier termination of this Lease.</w:t>
      </w:r>
    </w:p>
    <w:p>
      <w:pPr>
        <w:spacing w:after="0" w:line="206" w:lineRule="exact"/>
        <w:rPr>
          <w:sz w:val="20"/>
          <w:szCs w:val="20"/>
          <w:color w:val="auto"/>
        </w:rPr>
      </w:pPr>
    </w:p>
    <w:p>
      <w:pPr>
        <w:ind w:left="920" w:hanging="912"/>
        <w:spacing w:after="0"/>
        <w:tabs>
          <w:tab w:leader="none" w:pos="9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Damage or Destruction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23.1. In the event of a partial destruction of the Premises by fire or other perils covered by extended coverage insurance not exceeding twenty-five percent (25%) of the full insurable value thereof,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damage thereto is such that the Premises may be repaired, reconstructed or restored within a period of twelve (12) months from the date of the happening of such casualty, (b) Landlord shall receive insurance proceeds from its insurer or Lender sufficient to cover the cost of such repairs, reconstruction and restoration (except for any deductible amount provided by Landlord’s policy, which deductible amount, if paid by Landlord, shall constitute an Insurance Cost, (c) the repair, reconstruction or restoration of the damage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8" w:name="page189"/>
    <w:bookmarkEnd w:id="188"/>
    <w:p>
      <w:pPr>
        <w:jc w:val="both"/>
        <w:spacing w:after="0" w:line="239" w:lineRule="auto"/>
        <w:rPr>
          <w:sz w:val="20"/>
          <w:szCs w:val="20"/>
          <w:color w:val="auto"/>
        </w:rPr>
      </w:pPr>
      <w:r>
        <w:rPr>
          <w:rFonts w:ascii="Times New Roman" w:cs="Times New Roman" w:eastAsia="Times New Roman" w:hAnsi="Times New Roman"/>
          <w:sz w:val="22"/>
          <w:szCs w:val="22"/>
          <w:color w:val="auto"/>
        </w:rPr>
        <w:t>destruction is permitted by all applicable Loan Documents or otherwise consented to by any and all Lenders whose consent is required thereunder and (d) such casualty was not intentionally caused by a Tenant Party, then Landlord shall commence and proceed diligently with the work of repair, reconstruction and restoration of the Premises, and this Lease shall continue in full force and effect.</w:t>
      </w:r>
    </w:p>
    <w:p>
      <w:pPr>
        <w:spacing w:after="0" w:line="180"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In the event of any damage or destruction (regardless of whether such damage is governed by </w:t>
      </w:r>
      <w:r>
        <w:rPr>
          <w:rFonts w:ascii="Times New Roman" w:cs="Times New Roman" w:eastAsia="Times New Roman" w:hAnsi="Times New Roman"/>
          <w:sz w:val="22"/>
          <w:szCs w:val="22"/>
          <w:u w:val="single" w:color="auto"/>
          <w:color w:val="auto"/>
        </w:rPr>
        <w:t>Section 23.1</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Article 23</w:t>
      </w:r>
      <w:r>
        <w:rPr>
          <w:rFonts w:ascii="Times New Roman" w:cs="Times New Roman" w:eastAsia="Times New Roman" w:hAnsi="Times New Roman"/>
          <w:sz w:val="22"/>
          <w:szCs w:val="22"/>
          <w:color w:val="auto"/>
        </w:rPr>
        <w:t>), if (a) the damage and destruction occurs within the last twenty-four (24) months of the then-current Term, and in Landlord’s determination as set forth in the Damage Repair Estimate (as defined below), the Affected Areas cannot be repaired, reconstructed or restored within twelve (12) months after the date of such casualty, or (b) the damage and destruction occurs within the last twelve (12) months of the then-current Term, then Tenant shall have the right to terminate this Lease, effective as of the date of such damage or destruction, by delivering to Landlord its written notice of termination (a “</w:t>
      </w:r>
      <w:r>
        <w:rPr>
          <w:rFonts w:ascii="Times New Roman" w:cs="Times New Roman" w:eastAsia="Times New Roman" w:hAnsi="Times New Roman"/>
          <w:sz w:val="22"/>
          <w:szCs w:val="22"/>
          <w:u w:val="single" w:color="auto"/>
          <w:color w:val="auto"/>
        </w:rPr>
        <w:t>Termination Notice</w:t>
      </w:r>
      <w:r>
        <w:rPr>
          <w:rFonts w:ascii="Times New Roman" w:cs="Times New Roman" w:eastAsia="Times New Roman" w:hAnsi="Times New Roman"/>
          <w:sz w:val="22"/>
          <w:szCs w:val="22"/>
          <w:color w:val="auto"/>
        </w:rPr>
        <w:t>”) no later than fifteen (15) days after Landlord delivers to Tenant Landlord’s Damage Repair Estimate.</w:t>
      </w:r>
    </w:p>
    <w:p>
      <w:pPr>
        <w:spacing w:after="0" w:line="183"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23.2. In the event of any damage to or destruction of the Premises other than as described in </w:t>
      </w:r>
      <w:r>
        <w:rPr>
          <w:rFonts w:ascii="Times New Roman" w:cs="Times New Roman" w:eastAsia="Times New Roman" w:hAnsi="Times New Roman"/>
          <w:sz w:val="22"/>
          <w:szCs w:val="22"/>
          <w:u w:val="single" w:color="auto"/>
          <w:color w:val="auto"/>
        </w:rPr>
        <w:t>Section 23.1</w:t>
      </w:r>
      <w:r>
        <w:rPr>
          <w:rFonts w:ascii="Times New Roman" w:cs="Times New Roman" w:eastAsia="Times New Roman" w:hAnsi="Times New Roman"/>
          <w:sz w:val="22"/>
          <w:szCs w:val="22"/>
          <w:color w:val="auto"/>
        </w:rPr>
        <w:t>, Landlord may elect to repair, reconstruct and restore the Premises, in which case this Lease shall continue in full force and effect. If Landlord elects not to repair, reconstruct and restore the Premises, then this Lease shall terminate as of the date of such damage or destruction. As soon as reasonably practicable, but in any event within sixty (60) days following the date of damage or destruction, Landlord shall notify Tenant of Landlord’s good faith estimate of the period of time in which the repairs, reconstruction and restoration will be completed (the “</w:t>
      </w:r>
      <w:r>
        <w:rPr>
          <w:rFonts w:ascii="Times New Roman" w:cs="Times New Roman" w:eastAsia="Times New Roman" w:hAnsi="Times New Roman"/>
          <w:sz w:val="22"/>
          <w:szCs w:val="22"/>
          <w:u w:val="single" w:color="auto"/>
          <w:color w:val="auto"/>
        </w:rPr>
        <w:t>Damage Repair Estimate</w:t>
      </w:r>
      <w:r>
        <w:rPr>
          <w:rFonts w:ascii="Times New Roman" w:cs="Times New Roman" w:eastAsia="Times New Roman" w:hAnsi="Times New Roman"/>
          <w:sz w:val="22"/>
          <w:szCs w:val="22"/>
          <w:color w:val="auto"/>
        </w:rPr>
        <w:t>”), which estimate shall be based upon the opinion of a contractor reasonably selected by Landlord and experienced in comparable repair, reconstruction and restoration of similar buildings. Additionally, Landlord shall give written notice to Tenant within sixty (60) days following the date of damage or destruction of its election not to repair, reconstruct or restore the Building or the Project, as applicable.</w:t>
      </w:r>
    </w:p>
    <w:p>
      <w:pPr>
        <w:spacing w:after="0" w:line="18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23.3. Landlord shall give written notice to Tenant within sixty (60) days following the date of damage or destruction of its election not to repair, reconstruct or restore the Premises.</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23.4. Upon any termination of this Lease under any of the provisions of this Article,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180"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23.5. In the event of repair, reconstruction and restoration as provided in this Article, all 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the amount of such abatement shall be reduced by the amount of Rent that is received by Tenant as part of the business interruption 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loss of rental income with respect to the Premises from the proceeds of business interruption or loss of rental income insurance.</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23.6. Notwithstanding anything to the contrary contained in this Article, (a) Landlord shall not be required to repair, reconstruct or restore any damage or destruction to the extent that Landlord is prohibited from doing so by any applicable Loan Document or any Lender whose consent is required thereunder withholds its consent, and (b) should Landlord be delayed or prevented from completing the repair, reconstruction or restoration of the damage or destruction to the Premises after the occurrence of such damage or destruction by Force Majeure (as defined below) or delays caused by a Lender or Tenant Party, then the time for Landlord to commence or complete repairs, reconstruction and restoration shall be extended on a day-for-day basis;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at Landlord’s election, Landlord shall be relieved of its obligation to make such repairs, reconstruction and restoration.</w:t>
      </w:r>
    </w:p>
    <w:p>
      <w:pPr>
        <w:spacing w:after="0" w:line="17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23.7. If Landlord is obligated to or elects to repair, reconstruct or restore as herein provided, then Landlord shall be obligated to make such repairs, reconstruction or restoration only with regard to those portions of the Premises that were originally provided at Landlord’s expense. The repairs, reconstruction or restoration of improvements not originally provided by Landlord or at Landlord’s expense shall be the obligation of Tenant. In the event Tenant has elected to upgrade certain improvements from Landlord’s building standards (the “</w:t>
      </w:r>
      <w:r>
        <w:rPr>
          <w:rFonts w:ascii="Times New Roman" w:cs="Times New Roman" w:eastAsia="Times New Roman" w:hAnsi="Times New Roman"/>
          <w:sz w:val="22"/>
          <w:szCs w:val="22"/>
          <w:u w:val="single" w:color="auto"/>
          <w:color w:val="auto"/>
        </w:rPr>
        <w:t>Building Standard</w:t>
      </w:r>
      <w:r>
        <w:rPr>
          <w:rFonts w:ascii="Times New Roman" w:cs="Times New Roman" w:eastAsia="Times New Roman" w:hAnsi="Times New Roman"/>
          <w:sz w:val="22"/>
          <w:szCs w:val="22"/>
          <w:color w:val="auto"/>
        </w:rPr>
        <w:t>”), Landlord shall, upon the need for replacement due to an insured loss, provide only the Building Standard, unless Tenant again elects to upgrade such improvements and pay any incremental costs related thereto, except to the extent that excess insurance proceeds, if received, are adequate to provide such upgrades, in addition to providing for basic repairs, reconstruction and restoration of the Premises.</w:t>
      </w:r>
    </w:p>
    <w:p>
      <w:pPr>
        <w:spacing w:after="0" w:line="17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23.8. Notwithstanding anything to the contrary contained in this Article, Landlord shall not have any obligation whatsoever to repair, reconstruct or restore the Premises if the damage resulting from any casualty covered under this Article occurs during the last twenty-four (24) months of the Term or any extension thereof, or to the extent that insurance proceeds are not available therefor.</w:t>
      </w:r>
    </w:p>
    <w:p>
      <w:pPr>
        <w:spacing w:after="0" w:line="180"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23.9. Landlord’s obligation, should it elect or be obligated to repair, reconstruct or restore, shall be limited to the Premises, and shall be conditioned upon Landlord receiving any permits or authorizations required by Applicable Laws. Tenant shall, at its expense, replace or fully repair all of Tenant’s personal property and any Alterations installed by Tenant existing at the time of such damage or destruction. If the Premises are to be repaired, reconstructed or restored in accordance with the foregoing, Landlord shall make available to Tenant any portion of insurance proceeds it receives that are allocable to the Alterations constructed by Tenant pursuant to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Tenant is not then in default under this Lease, and subject to the requirements of any Lender of Landlord.</w:t>
      </w:r>
    </w:p>
    <w:p>
      <w:pPr>
        <w:spacing w:after="0" w:line="18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23.10. This Article sets forth the terms and conditions upon which this Lease may terminate in the event of any damage or destruction. Accordingly, the parties hereby waive the provisions of any Applicable Laws (and any successor statutes) permitting the parties to terminate this Lease as a result of any damage or destruction. Tenant waives the benefit of New Jersey Revised Statutes, Title 46, Chapter 8, Sections 6 and 7, and agrees that Tenant will not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0" w:name="page191"/>
    <w:bookmarkEnd w:id="190"/>
    <w:p>
      <w:pPr>
        <w:spacing w:after="0" w:line="258" w:lineRule="auto"/>
        <w:rPr>
          <w:sz w:val="20"/>
          <w:szCs w:val="20"/>
          <w:color w:val="auto"/>
        </w:rPr>
      </w:pPr>
      <w:r>
        <w:rPr>
          <w:rFonts w:ascii="Times New Roman" w:cs="Times New Roman" w:eastAsia="Times New Roman" w:hAnsi="Times New Roman"/>
          <w:sz w:val="22"/>
          <w:szCs w:val="22"/>
          <w:color w:val="auto"/>
        </w:rPr>
        <w:t>relieved of its obligation to pay Rent in case of any damage or destruction described in this Article, except as may be expressly provided in this Article.</w:t>
      </w:r>
    </w:p>
    <w:p>
      <w:pPr>
        <w:spacing w:after="0" w:line="158" w:lineRule="exact"/>
        <w:rPr>
          <w:sz w:val="20"/>
          <w:szCs w:val="20"/>
          <w:color w:val="auto"/>
        </w:rPr>
      </w:pPr>
    </w:p>
    <w:p>
      <w:pPr>
        <w:ind w:left="920" w:hanging="912"/>
        <w:spacing w:after="0"/>
        <w:tabs>
          <w:tab w:leader="none" w:pos="9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Eminent Domain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24.1. In the event (a) the whole of the Premises or (b) such part thereof as shall substantially interfere with Tenant’s use and occupancy of the Premises for the Permitted Use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such authority, except with regard to (y) items occurring prior to the taking and (z) provisions of this Lease that, by their express terms, survive the expiration or earlier termination hereof.</w:t>
      </w:r>
    </w:p>
    <w:p>
      <w:pPr>
        <w:spacing w:after="0" w:line="181"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color w:val="auto"/>
        </w:rPr>
        <w:t>24.2. In the event of a partial taking of the Premises for any public or quasi-public purpose by any lawful power or authority by exercise of right of appropriation, condemnation, or eminent domain, or sold to prevent such taking, then, without regard to whether any portion of the Premises occupied by Tenant was so taken, Landlord may elect to terminate this Lease (except with regard to (a) items occurring prior to the taking and (b) provisions of this Lease that, by their express terms, survive the expiration or earlier termination hereof) as of such taking if such taking is, in Landlord’s sole opinion, of a material nature such as to make it uneconomical to continue use of the unappropriated portion for purposes of renting office or laboratory space.</w:t>
      </w:r>
    </w:p>
    <w:p>
      <w:pPr>
        <w:spacing w:after="0" w:line="171"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24.3. To the extent permitted under all applicable Loan Documents or otherwise consented to by any and all Lenders whose consent is required thereunder, Tenant shall be entitled to any award that is specifically awarded as compensation for (a) the taking of Tenant’s personal property that was installed at Tenant’s expense and (b) the costs of Tenant moving to a new location. Except as set forth in the previous sentence, any award for such taking shall be the property of Landlord.</w:t>
      </w:r>
    </w:p>
    <w:p>
      <w:pPr>
        <w:spacing w:after="0" w:line="180"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24.4. If, upon any taking of the nature described in this Article, this Lease continues in effect, then Landlord shall promptly proceed to restore the Premises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 Notwithstanding anything to the contrary contained in this Article, Landlord shall not be required to restore the Premises affected by a taking to the extent that Landlord is prohibited from doing so by any applicable Loan Document or any Lender whose consent is required thereunder withholds its consent.</w:t>
      </w:r>
    </w:p>
    <w:p>
      <w:pPr>
        <w:spacing w:after="0" w:line="18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24.5. This Article sets forth the terms and conditions upon which this Lease may terminate in the event of any damage or destruction. Accordingly, the parties hereby waive the provisions of any Applicable Laws (and any successor statutes) permitting the parties to terminate this Lease as a result of any taking.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1" w:name="page192"/>
    <w:bookmarkEnd w:id="191"/>
    <w:p>
      <w:pPr>
        <w:ind w:left="920" w:hanging="912"/>
        <w:spacing w:after="0"/>
        <w:tabs>
          <w:tab w:leader="none" w:pos="9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Surrender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1"/>
          <w:szCs w:val="21"/>
          <w:color w:val="auto"/>
        </w:rPr>
        <w:t>25.1. At least thirty (30) days prior to Tenant’s surrender of possession of any part of the Premises, Tenant shall provide Landlord with a facility decommissioning and Hazardous Materials closure plan for the Premises (“</w:t>
      </w:r>
      <w:r>
        <w:rPr>
          <w:rFonts w:ascii="Times New Roman" w:cs="Times New Roman" w:eastAsia="Times New Roman" w:hAnsi="Times New Roman"/>
          <w:sz w:val="21"/>
          <w:szCs w:val="21"/>
          <w:u w:val="single" w:color="auto"/>
          <w:color w:val="auto"/>
        </w:rPr>
        <w:t>Exit Survey</w:t>
      </w:r>
      <w:r>
        <w:rPr>
          <w:rFonts w:ascii="Times New Roman" w:cs="Times New Roman" w:eastAsia="Times New Roman" w:hAnsi="Times New Roman"/>
          <w:sz w:val="21"/>
          <w:szCs w:val="21"/>
          <w:color w:val="auto"/>
        </w:rPr>
        <w:t>”) prepared by an independent third party state-certified professional with appropriate expertise,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w:t>
      </w:r>
    </w:p>
    <w:p>
      <w:pPr>
        <w:spacing w:after="0" w:line="3" w:lineRule="exact"/>
        <w:rPr>
          <w:sz w:val="20"/>
          <w:szCs w:val="20"/>
          <w:color w:val="auto"/>
        </w:rPr>
      </w:pPr>
    </w:p>
    <w:p>
      <w:pPr>
        <w:jc w:val="both"/>
        <w:ind w:firstLine="8"/>
        <w:spacing w:after="0" w:line="232" w:lineRule="auto"/>
        <w:tabs>
          <w:tab w:leader="none" w:pos="43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Tenant’s surrender of possession of any part of the Premises, Tenant shall (a) provide Landlord with written evidence of all appropriate governmental releases obtained by Tenant in accordance with Applicable Laws, including laws pertaining to the surrender of the Premises, (b) place Laboratory Equipment Decontamination Forms on all decommissioned equipment to assure safe occupancy by future users and (c) conduct a site inspection with Landlord. In addition, Tenant agrees to remain responsible after the surrender of the Premises for the remediation of any recognized environmental conditions set forth in the Exit Survey and comply with any recommendations set forth in the Exit Survey. Tenant’s obligations under this Section shall survive the expiration or earlier termination of the Lease.</w:t>
      </w:r>
    </w:p>
    <w:p>
      <w:pPr>
        <w:spacing w:after="0" w:line="181"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25.2. No surrender of possession of any part of the Premises shall release Tenant from any of its obligations hereunder, unless such surrender is accepted in writing by Landlord.</w:t>
      </w:r>
    </w:p>
    <w:p>
      <w:pPr>
        <w:spacing w:after="0" w:line="15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25.3. The voluntary or other surrender of this Lease by Tenant shall not effect a merger with Landlord’s fee title or leasehold interest in the Premises or any portion thereof, unless Landlord consents in writing, and shall, at Landlord’s option, operate as an assignment to Landlord of any or all subleases.</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25.4. The voluntary or other surrender of any ground or other underlying lease that now exists or may hereafter be executed affecting the Premises or any portion thereof, or a mutual cancellation thereof or of Landlord’s interest therein by Landlord and its lessor shall not effect a merger with Landlord’s fee title or leasehold interest in the Premises and shall, at the option of the successor to Landlord’s interest in the Premises or any portion thereof operate as an assignment of this Lease.</w:t>
      </w:r>
    </w:p>
    <w:p>
      <w:pPr>
        <w:spacing w:after="0" w:line="18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25.5. Tenant shall, at Tenant’s sole cost, comply with the requirements of the New Jersey Industrial Site Recovery Act (as amended, and together with any successor statutes and regulations, “</w:t>
      </w:r>
      <w:r>
        <w:rPr>
          <w:rFonts w:ascii="Times New Roman" w:cs="Times New Roman" w:eastAsia="Times New Roman" w:hAnsi="Times New Roman"/>
          <w:sz w:val="21"/>
          <w:szCs w:val="21"/>
          <w:u w:val="single" w:color="auto"/>
          <w:color w:val="auto"/>
        </w:rPr>
        <w:t>ISRA</w:t>
      </w:r>
      <w:r>
        <w:rPr>
          <w:rFonts w:ascii="Times New Roman" w:cs="Times New Roman" w:eastAsia="Times New Roman" w:hAnsi="Times New Roman"/>
          <w:sz w:val="21"/>
          <w:szCs w:val="21"/>
          <w:color w:val="auto"/>
        </w:rPr>
        <w:t>”) in connection with any expiration or earlier termination of this Lease, including (a) filing any required notices with the New Jersey Department of Environmental Protection or (b) causing any (i) assessments, reports or work plans to be prepared, (ii) necessary site investigations or remedial investigations to be conducted and (iii) necessary remediation work to be performed. If required pursuant to ISRA, at least thirty</w:t>
      </w:r>
    </w:p>
    <w:p>
      <w:pPr>
        <w:spacing w:after="0" w:line="1" w:lineRule="exact"/>
        <w:rPr>
          <w:sz w:val="20"/>
          <w:szCs w:val="20"/>
          <w:color w:val="auto"/>
        </w:rPr>
      </w:pPr>
    </w:p>
    <w:p>
      <w:pPr>
        <w:jc w:val="both"/>
        <w:ind w:firstLine="8"/>
        <w:spacing w:after="0" w:line="234" w:lineRule="auto"/>
        <w:tabs>
          <w:tab w:leader="none" w:pos="41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Tenant’s surrender to Landlord of possession of any part of the Premises, Tenant shall provide Landlord with a preliminary assessment prepared in accordance with the Technical Requirements for Site Remediation (N.J.A.C. 7:26E) by a New Jersey Licensed Site Remediation Professional (“</w:t>
      </w:r>
      <w:r>
        <w:rPr>
          <w:rFonts w:ascii="Times New Roman" w:cs="Times New Roman" w:eastAsia="Times New Roman" w:hAnsi="Times New Roman"/>
          <w:sz w:val="22"/>
          <w:szCs w:val="22"/>
          <w:u w:val="single" w:color="auto"/>
          <w:color w:val="auto"/>
        </w:rPr>
        <w:t>LSRP</w:t>
      </w:r>
      <w:r>
        <w:rPr>
          <w:rFonts w:ascii="Times New Roman" w:cs="Times New Roman" w:eastAsia="Times New Roman" w:hAnsi="Times New Roman"/>
          <w:sz w:val="22"/>
          <w:szCs w:val="22"/>
          <w:color w:val="auto"/>
        </w:rPr>
        <w:t>”) and, if no areas of concern are identified in the preliminary assessment, a response action outcome issued by the LSRP. If areas of concern are identified in the preliminary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2" w:name="page193"/>
    <w:bookmarkEnd w:id="192"/>
    <w:p>
      <w:pPr>
        <w:jc w:val="both"/>
        <w:spacing w:after="0" w:line="236" w:lineRule="auto"/>
        <w:rPr>
          <w:sz w:val="20"/>
          <w:szCs w:val="20"/>
          <w:color w:val="auto"/>
        </w:rPr>
      </w:pPr>
      <w:r>
        <w:rPr>
          <w:rFonts w:ascii="Times New Roman" w:cs="Times New Roman" w:eastAsia="Times New Roman" w:hAnsi="Times New Roman"/>
          <w:sz w:val="22"/>
          <w:szCs w:val="22"/>
          <w:color w:val="auto"/>
        </w:rPr>
        <w:t>assessment, then Tenant shall cause any necessary site investigations and/or remedial investigations to be performed, and, if required by ISRA, shall cause a remedial action work plan to be prepared. Tenant agrees to remain responsible after the surrender of the Premises to Landlord for the remediation of any recognized environmental conditions identified in the preliminary assessment, any site investigations or remedial investigations, or any remedial action work plan, and shall perform any remediation to the remediation standards required by Applicable Laws. Tenant’s obligations under this Section shall survive the expiration or earlier termination of this Lease.</w:t>
      </w:r>
    </w:p>
    <w:p>
      <w:pPr>
        <w:spacing w:after="0" w:line="181" w:lineRule="exact"/>
        <w:rPr>
          <w:sz w:val="20"/>
          <w:szCs w:val="20"/>
          <w:color w:val="auto"/>
        </w:rPr>
      </w:pPr>
    </w:p>
    <w:p>
      <w:pPr>
        <w:ind w:left="920" w:hanging="912"/>
        <w:spacing w:after="0"/>
        <w:tabs>
          <w:tab w:leader="none" w:pos="9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Holding Over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26.1.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as adjusted in accordance with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and (b) any amounts for which Tenant would otherwise be liable under this Lease if the Lease were still in effect, including payments for Taxes, Insurance Costs, Tenant’s electricity and other utility costs, and all other Additional Rent. Any such month-to-month tenancy shall be subject to every other term, covenant and agreement contained herein.</w:t>
      </w:r>
    </w:p>
    <w:p>
      <w:pPr>
        <w:spacing w:after="0" w:line="181"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26.2. Notwithstanding the foregoing, if Tenant remains in possession of the Premises after the expiration or earlier termination of the Term without Landlord’s prior written consent, (a) Tenant shall become a tenant at sufferance subject to the terms and conditions of this Lease, except that the monthly rent shall be equal to one hundred fifty percent (150%) of the Rent in effect during the last thirty (30) days of the Term, and (b) if such holdover continues for more than thirty (30) days after the earlier of (i) the expiration or earlier termination of the Term and (ii) the date Landlord notifies Tenant that Landlord has procured a tenant that is ready, willing, and able to sign a lease for the Premises (or portion thereof), Tenant shall be liable to Landlord for any and all damages suffered by Landlord as a result of such holdover, including any lost rent or consequential, special and indirect damages (in each case, regardless of whether such damages are foreseeable).Acceptance by Landlord of Rent after the expiration or earlier termination of the Term shall not result in an extension, renewal or reinstatement of this Lease.</w:t>
      </w:r>
    </w:p>
    <w:p>
      <w:pPr>
        <w:spacing w:after="0" w:line="175"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26.3. The foregoing provisions of this Article are in addition to and do not affect Landlord’s right of reentry or any other rights of Landlord hereunder or as otherwise provided by Applicable Laws.</w:t>
      </w:r>
    </w:p>
    <w:p>
      <w:pPr>
        <w:spacing w:after="0" w:line="158"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26.4.</w:t>
      </w:r>
      <w:r>
        <w:rPr>
          <w:sz w:val="20"/>
          <w:szCs w:val="20"/>
          <w:color w:val="auto"/>
        </w:rPr>
        <w:tab/>
      </w:r>
      <w:r>
        <w:rPr>
          <w:rFonts w:ascii="Times New Roman" w:cs="Times New Roman" w:eastAsia="Times New Roman" w:hAnsi="Times New Roman"/>
          <w:sz w:val="21"/>
          <w:szCs w:val="21"/>
          <w:color w:val="auto"/>
        </w:rPr>
        <w:t>The provisions of this Article shall survive the expiration or earlier termination of this Lease.</w:t>
      </w:r>
    </w:p>
    <w:p>
      <w:pPr>
        <w:spacing w:after="0" w:line="206" w:lineRule="exact"/>
        <w:rPr>
          <w:sz w:val="20"/>
          <w:szCs w:val="20"/>
          <w:color w:val="auto"/>
        </w:rPr>
      </w:pPr>
    </w:p>
    <w:p>
      <w:pPr>
        <w:ind w:left="920" w:hanging="912"/>
        <w:spacing w:after="0"/>
        <w:tabs>
          <w:tab w:leader="none" w:pos="9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Exculpation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27.1. Tenant agrees to Indemnify the Landlord Indemnitees from and against any and all Claims of any kind or nature, real or alleged, arising from (a) injury to or death of any person or damage to any property occurring within or about the Premises arising directly or indirectly out of (i) the presence at or use or occupancy of the Premises by a Tenant Party or (ii) an act or omission on the part of any Tenant Party, (b) a breach or default by Tenant in the performance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3" w:name="page194"/>
    <w:bookmarkEnd w:id="193"/>
    <w:p>
      <w:pPr>
        <w:jc w:val="both"/>
        <w:spacing w:after="0" w:line="235" w:lineRule="auto"/>
        <w:rPr>
          <w:sz w:val="20"/>
          <w:szCs w:val="20"/>
          <w:color w:val="auto"/>
        </w:rPr>
      </w:pPr>
      <w:r>
        <w:rPr>
          <w:rFonts w:ascii="Times New Roman" w:cs="Times New Roman" w:eastAsia="Times New Roman" w:hAnsi="Times New Roman"/>
          <w:sz w:val="22"/>
          <w:szCs w:val="22"/>
          <w:color w:val="auto"/>
        </w:rPr>
        <w:t>any of its obligations hereunder (including any Claim asserted by a Lender against any Landlord Indemnitees under any Loan Document as a direct result of such breach or default by Tenant) or (c) injury to or death of persons or damage to or loss of any property, real or alleged, arising from the serving of alcoholic beverages at the Premises, including liability under any dram shop law, host liquor law or similar Applicable Law, except to the extent arising directly from Landlord’s negligence or willful misconduct.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Tenant’s obligations under this Section shall survive the expiration or earlier termination of this Lease.</w:t>
      </w:r>
    </w:p>
    <w:p>
      <w:pPr>
        <w:spacing w:after="0" w:line="178"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27.2. Notwithstanding anything in this Lease to the contrary, Landlord shall not be liable to Tenant for and Tenant assumes all risk of (a) damage or losses arising from fire, electrical malfunction, gas explosion or water damage of any type (including broken water lines, malfunctioning fire sprinkler systems, roof leaks or stoppages of lines), unless any such loss is due to Landlord’s willful disregard of written notice by Tenant of need for a repair that Landlord is responsible to make for an unreasonable period of time, and (b) damage to personal property or scientific research, including loss of records kept by Tenant within the Premises (in each case, regardless of whether such damages are foreseeable). Tenant further waives any claim for injury to Tenant’s business or loss of income relating to any such damage or destruction of personal property as described in this Section. Notwithstanding anything in the foregoing or this Lease to the contrary, except (x) as otherwise provided herein (including </w:t>
      </w:r>
      <w:r>
        <w:rPr>
          <w:rFonts w:ascii="Times New Roman" w:cs="Times New Roman" w:eastAsia="Times New Roman" w:hAnsi="Times New Roman"/>
          <w:sz w:val="22"/>
          <w:szCs w:val="22"/>
          <w:u w:val="single" w:color="auto"/>
          <w:color w:val="auto"/>
        </w:rPr>
        <w:t>Section 26.2</w:t>
      </w:r>
      <w:r>
        <w:rPr>
          <w:rFonts w:ascii="Times New Roman" w:cs="Times New Roman" w:eastAsia="Times New Roman" w:hAnsi="Times New Roman"/>
          <w:sz w:val="22"/>
          <w:szCs w:val="22"/>
          <w:color w:val="auto"/>
        </w:rPr>
        <w:t xml:space="preserve">), (y) as may be provided by Applicable Laws or (z) in the event of Tenant’s breach of </w:t>
      </w:r>
      <w:r>
        <w:rPr>
          <w:rFonts w:ascii="Times New Roman" w:cs="Times New Roman" w:eastAsia="Times New Roman" w:hAnsi="Times New Roman"/>
          <w:sz w:val="22"/>
          <w:szCs w:val="22"/>
          <w:u w:val="single" w:color="auto"/>
          <w:color w:val="auto"/>
        </w:rPr>
        <w:t>Article 20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25.1</w:t>
      </w:r>
      <w:r>
        <w:rPr>
          <w:rFonts w:ascii="Times New Roman" w:cs="Times New Roman" w:eastAsia="Times New Roman" w:hAnsi="Times New Roman"/>
          <w:sz w:val="22"/>
          <w:szCs w:val="22"/>
          <w:color w:val="auto"/>
        </w:rPr>
        <w:t>, in no event shall Landlord or Tenant be liable to the other for any consequential, special or indirect damages arising from this Lease, including lost profits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Subsection 27.2(z)</w:t>
      </w:r>
      <w:r>
        <w:rPr>
          <w:rFonts w:ascii="Times New Roman" w:cs="Times New Roman" w:eastAsia="Times New Roman" w:hAnsi="Times New Roman"/>
          <w:sz w:val="22"/>
          <w:szCs w:val="22"/>
          <w:color w:val="auto"/>
        </w:rPr>
        <w:t xml:space="preserve"> shall not limit Tenant’s liability for Base Rent or Additional Rent pursuant to this Lease).</w:t>
      </w:r>
    </w:p>
    <w:p>
      <w:pPr>
        <w:spacing w:after="0" w:line="185"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27.3.</w:t>
      </w:r>
      <w:r>
        <w:rPr>
          <w:sz w:val="20"/>
          <w:szCs w:val="20"/>
          <w:color w:val="auto"/>
        </w:rPr>
        <w:tab/>
      </w:r>
      <w:r>
        <w:rPr>
          <w:rFonts w:ascii="Times New Roman" w:cs="Times New Roman" w:eastAsia="Times New Roman" w:hAnsi="Times New Roman"/>
          <w:sz w:val="21"/>
          <w:szCs w:val="21"/>
          <w:color w:val="auto"/>
        </w:rPr>
        <w:t>Landlord shall not be liable for any damages arising from any act, omission or neglect of any third party.</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27.4. Tenant acknowledges that security devices and services, if any, while intended to deter crime, may not in given instances prevent theft or other criminal acts. Landlord shall not be liable for injuries or losses arising from criminal acts of third parties, and Tenant assumes the risk that any security device or service may malfunction or otherwise be circumvented by a criminal, or that Landlord may decide (in its sole and absolute discretion) not to monitor any installed security devices. If Tenant desires protection against such criminal acts, then Tenant shall, at Tenant’s sole cost and expense, obtain appropriate insurance coverage. Tenant’s security programs and equipment for the Premises shall be coordinated with Landlord and subject to Landlord’s reasonable approval.</w:t>
      </w:r>
    </w:p>
    <w:p>
      <w:pPr>
        <w:spacing w:after="0" w:line="183"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27.5.</w:t>
      </w:r>
      <w:r>
        <w:rPr>
          <w:sz w:val="20"/>
          <w:szCs w:val="20"/>
          <w:color w:val="auto"/>
        </w:rPr>
        <w:tab/>
      </w:r>
      <w:r>
        <w:rPr>
          <w:rFonts w:ascii="Times New Roman" w:cs="Times New Roman" w:eastAsia="Times New Roman" w:hAnsi="Times New Roman"/>
          <w:sz w:val="21"/>
          <w:szCs w:val="21"/>
          <w:color w:val="auto"/>
        </w:rPr>
        <w:t>The provisions of this Article shall survive the expiration or earlier termination of this Lease.</w:t>
      </w:r>
    </w:p>
    <w:p>
      <w:pPr>
        <w:spacing w:after="0" w:line="206" w:lineRule="exact"/>
        <w:rPr>
          <w:sz w:val="20"/>
          <w:szCs w:val="20"/>
          <w:color w:val="auto"/>
        </w:rPr>
      </w:pPr>
    </w:p>
    <w:p>
      <w:pPr>
        <w:ind w:left="920" w:hanging="912"/>
        <w:spacing w:after="0"/>
        <w:tabs>
          <w:tab w:leader="none" w:pos="9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or Subletting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28.1. Except as hereinafter expressly permitted, none of the following (each,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either voluntarily or by operation of Applicable Laws, shall be directly or indirectly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4" w:name="page195"/>
    <w:bookmarkEnd w:id="194"/>
    <w:p>
      <w:pPr>
        <w:jc w:val="both"/>
        <w:spacing w:after="0" w:line="243" w:lineRule="auto"/>
        <w:rPr>
          <w:sz w:val="20"/>
          <w:szCs w:val="20"/>
          <w:color w:val="auto"/>
        </w:rPr>
      </w:pPr>
      <w:r>
        <w:rPr>
          <w:rFonts w:ascii="Times New Roman" w:cs="Times New Roman" w:eastAsia="Times New Roman" w:hAnsi="Times New Roman"/>
          <w:sz w:val="21"/>
          <w:szCs w:val="21"/>
          <w:color w:val="auto"/>
        </w:rPr>
        <w:t>performed without Landlord’s prior written consent, not to be unreasonably withheld, conditioned, or delayed: (a) Tenant selling, hypothecating, assigning, pledging, encumbering or otherwise transferring its interest in this Lease or subletting all or a portion of the Premises, (b) a controlling interest in Tenant being sold, assigned or otherwise transferred (other than as a result of shares in Tenant being sold on a public stock exchange) or (c) the sale of all or substantially of Tenant’s assets. For purposes of the preceding sentence, “control” means (f) owning (directly or indirectly) more than fifty percent (50%) of the stock or other equity interests of another person or (g) possessing, directly or indirectly, the power to direct or cause the direction of the management and policies of such person. Notwithstanding the foregoing, Tenant shall have the right to Transfer, without Landlord’s prior written consent, Tenant’s interest in this Lease or the Premises or any part thereof to (i) any person that as of the date of determination and at all times thereafter directly, or indirectly through one or more intermediaries, controls, is controlled by or is under common control with Tenant, or (ii) any successor resulting from an acquisition, merger, spin-off or consolidation (“</w:t>
      </w:r>
      <w:r>
        <w:rPr>
          <w:rFonts w:ascii="Times New Roman" w:cs="Times New Roman" w:eastAsia="Times New Roman" w:hAnsi="Times New Roman"/>
          <w:sz w:val="21"/>
          <w:szCs w:val="21"/>
          <w:u w:val="single" w:color="auto"/>
          <w:color w:val="auto"/>
        </w:rPr>
        <w:t>Tenant’s Affiliate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Tenant shall notify Landlord in writing at least thirty (30) days prior to the effectiveness of such Transfer to Tenant’s Affiliate (an “</w:t>
      </w:r>
      <w:r>
        <w:rPr>
          <w:rFonts w:ascii="Times New Roman" w:cs="Times New Roman" w:eastAsia="Times New Roman" w:hAnsi="Times New Roman"/>
          <w:sz w:val="21"/>
          <w:szCs w:val="21"/>
          <w:u w:val="single" w:color="auto"/>
          <w:color w:val="auto"/>
        </w:rPr>
        <w:t>Exempt Transfer</w:t>
      </w:r>
      <w:r>
        <w:rPr>
          <w:rFonts w:ascii="Times New Roman" w:cs="Times New Roman" w:eastAsia="Times New Roman" w:hAnsi="Times New Roman"/>
          <w:sz w:val="21"/>
          <w:szCs w:val="21"/>
          <w:color w:val="auto"/>
        </w:rPr>
        <w:t xml:space="preserve">”) and otherwise comply with the requirements of this Lease regarding such Transfer;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the person that will be the tenant under this Lease after the Exempt Transfer of the type set forth in subsection (ii) above has a net worth (as of both the day immediately prior to and the day immediately after the Exempt Transfer) that is equal to or greater than the net worth (as of both the Execution Date and the date of the Exempt Transfer) of the transferring Tenant. For purposes of the immediately preceding sentence, “control” requires both (m) owning (directly or indirectly) more than fifty percent (50%) of the stock or other equity interests of another person and (n) possessing, directly or indirectly, the power to direct or cause the direction of the management and policies of such person. In no event shall Tenant perform a Transfer to or with an entity that is a tenant at the Project or that is in discussions or negotiations with Landlord or an affiliate of Landlord to lease premises at a property owned by Landlord or an affiliate of Landlord.</w:t>
      </w:r>
    </w:p>
    <w:p>
      <w:pPr>
        <w:spacing w:after="0" w:line="18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28.2. In the event Tenant desires to effect a Transfer, then, at least thirty (30) but not more than ninety (90) days prior to the date when Tenant desires the Transfer to be effective (the “</w:t>
      </w:r>
      <w:r>
        <w:rPr>
          <w:rFonts w:ascii="Times New Roman" w:cs="Times New Roman" w:eastAsia="Times New Roman" w:hAnsi="Times New Roman"/>
          <w:sz w:val="22"/>
          <w:szCs w:val="22"/>
          <w:u w:val="single" w:color="auto"/>
          <w:color w:val="auto"/>
        </w:rPr>
        <w:t>Transfer Date</w:t>
      </w:r>
      <w:r>
        <w:rPr>
          <w:rFonts w:ascii="Times New Roman" w:cs="Times New Roman" w:eastAsia="Times New Roman" w:hAnsi="Times New Roman"/>
          <w:sz w:val="22"/>
          <w:szCs w:val="22"/>
          <w:color w:val="auto"/>
        </w:rPr>
        <w:t>”), Tenant shall provide written notice to Landlord (the “</w:t>
      </w:r>
      <w:r>
        <w:rPr>
          <w:rFonts w:ascii="Times New Roman" w:cs="Times New Roman" w:eastAsia="Times New Roman" w:hAnsi="Times New Roman"/>
          <w:sz w:val="22"/>
          <w:szCs w:val="22"/>
          <w:u w:val="single" w:color="auto"/>
          <w:color w:val="auto"/>
        </w:rPr>
        <w:t>Transfer Notice</w:t>
      </w:r>
      <w:r>
        <w:rPr>
          <w:rFonts w:ascii="Times New Roman" w:cs="Times New Roman" w:eastAsia="Times New Roman" w:hAnsi="Times New Roman"/>
          <w:sz w:val="22"/>
          <w:szCs w:val="22"/>
          <w:color w:val="auto"/>
        </w:rPr>
        <w:t xml:space="preserve">”) containing information (including references) concerning the character of the proposed transferee, assignee or sublessee; the Transfer Date; the most recent unconsolidated financial statements of Tenant and of the proposed transferee, assignee or sublessee satisfying the requirements of </w:t>
      </w:r>
      <w:r>
        <w:rPr>
          <w:rFonts w:ascii="Times New Roman" w:cs="Times New Roman" w:eastAsia="Times New Roman" w:hAnsi="Times New Roman"/>
          <w:sz w:val="22"/>
          <w:szCs w:val="22"/>
          <w:u w:val="single" w:color="auto"/>
          <w:color w:val="auto"/>
        </w:rPr>
        <w:t>Section 39.2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Required Financials</w:t>
      </w:r>
      <w:r>
        <w:rPr>
          <w:rFonts w:ascii="Times New Roman" w:cs="Times New Roman" w:eastAsia="Times New Roman" w:hAnsi="Times New Roman"/>
          <w:sz w:val="22"/>
          <w:szCs w:val="22"/>
          <w:color w:val="auto"/>
        </w:rPr>
        <w:t>”); any ownership or commercial relationship between Tenant and the proposed transferee, assignee or sublessee; copies of Hazardous Materials Documents for the proposed transferee, assignee or sublessee; and the consideration and all other material terms and conditions of the proposed Transfer, all in such detail as Landlord shall reasonably require.</w:t>
      </w:r>
    </w:p>
    <w:p>
      <w:pPr>
        <w:spacing w:after="0" w:line="178"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28.3. Landlord, in determining whether consent should be given to a proposed Transfer, may give consideration to such factors as Landlord reasonably deems material, including (a) the financial strength of Tenant and of such transferee, assignee or sublessee (notwithstanding Tenant remaining liable for Tenant’s performance), (b) any change in use that such transferee, assignee or sublessee proposes to make in the use of the Premises and (c) Landlord’s desire to exercise its rights under </w:t>
      </w:r>
      <w:r>
        <w:rPr>
          <w:rFonts w:ascii="Times New Roman" w:cs="Times New Roman" w:eastAsia="Times New Roman" w:hAnsi="Times New Roman"/>
          <w:sz w:val="22"/>
          <w:szCs w:val="22"/>
          <w:u w:val="single" w:color="auto"/>
          <w:color w:val="auto"/>
        </w:rPr>
        <w:t>Section 28.7</w:t>
      </w:r>
      <w:r>
        <w:rPr>
          <w:rFonts w:ascii="Times New Roman" w:cs="Times New Roman" w:eastAsia="Times New Roman" w:hAnsi="Times New Roman"/>
          <w:sz w:val="22"/>
          <w:szCs w:val="22"/>
          <w:color w:val="auto"/>
        </w:rPr>
        <w:t xml:space="preserve"> to recapture the Premises. In no event shall Landlord be deemed to be unreasonable for declining to consent to a Transfer if any applicable Loan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5" w:name="page196"/>
    <w:bookmarkEnd w:id="195"/>
    <w:p>
      <w:pPr>
        <w:jc w:val="both"/>
        <w:spacing w:after="0" w:line="232" w:lineRule="auto"/>
        <w:rPr>
          <w:sz w:val="20"/>
          <w:szCs w:val="20"/>
          <w:color w:val="auto"/>
        </w:rPr>
      </w:pPr>
      <w:r>
        <w:rPr>
          <w:rFonts w:ascii="Times New Roman" w:cs="Times New Roman" w:eastAsia="Times New Roman" w:hAnsi="Times New Roman"/>
          <w:sz w:val="22"/>
          <w:szCs w:val="22"/>
          <w:color w:val="auto"/>
        </w:rPr>
        <w:t>Document prohibits such assignment or any Lender whose consent is required thereunder withholds its consent, or if the Transfer is to a transferee, assignee or sublessee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Times New Roman" w:cs="Times New Roman" w:eastAsia="Times New Roman" w:hAnsi="Times New Roman"/>
          <w:sz w:val="22"/>
          <w:szCs w:val="22"/>
          <w:u w:val="single" w:color="auto"/>
          <w:color w:val="auto"/>
        </w:rPr>
        <w:t>Revenue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 Notwithstanding anything in this Lease to the contrary, if (a) Tenant or any proposed transferee, assignee or sublessee of Tenant has been required by any prior landlord, Lender or Governmental Authority to take material remedial action in connection with Hazardous Materials contaminating a property if the contamination resulted from such party’s action or omission or use of the property in question or (b) Tenant or any proposed transferee, assignee or sublessee is subject to a material enforcement order issued by any Governmental Authority in connection with the use, disposal or storage of Hazardous Materials, then Landlord shall have the right to terminate this Lease in Landlord’s sole and absolute discretion (with respect to any such matter involving Tenant), and it shall not be unreasonable for Landlord to withhold its consent to any proposed transfer, assignment or subletting (with respect to any such matter involving a proposed transferee, assignee or sublessee).</w:t>
      </w:r>
    </w:p>
    <w:p>
      <w:pPr>
        <w:spacing w:after="0" w:line="179"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28.4.</w:t>
      </w:r>
      <w:r>
        <w:rPr>
          <w:sz w:val="20"/>
          <w:szCs w:val="20"/>
          <w:color w:val="auto"/>
        </w:rPr>
        <w:tab/>
      </w:r>
      <w:r>
        <w:rPr>
          <w:rFonts w:ascii="Times New Roman" w:cs="Times New Roman" w:eastAsia="Times New Roman" w:hAnsi="Times New Roman"/>
          <w:sz w:val="22"/>
          <w:szCs w:val="22"/>
          <w:color w:val="auto"/>
        </w:rPr>
        <w:t>The following are conditions precedent to a Transfer or to Landlord considering a request by Tenant to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w:t>
      </w:r>
    </w:p>
    <w:p>
      <w:pPr>
        <w:spacing w:after="0" w:line="182" w:lineRule="exact"/>
        <w:rPr>
          <w:sz w:val="20"/>
          <w:szCs w:val="20"/>
          <w:color w:val="auto"/>
        </w:rPr>
      </w:pPr>
    </w:p>
    <w:p>
      <w:pPr>
        <w:jc w:val="both"/>
        <w:ind w:firstLine="1735"/>
        <w:spacing w:after="0" w:line="244" w:lineRule="auto"/>
        <w:tabs>
          <w:tab w:leader="none" w:pos="261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remain fully liable under this Lease.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173"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or the proposed transferee, assignee or sublessee does not or cannot deliver the Required Financials, then Landlord may elect to have either Tenant’s ultimate parent company or the proposed transferee’s, assignee’s or sublessee’s ultimate parent company provide a guaranty of the applicable entity’s obligations under this Lease, in a form acceptable to Landlord, which guaranty shall be executed and delivered to Landlord by the applicable guarantor prior to the Transfer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6" w:name="page197"/>
    <w:bookmarkEnd w:id="196"/>
    <w:p>
      <w:pPr>
        <w:ind w:firstLine="1735"/>
        <w:spacing w:after="0" w:line="258" w:lineRule="auto"/>
        <w:tabs>
          <w:tab w:leader="none" w:pos="261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Exempt Transfer, Tenant shall provide Landlord with evidence reasonably satisfactory to Landlord that the Transfer qualifies as an Exempt Transfer;</w:t>
      </w:r>
    </w:p>
    <w:p>
      <w:pPr>
        <w:spacing w:after="0" w:line="158"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provide Landlord with evidence reasonably satisfactory to Landlord that the value of Landlord’s interest under this Lease shall not be diminished or reduced by the proposed Transfer. Such evidence shall include evidence respecting the relevant business experience and financial responsibility and status of the proposed transferee, assignee or sublessee;</w:t>
      </w:r>
    </w:p>
    <w:p>
      <w:pPr>
        <w:spacing w:after="0" w:line="180" w:lineRule="exact"/>
        <w:rPr>
          <w:rFonts w:ascii="Times New Roman" w:cs="Times New Roman" w:eastAsia="Times New Roman" w:hAnsi="Times New Roman"/>
          <w:sz w:val="22"/>
          <w:szCs w:val="22"/>
          <w:color w:val="auto"/>
        </w:rPr>
      </w:pPr>
    </w:p>
    <w:p>
      <w:pPr>
        <w:jc w:val="both"/>
        <w:ind w:firstLine="1735"/>
        <w:spacing w:after="0" w:line="282" w:lineRule="auto"/>
        <w:tabs>
          <w:tab w:leader="none" w:pos="2615"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reimburse Landlord for Landlord’s actual costs and expenses, including reasonable attorneys’ fees, charges and disbursements incurred in connection with the review, processing and documentation of such request;</w:t>
      </w:r>
    </w:p>
    <w:p>
      <w:pPr>
        <w:spacing w:after="0" w:line="134" w:lineRule="exact"/>
        <w:rPr>
          <w:rFonts w:ascii="Times New Roman" w:cs="Times New Roman" w:eastAsia="Times New Roman" w:hAnsi="Times New Roman"/>
          <w:sz w:val="21"/>
          <w:szCs w:val="21"/>
          <w:color w:val="auto"/>
        </w:rPr>
      </w:pPr>
    </w:p>
    <w:p>
      <w:pPr>
        <w:jc w:val="both"/>
        <w:ind w:firstLine="1735"/>
        <w:spacing w:after="0" w:line="235" w:lineRule="auto"/>
        <w:tabs>
          <w:tab w:leader="none" w:pos="259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(unless Landlord directs in writing otherwise)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178"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in no event shall Landlord or its Lenders, successors or assigns be obligated to accept such attornment;</w:t>
      </w:r>
    </w:p>
    <w:p>
      <w:pPr>
        <w:spacing w:after="0" w:line="183"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consent to any such Transfer shall be effected on Landlord’s forms;</w:t>
      </w:r>
    </w:p>
    <w:p>
      <w:pPr>
        <w:spacing w:after="0" w:line="206" w:lineRule="exact"/>
        <w:rPr>
          <w:rFonts w:ascii="Times New Roman" w:cs="Times New Roman" w:eastAsia="Times New Roman" w:hAnsi="Times New Roman"/>
          <w:sz w:val="22"/>
          <w:szCs w:val="22"/>
          <w:color w:val="auto"/>
        </w:rPr>
      </w:pPr>
    </w:p>
    <w:p>
      <w:pPr>
        <w:ind w:left="2580" w:hanging="845"/>
        <w:spacing w:after="0"/>
        <w:tabs>
          <w:tab w:leader="none" w:pos="25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then be in default hereunder in any respect;</w:t>
      </w:r>
    </w:p>
    <w:p>
      <w:pPr>
        <w:spacing w:after="0" w:line="206" w:lineRule="exact"/>
        <w:rPr>
          <w:rFonts w:ascii="Times New Roman" w:cs="Times New Roman" w:eastAsia="Times New Roman" w:hAnsi="Times New Roman"/>
          <w:sz w:val="22"/>
          <w:szCs w:val="22"/>
          <w:color w:val="auto"/>
        </w:rPr>
      </w:pPr>
    </w:p>
    <w:p>
      <w:pPr>
        <w:ind w:left="2580" w:hanging="845"/>
        <w:spacing w:after="0"/>
        <w:tabs>
          <w:tab w:leader="none" w:pos="25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proposed transferee, assignee or sublessee’s use of the Premises shall be the same as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Use;</w:t>
      </w:r>
    </w:p>
    <w:p>
      <w:pPr>
        <w:spacing w:after="0" w:line="182"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be bound by any provision of any agreement pertaining to the Transfer, except for Landlord’s written consent to the same;</w:t>
      </w:r>
    </w:p>
    <w:p>
      <w:pPr>
        <w:spacing w:after="0" w:line="158" w:lineRule="exact"/>
        <w:rPr>
          <w:rFonts w:ascii="Times New Roman" w:cs="Times New Roman" w:eastAsia="Times New Roman" w:hAnsi="Times New Roman"/>
          <w:sz w:val="22"/>
          <w:szCs w:val="22"/>
          <w:color w:val="auto"/>
        </w:rPr>
      </w:pPr>
    </w:p>
    <w:p>
      <w:pPr>
        <w:ind w:left="2580" w:hanging="845"/>
        <w:spacing w:after="0"/>
        <w:tabs>
          <w:tab w:leader="none" w:pos="25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all transfer and other taxes (including interest and penalties) assessed or payable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Transfer;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7" w:name="page198"/>
    <w:bookmarkEnd w:id="197"/>
    <w:p>
      <w:pPr>
        <w:ind w:firstLine="1735"/>
        <w:spacing w:after="0" w:line="258" w:lineRule="auto"/>
        <w:tabs>
          <w:tab w:leader="none" w:pos="268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consent (or waiver of its rights) for any Transfer shall not waive Landlord’s right to consent or refuse consent to any later Transfer;</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deliver to Landlord one executed copy of any and all written instruments evidencing or relating to the Transfer; and</w:t>
      </w:r>
    </w:p>
    <w:p>
      <w:pPr>
        <w:spacing w:after="0" w:line="158"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deliver to Landlord a list of Hazardous Materials (as defined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28.5. Any Transfer that is not in compliance with the provisions of this Article or with respect to which Tenant does not fulfill its obligations pursuant to this Article shall (a) constitute a Default, (b) be voidable by Landlord and (c), at Landlord’s option, terminate this Lease, except for those provisions that, by their express terms, survive the expiration or earlier termination hereof.</w:t>
      </w:r>
    </w:p>
    <w:p>
      <w:pPr>
        <w:spacing w:after="0" w:line="18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28.6.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177"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28.7. If Tenant delivers to Landlord a Transfer Notice indicating a desire to transfer this Lease to a proposed transferee or assignee, or a desire to sublease in one or a series of transactions fifty percent (50%) or more of the Rentable Area of the Premises for any term, other than pursuant to an Exempt Transfer, then Landlord shall have the option, exercisable by giving notice to Tenant at any time within thirty (30) days after Landlord’s receipt of such Transfer Notice, to terminate this Lease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days after Landlord’s delivery of notice electing to exercise Landlord’s option to terminate this Lease. In the event Tenant withdraws the Transfer Notice as provided in this Section, this Lease shall continue in full force and effect. No failure of Landlord to exercise its option to terminate this Lease shall be deemed to be Landlord’s consent to a proposed Transfer.</w:t>
      </w:r>
    </w:p>
    <w:p>
      <w:pPr>
        <w:spacing w:after="0" w:line="179"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28.8.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Landlord’s application) may collect such rent and apply it toward Tenant’s obligations under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the occurrence of a Default (as defined below) by Tenant, Tenant shall have the right to collect such rent.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8" w:name="page199"/>
    <w:bookmarkEnd w:id="198"/>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28.9. In the event that Tenant enters into a sublease for the entire Premises in accordance with this Article that expires within two (2) days of the Term Expiration Date, the term expiration date of such sublease shall, notwithstanding anything in this Lease, the sublease or any consent to the sublease to the contrary, be deemed to be the date that is two (2) days prior to the Term Expiration Date.</w:t>
      </w:r>
    </w:p>
    <w:p>
      <w:pPr>
        <w:spacing w:after="0" w:line="180" w:lineRule="exact"/>
        <w:rPr>
          <w:sz w:val="20"/>
          <w:szCs w:val="20"/>
          <w:color w:val="auto"/>
        </w:rPr>
      </w:pPr>
    </w:p>
    <w:p>
      <w:pPr>
        <w:ind w:left="920" w:hanging="912"/>
        <w:spacing w:after="0"/>
        <w:tabs>
          <w:tab w:leader="none" w:pos="9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Subordination and Attornment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29.1. This Lease shall be subject and subordinate to the lien of any mortgage, deed of trust, or lease in which Landlord is tenant now or hereafter in force against the Premises or any portion thereof and to all advances made or hereafter to be made upon the security thereof without the necessity of the execution and delivery of any further instruments on the part of Tenant to effectuate such subordination. Landlord shall use commercially reasonable efforts to obtain a commercially reasonable subordination, non-disturbance and attornment agreement on Tenant’s behalf from any Lenders existing on the date hereof, and any future Lenders.</w:t>
      </w:r>
    </w:p>
    <w:p>
      <w:pPr>
        <w:spacing w:after="0" w:line="181"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29.2. Notwithstanding the foregoing, Tenant shall execute and deliver upon demand such further instrument or instruments evidencing such subordination of this Lease to the lien of any such mortgage or mortgages or deeds of trust or lease in which Landlord is tenant as may be required by Landlord. c. If Tenant fails to execute any document required from Tenant under this Section within ten (10) days after written request therefor, Tenant hereby constitutes and appoints Landlord or its special attorney-in-fact to execute and deliver any such document or documents in the name of Tenant. Such power is coupled with an interest and is irrevocable. For the avoidance of doubt, “Lenders” shall also include historic tax credit investors and new market tax credit investors.</w:t>
      </w:r>
    </w:p>
    <w:p>
      <w:pPr>
        <w:spacing w:after="0" w:line="18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29.3. Upon written request of Landlord and opportunity for Tenant to review, Tenant agrees to execute any Lease amendments not materially altering the terms of this Lease, if required by a Lender incident to the financing of the real property of which the Premises constitute a part.</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29.4.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80" w:lineRule="exact"/>
        <w:rPr>
          <w:sz w:val="20"/>
          <w:szCs w:val="20"/>
          <w:color w:val="auto"/>
        </w:rPr>
      </w:pPr>
    </w:p>
    <w:p>
      <w:pPr>
        <w:ind w:left="920" w:hanging="912"/>
        <w:spacing w:after="0"/>
        <w:tabs>
          <w:tab w:leader="none" w:pos="9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and Remedies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1"/>
          <w:szCs w:val="21"/>
          <w:color w:val="auto"/>
        </w:rPr>
        <w:t>30.1. Late payment by Tenant to Landlord of Rent and other sums due shall cause Landlord to incur costs not contemplated by this Lease, the exact amount of which shall be extremely difficult and impracticable to ascertain. Such costs include processing and accounting charges and late charges that may be imposed on Landlord by the terms of any mortgage or trust deed covering the Premises. Therefore, if any installment of Rent due from Tenant is not received by Landlord within three</w:t>
      </w:r>
    </w:p>
    <w:p>
      <w:pPr>
        <w:spacing w:after="0" w:line="2" w:lineRule="exact"/>
        <w:rPr>
          <w:sz w:val="20"/>
          <w:szCs w:val="20"/>
          <w:color w:val="auto"/>
        </w:rPr>
      </w:pPr>
    </w:p>
    <w:p>
      <w:pPr>
        <w:ind w:firstLine="8"/>
        <w:spacing w:after="0" w:line="258" w:lineRule="auto"/>
        <w:tabs>
          <w:tab w:leader="none" w:pos="30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date such payment is due, Tenant shall pay to Landlord (a) an additional sum of six percent (6%) of the overdue Rent as a late charge plus (b) interest at an annual rate (the “</w:t>
      </w: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equal to the lesser of (a) twelve percent (12%)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9" w:name="page200"/>
    <w:bookmarkEnd w:id="199"/>
    <w:p>
      <w:pPr>
        <w:jc w:val="both"/>
        <w:spacing w:after="0" w:line="236" w:lineRule="auto"/>
        <w:rPr>
          <w:sz w:val="20"/>
          <w:szCs w:val="20"/>
          <w:color w:val="auto"/>
        </w:rPr>
      </w:pPr>
      <w:r>
        <w:rPr>
          <w:rFonts w:ascii="Times New Roman" w:cs="Times New Roman" w:eastAsia="Times New Roman" w:hAnsi="Times New Roman"/>
          <w:sz w:val="22"/>
          <w:szCs w:val="22"/>
          <w:color w:val="auto"/>
        </w:rPr>
        <w:t>and (b) the highest rate permitted by Applicable Laws. The parties agree that this late charge represents a fair and reasonable estimate of the costs that Landlord shall incur by reason of late payment by Tenant and shall be payable as Additional Rent to Landlord due with the next installment of Rent or within five (5) 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w:t>
      </w:r>
    </w:p>
    <w:p>
      <w:pPr>
        <w:spacing w:after="0" w:line="181"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30.2.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w:t>
      </w:r>
    </w:p>
    <w:p>
      <w:pPr>
        <w:spacing w:after="0" w:line="177"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30.3. If Tenant fails to pay any sum of money required to be paid by it hereunder or perform any other act on its part to be performed hereunder, in each case within the applicable cure period (if any) described in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then Landlord may (but shall not be obligated to), without waiving or releasing Tenant from any obligations of Tenant, make such payment or perform such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failure by Tenant unreasonably interfered with the efficient operation of the Premises, or resulted or could have resulted in a violation of Applicable Laws or the cancellation of an insurance policy maintained by Landlord. Notwithstanding the foregoing, in the event of an emergency, Landlord shall have the right to enter the Premises and act in accordance with its rights as provided elsewhere in this Lease. In addition to the late charge described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Tenant shall pay to Landlord as Additional Rent all sums so paid or incurred by Landlord, together with interest at the Default Rate, computed from the date such sums were paid or incurred.</w:t>
      </w:r>
    </w:p>
    <w:p>
      <w:pPr>
        <w:spacing w:after="0" w:line="183"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2"/>
          <w:szCs w:val="22"/>
          <w:color w:val="auto"/>
        </w:rPr>
        <w:t>The occurrence of any one or more of the following events shall constitute a “</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hereunder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w:t>
      </w:r>
    </w:p>
    <w:p>
      <w:pPr>
        <w:spacing w:after="0" w:line="182" w:lineRule="exact"/>
        <w:rPr>
          <w:sz w:val="20"/>
          <w:szCs w:val="20"/>
          <w:color w:val="auto"/>
        </w:rPr>
      </w:pPr>
    </w:p>
    <w:p>
      <w:pPr>
        <w:ind w:left="2620" w:hanging="885"/>
        <w:spacing w:after="0"/>
        <w:tabs>
          <w:tab w:leader="none" w:pos="26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abandons or vacates the Premises for a period of thirty (30) consecutive days or longer;</w:t>
      </w:r>
    </w:p>
    <w:p>
      <w:pPr>
        <w:spacing w:after="0" w:line="206"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fails to make any payment of Rent, as and when due, or to satisfy its obligations under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where such failure shall continue for a period of three (3) days after written notice thereof from Landlord to Tenant;</w:t>
      </w:r>
    </w:p>
    <w:p>
      <w:pPr>
        <w:spacing w:after="0" w:line="158"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1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fails to observe or perform any obligation or covenant contained herein (other than described in </w:t>
      </w:r>
      <w:r>
        <w:rPr>
          <w:rFonts w:ascii="Times New Roman" w:cs="Times New Roman" w:eastAsia="Times New Roman" w:hAnsi="Times New Roman"/>
          <w:sz w:val="22"/>
          <w:szCs w:val="22"/>
          <w:u w:val="single" w:color="auto"/>
          <w:color w:val="auto"/>
        </w:rPr>
        <w:t>Sections 30.4(a)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30.4(b)</w:t>
      </w:r>
      <w:r>
        <w:rPr>
          <w:rFonts w:ascii="Times New Roman" w:cs="Times New Roman" w:eastAsia="Times New Roman" w:hAnsi="Times New Roman"/>
          <w:sz w:val="22"/>
          <w:szCs w:val="22"/>
          <w:color w:val="auto"/>
        </w:rPr>
        <w:t xml:space="preserve">) to be performed by Tenant, where such failure continues for a period of ten (10) days after written notice thereof from Landlord to Tenant;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nature of Tenant’s default is such that it reasonably requires more than ten (10) days to cure, Tenant shall not be deemed to be in Default if Tenant commences such cure within such ten (10) day period and thereafter diligently prosecutes the same to completion;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such cure is completed no later than thirty (30) days after Tenant’s receipt of written notice from Landlord;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0" w:name="page201"/>
    <w:bookmarkEnd w:id="200"/>
    <w:p>
      <w:pPr>
        <w:ind w:left="2640" w:hanging="905"/>
        <w:spacing w:after="0"/>
        <w:tabs>
          <w:tab w:leader="none" w:pos="26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makes an assignment for the benefit of creditors;</w:t>
      </w:r>
    </w:p>
    <w:p>
      <w:pPr>
        <w:spacing w:after="0" w:line="206" w:lineRule="exact"/>
        <w:rPr>
          <w:rFonts w:ascii="Times New Roman" w:cs="Times New Roman" w:eastAsia="Times New Roman" w:hAnsi="Times New Roman"/>
          <w:sz w:val="22"/>
          <w:szCs w:val="22"/>
          <w:color w:val="auto"/>
        </w:rPr>
      </w:pPr>
    </w:p>
    <w:p>
      <w:pPr>
        <w:ind w:firstLine="1735"/>
        <w:spacing w:after="0" w:line="258" w:lineRule="auto"/>
        <w:tabs>
          <w:tab w:leader="none" w:pos="261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receiver, trustee or custodian is appointed to or does take title, possession or control of all or substantially all of Tenant’s assets;</w:t>
      </w:r>
    </w:p>
    <w:p>
      <w:pPr>
        <w:spacing w:after="0" w:line="158"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9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files a voluntary petition under the United States Bankruptcy Code or any successor statute (as the same may be amended from time to time, the “</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or an order for relief is entered against Tenant pursuant to a voluntary or involuntary proceeding commenced under any chapter of the Bankruptcy Code;</w:t>
      </w:r>
    </w:p>
    <w:p>
      <w:pPr>
        <w:spacing w:after="0" w:line="173"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involuntary petition is filed against Tenant under any chapter of the Bankruptcy Code and is not dismissed within one hundred twenty (120) days;</w:t>
      </w:r>
    </w:p>
    <w:p>
      <w:pPr>
        <w:spacing w:after="0" w:line="158"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fails to deliver an estoppel certificate in accordance with </w:t>
      </w:r>
      <w:r>
        <w:rPr>
          <w:rFonts w:ascii="Times New Roman" w:cs="Times New Roman" w:eastAsia="Times New Roman" w:hAnsi="Times New Roman"/>
          <w:sz w:val="22"/>
          <w:szCs w:val="22"/>
          <w:u w:val="single" w:color="auto"/>
          <w:color w:val="auto"/>
        </w:rPr>
        <w:t>Article 19</w:t>
      </w:r>
      <w:r>
        <w:rPr>
          <w:rFonts w:ascii="Times New Roman" w:cs="Times New Roman" w:eastAsia="Times New Roman" w:hAnsi="Times New Roman"/>
          <w:sz w:val="22"/>
          <w:szCs w:val="22"/>
          <w:color w:val="auto"/>
        </w:rPr>
        <w:t>; or</w:t>
      </w:r>
    </w:p>
    <w:p>
      <w:pPr>
        <w:spacing w:after="0" w:line="206" w:lineRule="exact"/>
        <w:rPr>
          <w:rFonts w:ascii="Times New Roman" w:cs="Times New Roman" w:eastAsia="Times New Roman" w:hAnsi="Times New Roman"/>
          <w:sz w:val="22"/>
          <w:szCs w:val="22"/>
          <w:color w:val="auto"/>
        </w:rPr>
      </w:pPr>
    </w:p>
    <w:p>
      <w:pPr>
        <w:ind w:right="20" w:firstLine="1735"/>
        <w:spacing w:after="0" w:line="258" w:lineRule="auto"/>
        <w:tabs>
          <w:tab w:leader="none" w:pos="257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interest in this Lease is attached, executed upon or otherwise judicially seized and such action is not released within one hundred twenty (120) days of the action.</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173"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30.5. In the event of a Chronic Delinquency (as defined below), Landlord may, in addition to all other remedies under this Lease, at law or in equity, require that Tenant thereafter pay Rent quarterly in advance. This provision shall not limit in any way nor be construed as a waiver of Landlord’s rights and remedies contained in this Lease, at law or in equity in the event of a default. “</w:t>
      </w:r>
      <w:r>
        <w:rPr>
          <w:rFonts w:ascii="Times New Roman" w:cs="Times New Roman" w:eastAsia="Times New Roman" w:hAnsi="Times New Roman"/>
          <w:sz w:val="22"/>
          <w:szCs w:val="22"/>
          <w:u w:val="single" w:color="auto"/>
          <w:color w:val="auto"/>
        </w:rPr>
        <w:t>Chronic Delinquency</w:t>
      </w:r>
      <w:r>
        <w:rPr>
          <w:rFonts w:ascii="Times New Roman" w:cs="Times New Roman" w:eastAsia="Times New Roman" w:hAnsi="Times New Roman"/>
          <w:sz w:val="22"/>
          <w:szCs w:val="22"/>
          <w:color w:val="auto"/>
        </w:rPr>
        <w:t xml:space="preserve">” means that Tenant commits a Default pursuant to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xml:space="preserve"> three (3) times in any twelve (12) month period.</w:t>
      </w:r>
    </w:p>
    <w:p>
      <w:pPr>
        <w:spacing w:after="0" w:line="177"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30.6. In the event of a Default by Tenant, and at any time thereafter, with or without notice or demand and without limiting Landlord in the exercise of any right or remedy that Landlord may have, Landlord has the right to do any or all of the following:</w:t>
      </w:r>
    </w:p>
    <w:p>
      <w:pPr>
        <w:spacing w:after="0" w:line="173" w:lineRule="exact"/>
        <w:rPr>
          <w:sz w:val="20"/>
          <w:szCs w:val="20"/>
          <w:color w:val="auto"/>
        </w:rPr>
      </w:pPr>
    </w:p>
    <w:p>
      <w:pPr>
        <w:ind w:firstLine="1735"/>
        <w:spacing w:after="0" w:line="258" w:lineRule="auto"/>
        <w:tabs>
          <w:tab w:leader="none" w:pos="261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Halt any Tenant Improvements and Alterations and order Tenant’s contractors, subcontractors, consultants, designers and material suppliers to stop work;</w:t>
      </w:r>
    </w:p>
    <w:p>
      <w:pPr>
        <w:spacing w:after="0" w:line="158" w:lineRule="exact"/>
        <w:rPr>
          <w:rFonts w:ascii="Times New Roman" w:cs="Times New Roman" w:eastAsia="Times New Roman" w:hAnsi="Times New Roman"/>
          <w:sz w:val="22"/>
          <w:szCs w:val="22"/>
          <w:color w:val="auto"/>
        </w:rPr>
      </w:pPr>
    </w:p>
    <w:p>
      <w:pPr>
        <w:jc w:val="both"/>
        <w:ind w:firstLine="1735"/>
        <w:spacing w:after="0" w:line="251" w:lineRule="auto"/>
        <w:tabs>
          <w:tab w:leader="none" w:pos="2627"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Tenant’s right to possession of the Premises by written notice to Tenant or by any lawful means, in which case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1" w:name="page202"/>
    <w:bookmarkEnd w:id="201"/>
    <w:p>
      <w:pPr>
        <w:jc w:val="both"/>
        <w:ind w:firstLine="1735"/>
        <w:spacing w:after="0" w:line="236" w:lineRule="auto"/>
        <w:tabs>
          <w:tab w:leader="none" w:pos="261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w:t>
      </w:r>
    </w:p>
    <w:p>
      <w:pPr>
        <w:spacing w:after="0" w:line="181" w:lineRule="exact"/>
        <w:rPr>
          <w:rFonts w:ascii="Times New Roman" w:cs="Times New Roman" w:eastAsia="Times New Roman" w:hAnsi="Times New Roman"/>
          <w:sz w:val="22"/>
          <w:szCs w:val="22"/>
          <w:color w:val="auto"/>
        </w:rPr>
      </w:pPr>
    </w:p>
    <w:p>
      <w:pPr>
        <w:ind w:left="3460" w:hanging="860"/>
        <w:spacing w:after="0"/>
        <w:tabs>
          <w:tab w:leader="none" w:pos="346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w:t>
      </w:r>
    </w:p>
    <w:p>
      <w:pPr>
        <w:spacing w:after="0" w:line="206" w:lineRule="exact"/>
        <w:rPr>
          <w:rFonts w:ascii="Times New Roman" w:cs="Times New Roman" w:eastAsia="Times New Roman" w:hAnsi="Times New Roman"/>
          <w:sz w:val="22"/>
          <w:szCs w:val="22"/>
          <w:color w:val="auto"/>
        </w:rPr>
      </w:pPr>
    </w:p>
    <w:p>
      <w:pPr>
        <w:ind w:left="4320" w:hanging="856"/>
        <w:spacing w:after="0"/>
        <w:tabs>
          <w:tab w:leader="none" w:pos="4320" w:val="left"/>
        </w:tabs>
        <w:numPr>
          <w:ilvl w:val="2"/>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worth at the time of award of any unpaid Rent that had accrued at the time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such termination; plus</w:t>
      </w:r>
    </w:p>
    <w:p>
      <w:pPr>
        <w:spacing w:after="0" w:line="182" w:lineRule="exact"/>
        <w:rPr>
          <w:rFonts w:ascii="Times New Roman" w:cs="Times New Roman" w:eastAsia="Times New Roman" w:hAnsi="Times New Roman"/>
          <w:sz w:val="21"/>
          <w:szCs w:val="21"/>
          <w:color w:val="auto"/>
        </w:rPr>
      </w:pPr>
    </w:p>
    <w:p>
      <w:pPr>
        <w:jc w:val="both"/>
        <w:ind w:firstLine="3464"/>
        <w:spacing w:after="0" w:line="239" w:lineRule="auto"/>
        <w:tabs>
          <w:tab w:leader="none" w:pos="4302"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worth at the time of award of the amount by which the unpaid Rent that would have accrued during the period commencing with termination of the Lease and ending at the time of award exceeds that portion of the loss of Landlord’s rental income from the Premises that Tenant proves to Landlord’s reasonable satisfaction could have been reasonably avoided; plus</w:t>
      </w:r>
    </w:p>
    <w:p>
      <w:pPr>
        <w:spacing w:after="0" w:line="180" w:lineRule="exact"/>
        <w:rPr>
          <w:rFonts w:ascii="Times New Roman" w:cs="Times New Roman" w:eastAsia="Times New Roman" w:hAnsi="Times New Roman"/>
          <w:sz w:val="22"/>
          <w:szCs w:val="22"/>
          <w:color w:val="auto"/>
        </w:rPr>
      </w:pPr>
    </w:p>
    <w:p>
      <w:pPr>
        <w:jc w:val="both"/>
        <w:ind w:firstLine="3464"/>
        <w:spacing w:after="0" w:line="244" w:lineRule="auto"/>
        <w:tabs>
          <w:tab w:leader="none" w:pos="4302"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worth at the time of award of the amount by which the unpaid Rent for the balance of the Term after the time of award exceeds that portion of the loss of Landlord’s rental income from the Premises that Tenant proves to Landlord’s reasonable satisfaction could have been reasonably avoided; plus</w:t>
      </w:r>
    </w:p>
    <w:p>
      <w:pPr>
        <w:spacing w:after="0" w:line="173" w:lineRule="exact"/>
        <w:rPr>
          <w:rFonts w:ascii="Times New Roman" w:cs="Times New Roman" w:eastAsia="Times New Roman" w:hAnsi="Times New Roman"/>
          <w:sz w:val="22"/>
          <w:szCs w:val="22"/>
          <w:color w:val="auto"/>
        </w:rPr>
      </w:pPr>
    </w:p>
    <w:p>
      <w:pPr>
        <w:jc w:val="both"/>
        <w:ind w:firstLine="3464"/>
        <w:spacing w:after="0" w:line="239" w:lineRule="auto"/>
        <w:tabs>
          <w:tab w:leader="none" w:pos="4314"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 necessary to compensate Landlord for all the detriment arising from Tenant’s failure to perform its obligations under this Lease or that in the ordinary course of things would be likely to result therefrom, including the cost of restoring the Premises to the condition required under the terms of this Lease, including any rent payments not otherwise chargeable to Tenant (e.g., during any “free” rent period or rent holiday); plus</w:t>
      </w:r>
    </w:p>
    <w:p>
      <w:pPr>
        <w:spacing w:after="0" w:line="180" w:lineRule="exact"/>
        <w:rPr>
          <w:rFonts w:ascii="Times New Roman" w:cs="Times New Roman" w:eastAsia="Times New Roman" w:hAnsi="Times New Roman"/>
          <w:sz w:val="22"/>
          <w:szCs w:val="22"/>
          <w:color w:val="auto"/>
        </w:rPr>
      </w:pPr>
    </w:p>
    <w:p>
      <w:pPr>
        <w:ind w:right="20" w:firstLine="3464"/>
        <w:spacing w:after="0" w:line="258" w:lineRule="auto"/>
        <w:tabs>
          <w:tab w:leader="none" w:pos="429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Landlord’s election, such other amounts in addition to or in lieu of the foregoing as may be permitted from time to time by Applicable Laws; or</w:t>
      </w:r>
    </w:p>
    <w:p>
      <w:pPr>
        <w:spacing w:after="0" w:line="158" w:lineRule="exact"/>
        <w:rPr>
          <w:rFonts w:ascii="Times New Roman" w:cs="Times New Roman" w:eastAsia="Times New Roman" w:hAnsi="Times New Roman"/>
          <w:sz w:val="22"/>
          <w:szCs w:val="22"/>
          <w:color w:val="auto"/>
        </w:rPr>
      </w:pPr>
    </w:p>
    <w:p>
      <w:pPr>
        <w:jc w:val="both"/>
        <w:ind w:firstLine="2600"/>
        <w:spacing w:after="0" w:line="246" w:lineRule="auto"/>
        <w:tabs>
          <w:tab w:leader="none" w:pos="3504"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Landlord’s election, as minimum liquidated damages in addition to any (A) amounts paid or payable to Landlord pursuant to </w:t>
      </w:r>
      <w:r>
        <w:rPr>
          <w:rFonts w:ascii="Times New Roman" w:cs="Times New Roman" w:eastAsia="Times New Roman" w:hAnsi="Times New Roman"/>
          <w:sz w:val="21"/>
          <w:szCs w:val="21"/>
          <w:u w:val="single" w:color="auto"/>
          <w:color w:val="auto"/>
        </w:rPr>
        <w:t>Section 30.5(c)(i)(A)</w:t>
      </w:r>
      <w:r>
        <w:rPr>
          <w:rFonts w:ascii="Times New Roman" w:cs="Times New Roman" w:eastAsia="Times New Roman" w:hAnsi="Times New Roman"/>
          <w:sz w:val="21"/>
          <w:szCs w:val="21"/>
          <w:color w:val="auto"/>
        </w:rPr>
        <w:t xml:space="preserve"> prior to such election and (B) costs of restoring the Premises to the condition required under the terms of this Lease, an amount (the “</w:t>
      </w:r>
      <w:r>
        <w:rPr>
          <w:rFonts w:ascii="Times New Roman" w:cs="Times New Roman" w:eastAsia="Times New Roman" w:hAnsi="Times New Roman"/>
          <w:sz w:val="21"/>
          <w:szCs w:val="21"/>
          <w:u w:val="single" w:color="auto"/>
          <w:color w:val="auto"/>
        </w:rPr>
        <w:t>Election Amount</w:t>
      </w:r>
      <w:r>
        <w:rPr>
          <w:rFonts w:ascii="Times New Roman" w:cs="Times New Roman" w:eastAsia="Times New Roman" w:hAnsi="Times New Roman"/>
          <w:sz w:val="21"/>
          <w:szCs w:val="21"/>
          <w:color w:val="auto"/>
        </w:rPr>
        <w:t>”) equal to either (Y) the positive difference (if any, and measured at the time of such termination) between (1) the then-present value of the total Rent and other benefits that would have accrued to Landlord under this Lease for the remainder of the Term if Tenant had fully complied with the Lease minus (2) the then-present cash rental value of the Premises as determined by Landlord for what would be the then-unexpired Term if the Lease remained in effect, computed using the discount rate of the Federal Reserve Bank of San Francisco at the time of the award plus one (1) percentage point (the “</w:t>
      </w:r>
      <w:r>
        <w:rPr>
          <w:rFonts w:ascii="Times New Roman" w:cs="Times New Roman" w:eastAsia="Times New Roman" w:hAnsi="Times New Roman"/>
          <w:sz w:val="21"/>
          <w:szCs w:val="21"/>
          <w:u w:val="single" w:color="auto"/>
          <w:color w:val="auto"/>
        </w:rPr>
        <w:t>Discount Rate</w:t>
      </w:r>
      <w:r>
        <w:rPr>
          <w:rFonts w:ascii="Times New Roman" w:cs="Times New Roman" w:eastAsia="Times New Roman" w:hAnsi="Times New Roman"/>
          <w:sz w:val="21"/>
          <w:szCs w:val="21"/>
          <w:color w:val="auto"/>
        </w:rPr>
        <w:t>”) or (Z) twelve (12) months (or such lesser number of months as may then be remaining in the Term) of Base Rent and Additional Rent at the rate last payable by Tenant pursuant to this Lease, in either case as Landlord specifies in such election. Landlord and Tenant agree that the Election Amount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2" w:name="page203"/>
    <w:bookmarkEnd w:id="202"/>
    <w:p>
      <w:pPr>
        <w:jc w:val="both"/>
        <w:spacing w:after="0" w:line="244" w:lineRule="auto"/>
        <w:rPr>
          <w:sz w:val="20"/>
          <w:szCs w:val="20"/>
          <w:color w:val="auto"/>
        </w:rPr>
      </w:pPr>
      <w:r>
        <w:rPr>
          <w:rFonts w:ascii="Times New Roman" w:cs="Times New Roman" w:eastAsia="Times New Roman" w:hAnsi="Times New Roman"/>
          <w:sz w:val="22"/>
          <w:szCs w:val="22"/>
          <w:color w:val="auto"/>
        </w:rPr>
        <w:t>represents a reasonable forecast of the minimum damages expected to occur in the event of a breach, taking into account the uncertainty, time and cost of determining elements relevant to actual damages, such as fair market rent, time and costs that may be required to re-lease the Premises, and other factors; and that the Election Amount is not a penalty.</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As used in </w:t>
      </w:r>
      <w:r>
        <w:rPr>
          <w:rFonts w:ascii="Times New Roman" w:cs="Times New Roman" w:eastAsia="Times New Roman" w:hAnsi="Times New Roman"/>
          <w:sz w:val="22"/>
          <w:szCs w:val="22"/>
          <w:u w:val="single" w:color="auto"/>
          <w:color w:val="auto"/>
        </w:rPr>
        <w:t>Sections 30.5(c)(i)(A)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 “worth at the time of award” shall be computed by allowing interest at the Default Rate. As used in </w:t>
      </w:r>
      <w:r>
        <w:rPr>
          <w:rFonts w:ascii="Times New Roman" w:cs="Times New Roman" w:eastAsia="Times New Roman" w:hAnsi="Times New Roman"/>
          <w:sz w:val="22"/>
          <w:szCs w:val="22"/>
          <w:u w:val="single" w:color="auto"/>
          <w:color w:val="auto"/>
        </w:rPr>
        <w:t>Section 30.5(c)(i)(C)</w:t>
      </w:r>
      <w:r>
        <w:rPr>
          <w:rFonts w:ascii="Times New Roman" w:cs="Times New Roman" w:eastAsia="Times New Roman" w:hAnsi="Times New Roman"/>
          <w:sz w:val="22"/>
          <w:szCs w:val="22"/>
          <w:color w:val="auto"/>
        </w:rPr>
        <w:t>, the “worth at the time of the award” shall be computed by taking the present value of such amount, using the Discount Rate.</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30.7. In addition to any other remedies available to Landlord at law or in equity and under this Lease, Landlord may continue this Lease in effect after Tenant’s Default or abandonment and recover Rent as it becomes due.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180" w:lineRule="exact"/>
        <w:rPr>
          <w:sz w:val="20"/>
          <w:szCs w:val="20"/>
          <w:color w:val="auto"/>
        </w:rPr>
      </w:pPr>
    </w:p>
    <w:p>
      <w:pPr>
        <w:jc w:val="both"/>
        <w:ind w:firstLine="1735"/>
        <w:spacing w:after="0" w:line="244" w:lineRule="auto"/>
        <w:tabs>
          <w:tab w:leader="none" w:pos="261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173"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appointment of a receiver upon the initiative of Landlord to protect Landlord’s interest under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or in the Premises.</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Notwithstanding the foregoing, in the event of a Default by Tenant, Landlord may elect at any time to terminate this Lease and to recover damages to which Landlord is entitled.</w:t>
      </w:r>
    </w:p>
    <w:p>
      <w:pPr>
        <w:spacing w:after="0" w:line="15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30.8. If Landlord does not elect to terminate this Lease as provided in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then Landlord may, from time to time, recover all Rent as it becomes due under this Lease. At any time thereafter, Landlord may elect to terminate this Lease and to recover damages to which Landlord is entitled.</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30.9. In the event Landlord elects to terminate this Lease and relet the Premises, Landlord may execute any new lease in its own name. Tenant shall have no right or authority whatsoever to collect any Rent from such tenant. The proceeds of any such reletting shall be applied as follows:</w:t>
      </w:r>
    </w:p>
    <w:p>
      <w:pPr>
        <w:spacing w:after="0" w:line="173" w:lineRule="exact"/>
        <w:rPr>
          <w:sz w:val="20"/>
          <w:szCs w:val="20"/>
          <w:color w:val="auto"/>
        </w:rPr>
      </w:pPr>
    </w:p>
    <w:p>
      <w:pPr>
        <w:ind w:firstLine="1735"/>
        <w:spacing w:after="0" w:line="258" w:lineRule="auto"/>
        <w:tabs>
          <w:tab w:leader="none" w:pos="261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the payment of any indebtedness other than Rent due hereunder from Tenant to Landlord, including storage charges or brokerage commissions owing from Tenant to Landlord as the result of such reletting;</w:t>
      </w:r>
    </w:p>
    <w:p>
      <w:pPr>
        <w:spacing w:after="0" w:line="158"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173" w:lineRule="exact"/>
        <w:rPr>
          <w:rFonts w:ascii="Times New Roman" w:cs="Times New Roman" w:eastAsia="Times New Roman" w:hAnsi="Times New Roman"/>
          <w:sz w:val="22"/>
          <w:szCs w:val="22"/>
          <w:color w:val="auto"/>
        </w:rPr>
      </w:pPr>
    </w:p>
    <w:p>
      <w:pPr>
        <w:ind w:left="2620" w:hanging="885"/>
        <w:spacing w:after="0"/>
        <w:tabs>
          <w:tab w:leader="none" w:pos="26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payment of Rent and other charges due and unpaid hereunder;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3" w:name="page204"/>
    <w:bookmarkEnd w:id="203"/>
    <w:p>
      <w:pPr>
        <w:ind w:left="2640" w:hanging="905"/>
        <w:spacing w:after="0"/>
        <w:tabs>
          <w:tab w:leader="none" w:pos="26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to the payment of future Rent and other damages payable by Tenant under this Lease.</w:t>
      </w:r>
    </w:p>
    <w:p>
      <w:pPr>
        <w:spacing w:after="0" w:line="206"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30.10.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 any provision of this Lease to the contrary, in no event shall Landlord be required to mitigate its damages with respect to any default by Tenant, except as required by Applicable Laws. Any such obligation imposed by Applicable Laws upon Landlord to relet the Premises after any termination of this Lease shall be subject to the reasonable requirements of Landlord to (a) lease to high quality tenants on such terms as Landlord may from time to time deem appropriate in its discretion and (b) develop the Premises in a harmonious manner with a mix of uses, tenants, floor areas, terms of tenancies, etc., as determined by Landlord. Landlord shall not be obligated to relet the Premises to (y) any Tenant’s Affiliate or (z) any party (i) unacceptable to a Lender, (ii) that requires Landlord to make improvements to or re-demise the Premises, (iii) that desires to change the Permitted Use, (iv) that desires to lease the Premises for more or less than the remaining Term or (v) to whom Landlord or an affiliate of Landlord may desire to lease other available space at another property owned by Landlord or an affiliate of Landlord.</w:t>
      </w:r>
    </w:p>
    <w:p>
      <w:pPr>
        <w:spacing w:after="0" w:line="177"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30.11. Landlord’s termination of (a)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30.12.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7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30.13.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In no event shall Tenant have the right to terminate or cancel this Lease or to withhold or abate rent or to set off any Claims against Rent as a result of any default or breach by Landlord of any of its covenants, obligations, representations, warranties or promises hereunder, except as may otherwise be expressly set forth in this Lease.</w:t>
      </w:r>
    </w:p>
    <w:p>
      <w:pPr>
        <w:spacing w:after="0" w:line="17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30.14. In the event of any default by Landlord, Tenant shall give notice by registered or certified mail to any (a) beneficiary of a deed of trust or (b) mortgagee under a mortgage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4" w:name="page205"/>
    <w:bookmarkEnd w:id="20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covering the Premises or any portion thereof and to any landlord of any lease of land upon or within which the Premises are located, and shall offer such beneficiary, mortgagee or landlord a reasonable opportunity to cure the default, including time to obtain possession of the Premises by power of sale or a judicial action if such should prove necessary to effect a cure;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Landlord shall furnish to Tenant in writing, upon written request by Tenant, the names and addresses of all such persons who are to receive such notices.</w:t>
      </w:r>
    </w:p>
    <w:p>
      <w:pPr>
        <w:spacing w:after="0" w:line="177" w:lineRule="exact"/>
        <w:rPr>
          <w:sz w:val="20"/>
          <w:szCs w:val="20"/>
          <w:color w:val="auto"/>
        </w:rPr>
      </w:pPr>
    </w:p>
    <w:p>
      <w:pPr>
        <w:jc w:val="both"/>
        <w:ind w:firstLine="8"/>
        <w:spacing w:after="0" w:line="236" w:lineRule="auto"/>
        <w:tabs>
          <w:tab w:leader="none" w:pos="91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xml:space="preserve"> .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181"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21"/>
          <w:szCs w:val="21"/>
          <w:color w:val="auto"/>
        </w:rPr>
        <w:t>31.1. Those acts specified in the Bankruptcy Code or other Applicable Laws as included within the meaning of “adequate assurance,” even if this Lease does not concern a shopping center or other facility described in such Applicable Laws;</w:t>
      </w:r>
    </w:p>
    <w:p>
      <w:pPr>
        <w:spacing w:after="0" w:line="135"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31.2. A prompt cash payment to compensate Landlord for any monetary defaults or actual damages arising directly from a breach of this Lease;</w:t>
      </w:r>
    </w:p>
    <w:p>
      <w:pPr>
        <w:spacing w:after="0" w:line="158"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31.3.</w:t>
      </w:r>
      <w:r>
        <w:rPr>
          <w:sz w:val="20"/>
          <w:szCs w:val="20"/>
          <w:color w:val="auto"/>
        </w:rPr>
        <w:tab/>
      </w:r>
      <w:r>
        <w:rPr>
          <w:rFonts w:ascii="Times New Roman" w:cs="Times New Roman" w:eastAsia="Times New Roman" w:hAnsi="Times New Roman"/>
          <w:sz w:val="21"/>
          <w:szCs w:val="21"/>
          <w:color w:val="auto"/>
        </w:rPr>
        <w:t>A cash deposit in an amount at least equal to the then-current amount of the Security Deposit; or</w:t>
      </w:r>
    </w:p>
    <w:p>
      <w:pPr>
        <w:spacing w:after="0" w:line="206"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1"/>
          <w:szCs w:val="21"/>
          <w:color w:val="auto"/>
        </w:rPr>
        <w:t>The assumption or assignment of all of Tenant’s interest and obligations under this Lease.</w:t>
      </w:r>
    </w:p>
    <w:p>
      <w:pPr>
        <w:spacing w:after="0" w:line="206" w:lineRule="exact"/>
        <w:rPr>
          <w:sz w:val="20"/>
          <w:szCs w:val="20"/>
          <w:color w:val="auto"/>
        </w:rPr>
      </w:pPr>
    </w:p>
    <w:p>
      <w:pPr>
        <w:ind w:left="920" w:hanging="912"/>
        <w:spacing w:after="0"/>
        <w:tabs>
          <w:tab w:leader="none" w:pos="9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32.1 Tenant represents and warrants that it has had no dealings with any real estate broker or agent in connection with the negotiation of this Lease other than CBRE, T3 Advisors, and Jones Lang LaSalle Brokerage, Inc. (collectively, the “</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177"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32.2 Tenant represents and warrants that no broker or agent has made any representation or warranty relied upon by Tenant in Tenant’s decision to enter into this Lease, other than as contained in this Lease.</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32.3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Times New Roman" w:cs="Times New Roman" w:eastAsia="Times New Roman" w:hAnsi="Times New Roman"/>
          <w:sz w:val="22"/>
          <w:szCs w:val="22"/>
          <w:u w:val="single" w:color="auto"/>
          <w:color w:val="auto"/>
        </w:rPr>
        <w:t>Sections 32.1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5" w:name="page206"/>
    <w:bookmarkEnd w:id="205"/>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32.4 Tenant agrees to Indemnify the Landlord Indemnitees from any and all cost or liability for compensation claimed by any broker or agent, other than Broker, employed or engaged by Tenant or claiming to have been employed or engaged by Tenant.</w:t>
      </w:r>
    </w:p>
    <w:p>
      <w:pPr>
        <w:spacing w:after="0" w:line="173" w:lineRule="exact"/>
        <w:rPr>
          <w:sz w:val="20"/>
          <w:szCs w:val="20"/>
          <w:color w:val="auto"/>
        </w:rPr>
      </w:pPr>
    </w:p>
    <w:p>
      <w:pPr>
        <w:jc w:val="both"/>
        <w:ind w:firstLine="8"/>
        <w:spacing w:after="0" w:line="234" w:lineRule="auto"/>
        <w:tabs>
          <w:tab w:leader="none" w:pos="9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Landlord</w:t>
      </w:r>
      <w:r>
        <w:rPr>
          <w:rFonts w:ascii="Times New Roman" w:cs="Times New Roman" w:eastAsia="Times New Roman" w:hAnsi="Times New Roman"/>
          <w:sz w:val="22"/>
          <w:szCs w:val="22"/>
          <w:color w:val="auto"/>
        </w:rPr>
        <w:t>. With regard to obligations imposed upon Landlord pursuant to this Lease, the term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179"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Landlord’s Liability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34.1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Premises, (b) rent or other income from such real property receivable by Landlord or (c) the consideration received by Landlord from the sale, financing, refinancing or other disposition of all or any part of Landlord’s right, title or interest in the Premises.</w:t>
      </w:r>
    </w:p>
    <w:p>
      <w:pPr>
        <w:spacing w:after="0" w:line="177"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34.2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18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34.3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6" w:name="page207"/>
    <w:bookmarkEnd w:id="206"/>
    <w:p>
      <w:pPr>
        <w:ind w:left="920" w:hanging="912"/>
        <w:spacing w:after="0"/>
        <w:tabs>
          <w:tab w:leader="none" w:pos="9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and Several Obligations</w:t>
      </w:r>
      <w:r>
        <w:rPr>
          <w:rFonts w:ascii="Times New Roman" w:cs="Times New Roman" w:eastAsia="Times New Roman" w:hAnsi="Times New Roman"/>
          <w:sz w:val="22"/>
          <w:szCs w:val="22"/>
          <w:color w:val="auto"/>
        </w:rPr>
        <w:t>. If more than one person or entity executes this Lease as Tenant, then:</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35.1. Each of them is jointly and severally liable for the keeping, observing and performing of all of the terms, covenants, conditions, provisions and agreements of this Lease to be kept, observed or performed by Tenant, and such terms, covenants, conditions, provisions and agreements shall be binding with the same force and effect upon each and all of the persons executing this Agreement as Tenant; and</w:t>
      </w:r>
    </w:p>
    <w:p>
      <w:pPr>
        <w:spacing w:after="0" w:line="18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35.2. The term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as used in this Lease, means and includes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77" w:lineRule="exact"/>
        <w:rPr>
          <w:sz w:val="20"/>
          <w:szCs w:val="20"/>
          <w:color w:val="auto"/>
        </w:rPr>
      </w:pPr>
    </w:p>
    <w:p>
      <w:pPr>
        <w:jc w:val="both"/>
        <w:ind w:firstLine="8"/>
        <w:spacing w:after="0" w:line="232" w:lineRule="auto"/>
        <w:tabs>
          <w:tab w:leader="none" w:pos="9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 (x) it, (y) its affiliates or partners nor (z) to the best of its knowledge, its members, shareholders or other equity owners or any of their respective employees, officers, directors, representatives or agents is a person or entity with whom U.S. persons or entities are restricted from doing business under regulations of the Office of Foreign Asset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 Landlord represents that, to its current, actual knowledge (without duty of inquiry), it is not an entity with whom U.S. persons or entities are restricted from doing business under regulations of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186" w:lineRule="exact"/>
        <w:rPr>
          <w:rFonts w:ascii="Times New Roman" w:cs="Times New Roman" w:eastAsia="Times New Roman" w:hAnsi="Times New Roman"/>
          <w:sz w:val="22"/>
          <w:szCs w:val="22"/>
          <w:color w:val="auto"/>
        </w:rPr>
      </w:pPr>
    </w:p>
    <w:p>
      <w:pPr>
        <w:jc w:val="both"/>
        <w:ind w:firstLine="8"/>
        <w:spacing w:after="0" w:line="239" w:lineRule="auto"/>
        <w:tabs>
          <w:tab w:leader="none" w:pos="9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Tenant shall keep the terms and conditions of this Lease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the contents of any documents, reports, surveys or evaluations related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7" w:name="page208"/>
    <w:bookmarkEnd w:id="207"/>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Premises or any portion thereof or (b) provide to any third party an original or copy of this Lease (or any Lease-related document or other document referenced in </w:t>
      </w:r>
      <w:r>
        <w:rPr>
          <w:rFonts w:ascii="Times New Roman" w:cs="Times New Roman" w:eastAsia="Times New Roman" w:hAnsi="Times New Roman"/>
          <w:sz w:val="22"/>
          <w:szCs w:val="22"/>
          <w:u w:val="single" w:color="auto"/>
          <w:color w:val="auto"/>
        </w:rPr>
        <w:t>Subsection 37(a)</w:t>
      </w:r>
      <w:r>
        <w:rPr>
          <w:rFonts w:ascii="Times New Roman" w:cs="Times New Roman" w:eastAsia="Times New Roman" w:hAnsi="Times New Roman"/>
          <w:sz w:val="22"/>
          <w:szCs w:val="22"/>
          <w:color w:val="auto"/>
        </w:rPr>
        <w:t xml:space="preserve">). Landlord shall not release to any third party any non-public financial information or non-public information about Tenant’s ownership structure that Tenant gives Landlord. Notwithstanding the foregoing, confidential information under this Section may be released by Landlord or Tenant under the following circumstances: (x) if required by Applicable Laws or in any judicial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releasing party has given the other party reasonable notice of such requirement, if feasible, (y) to a party’s attorneys, accountants, brokers, lenders, potential lenders, investors, potential investors and other bona fide consultants or advisers (with respect to this Lease only);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third parties agree to be bound by this Section or (z) to bona fide prospective assignees or subtenants of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they agree in writing to be bound by this Section.</w:t>
      </w:r>
    </w:p>
    <w:p>
      <w:pPr>
        <w:spacing w:after="0" w:line="183" w:lineRule="exact"/>
        <w:rPr>
          <w:sz w:val="20"/>
          <w:szCs w:val="20"/>
          <w:color w:val="auto"/>
        </w:rPr>
      </w:pPr>
    </w:p>
    <w:p>
      <w:pPr>
        <w:jc w:val="both"/>
        <w:ind w:firstLine="8"/>
        <w:spacing w:after="0" w:line="232" w:lineRule="auto"/>
        <w:tabs>
          <w:tab w:leader="none" w:pos="91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 Except as otherwise stated in this Lease, any notice, consent, demand, invoice, statement or other communication required or permitted to be given hereunder shall be in writing and shall be given by (a) personal delivery, (b) overnight delivery with a reputable international overnight delivery service, such as FedEx, or (c) email transmission, so long as such transmission is followed within one (1) business day by delivery utilizing one of the methods described in </w:t>
      </w:r>
      <w:r>
        <w:rPr>
          <w:rFonts w:ascii="Times New Roman" w:cs="Times New Roman" w:eastAsia="Times New Roman" w:hAnsi="Times New Roman"/>
          <w:sz w:val="22"/>
          <w:szCs w:val="22"/>
          <w:u w:val="single" w:color="auto"/>
          <w:color w:val="auto"/>
        </w:rPr>
        <w:t>Subsection 38(a)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Subsection 38(c)</w:t>
      </w:r>
      <w:r>
        <w:rPr>
          <w:rFonts w:ascii="Times New Roman" w:cs="Times New Roman" w:eastAsia="Times New Roman" w:hAnsi="Times New Roman"/>
          <w:sz w:val="22"/>
          <w:szCs w:val="22"/>
          <w:color w:val="auto"/>
        </w:rPr>
        <w:t xml:space="preserve">, if delivery utilizing one of the other methods described in </w:t>
      </w:r>
      <w:r>
        <w:rPr>
          <w:rFonts w:ascii="Times New Roman" w:cs="Times New Roman" w:eastAsia="Times New Roman" w:hAnsi="Times New Roman"/>
          <w:sz w:val="22"/>
          <w:szCs w:val="22"/>
          <w:u w:val="single" w:color="auto"/>
          <w:color w:val="auto"/>
        </w:rPr>
        <w:t>Subsection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38(a)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is not reasonably practicable due to an event of Force Majeure (as defined below), then such requirement shall be waived for deliveries by email transmission so long as either the receiving party responds to the sending party confirming receipt of the applicable email transmission, or the sending party receives other electronic confirmation that the email transmission was received and read by the receiving party, such as a “read receipt” notice.. Any such notice, consent, demand, invoice, statement or other communication shall be deemed delivered (x) upon receipt, if given in accordance with </w:t>
      </w:r>
      <w:r>
        <w:rPr>
          <w:rFonts w:ascii="Times New Roman" w:cs="Times New Roman" w:eastAsia="Times New Roman" w:hAnsi="Times New Roman"/>
          <w:sz w:val="22"/>
          <w:szCs w:val="22"/>
          <w:u w:val="single" w:color="auto"/>
          <w:color w:val="auto"/>
        </w:rPr>
        <w:t>Subsection 38(a)</w:t>
      </w:r>
      <w:r>
        <w:rPr>
          <w:rFonts w:ascii="Times New Roman" w:cs="Times New Roman" w:eastAsia="Times New Roman" w:hAnsi="Times New Roman"/>
          <w:sz w:val="22"/>
          <w:szCs w:val="22"/>
          <w:color w:val="auto"/>
        </w:rPr>
        <w:t xml:space="preserve">; (y) one (1) business day after deposit with a reputable international overnight delivery service, if given in accordance with </w:t>
      </w:r>
      <w:r>
        <w:rPr>
          <w:rFonts w:ascii="Times New Roman" w:cs="Times New Roman" w:eastAsia="Times New Roman" w:hAnsi="Times New Roman"/>
          <w:sz w:val="22"/>
          <w:szCs w:val="22"/>
          <w:u w:val="single" w:color="auto"/>
          <w:color w:val="auto"/>
        </w:rPr>
        <w:t>Subsection 38(b)</w:t>
      </w:r>
      <w:r>
        <w:rPr>
          <w:rFonts w:ascii="Times New Roman" w:cs="Times New Roman" w:eastAsia="Times New Roman" w:hAnsi="Times New Roman"/>
          <w:sz w:val="22"/>
          <w:szCs w:val="22"/>
          <w:color w:val="auto"/>
        </w:rPr>
        <w:t xml:space="preserve">; or (z) upon transmission, if given in accordance with </w:t>
      </w:r>
      <w:r>
        <w:rPr>
          <w:rFonts w:ascii="Times New Roman" w:cs="Times New Roman" w:eastAsia="Times New Roman" w:hAnsi="Times New Roman"/>
          <w:sz w:val="22"/>
          <w:szCs w:val="22"/>
          <w:u w:val="single" w:color="auto"/>
          <w:color w:val="auto"/>
        </w:rPr>
        <w:t>Subsection 38(c)</w:t>
      </w:r>
      <w:r>
        <w:rPr>
          <w:rFonts w:ascii="Times New Roman" w:cs="Times New Roman" w:eastAsia="Times New Roman" w:hAnsi="Times New Roman"/>
          <w:sz w:val="22"/>
          <w:szCs w:val="22"/>
          <w:color w:val="auto"/>
        </w:rPr>
        <w:t xml:space="preserve">. Except as otherwise stated in this Lease, any notice, consent, demand, invoice, statement or other communication required or permitted to be given pursuant to this Lease shall be addressed to Tenant at the Premises, or to Landlord or Tenant at the addresses shown in </w:t>
      </w:r>
      <w:r>
        <w:rPr>
          <w:rFonts w:ascii="Times New Roman" w:cs="Times New Roman" w:eastAsia="Times New Roman" w:hAnsi="Times New Roman"/>
          <w:sz w:val="22"/>
          <w:szCs w:val="22"/>
          <w:u w:val="single" w:color="auto"/>
          <w:color w:val="auto"/>
        </w:rPr>
        <w:t>Sections 2.9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2.11</w:t>
      </w:r>
      <w:r>
        <w:rPr>
          <w:rFonts w:ascii="Times New Roman" w:cs="Times New Roman" w:eastAsia="Times New Roman" w:hAnsi="Times New Roman"/>
          <w:sz w:val="22"/>
          <w:szCs w:val="22"/>
          <w:color w:val="auto"/>
        </w:rPr>
        <w:t>, respectively. Either party may, by notice to the other given pursuant to this Section, specify additional or different addresses for notice purposes.</w:t>
      </w:r>
    </w:p>
    <w:p>
      <w:pPr>
        <w:spacing w:after="0" w:line="19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39.1.</w:t>
      </w:r>
      <w:r>
        <w:rPr>
          <w:sz w:val="20"/>
          <w:szCs w:val="20"/>
          <w:color w:val="auto"/>
        </w:rPr>
        <w:tab/>
      </w:r>
      <w:r>
        <w:rPr>
          <w:rFonts w:ascii="Times New Roman" w:cs="Times New Roman" w:eastAsia="Times New Roman" w:hAnsi="Times New Roman"/>
          <w:sz w:val="21"/>
          <w:szCs w:val="21"/>
          <w:color w:val="auto"/>
        </w:rPr>
        <w:t>Landlord reserves the right to change the name of the Building or the Premises in its sole discretion.</w:t>
      </w:r>
    </w:p>
    <w:p>
      <w:pPr>
        <w:spacing w:after="0" w:line="206"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39.2. To induce Landlord to enter into this Lease, Tenant agrees that it shall furnish to Landlord, from time to time, within ten (10) business days after receipt of Landlord’s written request, the most recent year-end unconsolidated financial statements reflecting Tenant’s current financial condition audited by a nationally recognized accounting firm. Tenant shall, within ninety (90) days after the end of Tenant’s financial year, furnish Landlord with a certified copy of Tenant’s year-end unconsolidated financial statements for the previous year audited by a nationally recognized accounting firm. Tenant represents and warrants that all financial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8" w:name="page209"/>
    <w:bookmarkEnd w:id="208"/>
    <w:p>
      <w:pPr>
        <w:jc w:val="both"/>
        <w:spacing w:after="0" w:line="234" w:lineRule="auto"/>
        <w:rPr>
          <w:sz w:val="20"/>
          <w:szCs w:val="20"/>
          <w:color w:val="auto"/>
        </w:rPr>
      </w:pPr>
      <w:r>
        <w:rPr>
          <w:rFonts w:ascii="Times New Roman" w:cs="Times New Roman" w:eastAsia="Times New Roman" w:hAnsi="Times New Roman"/>
          <w:sz w:val="22"/>
          <w:szCs w:val="22"/>
          <w:color w:val="auto"/>
        </w:rPr>
        <w:t>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 If Tenant fails to deliver to Landlord any financial statement within the time period required under this Section, then Tenant shall be required to pay to Landlord an administrative fee equal to One Thousand Dollars ($1,000) within five (5) business days after receiving written notice from Landlord advising Tenant of such failure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Landlord’s acceptance of such fee shall not prevent Landlord from pursuing any other rights or remedies under this Lease, at law or in equity). The provisions of this Section shall not apply at any time while Tenant is a corporation whose shares are traded on any nationally recognized stock exchange.</w:t>
      </w:r>
    </w:p>
    <w:p>
      <w:pPr>
        <w:spacing w:after="0" w:line="183"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2"/>
          <w:szCs w:val="22"/>
          <w:color w:val="auto"/>
        </w:rPr>
        <w:t>39.3. Submission of this instrument for examination or signature by Tenant does not constitute a reservation of or option for a lease, and shall not be effective as a lease or otherwise until execution by and delivery to both Landlord and Tenant.</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39.4. The terms of this Lease are intended by the parties as a final, complete and exclusive expression of their agreement with respect to the terms that are included herein, and may not be contradicted or supplemented by evidence of any other prior or contemporaneous agreement.</w:t>
      </w:r>
    </w:p>
    <w:p>
      <w:pPr>
        <w:spacing w:after="0" w:line="173"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39.5.</w:t>
      </w:r>
      <w:r>
        <w:rPr>
          <w:sz w:val="20"/>
          <w:szCs w:val="20"/>
          <w:color w:val="auto"/>
        </w:rPr>
        <w:tab/>
      </w:r>
      <w:r>
        <w:rPr>
          <w:rFonts w:ascii="Times New Roman" w:cs="Times New Roman" w:eastAsia="Times New Roman" w:hAnsi="Times New Roman"/>
          <w:sz w:val="21"/>
          <w:szCs w:val="21"/>
          <w:color w:val="auto"/>
        </w:rPr>
        <w:t>Neither party shall record this Lease.</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39.6. Where applicable in this Lease, the singular includes the plural and the masculine or neuter includes the masculine, feminine and neuter. The words “include,” “includes,” “included” and “including” mean “‘include,’ etc., without limitation.” The word “shall” is mandatory and the word “may” is permissive. The word “business day” means a calendar day other than any national or local holiday on which federal government agencies in the County of Mercer are closed for business, or any weekend. The section headings of this Lease are not a part of this Lease and shall have no effect upon the construction or interpretation of any part of this Lease. Landlord and Tenant have each participated in the drafting and negotiation of this Lease, and the language in all parts of this Lease shall be in all cases construed as a whole according to its fair meaning and not strictly for or against either Landlord or Tenant.</w:t>
      </w:r>
    </w:p>
    <w:p>
      <w:pPr>
        <w:spacing w:after="0" w:line="17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39.7. Except as otherwise expressly set forth in this Lease, each party shall pay its own costs and expenses incurred in connection with this Lease and such party’s performance under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party commences an action, proceeding, demand, claim, action, cause of action or suit against the other party arising from or in connection with this Lease,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 In addition, Landlord shall, upon demand, be entitled to all reasonable attorneys’ fees and all other reasonable costs incurred in the preparation and service of any notice or demand hereunder, regardless of whether a legal action is subsequently commenced,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2"/>
          <w:szCs w:val="22"/>
          <w:color w:val="auto"/>
        </w:rPr>
        <w:t>incurred in connection with any contested matter or other proceeding in bankruptcy court concerning this Lease.</w:t>
      </w:r>
    </w:p>
    <w:p>
      <w:pPr>
        <w:spacing w:after="0" w:line="206"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39.8.</w:t>
      </w:r>
      <w:r>
        <w:rPr>
          <w:sz w:val="20"/>
          <w:szCs w:val="20"/>
          <w:color w:val="auto"/>
        </w:rPr>
        <w:tab/>
      </w:r>
      <w:r>
        <w:rPr>
          <w:rFonts w:ascii="Times New Roman" w:cs="Times New Roman" w:eastAsia="Times New Roman" w:hAnsi="Times New Roman"/>
          <w:sz w:val="21"/>
          <w:szCs w:val="21"/>
          <w:color w:val="auto"/>
        </w:rPr>
        <w:t>Time is of the essence with respect to the performance of every provision of this Lease.</w:t>
      </w:r>
    </w:p>
    <w:p>
      <w:pPr>
        <w:spacing w:after="0" w:line="206"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39.9.</w:t>
      </w:r>
      <w:r>
        <w:rPr>
          <w:sz w:val="20"/>
          <w:szCs w:val="20"/>
          <w:color w:val="auto"/>
        </w:rPr>
        <w:tab/>
      </w:r>
      <w:r>
        <w:rPr>
          <w:rFonts w:ascii="Times New Roman" w:cs="Times New Roman" w:eastAsia="Times New Roman" w:hAnsi="Times New Roman"/>
          <w:sz w:val="21"/>
          <w:szCs w:val="21"/>
          <w:color w:val="auto"/>
        </w:rPr>
        <w:t>Each provision of this Lease performable by Tenant shall be deemed both a covenant and a condition.</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39.10. Notwithstanding anything to the contrary contained in this Lease, Tenant’s obligations under this Lease are independent and shall not be conditioned upon performance by Landlord.</w:t>
      </w:r>
    </w:p>
    <w:p>
      <w:pPr>
        <w:spacing w:after="0" w:line="15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39.11.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73"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39.12. Each of the covenants, conditions and agreements herein contained shall inure to the benefit of and shall apply to and be binding upon the parties hereto and their respective heirs; legatees; devisees; executors; administrators; and permitted successors and assigns. This Lease is for the sole benefit of the parties and their respective heirs, legatees, devisees, executors, administrators and permitted successors and assigns, and nothing in this Lease shall give or be construed to give any other person or entity any legal or equitable rights. Nothing in this Section shall in any way alter the provisions of this Lease restricting assignment or subletting.</w:t>
      </w:r>
    </w:p>
    <w:p>
      <w:pPr>
        <w:spacing w:after="0" w:line="181"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39.13. This Lease shall be governed by, construed and enforced in accordance with the laws of the state in which the Premises are located, without regard to such state’s conflict of law principles.</w:t>
      </w:r>
    </w:p>
    <w:p>
      <w:pPr>
        <w:spacing w:after="0" w:line="158"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21"/>
          <w:szCs w:val="21"/>
          <w:color w:val="auto"/>
        </w:rPr>
        <w:t>39.14. Tenant guarantees, warrants and represents that the individual or individuals signing this Lease have the power, authority and legal capacity to sign this Lease on behalf of and to bind all entities, corporations, partnerships, limited liability companies, joint venturers or other organizations and entities on whose behalf such individual or individuals have signed.</w:t>
      </w:r>
    </w:p>
    <w:p>
      <w:pPr>
        <w:spacing w:after="0" w:line="157"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39.15. This Lease may be executed in one or more counterparts, each of which, when taken together, shall constitute one and the same document.</w:t>
      </w:r>
    </w:p>
    <w:p>
      <w:pPr>
        <w:spacing w:after="0" w:line="15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39.16. No provision of this Lease may be modified, amended or supplemented except by an agreement in writing signed by Landlord and Tenant.</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39.17. No waiver of any term, covenant or condition of this Lease shall be binding upon Landlord unless executed in writing by Landlord. The waiver by Landlord of any breach or default of any term, covenant or condition contained in this Lease shall not be deemed to be a waiver of any preceding or subsequent breach or default of such term, covenant or condition or any other term, covenant or condition of this Lease.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0" w:name="page211"/>
    <w:bookmarkEnd w:id="210"/>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39.18. To the extent permitted by Applicable Laws, the parties waive trial by jury in any action, proceeding or counterclaim brought by the other party hereto related to matters arising from or in any way connected with this Lease; the relationship between Landlord and Tenant; Tenant’s use or occupancy of the Premises; or any claim of injury or damage related to this Lease or the Premises.</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39.19. A facsimile, electronic or portable document format (PDF) signature on this Lease or any other document required or permitted by this Lease to be delivered by Landlord or Tenant shall be equivalent to, and have the same force and effect as, an original signature.</w:t>
      </w:r>
    </w:p>
    <w:p>
      <w:pPr>
        <w:spacing w:after="0" w:line="173"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color w:val="auto"/>
        </w:rPr>
        <w:t xml:space="preserve">39.20. For purposes of this Lease, “Force Majeure” means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 insurrections; plagues, epidemics, pandemics, or public health crises (including regulations, actions or delays by Governmental Authorities resulting from any such plague, epidemic, pandemic or public health crisis); shortages of materials (which shortages are not unique to the party claiming Force Majeure); regulations, moratoria or other actions, inactions or delays by Governmental Authorities,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delay by a Governmental Authority in issuing any required permit or approval is not caused by the failure of the party claiming Force Majeure to timely submit a complete application for such permit or approval in compliance with Applicable Laws;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“Severe Weather Conditions” means weather conditions that are materially worse than those that would be reasonably anticipated for the Property at the applicable time based on historic meteorological records. Notwithstanding anything in this Lease to the contrary, events of Force Majeure shall excuse </w:t>
      </w:r>
      <w:r>
        <w:rPr>
          <w:rFonts w:ascii="Times New Roman" w:cs="Times New Roman" w:eastAsia="Times New Roman" w:hAnsi="Times New Roman"/>
          <w:sz w:val="21"/>
          <w:szCs w:val="21"/>
          <w:u w:val="single" w:color="auto"/>
          <w:color w:val="auto"/>
        </w:rPr>
        <w:t>timely</w:t>
      </w:r>
      <w:r>
        <w:rPr>
          <w:rFonts w:ascii="Times New Roman" w:cs="Times New Roman" w:eastAsia="Times New Roman" w:hAnsi="Times New Roman"/>
          <w:sz w:val="21"/>
          <w:szCs w:val="21"/>
          <w:color w:val="auto"/>
        </w:rPr>
        <w:t xml:space="preserve"> performance of a party hereunder (other than either party’s obligation to pay any amounts hereunder, which shall not be excused by Force Majeure) for a period equal to the delay caused thereby and, therefore, if this Lease specifies a time period for performance of an obligation of either party, that time period shall be extended by the period of any delay in such party’s performance caused by an event of Force Majeure. Each party claiming any delay as a result of Force Majeure shall notify the other party in writing within ten (10) business days after it acquires actual knowledge of the event constituting an event of Force Majeure, which written notice shall state in reasonable detail the nature of such event, the reason(s) that such event constitutes an event of Force Majeure, and the manner in which such event has or will delay performance of the claiming party’s obligations hereunder.</w:t>
      </w:r>
    </w:p>
    <w:p>
      <w:pPr>
        <w:spacing w:after="0" w:line="200" w:lineRule="exact"/>
        <w:rPr>
          <w:sz w:val="20"/>
          <w:szCs w:val="20"/>
          <w:color w:val="auto"/>
        </w:rPr>
      </w:pPr>
    </w:p>
    <w:p>
      <w:pPr>
        <w:spacing w:after="0" w:line="227" w:lineRule="exact"/>
        <w:rPr>
          <w:sz w:val="20"/>
          <w:szCs w:val="20"/>
          <w:color w:val="auto"/>
        </w:rPr>
      </w:pPr>
    </w:p>
    <w:p>
      <w:pPr>
        <w:ind w:left="920" w:hanging="912"/>
        <w:spacing w:after="0"/>
        <w:tabs>
          <w:tab w:leader="none" w:pos="9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Rooftop Installation Area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40.1. Tenant may use certain areas of the roof reasonably approved by Landlord (the “</w:t>
      </w:r>
      <w:r>
        <w:rPr>
          <w:rFonts w:ascii="Times New Roman" w:cs="Times New Roman" w:eastAsia="Times New Roman" w:hAnsi="Times New Roman"/>
          <w:sz w:val="22"/>
          <w:szCs w:val="22"/>
          <w:u w:val="single" w:color="auto"/>
          <w:color w:val="auto"/>
        </w:rPr>
        <w:t>Rooftop Installation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Area</w:t>
      </w:r>
      <w:r>
        <w:rPr>
          <w:rFonts w:ascii="Times New Roman" w:cs="Times New Roman" w:eastAsia="Times New Roman" w:hAnsi="Times New Roman"/>
          <w:sz w:val="22"/>
          <w:szCs w:val="22"/>
          <w:color w:val="auto"/>
        </w:rPr>
        <w:t>”) solely to operate, maintain, repair and replace rooftop antennae, mechanical equipment, communications antennas and other equipment installed by Tenant in the Rooftop Installation Area in accordance with this Article (“</w:t>
      </w:r>
      <w:r>
        <w:rPr>
          <w:rFonts w:ascii="Times New Roman" w:cs="Times New Roman" w:eastAsia="Times New Roman" w:hAnsi="Times New Roman"/>
          <w:sz w:val="22"/>
          <w:szCs w:val="22"/>
          <w:u w:val="single" w:color="auto"/>
          <w:color w:val="auto"/>
        </w:rPr>
        <w:t>Tenant’s Rooftop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Tenant’s Rooftop Equipment shall be only for Tenant’s use of the Premises for the Permitted Use.</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40.2. Tenant shall install Tenant’s Rooftop Equipment at its sole cost and expense, at such times and in such manner as Landlord may reasonably designate, and in accordance with this Article and the applicable provisions of this Lease regarding Alterations. Tenant’s Rooftop Equipment and the installation thereof shall be subject to Landlord’s prior written approval, which approval shall not be unreasonably withheld. Among other reasons, Landlord may withhold approval if the installation or operation of Tenant’s Rooftop Equipment could reasonably be expected to damage the structural integrity of the Building or to transmit vibrations or noise or cause other adverse effects beyond the Premises to an extent not customary in first class laboratory buildings, unless Tenant implements measures that are acceptable to Landlord in its reasonable discretion to avoid any such damage or transmission.</w:t>
      </w:r>
    </w:p>
    <w:p>
      <w:pPr>
        <w:spacing w:after="0" w:line="17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40.3. Tenant shall comply with any roof or roof-related warranties. Tenant shall obtain a letter from Landlord’s roofing contractor within thirty (30) days after completion of any Tenant work on the rooftop stating that such work did not affect any such warranties. Tenant, at its sole cost and expense, shall inspect the Rooftop Installation Area at least annually, and correct any loose bolts, fittings or other appurtenances and repair any damage to the roof arising from the installation or operation of Tenant’s Rooftop Equipment. Tenant shall not permit the installation, maintenance or operation of Tenant’s Rooftop Equipment to violate any Applicable Laws or constitute a nuisance. Tenant shall pay Landlord within thirty (30) days after demand (a) all applicable taxes, charges, fees or impositions imposed on Landlord by Governmental Authorities as the result of Tenant’s use of the Rooftop Installation Areas in excess of those for which Landlord would otherwise be responsible for the use or installation of Tenant’s Rooftop Equipment and (b) the amount of any increase in Landlord’s insurance premiums as a result of the installation of Tenant’s Rooftop Equipment.</w:t>
      </w:r>
    </w:p>
    <w:p>
      <w:pPr>
        <w:spacing w:after="0" w:line="179"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40.4. If Tenant’s Equipment (a) causes physical damage to the structural integrity of the Building or (b) interferes with any telecommunications, mechanical or other systems located at or near or servicing the Premises that were installed prior to the installation of Tenant’s Rooftop Equipment, in each case in excess of that permissible under Federal Communications Commission regulations, then Tenant shall cooperate with Landlord to determine the source of the damage or interference and promptly repair such damage and eliminate such interference, in each case at Tenant’s sole cost and expense, within ten (10) days after receipt of notice of such damage or interference (which notice may be oral;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Landlord also delivers to Tenant written notice of such damage or interference within twenty-four (24) hours after providing oral notice).</w:t>
      </w:r>
    </w:p>
    <w:p>
      <w:pPr>
        <w:spacing w:after="0" w:line="183"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40.5. Landlord reserves the right to cause Tenant to relocate Tenant’s Rooftop Equipment to comparably functional space on the roof or in the penthouse of the Building by giving Tenant prior written notice thereof. Landlord agrees to pay the reasonable costs thereof. Tenant shall arrange for the relocation of Tenant’s Rooftop Equipment within sixty (60) days after receipt of Landlord’s notification of such relocation. In the event Tenant fails to arrange for relocation within such sixty (60)-day period, Landlord shall have the right to arrange for the relocation of Tenant’s Rooftop Equipment in a manner that does not unnecessarily interrupt or interfere with Tenant’s use of the Premises for the Permitted Use.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2" w:name="page213"/>
    <w:bookmarkEnd w:id="212"/>
    <w:p>
      <w:pPr>
        <w:jc w:val="both"/>
        <w:ind w:firstLine="8"/>
        <w:spacing w:after="0" w:line="244" w:lineRule="auto"/>
        <w:tabs>
          <w:tab w:leader="none" w:pos="9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to Extend Term</w:t>
      </w:r>
      <w:r>
        <w:rPr>
          <w:rFonts w:ascii="Times New Roman" w:cs="Times New Roman" w:eastAsia="Times New Roman" w:hAnsi="Times New Roman"/>
          <w:sz w:val="22"/>
          <w:szCs w:val="22"/>
          <w:color w:val="auto"/>
        </w:rPr>
        <w:t>. Tenant shall have the option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extend the Term by five (5) years as to the entire Premises (and no less than the entire Premises) upon the following terms and conditions. Any extension of the Term pursuant to the Option shall be on all the same terms and conditions as this Lease, except as follows:</w:t>
      </w:r>
    </w:p>
    <w:p>
      <w:pPr>
        <w:spacing w:after="0" w:line="173"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1"/>
          <w:szCs w:val="21"/>
          <w:color w:val="auto"/>
        </w:rPr>
        <w:t>41.1. Base Rent at the commencement of the Option term shall equal the then-current fair market value for comparable office and laboratory space in the Princeton, New Jersey market of comparable age, quality, level of finish and proximity to amenities and public transit, and containing the systems and improvements present in the Premises as of the date that Tenant gives Landlord written notice of Tenant’s election to exercise the Option (“</w:t>
      </w:r>
      <w:r>
        <w:rPr>
          <w:rFonts w:ascii="Times New Roman" w:cs="Times New Roman" w:eastAsia="Times New Roman" w:hAnsi="Times New Roman"/>
          <w:sz w:val="21"/>
          <w:szCs w:val="21"/>
          <w:u w:val="single" w:color="auto"/>
          <w:color w:val="auto"/>
        </w:rPr>
        <w:t>FMV</w:t>
      </w:r>
      <w:r>
        <w:rPr>
          <w:rFonts w:ascii="Times New Roman" w:cs="Times New Roman" w:eastAsia="Times New Roman" w:hAnsi="Times New Roman"/>
          <w:sz w:val="21"/>
          <w:szCs w:val="21"/>
          <w:color w:val="auto"/>
        </w:rPr>
        <w:t>”), and shall be further increased on each annual anniversary of the Option term commencement date by three percent (3%). Tenant may, no more than fifteen (15) months prior to the date the Term is then scheduled to expire, request Landlord’s estimate of the FMV for the Option term. Landlord shall, within fifteen (15) days after receipt of such request, give Tenant a written proposal of such FMV. If Tenant gives written notice to exercise the Option, such notice shall specify whether Tenant accepts Landlord’s proposed estimate of FMV. If Tenant does not accept the FMV, then the parties shall endeavor to agree upon the FMV, taking into account all relevant factors, including (a) the size of the Premises, (b) the length of the Option term, (c) rent in comparable buildings in the relevant market, including concessions offered to new tenants, such as free rent, tenant improvement allowances and moving allowances, (d) Tenant’s creditworthiness and (e) the quality and location of the Premises. In the event that the parties are unable to agree upon the FMV within thirty (30) days after Tenant notifies Landlord that Tenant is exercising the Option, then either party may request that the same be determined as follows: a senior officer of a nationally recognized leasing brokerage firm with local knowledge of the Princeton, New Jersey laboratory/research and development leasing market (the “</w:t>
      </w:r>
      <w:r>
        <w:rPr>
          <w:rFonts w:ascii="Times New Roman" w:cs="Times New Roman" w:eastAsia="Times New Roman" w:hAnsi="Times New Roman"/>
          <w:sz w:val="21"/>
          <w:szCs w:val="21"/>
          <w:u w:val="single" w:color="auto"/>
          <w:color w:val="auto"/>
        </w:rPr>
        <w:t>Baseball Arbitrator</w:t>
      </w:r>
      <w:r>
        <w:rPr>
          <w:rFonts w:ascii="Times New Roman" w:cs="Times New Roman" w:eastAsia="Times New Roman" w:hAnsi="Times New Roman"/>
          <w:sz w:val="21"/>
          <w:szCs w:val="21"/>
          <w:color w:val="auto"/>
        </w:rPr>
        <w:t>”) shall be selected and paid for jointly by Landlord and Tenant. If Landlord and Tenant are unable to agree upon the Baseball Arbitrator, then the same shall be designated by the local chapter of the Judicial Arbitration and Mediation Services or any successor organization thereto (the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The Baseball Arbitrator selected by the parties or designated by JAMS shall (y) have at least ten (10) years’ experience in the leasing of laboratory/research and development space in the Princeton, New Jersey market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 (2) 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 for determination of Base Rent payable for the Option term. If, as of the commencement date of the Option term, the amount of Base Rent payable during the Option term shall not have been determined, then, pending such determination, Tenant shall pay Base Rent equal to the Base Rent payable with respect to the last year of the then-current Term. After the final determination of Base Rent payable for the Option term, the parties shall promptly execute a written amendment to this Lease specifying the amount of Base Rent to be paid during the Option term. Any failure of the parties to execute such amendment shall not affect the validity of the FMV determined pursuant to this Section.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3" w:name="page214"/>
    <w:bookmarkEnd w:id="213"/>
    <w:p>
      <w:pPr>
        <w:ind w:left="880"/>
        <w:spacing w:after="0"/>
        <w:tabs>
          <w:tab w:leader="none" w:pos="194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1"/>
          <w:szCs w:val="21"/>
          <w:color w:val="auto"/>
        </w:rPr>
        <w:t>The Option is not assignable separate and apart from this Lease except in the event of an Exempt Transfer.</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41.3. The Option is conditional upon Tenant giving Landlord written notice of its election to exercise the Option at least twelve (12) months prior to the end of the expiration of the then-current Term. Time shall be of the essence as to Tenant’s exercise of the Option. Tenant assumes full responsibility for maintaining a record of the deadlines to exercise the Option. Tenant acknowledges that it would be inequitable to require Landlord to accept any exercise of the Option after the date provided for in this Section.</w:t>
      </w:r>
    </w:p>
    <w:p>
      <w:pPr>
        <w:spacing w:after="0" w:line="177"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41.4. Notwithstanding anything contained in this Article to the contrary, Tenant shall not have the right to exercise the Option:</w:t>
      </w:r>
    </w:p>
    <w:p>
      <w:pPr>
        <w:spacing w:after="0" w:line="158" w:lineRule="exact"/>
        <w:rPr>
          <w:sz w:val="20"/>
          <w:szCs w:val="20"/>
          <w:color w:val="auto"/>
        </w:rPr>
      </w:pPr>
    </w:p>
    <w:p>
      <w:pPr>
        <w:jc w:val="both"/>
        <w:ind w:firstLine="1735"/>
        <w:spacing w:after="0" w:line="244" w:lineRule="auto"/>
        <w:tabs>
          <w:tab w:leader="none" w:pos="261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after any Default as described in </w:t>
      </w:r>
      <w:r>
        <w:rPr>
          <w:rFonts w:ascii="Times New Roman" w:cs="Times New Roman" w:eastAsia="Times New Roman" w:hAnsi="Times New Roman"/>
          <w:sz w:val="22"/>
          <w:szCs w:val="22"/>
          <w:u w:val="single" w:color="auto"/>
          <w:color w:val="auto"/>
        </w:rPr>
        <w:t>Article 30</w:t>
      </w:r>
      <w:r>
        <w:rPr>
          <w:rFonts w:ascii="Times New Roman" w:cs="Times New Roman" w:eastAsia="Times New Roman" w:hAnsi="Times New Roman"/>
          <w:sz w:val="22"/>
          <w:szCs w:val="22"/>
          <w:color w:val="auto"/>
        </w:rPr>
        <w:t xml:space="preserve"> of the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for purposes of this </w:t>
      </w:r>
      <w:r>
        <w:rPr>
          <w:rFonts w:ascii="Times New Roman" w:cs="Times New Roman" w:eastAsia="Times New Roman" w:hAnsi="Times New Roman"/>
          <w:sz w:val="22"/>
          <w:szCs w:val="22"/>
          <w:u w:val="single" w:color="auto"/>
          <w:color w:val="auto"/>
        </w:rPr>
        <w:t>Section 41.4(b)</w:t>
      </w:r>
      <w:r>
        <w:rPr>
          <w:rFonts w:ascii="Times New Roman" w:cs="Times New Roman" w:eastAsia="Times New Roman" w:hAnsi="Times New Roman"/>
          <w:sz w:val="22"/>
          <w:szCs w:val="22"/>
          <w:color w:val="auto"/>
        </w:rPr>
        <w:t>, Landlord shall not be required to provide Tenant with notice of such Default) and continuing until Tenant cures any such Default, if such Default is susceptible to being cured; or</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Tenant has defaulted in the performance of its obligations under this Lease two (2) or more times during the twelve (12)-month period immediately prior to the date that Tenant intends to exercise the Option, whether or not Tenant has cured such defaults.</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41.5. The period of time within which Tenant may exercise the Option shall not be extended or enlarged by reason of Tenant’s inability to exercise such Option because of the provisions of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41.6. All of Tenant’s rights under the provisions of the Option shall terminate and be of no further force or effect even after Tenant’s due and timely exercise of the Option if, after such exercise, but prior to the commencement date of the new term, (a) Tenant fails to pay to Landlord a monetary obligation of Tenant for a period of twenty (20) days after written notice from Landlord to Tenant, (b) Tenant fails to commence to cure a default (other than a monetary default) within thirty (30) days after the date Landlord gives notice to Tenant of such default or (c) Tenant has defaulted under this Lease two (2) or more times and a service or late charge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has become payable for any such default, whether or not Tenant has cured such defaults.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4" w:name="page215"/>
    <w:bookmarkEnd w:id="214"/>
    <w:p>
      <w:pPr>
        <w:ind w:left="88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Lease as of the date first above written.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BMR-ONE RESEARCH WAY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ectPr>
          <w:pgSz w:w="11900" w:h="16838" w:orient="portrait"/>
          <w:cols w:equalWidth="0" w:num="1">
            <w:col w:w="11260"/>
          </w:cols>
          <w:pgMar w:left="320" w:top="5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Colleen OConnor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Colleen OConnor</w:t>
      </w:r>
    </w:p>
    <w:p>
      <w:pPr>
        <w:spacing w:after="0"/>
        <w:rPr>
          <w:sz w:val="20"/>
          <w:szCs w:val="20"/>
          <w:color w:val="auto"/>
        </w:rPr>
      </w:pPr>
      <w:r>
        <w:rPr>
          <w:rFonts w:ascii="Times New Roman" w:cs="Times New Roman" w:eastAsia="Times New Roman" w:hAnsi="Times New Roman"/>
          <w:sz w:val="21"/>
          <w:szCs w:val="21"/>
          <w:color w:val="auto"/>
        </w:rPr>
        <w:t>Vice President, East Coast and U.K. Markets</w:t>
      </w:r>
    </w:p>
    <w:p>
      <w:pPr>
        <w:spacing w:after="0" w:line="211" w:lineRule="exact"/>
        <w:rPr>
          <w:sz w:val="20"/>
          <w:szCs w:val="20"/>
          <w:color w:val="auto"/>
        </w:rPr>
      </w:pPr>
    </w:p>
    <w:p>
      <w:pPr>
        <w:sectPr>
          <w:pgSz w:w="11900" w:h="16838" w:orient="portrait"/>
          <w:cols w:equalWidth="0" w:num="2">
            <w:col w:w="580" w:space="340"/>
            <w:col w:w="10340"/>
          </w:cols>
          <w:pgMar w:left="320" w:top="544" w:right="31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5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 Winston Kung</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Winston Kung</w:t>
            </w:r>
          </w:p>
        </w:tc>
      </w:t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Chief Operating Officer and Chief Financial Officer</w:t>
            </w:r>
          </w:p>
        </w:tc>
      </w:tr>
      <w:tr>
        <w:trPr>
          <w:trHeight w:val="1183"/>
        </w:trPr>
        <w:tc>
          <w:tcPr>
            <w:tcW w:w="74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ectPr>
          <w:pgSz w:w="11900" w:h="16838" w:orient="portrait"/>
          <w:cols w:equalWidth="0" w:num="1">
            <w:col w:w="9019"/>
          </w:cols>
          <w:pgMar w:left="1440" w:top="540"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PREMISES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16" w:name="page217"/>
    <w:bookmarkEnd w:id="216"/>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A-1</w:t>
      </w:r>
    </w:p>
    <w:p>
      <w:pPr>
        <w:sectPr>
          <w:pgSz w:w="11900" w:h="16838" w:orient="portrait"/>
          <w:cols w:equalWidth="0" w:num="1">
            <w:col w:w="9019"/>
          </w:cols>
          <w:pgMar w:left="1440" w:top="540"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PROPERTY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WORK LETTER</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This Work Letter (this “</w:t>
      </w:r>
      <w:r>
        <w:rPr>
          <w:rFonts w:ascii="Times New Roman" w:cs="Times New Roman" w:eastAsia="Times New Roman" w:hAnsi="Times New Roman"/>
          <w:sz w:val="21"/>
          <w:szCs w:val="21"/>
          <w:u w:val="single" w:color="auto"/>
          <w:color w:val="auto"/>
        </w:rPr>
        <w:t>Work Letter</w:t>
      </w:r>
      <w:r>
        <w:rPr>
          <w:rFonts w:ascii="Times New Roman" w:cs="Times New Roman" w:eastAsia="Times New Roman" w:hAnsi="Times New Roman"/>
          <w:sz w:val="21"/>
          <w:szCs w:val="21"/>
          <w:color w:val="auto"/>
        </w:rPr>
        <w:t>”) is made and entered into as of the ____ day of December, 2020, by and between</w:t>
      </w:r>
    </w:p>
    <w:p>
      <w:pPr>
        <w:spacing w:after="0" w:line="2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BMR-ONE RESEARCH WAY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PMV PHARMACEUTICALS,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and is attached to and made a part of that certain Lease dated as of December _____,</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2020 (as the same may be amended, amended and restated, supplemented or otherwise modified from time to time,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by and between Landlord and Tenant for the Premises located at One Research Way, Princeton, New Jersey. All capitalized terms used but not otherwise defined herein shall have the meanings given them in the Lease.</w:t>
      </w:r>
    </w:p>
    <w:p>
      <w:pPr>
        <w:spacing w:after="0" w:line="178" w:lineRule="exact"/>
        <w:rPr>
          <w:sz w:val="20"/>
          <w:szCs w:val="20"/>
          <w:color w:val="auto"/>
        </w:rPr>
      </w:pPr>
    </w:p>
    <w:p>
      <w:pPr>
        <w:ind w:left="820" w:hanging="812"/>
        <w:spacing w:after="0"/>
        <w:tabs>
          <w:tab w:leader="none" w:pos="8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Requirements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tabs>
          <w:tab w:leader="none" w:pos="18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Authorized Representatives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designates, as Landlord’s authorized representative (“</w:t>
      </w:r>
      <w:r>
        <w:rPr>
          <w:rFonts w:ascii="Times New Roman" w:cs="Times New Roman" w:eastAsia="Times New Roman" w:hAnsi="Times New Roman"/>
          <w:sz w:val="22"/>
          <w:szCs w:val="22"/>
          <w:u w:val="single" w:color="auto"/>
          <w:color w:val="auto"/>
        </w:rPr>
        <w:t>Landlord’s Authorized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(i) Joe Imparato as the person authorized to initial plans, drawings, approvals and to sign change orders pursuant to this Work Letter and (ii) an officer of Landlord as the person authorized to sign any amendments to this Work Letter or the Lease. Tenant shall not be obligated to respond to or act upon any such item until such item has been initialed or signed (as applicable) by the appropriate Landlord’s Authorized Representative. Landlord may change either Landlord’s Authorized Representative upon one (1) business day’s prior written notice to Tenant.</w:t>
      </w:r>
    </w:p>
    <w:p>
      <w:pPr>
        <w:spacing w:after="0" w:line="181"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designates Austin Barrett (“</w:t>
      </w:r>
      <w:r>
        <w:rPr>
          <w:rFonts w:ascii="Times New Roman" w:cs="Times New Roman" w:eastAsia="Times New Roman" w:hAnsi="Times New Roman"/>
          <w:sz w:val="22"/>
          <w:szCs w:val="22"/>
          <w:u w:val="single" w:color="auto"/>
          <w:color w:val="auto"/>
        </w:rPr>
        <w:t>Tenant’s Authorized Representative</w:t>
      </w:r>
      <w:r>
        <w:rPr>
          <w:rFonts w:ascii="Times New Roman" w:cs="Times New Roman" w:eastAsia="Times New Roman" w:hAnsi="Times New Roman"/>
          <w:sz w:val="22"/>
          <w:szCs w:val="22"/>
          <w:color w:val="auto"/>
        </w:rPr>
        <w:t>”) as the person authorized to initial and sign all plans, drawings, change orders and approvals pursuant to this Work Letter. Landlord shall not be obligated to respond to or act upon any such item until such item has been initialed or signed (as applicable) by Tenant’s Authorized Representative. Tenant may change Tenant’s Authorized Representative upon one (1) business day’s prior written notice to Landlord.</w:t>
      </w:r>
    </w:p>
    <w:p>
      <w:pPr>
        <w:spacing w:after="0" w:line="177"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The schedule for design and development of the Tenant Improvements, including the time periods for preparation and review of construction documents, approvals and performance, shall be in accordance with a schedule to be prepared by Tenant (the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Tenant shall prepare the Schedule so that it is a reasonable schedule for the completion of the Tenant Improvements. The Schedule shall clearly identify all activities requiring Landlord participation. As soon as the Schedule is completed, Tenant shall deliver the same to Landlord for Landlord’s approval, which approval shall not be unreasonably withheld, conditioned or delayed. Such Schedule shall be approved or disapproved by Landlord within ten (10) business days after delivery to Landlord. Landlord’s failure to respond within such ten (10) business day period shall be deemed approval by Landlord. If Landlord disapproves the Schedule, then Landlord shall notify Tenant in writing of its objections to such Schedule, and the parties shall confer and negotiate in good faith to reach agreement on the Schedule. The Schedule shall be subject to adjustment as mutually agreed upon in writing by the parties, or as provided in this Work Letter.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8" w:name="page219"/>
    <w:bookmarkEnd w:id="218"/>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Tenant’s Architects, Contractors and Consultants</w:t>
      </w:r>
      <w:r>
        <w:rPr>
          <w:rFonts w:ascii="Times New Roman" w:cs="Times New Roman" w:eastAsia="Times New Roman" w:hAnsi="Times New Roman"/>
          <w:sz w:val="22"/>
          <w:szCs w:val="22"/>
          <w:color w:val="auto"/>
        </w:rPr>
        <w:t>. The architect, engineering consultants, design team, general contractor and subcontractors responsible for the construction of the Tenant Improvements shall be selected by Tenant and approved by Landlord, which approval Landlord shall not unreasonably withhold, condition or delay, and Landlord may refuse to use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lab areas. Landlord hereby approves Vanderweil Engineers as Tenant’s engineer, and SGA as Tenant’s architect, for the Tenant Improvements. All Tenant contracts related to the Tenant Improvements shall provide that Tenant may assign such contracts and any warranties with respect to the Tenant Improvements to Landlord at any time.</w:t>
      </w:r>
    </w:p>
    <w:p>
      <w:pPr>
        <w:spacing w:after="0" w:line="183" w:lineRule="exact"/>
        <w:rPr>
          <w:sz w:val="20"/>
          <w:szCs w:val="20"/>
          <w:color w:val="auto"/>
        </w:rPr>
      </w:pPr>
    </w:p>
    <w:p>
      <w:pPr>
        <w:jc w:val="both"/>
        <w:ind w:firstLine="8"/>
        <w:spacing w:after="0" w:line="232" w:lineRule="auto"/>
        <w:tabs>
          <w:tab w:leader="none" w:pos="81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Improvements</w:t>
      </w:r>
      <w:r>
        <w:rPr>
          <w:rFonts w:ascii="Times New Roman" w:cs="Times New Roman" w:eastAsia="Times New Roman" w:hAnsi="Times New Roman"/>
          <w:sz w:val="22"/>
          <w:szCs w:val="22"/>
          <w:color w:val="auto"/>
        </w:rPr>
        <w:t>. All Tenant Improvements shall be performed by Tenant’s contractor, at Tenant’s sole cost and expense (subject to Landlord’s obligations with respect to any portion of the TI Allowance and in accordance with the Approved Plans (as defined below), the Lease and this Work Letter. To the extent that the total projected cost of the Tenant Improvements (as projected by Landlord) exceeds the TI Allowance (such excess, the “</w:t>
      </w:r>
      <w:r>
        <w:rPr>
          <w:rFonts w:ascii="Times New Roman" w:cs="Times New Roman" w:eastAsia="Times New Roman" w:hAnsi="Times New Roman"/>
          <w:sz w:val="22"/>
          <w:szCs w:val="22"/>
          <w:u w:val="single" w:color="auto"/>
          <w:color w:val="auto"/>
        </w:rPr>
        <w:t>Excess TI Costs</w:t>
      </w:r>
      <w:r>
        <w:rPr>
          <w:rFonts w:ascii="Times New Roman" w:cs="Times New Roman" w:eastAsia="Times New Roman" w:hAnsi="Times New Roman"/>
          <w:sz w:val="22"/>
          <w:szCs w:val="22"/>
          <w:color w:val="auto"/>
        </w:rPr>
        <w:t xml:space="preserve">”), Tenant shall pay the costs of the Tenant Improvements as such costs become due, and Landlord shall reimburse Tenant (or pay directly to Tenant’s contractor) on a pari passu basis, in the proportion of Excess TI Costs payable by Tenant to the TI Allowance payable by Landlord. If the cost of the Tenant Improvements (as projected by Landlord) increases over Landlord’s initial projection, Tenant shall promptly notify Landlord, and Landlord’s payment of the TI Allowance shall be on an adjusted pari passu basis based on the additional Excess TI Costs. All material and equipment furnished by Tenant or its contractors as the Tenant Improvements shall be new or “like new;” the Tenant Improvements shall be performed in a first-class, workmanlike manner; and the quality of the Tenant Improvements shall be of a nature and character not less than the Building Standard, as set forth in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Tenant shall take, and shall require its contractors to take, commercially reasonable steps to protect the Premises during the performance of any Tenant Improvements, including covering or temporarily removing any window coverings so as to guard against dust, debris or damage. All Tenant Improvements shall be performed in accordance with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of the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in the Lease or this Work Letter to the contrary, in the event of a conflict between this Work Letter and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of the Lease, the terms of this Work Letter shall govern.</w:t>
      </w:r>
    </w:p>
    <w:p>
      <w:pPr>
        <w:spacing w:after="0" w:line="191"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Work Plans</w:t>
      </w:r>
      <w:r>
        <w:rPr>
          <w:rFonts w:ascii="Times New Roman" w:cs="Times New Roman" w:eastAsia="Times New Roman" w:hAnsi="Times New Roman"/>
          <w:sz w:val="22"/>
          <w:szCs w:val="22"/>
          <w:color w:val="auto"/>
        </w:rPr>
        <w:t>. Tenant shall prepare and submit to Landlord for approval schematics covering the Tenant Improvements prepared in conformity with the applicable provisions of this Work Letter (the “</w:t>
      </w:r>
      <w:r>
        <w:rPr>
          <w:rFonts w:ascii="Times New Roman" w:cs="Times New Roman" w:eastAsia="Times New Roman" w:hAnsi="Times New Roman"/>
          <w:sz w:val="22"/>
          <w:szCs w:val="22"/>
          <w:u w:val="single" w:color="auto"/>
          <w:color w:val="auto"/>
        </w:rPr>
        <w:t>Draft Schematic Plans</w:t>
      </w:r>
      <w:r>
        <w:rPr>
          <w:rFonts w:ascii="Times New Roman" w:cs="Times New Roman" w:eastAsia="Times New Roman" w:hAnsi="Times New Roman"/>
          <w:sz w:val="22"/>
          <w:szCs w:val="22"/>
          <w:color w:val="auto"/>
        </w:rPr>
        <w:t>”). Tenant acknowledges that any vivarium to be constructed as part of the Tenant Improvements shall not exceed 5,000 rentable square feet unless otherwise approved by Landlord. Any such vivarium shall be in a location approved by Landlord in its sole and reasonable discretion, and shall use disposable cages. The Draft Schematic Plans shall contain sufficient information and detail to accurately describe the proposed design to Landlord and such other information as Landlord may reasonably request. Landlord shall notify Tenant in writing within ten (10) business days after receipt of the Draft Schematic Plans whether Landlord approves or objects to the Draft Schematic Plans and of the manner, if any, in which the Draft Schematic Plans are unacceptable. Landlord’s failure to respond within such ten (10) business day period shall be deemed approval by Landlord. If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9" w:name="page220"/>
    <w:bookmarkEnd w:id="219"/>
    <w:p>
      <w:pPr>
        <w:jc w:val="both"/>
        <w:spacing w:after="0" w:line="235" w:lineRule="auto"/>
        <w:rPr>
          <w:sz w:val="20"/>
          <w:szCs w:val="20"/>
          <w:color w:val="auto"/>
        </w:rPr>
      </w:pPr>
      <w:r>
        <w:rPr>
          <w:rFonts w:ascii="Times New Roman" w:cs="Times New Roman" w:eastAsia="Times New Roman" w:hAnsi="Times New Roman"/>
          <w:sz w:val="22"/>
          <w:szCs w:val="22"/>
          <w:color w:val="auto"/>
        </w:rPr>
        <w:t>Landlord reasonably objects to the Draft Schematic Plans, then Tenant shall revise the Draft Schematic Plans and cause Landlord’s objections to be remedied in the revised Draft Schematic Plans. Tenant shall then resubmit the revised Draft Schematic Plans to Landlord for approval, such approval not to be unreasonably withheld, conditioned or delayed. Landlord’s approval of or objection to revised Draft Schematic Plans and Tenant’s correction of the same shall be in accordance with this Section until Landlord has approved the Draft Schematic Plans in writing or been deemed to have approved them. The iteration of the Draft Schematic Plans that is approved or deemed approved by Landlord without objection shall be referred to herein as the “</w:t>
      </w:r>
      <w:r>
        <w:rPr>
          <w:rFonts w:ascii="Times New Roman" w:cs="Times New Roman" w:eastAsia="Times New Roman" w:hAnsi="Times New Roman"/>
          <w:sz w:val="22"/>
          <w:szCs w:val="22"/>
          <w:u w:val="single" w:color="auto"/>
          <w:color w:val="auto"/>
        </w:rPr>
        <w:t>Approved Schematic Plans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Construction Plans</w:t>
      </w:r>
      <w:r>
        <w:rPr>
          <w:rFonts w:ascii="Times New Roman" w:cs="Times New Roman" w:eastAsia="Times New Roman" w:hAnsi="Times New Roman"/>
          <w:sz w:val="22"/>
          <w:szCs w:val="22"/>
          <w:color w:val="auto"/>
        </w:rPr>
        <w:t>. Tenant shall prepare final plans and specifications for the Tenant Improvements that (a) are consistent with and are logical evolutions of the Approved Schematic Plans and (b) incorporate any other Tenant-requested (and Landlord-approved) Changes (as defined below). As soon as such final plans and specifications (“</w:t>
      </w:r>
      <w:r>
        <w:rPr>
          <w:rFonts w:ascii="Times New Roman" w:cs="Times New Roman" w:eastAsia="Times New Roman" w:hAnsi="Times New Roman"/>
          <w:sz w:val="22"/>
          <w:szCs w:val="22"/>
          <w:u w:val="single" w:color="auto"/>
          <w:color w:val="auto"/>
        </w:rPr>
        <w:t>Construction Plans</w:t>
      </w:r>
      <w:r>
        <w:rPr>
          <w:rFonts w:ascii="Times New Roman" w:cs="Times New Roman" w:eastAsia="Times New Roman" w:hAnsi="Times New Roman"/>
          <w:sz w:val="22"/>
          <w:szCs w:val="22"/>
          <w:color w:val="auto"/>
        </w:rPr>
        <w:t>”) are completed, Tenant shall deliver the same to Landlord for Landlord’s approval, which approval shall not be unreasonably withheld, conditioned or delayed. All such Construction Plans shall be submitted by Tenant to Landlord in electronic .pdf, CADD and full-size hard copy formats, and shall be approved or disapproved by Landlord within ten (10) business days after delivery to Landlord. Landlord’s failure to respond within such ten (10) business day period shall be deemed approval by Landlord. If the Construction Plans are disapproved by Landlord, then Landlord shall notify Tenant in writing of its objections to such Construction Plans, and the parties shall confer and negotiate in good faith to reach agreement on the Construction Plans. Promptly after the Construction Plans are approved by Landlord and Tenant, two (2) copies of such Construction Plans shall be initialed and dated by Landlord and Tenant, and Tenant shall promptly submit such Construction Plans to all appropriate Governmental Authorities for approval. The Construction Plans so approved, and all change orders specifically permitted by this Work Letter, are referred to herein as the “</w:t>
      </w:r>
      <w:r>
        <w:rPr>
          <w:rFonts w:ascii="Times New Roman" w:cs="Times New Roman" w:eastAsia="Times New Roman" w:hAnsi="Times New Roman"/>
          <w:sz w:val="22"/>
          <w:szCs w:val="22"/>
          <w:u w:val="single" w:color="auto"/>
          <w:color w:val="auto"/>
        </w:rPr>
        <w:t>Approved Plans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Changes to the Tenant Improvements</w:t>
      </w:r>
      <w:r>
        <w:rPr>
          <w:rFonts w:ascii="Times New Roman" w:cs="Times New Roman" w:eastAsia="Times New Roman" w:hAnsi="Times New Roman"/>
          <w:sz w:val="22"/>
          <w:szCs w:val="22"/>
          <w:color w:val="auto"/>
        </w:rPr>
        <w:t>. Any changes to the Approved Plans (each, a “</w:t>
      </w:r>
      <w:r>
        <w:rPr>
          <w:rFonts w:ascii="Times New Roman" w:cs="Times New Roman" w:eastAsia="Times New Roman" w:hAnsi="Times New Roman"/>
          <w:sz w:val="22"/>
          <w:szCs w:val="22"/>
          <w:u w:val="single" w:color="auto"/>
          <w:color w:val="auto"/>
        </w:rPr>
        <w:t>Change</w:t>
      </w:r>
      <w:r>
        <w:rPr>
          <w:rFonts w:ascii="Times New Roman" w:cs="Times New Roman" w:eastAsia="Times New Roman" w:hAnsi="Times New Roman"/>
          <w:sz w:val="22"/>
          <w:szCs w:val="22"/>
          <w:color w:val="auto"/>
        </w:rPr>
        <w:t xml:space="preserve">”) shall be requested and instituted in accordance with the provisions of this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and shall be subject to the written approval of the non-requesting party in accordance with this Work Letter.</w:t>
      </w:r>
    </w:p>
    <w:p>
      <w:pPr>
        <w:spacing w:after="0" w:line="173" w:lineRule="exact"/>
        <w:rPr>
          <w:sz w:val="20"/>
          <w:szCs w:val="20"/>
          <w:color w:val="auto"/>
        </w:rPr>
      </w:pPr>
    </w:p>
    <w:p>
      <w:pPr>
        <w:jc w:val="both"/>
        <w:ind w:firstLine="1735"/>
        <w:spacing w:after="0" w:line="248" w:lineRule="auto"/>
        <w:tabs>
          <w:tab w:leader="none" w:pos="2615"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Request</w:t>
      </w:r>
      <w:r>
        <w:rPr>
          <w:rFonts w:ascii="Times New Roman" w:cs="Times New Roman" w:eastAsia="Times New Roman" w:hAnsi="Times New Roman"/>
          <w:sz w:val="21"/>
          <w:szCs w:val="21"/>
          <w:color w:val="auto"/>
        </w:rPr>
        <w:t>. Either Landlord or Tenant may request Changes after Landlord approves the Approved Plans by notifying the other party thereof in writing in substantially the same form as the AIA standard change order form (a “</w:t>
      </w:r>
      <w:r>
        <w:rPr>
          <w:rFonts w:ascii="Times New Roman" w:cs="Times New Roman" w:eastAsia="Times New Roman" w:hAnsi="Times New Roman"/>
          <w:sz w:val="21"/>
          <w:szCs w:val="21"/>
          <w:u w:val="single" w:color="auto"/>
          <w:color w:val="auto"/>
        </w:rPr>
        <w:t>Change Request</w:t>
      </w:r>
      <w:r>
        <w:rPr>
          <w:rFonts w:ascii="Times New Roman" w:cs="Times New Roman" w:eastAsia="Times New Roman" w:hAnsi="Times New Roman"/>
          <w:sz w:val="21"/>
          <w:szCs w:val="21"/>
          <w:color w:val="auto"/>
        </w:rPr>
        <w:t>”), which Change Request shall detail the nature and extent of any requested Changes, including (a) the Change, (b) the party required to perform the Change and (c) any modification of the Approved Plans and the Schedule, as applicable, necessitated by the Change. If the nature of a Change requires revisions to the Approved Plans, then the requesting party shall be solely responsible for the cost and expense of such revisions and any increases in the cost of the Tenant Improvements as a result of such Change. Change Requests shall be signed by the requesting party’s Authorized Representative.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0" w:name="page221"/>
    <w:bookmarkEnd w:id="220"/>
    <w:p>
      <w:pPr>
        <w:jc w:val="both"/>
        <w:ind w:firstLine="1735"/>
        <w:spacing w:after="0" w:line="241" w:lineRule="auto"/>
        <w:tabs>
          <w:tab w:leader="none" w:pos="2627"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of Changes</w:t>
      </w:r>
      <w:r>
        <w:rPr>
          <w:rFonts w:ascii="Times New Roman" w:cs="Times New Roman" w:eastAsia="Times New Roman" w:hAnsi="Times New Roman"/>
          <w:sz w:val="22"/>
          <w:szCs w:val="22"/>
          <w:color w:val="auto"/>
        </w:rPr>
        <w:t>. All Change Requests shall be subject to the other party’s prior written approval, which approval shall not be unreasonably withheld, conditioned or delayed. The non-requesting party shall have five</w:t>
      </w:r>
    </w:p>
    <w:p>
      <w:pPr>
        <w:spacing w:after="0" w:line="1" w:lineRule="exact"/>
        <w:rPr>
          <w:rFonts w:ascii="Times New Roman" w:cs="Times New Roman" w:eastAsia="Times New Roman" w:hAnsi="Times New Roman"/>
          <w:sz w:val="22"/>
          <w:szCs w:val="22"/>
          <w:color w:val="auto"/>
        </w:rPr>
      </w:pPr>
    </w:p>
    <w:p>
      <w:pPr>
        <w:jc w:val="both"/>
        <w:ind w:firstLine="8"/>
        <w:spacing w:after="0" w:line="235" w:lineRule="auto"/>
        <w:tabs>
          <w:tab w:leader="none" w:pos="30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receipt of a Change Request to notify the requesting party in writing of the non-requesting party’s decision either to approve or object to the Change Request. The non-requesting party’s failure to respond within such five (5) business day period shall be deemed approval by the non-requesting party.</w:t>
      </w:r>
    </w:p>
    <w:p>
      <w:pPr>
        <w:spacing w:after="0" w:line="178"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Preparation of Estimates</w:t>
      </w:r>
      <w:r>
        <w:rPr>
          <w:rFonts w:ascii="Times New Roman" w:cs="Times New Roman" w:eastAsia="Times New Roman" w:hAnsi="Times New Roman"/>
          <w:sz w:val="22"/>
          <w:szCs w:val="22"/>
          <w:color w:val="auto"/>
        </w:rPr>
        <w:t>. Tenant shall, before proceeding with any Change, using its best efforts, prepare as soon as is reasonably practicable (but in no event more than seven (7) days after delivering a Change Request to Landlord or receipt of a Change Request) an estimate of the increased costs or savings that would result from such Change, as well as an estimate of such Change’s effects on the Schedule. Landlord shall have seven (7) days after receipt of such information from Tenant to (a) in the case of a Tenant-initiated Change Request, approve or reject such Change Request in writing, or (b) in the case of a Landlord-initiated Change Request, notify Tenant in writing of Landlord’s decision either to proceed with or abandon the Landlord-initiated Change Request.</w:t>
      </w:r>
    </w:p>
    <w:p>
      <w:pPr>
        <w:spacing w:after="0" w:line="18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Quality Control Program; Coordination</w:t>
      </w:r>
      <w:r>
        <w:rPr>
          <w:rFonts w:ascii="Times New Roman" w:cs="Times New Roman" w:eastAsia="Times New Roman" w:hAnsi="Times New Roman"/>
          <w:sz w:val="22"/>
          <w:szCs w:val="22"/>
          <w:color w:val="auto"/>
        </w:rPr>
        <w:t>. Tenant shall provide Landlord with information regarding the following (together, the “</w:t>
      </w:r>
      <w:r>
        <w:rPr>
          <w:rFonts w:ascii="Times New Roman" w:cs="Times New Roman" w:eastAsia="Times New Roman" w:hAnsi="Times New Roman"/>
          <w:sz w:val="22"/>
          <w:szCs w:val="22"/>
          <w:u w:val="single" w:color="auto"/>
          <w:color w:val="auto"/>
        </w:rPr>
        <w:t>QCP</w:t>
      </w:r>
      <w:r>
        <w:rPr>
          <w:rFonts w:ascii="Times New Roman" w:cs="Times New Roman" w:eastAsia="Times New Roman" w:hAnsi="Times New Roman"/>
          <w:sz w:val="22"/>
          <w:szCs w:val="22"/>
          <w:color w:val="auto"/>
        </w:rPr>
        <w:t>”): (a) Tenant’s general contractor’s quality control program and (b) evidence of subsequent monitoring and action plans. The QCP shall be subject to Landlord’s reasonable review and approval and shall specifically address the Tenant Improvements. Tenant shall ensure that the QCP is regularly implemented on a scheduled basis and shall provide Landlord with reasonable prior notice and access to attend all inspections and meetings between Tenant and its general contractor. At the conclusion of the Tenant Improvements, Tenant shall deliver the quality control log to Landlord, which shall include all records of quality control meetings and testing and of inspections held in the field, including inspections relating to concrete, steel roofing, piping pressure testing and system commissioning.</w:t>
      </w:r>
    </w:p>
    <w:p>
      <w:pPr>
        <w:spacing w:after="0" w:line="178" w:lineRule="exact"/>
        <w:rPr>
          <w:sz w:val="20"/>
          <w:szCs w:val="20"/>
          <w:color w:val="auto"/>
        </w:rPr>
      </w:pPr>
    </w:p>
    <w:p>
      <w:pPr>
        <w:jc w:val="both"/>
        <w:ind w:firstLine="8"/>
        <w:spacing w:after="0" w:line="244" w:lineRule="auto"/>
        <w:tabs>
          <w:tab w:leader="none" w:pos="81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Completion of Tenant Improvements</w:t>
      </w:r>
      <w:r>
        <w:rPr>
          <w:rFonts w:ascii="Times New Roman" w:cs="Times New Roman" w:eastAsia="Times New Roman" w:hAnsi="Times New Roman"/>
          <w:sz w:val="21"/>
          <w:szCs w:val="21"/>
          <w:color w:val="auto"/>
        </w:rPr>
        <w:t>. Tenant, at its sole cost and expense (except for the TI Allowance), shall perform and complete the Tenant Improvements in all respects (a) in substantial conformance with the Approved Plans, (b) otherwise in compliance with provisions of the Lease and this Work Letter and (c) in accordance with Applicable Laws, the requirements of Tenant’s insurance carriers, the requirements of Landlord’s insurance carriers (to the extent Landlord provides its insurance carriers’ requirements to Tenant) and the board of fire underwriters having jurisdiction over the Premises. The Tenant Improvements shall be deemed completed at such time as Tenant shall furnish to Landlord (t) evidence satisfactory to Landlord that (i) all Tenant Improvements have been completed and paid for in full (which shall be evidenced by the architect’s certificate of completion and the general contractor’s and each subcontractor’s and material supplier’s final unconditional waivers and releases of liens, each in a form acceptable to Landlord and complying with Applicable Laws, and a Certificate of Substantial Completion in the form of the American Institute of Architects document G704, executed by the project architect and the general contractor, together with a statutory notice of substantial completion from the general contractor), (ii) all Tenant Improvements have been accepted by Landlord, (iii) any and all liens related to the Tenant Improvements have either been discharged of record (by payment, bond, order of a court of competent jurisdiction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1" w:name="page222"/>
    <w:bookmarkEnd w:id="221"/>
    <w:p>
      <w:pPr>
        <w:jc w:val="both"/>
        <w:spacing w:after="0" w:line="233" w:lineRule="auto"/>
        <w:rPr>
          <w:sz w:val="20"/>
          <w:szCs w:val="20"/>
          <w:color w:val="auto"/>
        </w:rPr>
      </w:pPr>
      <w:r>
        <w:rPr>
          <w:rFonts w:ascii="Times New Roman" w:cs="Times New Roman" w:eastAsia="Times New Roman" w:hAnsi="Times New Roman"/>
          <w:sz w:val="22"/>
          <w:szCs w:val="22"/>
          <w:color w:val="auto"/>
        </w:rPr>
        <w:t>or waived by the party filing such lien and (iv) no security interests relating to the Tenant Improvements are outstanding, (u) all certifications and approvals with respect to the Tenant Improvements that may be required from any Governmental Authority and any board of fire underwriters or similar body for the use and occupancy of the Premises (including a certificate of occupancy (or its substantial equivalent) for the Premises for the Permitted Use), (v) certificates of insurance required by the Lease to be purchased and maintained by Tenant, (w) an affidavit from Tenant’s architect certifying that all work performed in, on or about the Premises is in accordance with the Approved Plans, (x) complete “as built” drawing print sets, project specifications and shop drawings and electronic CADD files on disc (showing the Tenant Improvements as an overlay on the Building “as built” plans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Landlord provides the Building “as-built” plans provided to Tenant) of all contract documents for work performed by their architect and engineers in relation to the Tenant Improvements, (y) a commissioning report prepared by a licensed, qualified commissioning agent hired by Tenant and approved by Landlord for all new or affected mechanical, electrical and plumbing systems (which report Landlord may hire a licensed, qualified commissioning agent to peer review, and whose reasonable recommendations Tenant’s commissioning agent shall perform and incorporate into a revised report) and (z) such other “close out” materials as Landlord reasonably requests consistent with Landlord’s own requirements for its contractors, such as copies of manufacturers’ warranties, operation and maintenance manuals and the like.</w:t>
      </w:r>
    </w:p>
    <w:p>
      <w:pPr>
        <w:spacing w:after="0" w:line="180" w:lineRule="exact"/>
        <w:rPr>
          <w:sz w:val="20"/>
          <w:szCs w:val="20"/>
          <w:color w:val="auto"/>
        </w:rPr>
      </w:pPr>
    </w:p>
    <w:p>
      <w:pPr>
        <w:ind w:left="820" w:hanging="812"/>
        <w:spacing w:after="0"/>
        <w:tabs>
          <w:tab w:leader="none" w:pos="8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Property Insurance</w:t>
      </w:r>
      <w:r>
        <w:rPr>
          <w:rFonts w:ascii="Times New Roman" w:cs="Times New Roman" w:eastAsia="Times New Roman" w:hAnsi="Times New Roman"/>
          <w:sz w:val="22"/>
          <w:szCs w:val="22"/>
          <w:color w:val="auto"/>
        </w:rPr>
        <w:t xml:space="preserve">. At all times during the period beginning with commencement of construction of the Tenant Improvements and ending with final completion of the Tenant Improvements, Tenant shall maintain, or cause to be maintained (in addition to the insurance required of Tenant pursuant to the Lease), property insurance insuring Landlord and the Landlord Parties, as their interests may appear. Such policy shall, on a completed replacement cost basis for the full insurable value at all times, insure against loss or damage by fire, vandalism and malicious mischief and other such risks as are customarily covered by the so-called “broad form extended coverage endorsement” upon all Tenant Improvements and the general contractor’s and any subcontractors’ machinery, tools and equipment, all while each forms a part of, or is contained in, the Tenant Improvements or any temporary structures on the Premises, or is adjacent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insurance coverage with respect to the general contractor’s and any subcontractors’ machinery, tools and equipment shall be carried on a primary basis by such general contractor or the applicable subcontractor(s). Tenant agrees to pay any deductible, and Landlord is not responsible for any deductible, for a claim under such insurance.</w:t>
      </w:r>
    </w:p>
    <w:p>
      <w:pPr>
        <w:spacing w:after="0" w:line="187"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Workers’ Compensation Insurance</w:t>
      </w:r>
      <w:r>
        <w:rPr>
          <w:rFonts w:ascii="Times New Roman" w:cs="Times New Roman" w:eastAsia="Times New Roman" w:hAnsi="Times New Roman"/>
          <w:sz w:val="22"/>
          <w:szCs w:val="22"/>
          <w:color w:val="auto"/>
        </w:rPr>
        <w:t>. At all times during the period of construction of the Tenant Improvements, Tenant shall, or shall cause its contractors or subcontractors to, maintain statutory workers’ compensation insurance as required by Applicable Laws.</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Waivers of Subrogation</w:t>
      </w:r>
      <w:r>
        <w:rPr>
          <w:rFonts w:ascii="Times New Roman" w:cs="Times New Roman" w:eastAsia="Times New Roman" w:hAnsi="Times New Roman"/>
          <w:sz w:val="22"/>
          <w:szCs w:val="22"/>
          <w:color w:val="auto"/>
        </w:rPr>
        <w:t>. Any insurance provided pursuant to this Article shall waive subrogation against the Landlord Parties and Tenant shall hold harmless and indemnify the Landlord Parties for any loss or expense incurred as a result of a failure to obtain such waivers of subrogation from insurers.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2" w:name="page223"/>
    <w:bookmarkEnd w:id="222"/>
    <w:p>
      <w:pPr>
        <w:jc w:val="both"/>
        <w:ind w:firstLine="8"/>
        <w:spacing w:after="0" w:line="234" w:lineRule="auto"/>
        <w:tabs>
          <w:tab w:leader="none" w:pos="81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xml:space="preserve">. Tenant assumes sole responsibility and liability for any and all injuries or the death of any persons, including Tenant’s contractors and subcontractors and their respective employees, agents and invitees, and for any and all damages to property arising from any act or omission on the part of Tenant, Tenant’s contractors or subcontractors, or their respective employees, agents and invitees in the prosecution of the Tenant Improvements. Tenant agrees to Indemnify the Landlord Indemnitees from and against all Claims due to, because of or arising from any and all such injuries, death or damage, whether real or alleged, and Tenant and Tenant’s contractors and subcontractors shall assume and defend at their sole cost and expense all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contained in this Work Letter shall be deemed to Indemnify Landlord from or against liability to the extent arising directly from Landlord’s negligence or willful misconduct. Any deficiency in design or construction of the Tenant Improvements shall be solely the responsibility of Tenant, notwithstanding the fact that Landlord may have approved of the same in writing.</w:t>
      </w:r>
    </w:p>
    <w:p>
      <w:pPr>
        <w:spacing w:after="0" w:line="179"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 Allowance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Application of TI Allowance</w:t>
      </w:r>
      <w:r>
        <w:rPr>
          <w:rFonts w:ascii="Times New Roman" w:cs="Times New Roman" w:eastAsia="Times New Roman" w:hAnsi="Times New Roman"/>
          <w:sz w:val="22"/>
          <w:szCs w:val="22"/>
          <w:color w:val="auto"/>
        </w:rPr>
        <w:t xml:space="preserve">. Landlord shall contribute the TI Allowance toward the costs and expenses incurred in connection with the performance of the Tenant Improvements, in accordance with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of the Lease. If the entire TI Allowance is not applied toward or reserved for the costs of the Tenant Improvements, then Tenant shall not be entitled to a credit of such unused portion of the TI Allowance. If the entire Excess TI Costs advanced by Tenant to Landlord are not applied toward the costs of the Tenant Improvements, then Landlord shall promptly return such excess to Tenant following completion of the Tenant Improvements. Tenant may apply the TI Allowance for the payment of construction and other costs in accordance with the terms and provisions of the Lease.</w:t>
      </w:r>
    </w:p>
    <w:p>
      <w:pPr>
        <w:spacing w:after="0" w:line="18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Approval of Budget for the Tenant Improvements</w:t>
      </w:r>
      <w:r>
        <w:rPr>
          <w:rFonts w:ascii="Times New Roman" w:cs="Times New Roman" w:eastAsia="Times New Roman" w:hAnsi="Times New Roman"/>
          <w:sz w:val="22"/>
          <w:szCs w:val="22"/>
          <w:color w:val="auto"/>
        </w:rPr>
        <w:t>. Notwithstanding anything to the contrary set forth elsewhere in this Work Letter or the Lease, Landlord shall not have any obligation to expend any portion of the TI Allowance until Landlord and Tenant shall have approved in writing the budget for the Tenant Improvements (the “</w:t>
      </w:r>
      <w:r>
        <w:rPr>
          <w:rFonts w:ascii="Times New Roman" w:cs="Times New Roman" w:eastAsia="Times New Roman" w:hAnsi="Times New Roman"/>
          <w:sz w:val="22"/>
          <w:szCs w:val="22"/>
          <w:u w:val="single" w:color="auto"/>
          <w:color w:val="auto"/>
        </w:rPr>
        <w:t>Approved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Budget</w:t>
      </w:r>
      <w:r>
        <w:rPr>
          <w:rFonts w:ascii="Times New Roman" w:cs="Times New Roman" w:eastAsia="Times New Roman" w:hAnsi="Times New Roman"/>
          <w:sz w:val="22"/>
          <w:szCs w:val="22"/>
          <w:color w:val="auto"/>
        </w:rPr>
        <w:t>”). Prior to Landlord’s approval of the Approved Budget, Tenant shall pay all of the costs and expenses incurred in connection with the Tenant Improvements as they become due. Landlord shall not be obligated to reimburse Tenant for costs or expenses relating to the Tenant Improvements that exceed the amount of the TI Allowance. Landlord shall not unreasonably withhold, condition or delay its approval of any budget for Tenant Improvements that is proposed by Tenant.</w:t>
      </w:r>
    </w:p>
    <w:p>
      <w:pPr>
        <w:spacing w:after="0" w:line="18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Fund Requests</w:t>
      </w:r>
      <w:r>
        <w:rPr>
          <w:rFonts w:ascii="Times New Roman" w:cs="Times New Roman" w:eastAsia="Times New Roman" w:hAnsi="Times New Roman"/>
          <w:sz w:val="22"/>
          <w:szCs w:val="22"/>
          <w:color w:val="auto"/>
        </w:rPr>
        <w:t>. Upon submission by Tenant to Landlord as of or prior to the TI Deadline of (a) a statement (a “</w:t>
      </w:r>
      <w:r>
        <w:rPr>
          <w:rFonts w:ascii="Times New Roman" w:cs="Times New Roman" w:eastAsia="Times New Roman" w:hAnsi="Times New Roman"/>
          <w:sz w:val="22"/>
          <w:szCs w:val="22"/>
          <w:u w:val="single" w:color="auto"/>
          <w:color w:val="auto"/>
        </w:rPr>
        <w:t>Fund Request</w:t>
      </w:r>
      <w:r>
        <w:rPr>
          <w:rFonts w:ascii="Times New Roman" w:cs="Times New Roman" w:eastAsia="Times New Roman" w:hAnsi="Times New Roman"/>
          <w:sz w:val="22"/>
          <w:szCs w:val="22"/>
          <w:color w:val="auto"/>
        </w:rPr>
        <w:t>”) setting forth the total amount of the TI Allowance requested, (b) a summary of the Tenant Improvements performed using AIA standard form Application for Payment (G 702) executed by the general contractor and by the architect, (c) invoices from the general contractor, the architect, and any subcontractors, material suppliers and other parties requesting payment with respect to the amount of the TI Allowance then being requested, and (d) unconditional lien releases from the general contractor and each subcontractor and material supplier with respect to previous payments made by either Landlord or Tenant for the Tenant Improvements in a form acceptable to Landlord and complying with Applicable Laws each in a form acceptable to Landlord and complying with Applicable Laws, then Landlord shall,</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3" w:name="page224"/>
    <w:bookmarkEnd w:id="22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within thirty (30) days following receipt by Landlord of a Fund Request and the accompanying materials required by this Section, pay to (as elected by Landlord) the applicable contractors, subcontractors and material suppliers or Tenant (for reimbursement for payments made by Tenant to such contractors, subcontractors or material suppliers either prior to Landlord’s approval of the Approved TI Budget or as a result of Tenant’s decision to pay for the Tenant Improvements itself and later seek reimbursement from Landlord in the form of one lump sum payment in accordance with the Lease and this Work Letter), the amount of Tenant Improvement costs set forth in such Fund Request or Landlord’s pari passu share thereof if Excess TI Costs exist based on the Approved Budget;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Landlord shall not be obligated to make any payments under this Section until the budget for the Tenant Improvements is approved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any Fund Request under this Section shall be submitted as of or prior to the TI Deadline and shall be subject to the payment limits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of the Lease. Notwithstanding anything in this Section to the contrary, Tenant shall not submit a Fund Request after the TI Deadline or more often than every thirty (30) days. Any additional Fund Requests submitted by Tenant after the TI Deadline or more often than every thirty (30) days shall be void and of no force or effect.</w:t>
      </w:r>
    </w:p>
    <w:p>
      <w:pPr>
        <w:spacing w:after="0" w:line="185"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Accrual Information</w:t>
      </w:r>
      <w:r>
        <w:rPr>
          <w:rFonts w:ascii="Times New Roman" w:cs="Times New Roman" w:eastAsia="Times New Roman" w:hAnsi="Times New Roman"/>
          <w:sz w:val="22"/>
          <w:szCs w:val="22"/>
          <w:color w:val="auto"/>
        </w:rPr>
        <w:t xml:space="preserve">. In addition to the other requirements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Tenant shall, no later than the second (2</w:t>
      </w:r>
      <w:r>
        <w:rPr>
          <w:rFonts w:ascii="Times New Roman" w:cs="Times New Roman" w:eastAsia="Times New Roman" w:hAnsi="Times New Roman"/>
          <w:sz w:val="18"/>
          <w:szCs w:val="18"/>
          <w:color w:val="auto"/>
        </w:rPr>
        <w:t>nd</w:t>
      </w:r>
      <w:r>
        <w:rPr>
          <w:rFonts w:ascii="Times New Roman" w:cs="Times New Roman" w:eastAsia="Times New Roman" w:hAnsi="Times New Roman"/>
          <w:sz w:val="22"/>
          <w:szCs w:val="22"/>
          <w:color w:val="auto"/>
        </w:rPr>
        <w:t>) business day of each month until the Tenant Improvements are complete, provide Landlord with an estimate of (a) the percentage of design and other soft cost work that has been completed, (b) design and other soft costs spent through the end of the previous month, both from commencement of the Tenant Improvements and solely for the previous month, (c) the percentage of construction and other hard cost work that has been completed, (d) construction and other hard costs spent through the end of the previous month, both from commencement of the Tenant Improvements and solely for the previous month, and (e) the date of Substantial Completion of the Tenant Improvements.</w:t>
      </w:r>
    </w:p>
    <w:p>
      <w:pPr>
        <w:spacing w:after="0" w:line="183" w:lineRule="exact"/>
        <w:rPr>
          <w:sz w:val="20"/>
          <w:szCs w:val="20"/>
          <w:color w:val="auto"/>
        </w:rPr>
      </w:pPr>
    </w:p>
    <w:p>
      <w:pPr>
        <w:ind w:left="820" w:hanging="812"/>
        <w:spacing w:after="0"/>
        <w:tabs>
          <w:tab w:leader="none" w:pos="8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Incorporation of Lease Provisions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39.6</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39.19</w:t>
      </w:r>
      <w:r>
        <w:rPr>
          <w:rFonts w:ascii="Times New Roman" w:cs="Times New Roman" w:eastAsia="Times New Roman" w:hAnsi="Times New Roman"/>
          <w:sz w:val="22"/>
          <w:szCs w:val="22"/>
          <w:color w:val="auto"/>
        </w:rPr>
        <w:t xml:space="preserve"> of the Lease are incorporated into this Work Letter by reference, and shall apply to this Work Letter in the same way that they apply to the Lease.</w:t>
      </w:r>
    </w:p>
    <w:p>
      <w:pPr>
        <w:spacing w:after="0" w:line="158"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Except as otherwise set forth in the Lease or this Work Letter, this Work Letter shall not apply to improvements performed in any additional premises added to the Premises at any time or from time to time, whether by any options under the Lease or otherwise; or to any portion of the Premises or any additions to the Premises in the event of a renewal or extension of the original Term, whether by any options under the Lease or otherwise, unless the Lease or any amendment or supplement to the Lease expressly provides that such additional premises are to be delivered to Tenant in the same condition as the initial Premises.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1"/>
          <w:szCs w:val="21"/>
          <w:color w:val="auto"/>
        </w:rPr>
        <w:t>IN WITNESS WHEREOF, Landlord and Tenant have executed this Work Letter to be effective on the date first above written.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BMR-ONE RESEARCH WAY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ectPr>
          <w:pgSz w:w="11900" w:h="16838" w:orient="portrait"/>
          <w:cols w:equalWidth="0" w:num="1">
            <w:col w:w="10940"/>
          </w:cols>
          <w:pgMar w:left="320" w:top="32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Colleen OConnor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Colleen OConnor</w:t>
      </w:r>
    </w:p>
    <w:p>
      <w:pPr>
        <w:spacing w:after="0"/>
        <w:rPr>
          <w:sz w:val="20"/>
          <w:szCs w:val="20"/>
          <w:color w:val="auto"/>
        </w:rPr>
      </w:pPr>
      <w:r>
        <w:rPr>
          <w:rFonts w:ascii="Times New Roman" w:cs="Times New Roman" w:eastAsia="Times New Roman" w:hAnsi="Times New Roman"/>
          <w:sz w:val="21"/>
          <w:szCs w:val="21"/>
          <w:color w:val="auto"/>
        </w:rPr>
        <w:t>Vice President, East Coast and U.K. Markets</w:t>
      </w:r>
    </w:p>
    <w:p>
      <w:pPr>
        <w:spacing w:after="0" w:line="211" w:lineRule="exact"/>
        <w:rPr>
          <w:sz w:val="20"/>
          <w:szCs w:val="20"/>
          <w:color w:val="auto"/>
        </w:rPr>
      </w:pPr>
    </w:p>
    <w:p>
      <w:pPr>
        <w:sectPr>
          <w:pgSz w:w="11900" w:h="16838" w:orient="portrait"/>
          <w:cols w:equalWidth="0" w:num="2">
            <w:col w:w="580" w:space="340"/>
            <w:col w:w="10020"/>
          </w:cols>
          <w:pgMar w:left="320" w:top="328" w:right="6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PMV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ectPr>
          <w:pgSz w:w="11900" w:h="16838" w:orient="portrait"/>
          <w:cols w:equalWidth="0" w:num="1">
            <w:col w:w="10940"/>
          </w:cols>
          <w:pgMar w:left="320" w:top="328"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Winston Kung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Winston Kung</w:t>
      </w:r>
    </w:p>
    <w:p>
      <w:pPr>
        <w:spacing w:after="0"/>
        <w:rPr>
          <w:sz w:val="20"/>
          <w:szCs w:val="20"/>
          <w:color w:val="auto"/>
        </w:rPr>
      </w:pPr>
      <w:r>
        <w:rPr>
          <w:rFonts w:ascii="Times New Roman" w:cs="Times New Roman" w:eastAsia="Times New Roman" w:hAnsi="Times New Roman"/>
          <w:sz w:val="21"/>
          <w:szCs w:val="21"/>
          <w:color w:val="auto"/>
        </w:rPr>
        <w:t>Chief Operating Officer and Chief Financial Officer</w:t>
      </w:r>
    </w:p>
    <w:p>
      <w:pPr>
        <w:spacing w:after="0" w:line="211" w:lineRule="exact"/>
        <w:rPr>
          <w:sz w:val="20"/>
          <w:szCs w:val="20"/>
          <w:color w:val="auto"/>
        </w:rPr>
      </w:pPr>
    </w:p>
    <w:p>
      <w:pPr>
        <w:sectPr>
          <w:pgSz w:w="11900" w:h="16838" w:orient="portrait"/>
          <w:cols w:equalWidth="0" w:num="2">
            <w:col w:w="580" w:space="340"/>
            <w:col w:w="10020"/>
          </w:cols>
          <w:pgMar w:left="320" w:top="328"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28" w:right="639" w:bottom="1440" w:gutter="0" w:footer="0" w:header="0"/>
          <w:type w:val="continuous"/>
        </w:sectPr>
      </w:pPr>
    </w:p>
    <w:bookmarkStart w:id="225" w:name="page226"/>
    <w:bookmarkEnd w:id="225"/>
    <w:p>
      <w:pPr>
        <w:jc w:val="center"/>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TENANT WORK INSURANCE SCHEDULE</w:t>
      </w:r>
    </w:p>
    <w:p>
      <w:pPr>
        <w:spacing w:after="0" w:line="210" w:lineRule="exact"/>
        <w:rPr>
          <w:sz w:val="20"/>
          <w:szCs w:val="20"/>
          <w:color w:val="auto"/>
        </w:rPr>
      </w:pPr>
    </w:p>
    <w:p>
      <w:pPr>
        <w:jc w:val="both"/>
        <w:ind w:firstLine="8"/>
        <w:spacing w:after="0" w:line="255" w:lineRule="auto"/>
        <w:tabs>
          <w:tab w:leader="none" w:pos="81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Types of Coverage</w:t>
      </w:r>
      <w:r>
        <w:rPr>
          <w:rFonts w:ascii="Times New Roman" w:cs="Times New Roman" w:eastAsia="Times New Roman" w:hAnsi="Times New Roman"/>
          <w:sz w:val="21"/>
          <w:szCs w:val="21"/>
          <w:color w:val="auto"/>
        </w:rPr>
        <w:t>. Tenant shall maintain or cause Tenant’s contractors performing construction or renovation work to maintain such insurance as shall protect it from the claims set forth below that may arise out of or result from any Tenant Work, whether such Tenant Work is completed by Tenant or by any Tenant contractors or by any person directly or indirectly employed by Tenant or any Tenant contractors, or by any person for whose acts Tenant or any Tenant contractors may be liable:</w:t>
      </w:r>
    </w:p>
    <w:p>
      <w:pPr>
        <w:spacing w:after="0" w:line="161" w:lineRule="exact"/>
        <w:rPr>
          <w:rFonts w:ascii="Times New Roman" w:cs="Times New Roman" w:eastAsia="Times New Roman" w:hAnsi="Times New Roman"/>
          <w:sz w:val="21"/>
          <w:szCs w:val="21"/>
          <w:color w:val="auto"/>
        </w:rPr>
      </w:pPr>
    </w:p>
    <w:p>
      <w:pPr>
        <w:jc w:val="both"/>
        <w:ind w:firstLine="872"/>
        <w:spacing w:after="0" w:line="233" w:lineRule="auto"/>
        <w:tabs>
          <w:tab w:leader="none" w:pos="166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General Liability</w:t>
      </w:r>
      <w:r>
        <w:rPr>
          <w:rFonts w:ascii="Times New Roman" w:cs="Times New Roman" w:eastAsia="Times New Roman" w:hAnsi="Times New Roman"/>
          <w:sz w:val="22"/>
          <w:szCs w:val="22"/>
          <w:color w:val="auto"/>
        </w:rPr>
        <w:t>. Commercial general liability insurance written on the ISO form CG 00 01 or equivalent, including products and completed operations, on an occurrence basis. Such coverage shall apply to all Tenant Work done by Tenant’s contractors and subcontractors of all tiers and provide insurance against personal injury, wrongful death, and property damage (other than to the Tenant Work itself). The policy shall include contractual liability coverage sufficient to address the obligations of the Lease and the Tenant Work. This insurance policy shall include Landlord Parties as additional insureds with endorsements equivalent to ISO CG 20 10 04/13 for ongoing operations, and to ISO CG 20 37 04/13 for completed operations. This policy shall be primary and noncontributory with respect to any other insurance available to an additional insured. The policy shall include endorsement ISO CG 24 04 or its equivalent, a waiver of subrogation in favor of the Landlord Parties. Tenant contractors’ Commercial General Liability Insurance shall include premises/operations (including explosion, collapse and underground coverage if such Tenant Work involves any underground work), elevators, independent contractors, products and completed operations, and blanket contractual liability on all written contracts, all including broad form property damage coverage. Coverage for completed operations must be maintained through the applicable statue of repose period following completion of the Tenant Work.</w:t>
      </w:r>
    </w:p>
    <w:p>
      <w:pPr>
        <w:spacing w:after="0" w:line="182" w:lineRule="exact"/>
        <w:rPr>
          <w:rFonts w:ascii="Times New Roman" w:cs="Times New Roman" w:eastAsia="Times New Roman" w:hAnsi="Times New Roman"/>
          <w:sz w:val="22"/>
          <w:szCs w:val="22"/>
          <w:color w:val="auto"/>
        </w:rPr>
      </w:pPr>
    </w:p>
    <w:p>
      <w:pPr>
        <w:jc w:val="both"/>
        <w:ind w:firstLine="872"/>
        <w:spacing w:after="0" w:line="239" w:lineRule="auto"/>
        <w:tabs>
          <w:tab w:leader="none" w:pos="1674"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Automobile Liability Insurance</w:t>
      </w:r>
      <w:r>
        <w:rPr>
          <w:rFonts w:ascii="Times New Roman" w:cs="Times New Roman" w:eastAsia="Times New Roman" w:hAnsi="Times New Roman"/>
          <w:sz w:val="22"/>
          <w:szCs w:val="22"/>
          <w:color w:val="auto"/>
        </w:rPr>
        <w:t>. Business Automobile Liability Insurance on an “occurrence” form covering any or all autos (including owned, hired, leased and non-owned vehicles) used by or on behalf of the insured, and providing insurance for bodily injury and property damage. The policy shall include coverage for loading and unloading activities. This policy shall include the Landlord Parties as additional insureds, with endorsements.</w:t>
      </w:r>
    </w:p>
    <w:p>
      <w:pPr>
        <w:spacing w:after="0" w:line="180" w:lineRule="exact"/>
        <w:rPr>
          <w:rFonts w:ascii="Times New Roman" w:cs="Times New Roman" w:eastAsia="Times New Roman" w:hAnsi="Times New Roman"/>
          <w:sz w:val="22"/>
          <w:szCs w:val="22"/>
          <w:color w:val="auto"/>
        </w:rPr>
      </w:pPr>
    </w:p>
    <w:p>
      <w:pPr>
        <w:jc w:val="both"/>
        <w:ind w:firstLine="872"/>
        <w:spacing w:after="0" w:line="244" w:lineRule="auto"/>
        <w:tabs>
          <w:tab w:leader="none" w:pos="166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Workers’ Compensation and Employer’s Liability Insurance</w:t>
      </w:r>
      <w:r>
        <w:rPr>
          <w:rFonts w:ascii="Times New Roman" w:cs="Times New Roman" w:eastAsia="Times New Roman" w:hAnsi="Times New Roman"/>
          <w:sz w:val="22"/>
          <w:szCs w:val="22"/>
          <w:color w:val="auto"/>
        </w:rPr>
        <w:t>. For all operations, Workers’ Compensation insurance in compliance with statutory limits for the Workers’ Compensation Laws of the state in which the Premises are located, and an Employer’s Liability limit of not less than $1,000,000 each accident.</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1674"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Contractors’ Pollution Liability</w:t>
      </w:r>
      <w:r>
        <w:rPr>
          <w:rFonts w:ascii="Times New Roman" w:cs="Times New Roman" w:eastAsia="Times New Roman" w:hAnsi="Times New Roman"/>
          <w:sz w:val="22"/>
          <w:szCs w:val="22"/>
          <w:color w:val="auto"/>
        </w:rPr>
        <w:t>. Contractors and subcontractors handling, removing or treating Hazardous Materials shall maintain pollution liability insurance. Such coverage shall include bodily injury, sickness, disease, death or mental anguish or shock sustained by any person; property damage or environmental damage, including physical injury to or destruction of tangible property (including the resulting loss of use thereof), contractual liability coverage to cover liability arising out of cleanup, removal, storage or handling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6" w:name="page227"/>
    <w:bookmarkEnd w:id="226"/>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hazardous or toxic chemicals, materials or substances, or any other pollutants (including mold, asbestos or asbestos-containing materials); and defense costs, charges and expenses incurred in the investigation, adjustment or defense of claims for such damages. Claims-made coverage is permitted,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policy retroactive date is continuously maintained prior to the commencement of the Tenant Work. This policy shall include the Landlord Parties as additional insureds, with endorsements.</w:t>
      </w:r>
    </w:p>
    <w:p>
      <w:pPr>
        <w:spacing w:after="0" w:line="180" w:lineRule="exact"/>
        <w:rPr>
          <w:sz w:val="20"/>
          <w:szCs w:val="20"/>
          <w:color w:val="auto"/>
        </w:rPr>
      </w:pPr>
    </w:p>
    <w:p>
      <w:pPr>
        <w:jc w:val="both"/>
        <w:ind w:right="20" w:firstLine="872"/>
        <w:spacing w:after="0" w:line="239" w:lineRule="auto"/>
        <w:tabs>
          <w:tab w:leader="none" w:pos="166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Professional Liability (Errors and Omissions)</w:t>
      </w:r>
      <w:r>
        <w:rPr>
          <w:rFonts w:ascii="Times New Roman" w:cs="Times New Roman" w:eastAsia="Times New Roman" w:hAnsi="Times New Roman"/>
          <w:sz w:val="22"/>
          <w:szCs w:val="22"/>
          <w:color w:val="auto"/>
        </w:rPr>
        <w:t>. Contractors and subcontractors of any tier performing Tenant Work that includes any professional services, including design, architecture, engineering, testing, surveying or design/build services shall provide and maintain professional liability insurance. Coverage shall be maintained following completion of the Tenant Work through the applicable statute of repose of the state in which the Premises are located.</w:t>
      </w:r>
    </w:p>
    <w:p>
      <w:pPr>
        <w:spacing w:after="0" w:line="180" w:lineRule="exact"/>
        <w:rPr>
          <w:rFonts w:ascii="Times New Roman" w:cs="Times New Roman" w:eastAsia="Times New Roman" w:hAnsi="Times New Roman"/>
          <w:sz w:val="22"/>
          <w:szCs w:val="22"/>
          <w:color w:val="auto"/>
        </w:rPr>
      </w:pPr>
    </w:p>
    <w:p>
      <w:pPr>
        <w:ind w:right="40" w:firstLine="8"/>
        <w:spacing w:after="0" w:line="258" w:lineRule="auto"/>
        <w:tabs>
          <w:tab w:leader="none" w:pos="81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Limits of Insurance</w:t>
      </w:r>
      <w:r>
        <w:rPr>
          <w:rFonts w:ascii="Times New Roman" w:cs="Times New Roman" w:eastAsia="Times New Roman" w:hAnsi="Times New Roman"/>
          <w:sz w:val="22"/>
          <w:szCs w:val="22"/>
          <w:color w:val="auto"/>
        </w:rPr>
        <w:t>. All coverage types as defined above to be procured by Tenant’s general contractor and designer for any Tenant Work shall be written for limits of insurance not less than:</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100" w:type="dxa"/>
            <w:vAlign w:val="bottom"/>
            <w:tcBorders>
              <w:top w:val="single" w:sz="8" w:color="auto"/>
              <w:left w:val="single" w:sz="8" w:color="auto"/>
              <w:right w:val="single" w:sz="8" w:color="auto"/>
            </w:tcBorders>
            <w:gridSpan w:val="3"/>
          </w:tcPr>
          <w:p>
            <w:pPr>
              <w:ind w:left="1100"/>
              <w:spacing w:after="0"/>
              <w:rPr>
                <w:sz w:val="20"/>
                <w:szCs w:val="20"/>
                <w:color w:val="auto"/>
              </w:rPr>
            </w:pPr>
            <w:r>
              <w:rPr>
                <w:rFonts w:ascii="Times New Roman" w:cs="Times New Roman" w:eastAsia="Times New Roman" w:hAnsi="Times New Roman"/>
                <w:sz w:val="22"/>
                <w:szCs w:val="22"/>
                <w:b w:val="1"/>
                <w:bCs w:val="1"/>
                <w:color w:val="auto"/>
              </w:rPr>
              <w:t>Coverage</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Cost of Work</w:t>
            </w:r>
          </w:p>
        </w:tc>
        <w:tc>
          <w:tcPr>
            <w:tcW w:w="5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Minimum Limits of Insurance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200" w:type="dxa"/>
            <w:vAlign w:val="bottom"/>
            <w:tcBorders>
              <w:left w:val="single" w:sz="8" w:color="auto"/>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&lt;$200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 million per occurrence, general aggregate, and products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5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completed operations 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59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200" w:type="dxa"/>
            <w:vAlign w:val="bottom"/>
            <w:tcBorders>
              <w:left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&lt;$100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 million per occurrence, general aggregate, and products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100" w:type="dxa"/>
            <w:vAlign w:val="bottom"/>
            <w:tcBorders>
              <w:left w:val="single" w:sz="8" w:color="auto"/>
              <w:right w:val="single" w:sz="8" w:color="auto"/>
            </w:tcBorders>
            <w:gridSpan w:val="3"/>
            <w:vMerge w:val="restart"/>
          </w:tcPr>
          <w:p>
            <w:pPr>
              <w:jc w:val="center"/>
              <w:ind w:left="52"/>
              <w:spacing w:after="0"/>
              <w:rPr>
                <w:sz w:val="20"/>
                <w:szCs w:val="20"/>
                <w:color w:val="auto"/>
              </w:rPr>
            </w:pPr>
            <w:r>
              <w:rPr>
                <w:rFonts w:ascii="Times New Roman" w:cs="Times New Roman" w:eastAsia="Times New Roman" w:hAnsi="Times New Roman"/>
                <w:sz w:val="22"/>
                <w:szCs w:val="22"/>
                <w:color w:val="auto"/>
                <w:w w:val="97"/>
              </w:rPr>
              <w:t>a.Commercial General Liability</w:t>
            </w:r>
          </w:p>
        </w:tc>
        <w:tc>
          <w:tcPr>
            <w:tcW w:w="2240" w:type="dxa"/>
            <w:vAlign w:val="bottom"/>
            <w:tcBorders>
              <w:right w:val="single" w:sz="8" w:color="auto"/>
            </w:tcBorders>
            <w:vMerge w:val="continue"/>
          </w:tcPr>
          <w:p>
            <w:pPr>
              <w:spacing w:after="0"/>
              <w:rPr>
                <w:sz w:val="13"/>
                <w:szCs w:val="13"/>
                <w:color w:val="auto"/>
              </w:rPr>
            </w:pPr>
          </w:p>
        </w:tc>
        <w:tc>
          <w:tcPr>
            <w:tcW w:w="5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completed operations 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tcBorders>
              <w:left w:val="single" w:sz="8" w:color="auto"/>
              <w:right w:val="single" w:sz="8" w:color="auto"/>
            </w:tcBorders>
            <w:gridSpan w:val="3"/>
            <w:vMerge w:val="continue"/>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590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00" w:type="dxa"/>
            <w:vAlign w:val="bottom"/>
            <w:tcBorders>
              <w:left w:val="single" w:sz="8" w:color="auto"/>
              <w:right w:val="single" w:sz="8" w:color="auto"/>
            </w:tcBorders>
            <w:gridSpan w:val="3"/>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7"/>
              </w:rPr>
              <w:t>* Limits may be met by use of</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&lt;$50 million</w:t>
            </w:r>
          </w:p>
        </w:tc>
        <w:tc>
          <w:tcPr>
            <w:tcW w:w="59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$25 million per occurrence, general aggregate, and products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100" w:type="dxa"/>
            <w:vAlign w:val="bottom"/>
            <w:tcBorders>
              <w:left w:val="single" w:sz="8" w:color="auto"/>
              <w:right w:val="single" w:sz="8" w:color="auto"/>
            </w:tcBorders>
            <w:gridSpan w:val="3"/>
            <w:vMerge w:val="restart"/>
          </w:tcPr>
          <w:p>
            <w:pPr>
              <w:jc w:val="center"/>
              <w:ind w:left="292"/>
              <w:spacing w:after="0" w:line="243" w:lineRule="exact"/>
              <w:rPr>
                <w:sz w:val="20"/>
                <w:szCs w:val="20"/>
                <w:color w:val="auto"/>
              </w:rPr>
            </w:pPr>
            <w:r>
              <w:rPr>
                <w:rFonts w:ascii="Times New Roman" w:cs="Times New Roman" w:eastAsia="Times New Roman" w:hAnsi="Times New Roman"/>
                <w:sz w:val="22"/>
                <w:szCs w:val="22"/>
                <w:color w:val="auto"/>
                <w:w w:val="97"/>
              </w:rPr>
              <w:t>excess and/or umbrella</w:t>
            </w:r>
          </w:p>
        </w:tc>
        <w:tc>
          <w:tcPr>
            <w:tcW w:w="2240" w:type="dxa"/>
            <w:vAlign w:val="bottom"/>
            <w:tcBorders>
              <w:right w:val="single" w:sz="8" w:color="auto"/>
            </w:tcBorders>
            <w:vMerge w:val="continue"/>
          </w:tcPr>
          <w:p>
            <w:pPr>
              <w:spacing w:after="0"/>
              <w:rPr>
                <w:sz w:val="16"/>
                <w:szCs w:val="16"/>
                <w:color w:val="auto"/>
              </w:rPr>
            </w:pPr>
          </w:p>
        </w:tc>
        <w:tc>
          <w:tcPr>
            <w:tcW w:w="590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completed operations aggregate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100" w:type="dxa"/>
            <w:vAlign w:val="bottom"/>
            <w:tcBorders>
              <w:left w:val="single" w:sz="8" w:color="auto"/>
              <w:right w:val="single" w:sz="8" w:color="auto"/>
            </w:tcBorders>
            <w:gridSpan w:val="3"/>
            <w:vMerge w:val="continue"/>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59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right w:val="single" w:sz="8" w:color="auto"/>
            </w:tcBorders>
            <w:gridSpan w:val="3"/>
            <w:vMerge w:val="restart"/>
          </w:tcPr>
          <w:p>
            <w:pPr>
              <w:jc w:val="center"/>
              <w:ind w:left="292"/>
              <w:spacing w:after="0" w:line="216" w:lineRule="exact"/>
              <w:rPr>
                <w:sz w:val="20"/>
                <w:szCs w:val="20"/>
                <w:color w:val="auto"/>
              </w:rPr>
            </w:pPr>
            <w:r>
              <w:rPr>
                <w:rFonts w:ascii="Times New Roman" w:cs="Times New Roman" w:eastAsia="Times New Roman" w:hAnsi="Times New Roman"/>
                <w:sz w:val="22"/>
                <w:szCs w:val="22"/>
                <w:color w:val="auto"/>
                <w:w w:val="97"/>
              </w:rPr>
              <w:t>liability insurance, provided</w:t>
            </w:r>
          </w:p>
        </w:tc>
        <w:tc>
          <w:tcPr>
            <w:tcW w:w="224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00" w:type="dxa"/>
            <w:vAlign w:val="bottom"/>
            <w:tcBorders>
              <w:left w:val="single" w:sz="8" w:color="auto"/>
              <w:right w:val="single" w:sz="8" w:color="auto"/>
            </w:tcBorders>
            <w:gridSpan w:val="3"/>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5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$10 million per occurrence, general aggregate, and products and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40" w:type="dxa"/>
            <w:vAlign w:val="bottom"/>
            <w:tcBorders>
              <w:right w:val="single" w:sz="8" w:color="auto"/>
            </w:tcBorders>
          </w:tcPr>
          <w:p>
            <w:pPr>
              <w:spacing w:after="0" w:line="20" w:lineRule="exact"/>
              <w:rPr>
                <w:sz w:val="1"/>
                <w:szCs w:val="1"/>
                <w:color w:val="auto"/>
              </w:rPr>
            </w:pPr>
          </w:p>
        </w:tc>
        <w:tc>
          <w:tcPr>
            <w:tcW w:w="590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tcBorders>
              <w:left w:val="single" w:sz="8" w:color="auto"/>
              <w:right w:val="single" w:sz="8" w:color="auto"/>
            </w:tcBorders>
            <w:gridSpan w:val="3"/>
            <w:vMerge w:val="restart"/>
          </w:tcPr>
          <w:p>
            <w:pPr>
              <w:jc w:val="center"/>
              <w:ind w:left="292"/>
              <w:spacing w:after="0" w:line="250" w:lineRule="exact"/>
              <w:rPr>
                <w:sz w:val="20"/>
                <w:szCs w:val="20"/>
                <w:color w:val="auto"/>
              </w:rPr>
            </w:pPr>
            <w:r>
              <w:rPr>
                <w:rFonts w:ascii="Times New Roman" w:cs="Times New Roman" w:eastAsia="Times New Roman" w:hAnsi="Times New Roman"/>
                <w:sz w:val="22"/>
                <w:szCs w:val="22"/>
                <w:color w:val="auto"/>
                <w:w w:val="97"/>
              </w:rPr>
              <w:t>that such coverage is at least</w:t>
            </w:r>
          </w:p>
        </w:tc>
        <w:tc>
          <w:tcPr>
            <w:tcW w:w="2240" w:type="dxa"/>
            <w:vAlign w:val="bottom"/>
            <w:tcBorders>
              <w:right w:val="single" w:sz="8" w:color="auto"/>
            </w:tcBorders>
            <w:vMerge w:val="restart"/>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&lt;$25 million</w:t>
            </w:r>
          </w:p>
        </w:tc>
        <w:tc>
          <w:tcPr>
            <w:tcW w:w="59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100" w:type="dxa"/>
            <w:vAlign w:val="bottom"/>
            <w:tcBorders>
              <w:left w:val="single" w:sz="8" w:color="auto"/>
              <w:right w:val="single" w:sz="8" w:color="auto"/>
            </w:tcBorders>
            <w:gridSpan w:val="3"/>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5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completed operations aggregate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100" w:type="dxa"/>
            <w:vAlign w:val="bottom"/>
            <w:tcBorders>
              <w:left w:val="single" w:sz="8" w:color="auto"/>
              <w:right w:val="single" w:sz="8" w:color="auto"/>
            </w:tcBorders>
            <w:gridSpan w:val="3"/>
          </w:tcPr>
          <w:p>
            <w:pPr>
              <w:jc w:val="center"/>
              <w:ind w:left="292"/>
              <w:spacing w:after="0" w:line="229" w:lineRule="exact"/>
              <w:rPr>
                <w:sz w:val="20"/>
                <w:szCs w:val="20"/>
                <w:color w:val="auto"/>
              </w:rPr>
            </w:pPr>
            <w:r>
              <w:rPr>
                <w:rFonts w:ascii="Times New Roman" w:cs="Times New Roman" w:eastAsia="Times New Roman" w:hAnsi="Times New Roman"/>
                <w:sz w:val="22"/>
                <w:szCs w:val="22"/>
                <w:color w:val="auto"/>
                <w:w w:val="98"/>
              </w:rPr>
              <w:t>as broad as the primary</w:t>
            </w:r>
          </w:p>
        </w:tc>
        <w:tc>
          <w:tcPr>
            <w:tcW w:w="2240" w:type="dxa"/>
            <w:vAlign w:val="bottom"/>
            <w:tcBorders>
              <w:bottom w:val="single" w:sz="8" w:color="auto"/>
              <w:right w:val="single" w:sz="8" w:color="auto"/>
            </w:tcBorders>
          </w:tcPr>
          <w:p>
            <w:pPr>
              <w:spacing w:after="0"/>
              <w:rPr>
                <w:sz w:val="19"/>
                <w:szCs w:val="19"/>
                <w:color w:val="auto"/>
              </w:rPr>
            </w:pPr>
          </w:p>
        </w:tc>
        <w:tc>
          <w:tcPr>
            <w:tcW w:w="59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gridSpan w:val="3"/>
          </w:tcPr>
          <w:p>
            <w:pPr>
              <w:jc w:val="center"/>
              <w:ind w:left="292"/>
              <w:spacing w:after="0"/>
              <w:rPr>
                <w:sz w:val="20"/>
                <w:szCs w:val="20"/>
                <w:color w:val="auto"/>
              </w:rPr>
            </w:pPr>
            <w:r>
              <w:rPr>
                <w:rFonts w:ascii="Times New Roman" w:cs="Times New Roman" w:eastAsia="Times New Roman" w:hAnsi="Times New Roman"/>
                <w:sz w:val="22"/>
                <w:szCs w:val="22"/>
                <w:color w:val="auto"/>
                <w:w w:val="97"/>
              </w:rPr>
              <w:t>coverages required herein</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&lt;$10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 million per occurrence, general aggregate, and products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5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completed operations 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59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200" w:type="dxa"/>
            <w:vAlign w:val="bottom"/>
            <w:tcBorders>
              <w:left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&lt;$5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 million per occurrence, general aggregate, and products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5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completed operations 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59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200" w:type="dxa"/>
            <w:vAlign w:val="bottom"/>
            <w:tcBorders>
              <w:left w:val="single" w:sz="8" w:color="auto"/>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3100" w:type="dxa"/>
            <w:vAlign w:val="bottom"/>
            <w:tcBorders>
              <w:left w:val="single" w:sz="8" w:color="auto"/>
              <w:right w:val="single" w:sz="8" w:color="auto"/>
            </w:tcBorders>
            <w:gridSpan w:val="3"/>
          </w:tcPr>
          <w:p>
            <w:pPr>
              <w:jc w:val="center"/>
              <w:ind w:left="52"/>
              <w:spacing w:after="0"/>
              <w:rPr>
                <w:sz w:val="20"/>
                <w:szCs w:val="20"/>
                <w:color w:val="auto"/>
              </w:rPr>
            </w:pPr>
            <w:r>
              <w:rPr>
                <w:rFonts w:ascii="Times New Roman" w:cs="Times New Roman" w:eastAsia="Times New Roman" w:hAnsi="Times New Roman"/>
                <w:sz w:val="22"/>
                <w:szCs w:val="22"/>
                <w:color w:val="auto"/>
                <w:w w:val="97"/>
              </w:rPr>
              <w:t>b.Commercial Automobile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 million combined single limit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gridSpan w:val="3"/>
          </w:tcPr>
          <w:p>
            <w:pPr>
              <w:jc w:val="center"/>
              <w:ind w:left="292"/>
              <w:spacing w:after="0" w:line="189" w:lineRule="exact"/>
              <w:rPr>
                <w:sz w:val="20"/>
                <w:szCs w:val="20"/>
                <w:color w:val="auto"/>
              </w:rPr>
            </w:pPr>
            <w:r>
              <w:rPr>
                <w:rFonts w:ascii="Times New Roman" w:cs="Times New Roman" w:eastAsia="Times New Roman" w:hAnsi="Times New Roman"/>
                <w:sz w:val="21"/>
                <w:szCs w:val="21"/>
                <w:color w:val="auto"/>
              </w:rPr>
              <w:t>Liability</w:t>
            </w:r>
          </w:p>
        </w:tc>
        <w:tc>
          <w:tcPr>
            <w:tcW w:w="2240" w:type="dxa"/>
            <w:vAlign w:val="bottom"/>
            <w:tcBorders>
              <w:bottom w:val="single" w:sz="8" w:color="auto"/>
              <w:right w:val="single" w:sz="8" w:color="auto"/>
            </w:tcBorders>
          </w:tcPr>
          <w:p>
            <w:pPr>
              <w:spacing w:after="0"/>
              <w:rPr>
                <w:sz w:val="16"/>
                <w:szCs w:val="16"/>
                <w:color w:val="auto"/>
              </w:rPr>
            </w:pPr>
          </w:p>
        </w:tc>
        <w:tc>
          <w:tcPr>
            <w:tcW w:w="59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3100" w:type="dxa"/>
            <w:vAlign w:val="bottom"/>
            <w:tcBorders>
              <w:left w:val="single" w:sz="8" w:color="auto"/>
              <w:right w:val="single" w:sz="8" w:color="auto"/>
            </w:tcBorders>
            <w:gridSpan w:val="3"/>
          </w:tcPr>
          <w:p>
            <w:pPr>
              <w:jc w:val="center"/>
              <w:ind w:left="52"/>
              <w:spacing w:after="0"/>
              <w:rPr>
                <w:sz w:val="20"/>
                <w:szCs w:val="20"/>
                <w:color w:val="auto"/>
              </w:rPr>
            </w:pPr>
            <w:r>
              <w:rPr>
                <w:rFonts w:ascii="Times New Roman" w:cs="Times New Roman" w:eastAsia="Times New Roman" w:hAnsi="Times New Roman"/>
                <w:sz w:val="22"/>
                <w:szCs w:val="22"/>
                <w:color w:val="auto"/>
                <w:w w:val="97"/>
              </w:rPr>
              <w:t>* Limits may be met by use of</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&lt;$25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 million combined single limit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right w:val="single" w:sz="8" w:color="auto"/>
            </w:tcBorders>
            <w:gridSpan w:val="3"/>
          </w:tcPr>
          <w:p>
            <w:pPr>
              <w:jc w:val="center"/>
              <w:ind w:left="292"/>
              <w:spacing w:after="0" w:line="203" w:lineRule="exact"/>
              <w:rPr>
                <w:sz w:val="20"/>
                <w:szCs w:val="20"/>
                <w:color w:val="auto"/>
              </w:rPr>
            </w:pPr>
            <w:r>
              <w:rPr>
                <w:rFonts w:ascii="Times New Roman" w:cs="Times New Roman" w:eastAsia="Times New Roman" w:hAnsi="Times New Roman"/>
                <w:sz w:val="22"/>
                <w:szCs w:val="22"/>
                <w:color w:val="auto"/>
                <w:w w:val="97"/>
              </w:rPr>
              <w:t>excess and/or umbrella</w:t>
            </w:r>
          </w:p>
        </w:tc>
        <w:tc>
          <w:tcPr>
            <w:tcW w:w="2240" w:type="dxa"/>
            <w:vAlign w:val="bottom"/>
            <w:tcBorders>
              <w:bottom w:val="single" w:sz="8" w:color="auto"/>
              <w:right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right w:val="single" w:sz="8" w:color="auto"/>
            </w:tcBorders>
            <w:gridSpan w:val="3"/>
          </w:tcPr>
          <w:p>
            <w:pPr>
              <w:jc w:val="center"/>
              <w:ind w:left="292"/>
              <w:spacing w:after="0" w:line="209" w:lineRule="exact"/>
              <w:rPr>
                <w:sz w:val="20"/>
                <w:szCs w:val="20"/>
                <w:color w:val="auto"/>
              </w:rPr>
            </w:pPr>
            <w:r>
              <w:rPr>
                <w:rFonts w:ascii="Times New Roman" w:cs="Times New Roman" w:eastAsia="Times New Roman" w:hAnsi="Times New Roman"/>
                <w:sz w:val="22"/>
                <w:szCs w:val="22"/>
                <w:color w:val="auto"/>
                <w:w w:val="97"/>
              </w:rPr>
              <w:t>liability insurance, provided</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&lt;$10 million</w:t>
            </w:r>
          </w:p>
        </w:tc>
        <w:tc>
          <w:tcPr>
            <w:tcW w:w="5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$5 million combined single limit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40" w:type="dxa"/>
            <w:vAlign w:val="bottom"/>
            <w:tcBorders>
              <w:right w:val="single" w:sz="8" w:color="auto"/>
            </w:tcBorders>
            <w:vMerge w:val="continue"/>
          </w:tcPr>
          <w:p>
            <w:pPr>
              <w:spacing w:after="0" w:line="20" w:lineRule="exact"/>
              <w:rPr>
                <w:sz w:val="1"/>
                <w:szCs w:val="1"/>
                <w:color w:val="auto"/>
              </w:rPr>
            </w:pPr>
          </w:p>
        </w:tc>
        <w:tc>
          <w:tcPr>
            <w:tcW w:w="590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100" w:type="dxa"/>
            <w:vAlign w:val="bottom"/>
            <w:tcBorders>
              <w:left w:val="single" w:sz="8" w:color="auto"/>
              <w:right w:val="single" w:sz="8" w:color="auto"/>
            </w:tcBorders>
            <w:gridSpan w:val="3"/>
            <w:vMerge w:val="restart"/>
          </w:tcPr>
          <w:p>
            <w:pPr>
              <w:jc w:val="center"/>
              <w:ind w:left="292"/>
              <w:spacing w:after="0" w:line="236" w:lineRule="exact"/>
              <w:rPr>
                <w:sz w:val="20"/>
                <w:szCs w:val="20"/>
                <w:color w:val="auto"/>
              </w:rPr>
            </w:pPr>
            <w:r>
              <w:rPr>
                <w:rFonts w:ascii="Times New Roman" w:cs="Times New Roman" w:eastAsia="Times New Roman" w:hAnsi="Times New Roman"/>
                <w:sz w:val="22"/>
                <w:szCs w:val="22"/>
                <w:color w:val="auto"/>
                <w:w w:val="97"/>
              </w:rPr>
              <w:t>that such coverage is at least</w:t>
            </w:r>
          </w:p>
        </w:tc>
        <w:tc>
          <w:tcPr>
            <w:tcW w:w="2240" w:type="dxa"/>
            <w:vAlign w:val="bottom"/>
            <w:tcBorders>
              <w:right w:val="single" w:sz="8" w:color="auto"/>
            </w:tcBorders>
            <w:vMerge w:val="continue"/>
          </w:tcPr>
          <w:p>
            <w:pPr>
              <w:spacing w:after="0"/>
              <w:rPr>
                <w:sz w:val="13"/>
                <w:szCs w:val="13"/>
                <w:color w:val="auto"/>
              </w:rPr>
            </w:pPr>
          </w:p>
        </w:tc>
        <w:tc>
          <w:tcPr>
            <w:tcW w:w="59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100" w:type="dxa"/>
            <w:vAlign w:val="bottom"/>
            <w:tcBorders>
              <w:left w:val="single" w:sz="8" w:color="auto"/>
              <w:right w:val="single" w:sz="8" w:color="auto"/>
            </w:tcBorders>
            <w:gridSpan w:val="3"/>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59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100" w:type="dxa"/>
            <w:vAlign w:val="bottom"/>
            <w:tcBorders>
              <w:left w:val="single" w:sz="8" w:color="auto"/>
              <w:right w:val="single" w:sz="8" w:color="auto"/>
            </w:tcBorders>
            <w:gridSpan w:val="3"/>
            <w:vMerge w:val="restart"/>
          </w:tcPr>
          <w:p>
            <w:pPr>
              <w:jc w:val="center"/>
              <w:ind w:left="292"/>
              <w:spacing w:after="0" w:line="243" w:lineRule="exact"/>
              <w:rPr>
                <w:sz w:val="20"/>
                <w:szCs w:val="20"/>
                <w:color w:val="auto"/>
              </w:rPr>
            </w:pPr>
            <w:r>
              <w:rPr>
                <w:rFonts w:ascii="Times New Roman" w:cs="Times New Roman" w:eastAsia="Times New Roman" w:hAnsi="Times New Roman"/>
                <w:sz w:val="22"/>
                <w:szCs w:val="22"/>
                <w:color w:val="auto"/>
                <w:w w:val="98"/>
              </w:rPr>
              <w:t>as broad as the primary</w:t>
            </w: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100" w:type="dxa"/>
            <w:vAlign w:val="bottom"/>
            <w:tcBorders>
              <w:left w:val="single" w:sz="8" w:color="auto"/>
              <w:right w:val="single" w:sz="8" w:color="auto"/>
            </w:tcBorders>
            <w:gridSpan w:val="3"/>
            <w:vMerge w:val="continue"/>
          </w:tcPr>
          <w:p>
            <w:pPr>
              <w:spacing w:after="0"/>
              <w:rPr>
                <w:sz w:val="15"/>
                <w:szCs w:val="15"/>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&lt;$5 million</w:t>
            </w:r>
          </w:p>
        </w:tc>
        <w:tc>
          <w:tcPr>
            <w:tcW w:w="5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$2 million combined single limit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00" w:type="dxa"/>
            <w:vAlign w:val="bottom"/>
            <w:tcBorders>
              <w:left w:val="single" w:sz="8" w:color="auto"/>
              <w:right w:val="single" w:sz="8" w:color="auto"/>
            </w:tcBorders>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color w:val="auto"/>
                <w:w w:val="97"/>
              </w:rPr>
              <w:t>coverages required herein</w:t>
            </w:r>
          </w:p>
        </w:tc>
        <w:tc>
          <w:tcPr>
            <w:tcW w:w="2240" w:type="dxa"/>
            <w:vAlign w:val="bottom"/>
            <w:tcBorders>
              <w:right w:val="single" w:sz="8" w:color="auto"/>
            </w:tcBorders>
            <w:vMerge w:val="continue"/>
          </w:tcPr>
          <w:p>
            <w:pPr>
              <w:spacing w:after="0"/>
              <w:rPr>
                <w:sz w:val="17"/>
                <w:szCs w:val="17"/>
                <w:color w:val="auto"/>
              </w:rPr>
            </w:pPr>
          </w:p>
        </w:tc>
        <w:tc>
          <w:tcPr>
            <w:tcW w:w="5900" w:type="dxa"/>
            <w:vAlign w:val="bottom"/>
            <w:tcBorders>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100" w:type="dxa"/>
            <w:vAlign w:val="bottom"/>
            <w:tcBorders>
              <w:left w:val="single" w:sz="8" w:color="auto"/>
              <w:right w:val="single" w:sz="8" w:color="auto"/>
            </w:tcBorders>
            <w:gridSpan w:val="3"/>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59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200" w:type="dxa"/>
            <w:vAlign w:val="bottom"/>
            <w:tcBorders>
              <w:left w:val="single" w:sz="8" w:color="auto"/>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5"/>
        </w:trPr>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59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227" w:name="page228"/>
    <w:bookmarkEnd w:id="227"/>
    <w:tbl>
      <w:tblPr>
        <w:tblLayout w:type="fixed"/>
        <w:tblInd w:w="10" w:type="dxa"/>
        <w:tblCellMar>
          <w:top w:w="0" w:type="dxa"/>
          <w:left w:w="0" w:type="dxa"/>
          <w:bottom w:w="0" w:type="dxa"/>
          <w:right w:w="0" w:type="dxa"/>
        </w:tblCellMar>
      </w:tblPr>
      <w:tr>
        <w:trPr>
          <w:trHeight w:val="322"/>
        </w:trPr>
        <w:tc>
          <w:tcPr>
            <w:tcW w:w="3100" w:type="dxa"/>
            <w:vAlign w:val="bottom"/>
            <w:tcBorders>
              <w:top w:val="single" w:sz="8" w:color="auto"/>
              <w:left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2"/>
                <w:szCs w:val="22"/>
                <w:b w:val="1"/>
                <w:bCs w:val="1"/>
                <w:color w:val="auto"/>
              </w:rPr>
              <w:t>Coverage</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Cost of Work</w:t>
            </w:r>
          </w:p>
        </w:tc>
        <w:tc>
          <w:tcPr>
            <w:tcW w:w="5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Minimum Limits of Insurance</w:t>
            </w:r>
          </w:p>
        </w:tc>
        <w:tc>
          <w:tcPr>
            <w:tcW w:w="0" w:type="dxa"/>
            <w:vAlign w:val="bottom"/>
          </w:tcPr>
          <w:p>
            <w:pPr>
              <w:spacing w:after="0"/>
              <w:rPr>
                <w:sz w:val="1"/>
                <w:szCs w:val="1"/>
                <w:color w:val="auto"/>
              </w:rPr>
            </w:pPr>
          </w:p>
        </w:tc>
      </w:tr>
      <w:tr>
        <w:trPr>
          <w:trHeight w:val="42"/>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3100" w:type="dxa"/>
            <w:vAlign w:val="bottom"/>
            <w:tcBorders>
              <w:left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w w:val="97"/>
              </w:rPr>
              <w:t>c.Workers’ Compensation</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At all times</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As required by Applicable Laws</w:t>
            </w:r>
          </w:p>
        </w:tc>
        <w:tc>
          <w:tcPr>
            <w:tcW w:w="0" w:type="dxa"/>
            <w:vAlign w:val="bottom"/>
          </w:tcPr>
          <w:p>
            <w:pPr>
              <w:spacing w:after="0"/>
              <w:rPr>
                <w:sz w:val="1"/>
                <w:szCs w:val="1"/>
                <w:color w:val="auto"/>
              </w:rPr>
            </w:pPr>
          </w:p>
        </w:tc>
      </w:tr>
      <w:tr>
        <w:trPr>
          <w:trHeight w:val="42"/>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4"/>
        </w:trPr>
        <w:tc>
          <w:tcPr>
            <w:tcW w:w="3100" w:type="dxa"/>
            <w:vAlign w:val="bottom"/>
            <w:tcBorders>
              <w:left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22"/>
                <w:szCs w:val="22"/>
                <w:color w:val="auto"/>
                <w:w w:val="97"/>
              </w:rPr>
              <w:t>d.Contractor’s Pollution Liability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At all times</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 million per location and $4 million aggregate</w:t>
            </w:r>
          </w:p>
        </w:tc>
        <w:tc>
          <w:tcPr>
            <w:tcW w:w="0" w:type="dxa"/>
            <w:vAlign w:val="bottom"/>
          </w:tcPr>
          <w:p>
            <w:pPr>
              <w:spacing w:after="0"/>
              <w:rPr>
                <w:sz w:val="1"/>
                <w:szCs w:val="1"/>
                <w:color w:val="auto"/>
              </w:rPr>
            </w:pPr>
          </w:p>
        </w:tc>
      </w:tr>
      <w:tr>
        <w:trPr>
          <w:trHeight w:val="163"/>
        </w:trPr>
        <w:tc>
          <w:tcPr>
            <w:tcW w:w="3100" w:type="dxa"/>
            <w:vAlign w:val="bottom"/>
            <w:tcBorders>
              <w:left w:val="single" w:sz="8" w:color="auto"/>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5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100" w:type="dxa"/>
            <w:vAlign w:val="bottom"/>
            <w:tcBorders>
              <w:left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&lt;$200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 million per project and in the aggregate</w:t>
            </w:r>
          </w:p>
        </w:tc>
        <w:tc>
          <w:tcPr>
            <w:tcW w:w="0" w:type="dxa"/>
            <w:vAlign w:val="bottom"/>
          </w:tcPr>
          <w:p>
            <w:pPr>
              <w:spacing w:after="0"/>
              <w:rPr>
                <w:sz w:val="1"/>
                <w:szCs w:val="1"/>
                <w:color w:val="auto"/>
              </w:rPr>
            </w:pPr>
          </w:p>
        </w:tc>
      </w:tr>
      <w:tr>
        <w:trPr>
          <w:trHeight w:val="42"/>
        </w:trPr>
        <w:tc>
          <w:tcPr>
            <w:tcW w:w="3100" w:type="dxa"/>
            <w:vAlign w:val="bottom"/>
            <w:tcBorders>
              <w:left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3100" w:type="dxa"/>
            <w:vAlign w:val="bottom"/>
            <w:tcBorders>
              <w:left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22"/>
                <w:szCs w:val="22"/>
                <w:color w:val="auto"/>
                <w:w w:val="98"/>
              </w:rPr>
              <w:t>e.Professional Liability (Errors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&lt;$75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 million per project and in the aggregate</w:t>
            </w:r>
          </w:p>
        </w:tc>
        <w:tc>
          <w:tcPr>
            <w:tcW w:w="0" w:type="dxa"/>
            <w:vAlign w:val="bottom"/>
          </w:tcPr>
          <w:p>
            <w:pPr>
              <w:spacing w:after="0"/>
              <w:rPr>
                <w:sz w:val="1"/>
                <w:szCs w:val="1"/>
                <w:color w:val="auto"/>
              </w:rPr>
            </w:pPr>
          </w:p>
        </w:tc>
      </w:tr>
      <w:tr>
        <w:trPr>
          <w:trHeight w:val="27"/>
        </w:trPr>
        <w:tc>
          <w:tcPr>
            <w:tcW w:w="3100" w:type="dxa"/>
            <w:vAlign w:val="bottom"/>
            <w:tcBorders>
              <w:left w:val="single" w:sz="8" w:color="auto"/>
              <w:right w:val="single" w:sz="8" w:color="auto"/>
            </w:tcBorders>
            <w:vMerge w:val="restart"/>
          </w:tcPr>
          <w:p>
            <w:pPr>
              <w:ind w:left="1080"/>
              <w:spacing w:after="0"/>
              <w:rPr>
                <w:sz w:val="20"/>
                <w:szCs w:val="20"/>
                <w:color w:val="auto"/>
              </w:rPr>
            </w:pPr>
            <w:r>
              <w:rPr>
                <w:rFonts w:ascii="Times New Roman" w:cs="Times New Roman" w:eastAsia="Times New Roman" w:hAnsi="Times New Roman"/>
                <w:sz w:val="22"/>
                <w:szCs w:val="22"/>
                <w:color w:val="auto"/>
              </w:rPr>
              <w:t>and Omissions)</w:t>
            </w:r>
          </w:p>
        </w:tc>
        <w:tc>
          <w:tcPr>
            <w:tcW w:w="2240" w:type="dxa"/>
            <w:vAlign w:val="bottom"/>
            <w:tcBorders>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100" w:type="dxa"/>
            <w:vAlign w:val="bottom"/>
            <w:tcBorders>
              <w:left w:val="single" w:sz="8" w:color="auto"/>
              <w:right w:val="single" w:sz="8" w:color="auto"/>
            </w:tcBorders>
            <w:vMerge w:val="continue"/>
          </w:tcPr>
          <w:p>
            <w:pPr>
              <w:spacing w:after="0"/>
              <w:rPr>
                <w:sz w:val="24"/>
                <w:szCs w:val="24"/>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&lt;$25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 million per project and $4 million aggregate</w:t>
            </w:r>
          </w:p>
        </w:tc>
        <w:tc>
          <w:tcPr>
            <w:tcW w:w="0" w:type="dxa"/>
            <w:vAlign w:val="bottom"/>
          </w:tcPr>
          <w:p>
            <w:pPr>
              <w:spacing w:after="0"/>
              <w:rPr>
                <w:sz w:val="1"/>
                <w:szCs w:val="1"/>
                <w:color w:val="auto"/>
              </w:rPr>
            </w:pPr>
          </w:p>
        </w:tc>
      </w:tr>
      <w:tr>
        <w:trPr>
          <w:trHeight w:val="42"/>
        </w:trPr>
        <w:tc>
          <w:tcPr>
            <w:tcW w:w="3100" w:type="dxa"/>
            <w:vAlign w:val="bottom"/>
            <w:tcBorders>
              <w:left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3100" w:type="dxa"/>
            <w:vAlign w:val="bottom"/>
            <w:tcBorders>
              <w:left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&lt;$10 million</w:t>
            </w:r>
          </w:p>
        </w:tc>
        <w:tc>
          <w:tcPr>
            <w:tcW w:w="5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 million per project and $2 million aggregate</w:t>
            </w:r>
          </w:p>
        </w:tc>
        <w:tc>
          <w:tcPr>
            <w:tcW w:w="0" w:type="dxa"/>
            <w:vAlign w:val="bottom"/>
          </w:tcPr>
          <w:p>
            <w:pPr>
              <w:spacing w:after="0"/>
              <w:rPr>
                <w:sz w:val="1"/>
                <w:szCs w:val="1"/>
                <w:color w:val="auto"/>
              </w:rPr>
            </w:pPr>
          </w:p>
        </w:tc>
      </w:tr>
      <w:tr>
        <w:trPr>
          <w:trHeight w:val="42"/>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8"/>
        <w:spacing w:after="0" w:line="258" w:lineRule="auto"/>
        <w:tabs>
          <w:tab w:leader="none" w:pos="81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Cancelation</w:t>
      </w:r>
      <w:r>
        <w:rPr>
          <w:rFonts w:ascii="Times New Roman" w:cs="Times New Roman" w:eastAsia="Times New Roman" w:hAnsi="Times New Roman"/>
          <w:sz w:val="22"/>
          <w:szCs w:val="22"/>
          <w:color w:val="auto"/>
        </w:rPr>
        <w:t>. The foregoing policies shall contain a provision that coverages afforded under the policies shall not be canceled or not renewed until at least thirty (30) days’ prior written notice has been given to the Landlord.</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81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Insurance</w:t>
      </w:r>
      <w:r>
        <w:rPr>
          <w:rFonts w:ascii="Times New Roman" w:cs="Times New Roman" w:eastAsia="Times New Roman" w:hAnsi="Times New Roman"/>
          <w:sz w:val="22"/>
          <w:szCs w:val="22"/>
          <w:color w:val="auto"/>
        </w:rPr>
        <w:t>. Certificates of insurance, including required endorsements showing such coverages to be in force, shall be provided to Landlord prior to the commencement of any Tenant Work and prior to each renewal.</w:t>
      </w:r>
    </w:p>
    <w:p>
      <w:pPr>
        <w:spacing w:after="0" w:line="158"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Insurer Ratings</w:t>
      </w:r>
      <w:r>
        <w:rPr>
          <w:rFonts w:ascii="Times New Roman" w:cs="Times New Roman" w:eastAsia="Times New Roman" w:hAnsi="Times New Roman"/>
          <w:sz w:val="22"/>
          <w:szCs w:val="22"/>
          <w:color w:val="auto"/>
        </w:rPr>
        <w:t>. The minimum A.M. Best’s rating of each insurer shall be A-VII.</w:t>
      </w:r>
    </w:p>
    <w:p>
      <w:pPr>
        <w:spacing w:after="0" w:line="206" w:lineRule="exact"/>
        <w:rPr>
          <w:rFonts w:ascii="Times New Roman" w:cs="Times New Roman" w:eastAsia="Times New Roman" w:hAnsi="Times New Roman"/>
          <w:sz w:val="22"/>
          <w:szCs w:val="22"/>
          <w:color w:val="auto"/>
        </w:rPr>
      </w:pPr>
    </w:p>
    <w:p>
      <w:pPr>
        <w:ind w:firstLine="8"/>
        <w:spacing w:after="0" w:line="258" w:lineRule="auto"/>
        <w:tabs>
          <w:tab w:leader="none" w:pos="81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Insureds</w:t>
      </w:r>
      <w:r>
        <w:rPr>
          <w:rFonts w:ascii="Times New Roman" w:cs="Times New Roman" w:eastAsia="Times New Roman" w:hAnsi="Times New Roman"/>
          <w:sz w:val="22"/>
          <w:szCs w:val="22"/>
          <w:color w:val="auto"/>
        </w:rPr>
        <w:t>. The policies shall name Landlord Parties as additional insureds to the extent required by the Lease, the Work Letter or this Exhibit.</w:t>
      </w:r>
    </w:p>
    <w:p>
      <w:pPr>
        <w:spacing w:after="0" w:line="158"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Subrogation</w:t>
      </w:r>
      <w:r>
        <w:rPr>
          <w:rFonts w:ascii="Times New Roman" w:cs="Times New Roman" w:eastAsia="Times New Roman" w:hAnsi="Times New Roman"/>
          <w:sz w:val="22"/>
          <w:szCs w:val="22"/>
          <w:color w:val="auto"/>
        </w:rPr>
        <w:t>. Tenant, contractors and subcontractors, and each of their respective insurers shall provide waivers of subrogation in favor of the Landlord Parties with respect to all insurance required by the Lease, the Work Letter or this Exhibit.</w:t>
      </w:r>
    </w:p>
    <w:p>
      <w:pPr>
        <w:spacing w:after="0" w:line="173" w:lineRule="exact"/>
        <w:rPr>
          <w:rFonts w:ascii="Times New Roman" w:cs="Times New Roman" w:eastAsia="Times New Roman" w:hAnsi="Times New Roman"/>
          <w:sz w:val="22"/>
          <w:szCs w:val="22"/>
          <w:color w:val="auto"/>
        </w:rPr>
      </w:pPr>
    </w:p>
    <w:p>
      <w:pPr>
        <w:jc w:val="both"/>
        <w:ind w:firstLine="8"/>
        <w:spacing w:after="0" w:line="247" w:lineRule="auto"/>
        <w:tabs>
          <w:tab w:leader="none" w:pos="81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Tenant’s Contractors</w:t>
      </w:r>
      <w:r>
        <w:rPr>
          <w:rFonts w:ascii="Times New Roman" w:cs="Times New Roman" w:eastAsia="Times New Roman" w:hAnsi="Times New Roman"/>
          <w:sz w:val="21"/>
          <w:szCs w:val="21"/>
          <w:color w:val="auto"/>
        </w:rPr>
        <w:t>. Tenant shall require all other persons, firms and corporations engaged or employed by Tenant in connection with the performance of Tenant Work to carry and maintain coverages with limits not less than those required by this Exhibit. Tenant’s contractors’ and subcontractors’ insurance compliance, including any coverage exceptions, shall be Tenant’s responsibility. Tenant shall incorporate these insurance requirements by reference within any contract executed by Tenant and its contractors. Tenant shall obtain and verify the accuracy of certificates of insurance evidencing required coverage prior to permitting its contractors, subcontractors (of any tier), suppliers and agents from performing any Tenant Work or services at the Premises. Tenant shall furnish original certificates of insurance with additional insured endorsements from Tenant’s contractors, subcontractors (of any tier), suppliers and agents as evidence thereof, as Landlord may reasonably request.</w:t>
      </w:r>
    </w:p>
    <w:p>
      <w:pPr>
        <w:spacing w:after="0" w:line="171" w:lineRule="exact"/>
        <w:rPr>
          <w:rFonts w:ascii="Times New Roman" w:cs="Times New Roman" w:eastAsia="Times New Roman" w:hAnsi="Times New Roman"/>
          <w:sz w:val="21"/>
          <w:szCs w:val="21"/>
          <w:color w:val="auto"/>
        </w:rPr>
      </w:pPr>
    </w:p>
    <w:p>
      <w:pPr>
        <w:jc w:val="both"/>
        <w:ind w:firstLine="8"/>
        <w:spacing w:after="0" w:line="244" w:lineRule="auto"/>
        <w:tabs>
          <w:tab w:leader="none" w:pos="81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 of Liability</w:t>
      </w:r>
      <w:r>
        <w:rPr>
          <w:rFonts w:ascii="Times New Roman" w:cs="Times New Roman" w:eastAsia="Times New Roman" w:hAnsi="Times New Roman"/>
          <w:sz w:val="22"/>
          <w:szCs w:val="22"/>
          <w:color w:val="auto"/>
        </w:rPr>
        <w:t>. It is expressly acknowledged and agreed that the insurance policies and limits required hereunder shall not limit the liability of Tenant or its contractors or subcontractors, and that Landlord makes no representation that these types or amounts of insurance are sufficient or adequate to protect Tenant or its contractors’ or subcontractors’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28" w:name="page229"/>
    <w:bookmarkEnd w:id="228"/>
    <w:p>
      <w:pPr>
        <w:spacing w:after="0" w:line="258" w:lineRule="auto"/>
        <w:rPr>
          <w:sz w:val="20"/>
          <w:szCs w:val="20"/>
          <w:color w:val="auto"/>
        </w:rPr>
      </w:pPr>
      <w:r>
        <w:rPr>
          <w:rFonts w:ascii="Times New Roman" w:cs="Times New Roman" w:eastAsia="Times New Roman" w:hAnsi="Times New Roman"/>
          <w:sz w:val="22"/>
          <w:szCs w:val="22"/>
          <w:color w:val="auto"/>
        </w:rPr>
        <w:t>interests or liabilities, but are merely minimums. Any insurance carried by Landlord shall be secondary and non-contributory to that carried by Tenant and/or its contractors or subcontractors.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BUILDING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0" w:name="page231"/>
    <w:bookmarkEnd w:id="230"/>
    <w:p>
      <w:pPr>
        <w:ind w:left="506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ACKNOWLEDGEMENT OF TERM COMMENCEMENT DATE</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AND TERM EXPIRATION DATE</w:t>
      </w:r>
    </w:p>
    <w:p>
      <w:pPr>
        <w:spacing w:after="0" w:line="182" w:lineRule="exact"/>
        <w:rPr>
          <w:sz w:val="20"/>
          <w:szCs w:val="20"/>
          <w:color w:val="auto"/>
        </w:rPr>
      </w:pPr>
    </w:p>
    <w:p>
      <w:pPr>
        <w:jc w:val="both"/>
        <w:ind w:right="20" w:firstLine="864"/>
        <w:spacing w:after="0" w:line="241" w:lineRule="auto"/>
        <w:rPr>
          <w:sz w:val="20"/>
          <w:szCs w:val="20"/>
          <w:color w:val="auto"/>
        </w:rPr>
      </w:pPr>
      <w:r>
        <w:rPr>
          <w:rFonts w:ascii="Times New Roman" w:cs="Times New Roman" w:eastAsia="Times New Roman" w:hAnsi="Times New Roman"/>
          <w:sz w:val="22"/>
          <w:szCs w:val="22"/>
          <w:color w:val="auto"/>
        </w:rPr>
        <w:t>THIS ACKNOWLEDGEMENT OF TERM COMMENCEMENT DATE AND TERM EXPIRATION DATE is entered into as of [_______], 20[__], with reference to that certain Lease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dated as of [_______], 20[__], by PMV</w:t>
      </w:r>
    </w:p>
    <w:p>
      <w:pPr>
        <w:spacing w:after="0" w:line="2"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PHARMACEUTICALS,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in favor of BMR-ONE RESEARCH WAY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All capitalized terms used herein without definition shall have the meanings ascribed to them in the Lease.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Tenant hereby confirms the following:</w:t>
      </w:r>
    </w:p>
    <w:p>
      <w:pPr>
        <w:spacing w:after="0" w:line="206" w:lineRule="exact"/>
        <w:rPr>
          <w:sz w:val="20"/>
          <w:szCs w:val="20"/>
          <w:color w:val="auto"/>
        </w:rPr>
      </w:pPr>
    </w:p>
    <w:p>
      <w:pPr>
        <w:jc w:val="both"/>
        <w:ind w:right="20" w:firstLine="8"/>
        <w:spacing w:after="0" w:line="244" w:lineRule="auto"/>
        <w:tabs>
          <w:tab w:leader="none" w:pos="81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accepted possession of the Premises for construction of improvements or the installation of personal or other property on [_______], 20[__], and for use in accordance with the Permitted Use on [_______], 20[__]. Tenant first occupied the Premises for the Permitted Use on [_______], 20[__].</w:t>
      </w:r>
    </w:p>
    <w:p>
      <w:pPr>
        <w:spacing w:after="0" w:line="173"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Premises are in good order, condition and repair.</w:t>
      </w:r>
    </w:p>
    <w:p>
      <w:pPr>
        <w:spacing w:after="0" w:line="206"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Tenant Improvements are Substantially Complete.</w:t>
      </w:r>
    </w:p>
    <w:p>
      <w:pPr>
        <w:spacing w:after="0" w:line="206" w:lineRule="exact"/>
        <w:rPr>
          <w:rFonts w:ascii="Times New Roman" w:cs="Times New Roman" w:eastAsia="Times New Roman" w:hAnsi="Times New Roman"/>
          <w:sz w:val="22"/>
          <w:szCs w:val="22"/>
          <w:color w:val="auto"/>
        </w:rPr>
      </w:pPr>
    </w:p>
    <w:p>
      <w:pPr>
        <w:ind w:right="20" w:firstLine="8"/>
        <w:spacing w:after="0" w:line="258" w:lineRule="auto"/>
        <w:tabs>
          <w:tab w:leader="none" w:pos="81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conditions of the Lease to be performed by Landlord as a condition to the full effectiveness of the Lease have been satisfied, and Landlord has fulfilled all of its duties in the nature of inducements offered to Tenant to lease the Premises.</w:t>
      </w:r>
    </w:p>
    <w:p>
      <w:pPr>
        <w:spacing w:after="0" w:line="158" w:lineRule="exact"/>
        <w:rPr>
          <w:rFonts w:ascii="Times New Roman" w:cs="Times New Roman" w:eastAsia="Times New Roman" w:hAnsi="Times New Roman"/>
          <w:sz w:val="22"/>
          <w:szCs w:val="22"/>
          <w:color w:val="auto"/>
        </w:rPr>
      </w:pPr>
    </w:p>
    <w:p>
      <w:pPr>
        <w:jc w:val="both"/>
        <w:ind w:right="20" w:firstLine="8"/>
        <w:spacing w:after="0" w:line="244" w:lineRule="auto"/>
        <w:tabs>
          <w:tab w:leader="none" w:pos="81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the provisions of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of the Lease, the Term Commencement Date is [_______], 20[__], and, unless the Lease is terminated prior to the Term Expiration Date pursuant to its terms, the Term Expiration Date shall be May 31, 2032.</w:t>
      </w:r>
    </w:p>
    <w:p>
      <w:pPr>
        <w:spacing w:after="0" w:line="173" w:lineRule="exact"/>
        <w:rPr>
          <w:rFonts w:ascii="Times New Roman" w:cs="Times New Roman" w:eastAsia="Times New Roman" w:hAnsi="Times New Roman"/>
          <w:sz w:val="22"/>
          <w:szCs w:val="22"/>
          <w:color w:val="auto"/>
        </w:rPr>
      </w:pPr>
    </w:p>
    <w:p>
      <w:pPr>
        <w:ind w:right="20" w:firstLine="8"/>
        <w:spacing w:after="0" w:line="258" w:lineRule="auto"/>
        <w:tabs>
          <w:tab w:leader="none" w:pos="81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in full force and effect, and the same represents the entire agreement between Landlord and Tenant concerning the Premises[, except [_______]].</w:t>
      </w:r>
    </w:p>
    <w:p>
      <w:pPr>
        <w:spacing w:after="0" w:line="158" w:lineRule="exact"/>
        <w:rPr>
          <w:rFonts w:ascii="Times New Roman" w:cs="Times New Roman" w:eastAsia="Times New Roman" w:hAnsi="Times New Roman"/>
          <w:sz w:val="22"/>
          <w:szCs w:val="22"/>
          <w:color w:val="auto"/>
        </w:rPr>
      </w:pPr>
    </w:p>
    <w:p>
      <w:pPr>
        <w:ind w:right="20" w:firstLine="8"/>
        <w:spacing w:after="0" w:line="258" w:lineRule="auto"/>
        <w:tabs>
          <w:tab w:leader="none" w:pos="81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existing defenses against the enforcement of the Lease by Landlord, and there exist no offsets or credits against Rent owed or to be owed by Tenant.</w:t>
      </w:r>
    </w:p>
    <w:p>
      <w:pPr>
        <w:spacing w:after="0" w:line="158" w:lineRule="exact"/>
        <w:rPr>
          <w:rFonts w:ascii="Times New Roman" w:cs="Times New Roman" w:eastAsia="Times New Roman" w:hAnsi="Times New Roman"/>
          <w:sz w:val="22"/>
          <w:szCs w:val="22"/>
          <w:color w:val="auto"/>
        </w:rPr>
      </w:pPr>
    </w:p>
    <w:p>
      <w:pPr>
        <w:ind w:right="40" w:firstLine="8"/>
        <w:spacing w:after="0" w:line="258" w:lineRule="auto"/>
        <w:tabs>
          <w:tab w:leader="none" w:pos="81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to pay Rent is presently in effect and all Rent obligations on the part of Tenant under the Lease commenced to accrue on [_______], 20[__], with Base Rent payable on the dates and amounts set forth in the chart below:</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2440" w:type="dxa"/>
            <w:vAlign w:val="bottom"/>
            <w:tcBorders>
              <w:top w:val="single" w:sz="8" w:color="auto"/>
              <w:left w:val="single" w:sz="8" w:color="auto"/>
              <w:right w:val="single" w:sz="8" w:color="auto"/>
            </w:tcBorders>
            <w:gridSpan w:val="3"/>
            <w:vMerge w:val="restart"/>
          </w:tcPr>
          <w:p>
            <w:pPr>
              <w:ind w:left="960"/>
              <w:spacing w:after="0"/>
              <w:rPr>
                <w:sz w:val="20"/>
                <w:szCs w:val="20"/>
                <w:color w:val="auto"/>
              </w:rPr>
            </w:pPr>
            <w:r>
              <w:rPr>
                <w:rFonts w:ascii="Times New Roman" w:cs="Times New Roman" w:eastAsia="Times New Roman" w:hAnsi="Times New Roman"/>
                <w:sz w:val="22"/>
                <w:szCs w:val="22"/>
                <w:b w:val="1"/>
                <w:bCs w:val="1"/>
                <w:color w:val="auto"/>
              </w:rPr>
              <w:t>Dates</w:t>
            </w: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80" w:type="dxa"/>
            <w:vAlign w:val="bottom"/>
            <w:tcBorders>
              <w:top w:val="single" w:sz="8" w:color="auto"/>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8"/>
              </w:rPr>
              <w:t>Approximate Square</w:t>
            </w:r>
          </w:p>
        </w:tc>
        <w:tc>
          <w:tcPr>
            <w:tcW w:w="3100" w:type="dxa"/>
            <w:vAlign w:val="bottom"/>
            <w:tcBorders>
              <w:top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Base Rent per Square Foot of</w:t>
            </w:r>
          </w:p>
        </w:tc>
        <w:tc>
          <w:tcPr>
            <w:tcW w:w="182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Monthly Base Rent</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Annual Base Rent</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left w:val="single" w:sz="8" w:color="auto"/>
              <w:right w:val="single" w:sz="8" w:color="auto"/>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94"/>
              </w:rPr>
              <w:t>Feet of Rentable Area</w:t>
            </w: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tcBorders>
              <w:top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98"/>
              </w:rPr>
              <w:t>Rentable Area</w:t>
            </w:r>
          </w:p>
        </w:tc>
        <w:tc>
          <w:tcPr>
            <w:tcW w:w="200" w:type="dxa"/>
            <w:vAlign w:val="bottom"/>
            <w:tcBorders>
              <w:right w:val="single" w:sz="8" w:color="auto"/>
            </w:tcBorders>
          </w:tcPr>
          <w:p>
            <w:pPr>
              <w:spacing w:after="0"/>
              <w:rPr>
                <w:sz w:val="19"/>
                <w:szCs w:val="19"/>
                <w:color w:val="auto"/>
              </w:rPr>
            </w:pPr>
          </w:p>
        </w:tc>
        <w:tc>
          <w:tcPr>
            <w:tcW w:w="1820" w:type="dxa"/>
            <w:vAlign w:val="bottom"/>
            <w:tcBorders>
              <w:top w:val="single" w:sz="8" w:color="auto"/>
              <w:right w:val="single" w:sz="8" w:color="auto"/>
            </w:tcBorders>
            <w:gridSpan w:val="3"/>
            <w:vMerge w:val="continue"/>
          </w:tcPr>
          <w:p>
            <w:pPr>
              <w:spacing w:after="0"/>
              <w:rPr>
                <w:sz w:val="19"/>
                <w:szCs w:val="19"/>
                <w:color w:val="auto"/>
              </w:rPr>
            </w:pPr>
          </w:p>
        </w:tc>
        <w:tc>
          <w:tcPr>
            <w:tcW w:w="1700" w:type="dxa"/>
            <w:vAlign w:val="bottom"/>
            <w:tcBorders>
              <w:top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960" w:type="dxa"/>
            <w:vAlign w:val="bottom"/>
            <w:tcBorders>
              <w:left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9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700" w:type="dxa"/>
            <w:vAlign w:val="bottom"/>
            <w:tcBorders>
              <w:top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2440" w:type="dxa"/>
            <w:vAlign w:val="bottom"/>
            <w:tcBorders>
              <w:left w:val="single" w:sz="8" w:color="auto"/>
              <w:right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22"/>
                <w:szCs w:val="22"/>
                <w:color w:val="auto"/>
              </w:rPr>
              <w:t>[__]/[__]/[__]-</w:t>
            </w:r>
          </w:p>
        </w:tc>
        <w:tc>
          <w:tcPr>
            <w:tcW w:w="2060" w:type="dxa"/>
            <w:vAlign w:val="bottom"/>
            <w:gridSpan w:val="3"/>
          </w:tcPr>
          <w:p>
            <w:pPr>
              <w:jc w:val="center"/>
              <w:ind w:left="12"/>
              <w:spacing w:after="0"/>
              <w:rPr>
                <w:sz w:val="20"/>
                <w:szCs w:val="20"/>
                <w:color w:val="auto"/>
              </w:rPr>
            </w:pPr>
            <w:r>
              <w:rPr>
                <w:rFonts w:ascii="Times New Roman" w:cs="Times New Roman" w:eastAsia="Times New Roman" w:hAnsi="Times New Roman"/>
                <w:sz w:val="22"/>
                <w:szCs w:val="22"/>
                <w:color w:val="auto"/>
              </w:rPr>
              <w:t>[ ]</w:t>
            </w:r>
          </w:p>
        </w:tc>
        <w:tc>
          <w:tcPr>
            <w:tcW w:w="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Borders>
              <w:right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22"/>
                <w:szCs w:val="22"/>
                <w:color w:val="auto"/>
                <w:w w:val="97"/>
              </w:rPr>
              <w:t>$[_______] annually</w:t>
            </w: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 ]</w:t>
            </w:r>
          </w:p>
        </w:tc>
        <w:tc>
          <w:tcPr>
            <w:tcW w:w="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right"/>
              <w:ind w:right="632"/>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282"/>
        </w:trPr>
        <w:tc>
          <w:tcPr>
            <w:tcW w:w="2440" w:type="dxa"/>
            <w:vAlign w:val="bottom"/>
            <w:tcBorders>
              <w:left w:val="single" w:sz="8" w:color="auto"/>
              <w:right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22"/>
                <w:szCs w:val="22"/>
                <w:color w:val="auto"/>
              </w:rPr>
              <w:t>[__]/[__]/[__]</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96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5"/>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4"/>
          </w:tcPr>
          <w:p>
            <w:pPr>
              <w:ind w:left="640"/>
              <w:spacing w:after="0"/>
              <w:rPr>
                <w:sz w:val="20"/>
                <w:szCs w:val="20"/>
                <w:color w:val="auto"/>
              </w:rPr>
            </w:pPr>
            <w:r>
              <w:rPr>
                <w:rFonts w:ascii="Times New Roman" w:cs="Times New Roman" w:eastAsia="Times New Roman" w:hAnsi="Times New Roman"/>
                <w:sz w:val="22"/>
                <w:szCs w:val="22"/>
                <w:color w:val="auto"/>
              </w:rPr>
              <w:t>C-1</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9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231" w:name="page232"/>
    <w:bookmarkEnd w:id="231"/>
    <w:p>
      <w:pPr>
        <w:ind w:left="-8" w:firstLine="8"/>
        <w:spacing w:after="0" w:line="258" w:lineRule="auto"/>
        <w:tabs>
          <w:tab w:leader="none" w:pos="80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Tenant has not made any prior assignment, transfer, hypothecation or pledge of the Lease or of the rents thereunder or sublease of the Premises or any portion thereof.</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760" w:right="359" w:bottom="1440" w:gutter="0" w:footer="0" w:header="0"/>
        </w:sectPr>
      </w:pPr>
    </w:p>
    <w:bookmarkStart w:id="232" w:name="page233"/>
    <w:bookmarkEnd w:id="232"/>
    <w:p>
      <w:pPr>
        <w:ind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Tenant has executed this Acknowledgment of Term Commencement Date and Term Expiration Date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22713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-3810</wp:posOffset>
            </wp:positionV>
            <wp:extent cx="22713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-3810</wp:posOffset>
            </wp:positionV>
            <wp:extent cx="22713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LETTER OF CREDIT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[On letterhead or L/C letterhead of Issuer]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LETTER OF CREDIT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 20__</w:t>
      </w: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574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20574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10795</wp:posOffset>
            </wp:positionV>
            <wp:extent cx="11398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20574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-3810</wp:posOffset>
            </wp:positionV>
            <wp:extent cx="11398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Loan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-3810</wp:posOffset>
            </wp:positionV>
            <wp:extent cx="11398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1"/>
          <w:szCs w:val="21"/>
          <w:color w:val="auto"/>
        </w:rPr>
        <w:t>We establish in favor of Beneficiary our irrevocable and unconditional Letter of Credit numbered as identified above (the “</w:t>
      </w:r>
      <w:r>
        <w:rPr>
          <w:rFonts w:ascii="Times New Roman" w:cs="Times New Roman" w:eastAsia="Times New Roman" w:hAnsi="Times New Roman"/>
          <w:sz w:val="21"/>
          <w:szCs w:val="21"/>
          <w:u w:val="single" w:color="auto"/>
          <w:color w:val="auto"/>
        </w:rPr>
        <w:t>L/C</w:t>
      </w:r>
      <w:r>
        <w:rPr>
          <w:rFonts w:ascii="Times New Roman" w:cs="Times New Roman" w:eastAsia="Times New Roman" w:hAnsi="Times New Roman"/>
          <w:sz w:val="21"/>
          <w:szCs w:val="21"/>
          <w:color w:val="auto"/>
        </w:rPr>
        <w:t>”) for an aggregate amount of $_______, expiring at __:00 p.m. on _______ or, if such day is not a Banking Day, then</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next succeeding Banking Day (such date, as extended from time to time, the “</w:t>
      </w:r>
      <w:r>
        <w:rPr>
          <w:rFonts w:ascii="Times New Roman" w:cs="Times New Roman" w:eastAsia="Times New Roman" w:hAnsi="Times New Roman"/>
          <w:sz w:val="22"/>
          <w:szCs w:val="22"/>
          <w:u w:val="single" w:color="auto"/>
          <w:color w:val="auto"/>
        </w:rPr>
        <w:t>Expiry 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Banking Day</w:t>
      </w:r>
      <w:r>
        <w:rPr>
          <w:rFonts w:ascii="Times New Roman" w:cs="Times New Roman" w:eastAsia="Times New Roman" w:hAnsi="Times New Roman"/>
          <w:sz w:val="22"/>
          <w:szCs w:val="22"/>
          <w:color w:val="auto"/>
        </w:rPr>
        <w:t>” means a weekday except a weekday when commercial banks in _____________ are authorized or required to close.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We authorize Beneficiary to draw on us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for the account of _______ (the “</w:t>
      </w:r>
      <w:r>
        <w:rPr>
          <w:rFonts w:ascii="Times New Roman" w:cs="Times New Roman" w:eastAsia="Times New Roman" w:hAnsi="Times New Roman"/>
          <w:sz w:val="22"/>
          <w:szCs w:val="22"/>
          <w:u w:val="single" w:color="auto"/>
          <w:color w:val="auto"/>
        </w:rPr>
        <w:t>Account Party</w:t>
      </w:r>
      <w:r>
        <w:rPr>
          <w:rFonts w:ascii="Times New Roman" w:cs="Times New Roman" w:eastAsia="Times New Roman" w:hAnsi="Times New Roman"/>
          <w:sz w:val="22"/>
          <w:szCs w:val="22"/>
          <w:color w:val="auto"/>
        </w:rPr>
        <w:t>”), under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and conditions of this L/C.</w:t>
      </w:r>
    </w:p>
    <w:p>
      <w:pPr>
        <w:spacing w:after="0" w:line="182"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Funds under this L/C are available by presenting the following documentation (the “</w:t>
      </w:r>
      <w:r>
        <w:rPr>
          <w:rFonts w:ascii="Times New Roman" w:cs="Times New Roman" w:eastAsia="Times New Roman" w:hAnsi="Times New Roman"/>
          <w:sz w:val="22"/>
          <w:szCs w:val="22"/>
          <w:u w:val="single" w:color="auto"/>
          <w:color w:val="auto"/>
        </w:rPr>
        <w:t>Drawing Documentation</w:t>
      </w:r>
      <w:r>
        <w:rPr>
          <w:rFonts w:ascii="Times New Roman" w:cs="Times New Roman" w:eastAsia="Times New Roman" w:hAnsi="Times New Roman"/>
          <w:sz w:val="22"/>
          <w:szCs w:val="22"/>
          <w:color w:val="auto"/>
        </w:rPr>
        <w:t xml:space="preserve">”): (a) the original L/C and (b) a sight draft substantially in the form of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 with blanks filled in and bracketed items provided as appropriate. No other evidence of authority, certificate, or documentation is required.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Drawing Documentation must be presented at Issuer’s office at ____________ on or before the Expiry Date by</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personal presentation, courier or messenger service, or fax. Presentation by fax shall be effective upon electronic confirmation of transmission as evidenced by a printed report from the sender’s fax machine. After any fax presentation, but not as a condition to its effectiveness, Beneficiary shall with reasonable promptness deliver the original Drawing Documentation by any other means. Issuer will on request issue a receipt for Drawing Documentation.</w:t>
      </w:r>
    </w:p>
    <w:p>
      <w:pPr>
        <w:spacing w:after="0" w:line="177"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We agree, irrevocably, and irrespective of any claim by any other person, to honor drafts drawn under and in conformity with this L/C, within the maximum amount of this L/C, presented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5" w:name="page236"/>
    <w:bookmarkEnd w:id="235"/>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to us on or before the Expiry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we also receive (on or before the Expiry Date) any other Drawing Documentation this L/C requires.</w:t>
      </w:r>
    </w:p>
    <w:p>
      <w:pPr>
        <w:spacing w:after="0" w:line="15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We shall pay this L/C only from our own funds by check or wire transfer, in compliance with the Drawing Documentation.</w:t>
      </w:r>
    </w:p>
    <w:p>
      <w:pPr>
        <w:spacing w:after="0" w:line="158"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If Beneficiary presents proper Drawing Documentation to us on or before the Expiry Date, then we shall pay under this L/C at or before the following time (the “</w:t>
      </w:r>
      <w:r>
        <w:rPr>
          <w:rFonts w:ascii="Times New Roman" w:cs="Times New Roman" w:eastAsia="Times New Roman" w:hAnsi="Times New Roman"/>
          <w:sz w:val="22"/>
          <w:szCs w:val="22"/>
          <w:u w:val="single" w:color="auto"/>
          <w:color w:val="auto"/>
        </w:rPr>
        <w:t>Payment Deadline</w:t>
      </w:r>
      <w:r>
        <w:rPr>
          <w:rFonts w:ascii="Times New Roman" w:cs="Times New Roman" w:eastAsia="Times New Roman" w:hAnsi="Times New Roman"/>
          <w:sz w:val="22"/>
          <w:szCs w:val="22"/>
          <w:color w:val="auto"/>
        </w:rPr>
        <w:t>”): (a) if presentment is made at or before noon of any Banking Day, then the close of such Banking Day; and (b) otherwise, the close of the next Banking Day. We waive any right to delay payment beyond the Payment Deadline. If we determine that Drawing Documentation is not proper, then we shall so advise Beneficiary in writing, specifying all grounds for our determination, within one Banking Day after the Payment Deadline.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Partial drawings are permitted. This L/C shall, except to the extent reduced thereby, survive any partial drawings.</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We shall have no duty or right to inquire into the validity of or basis for any draw under this L/C or any Drawing Documentation. We waive any defense based on fraud or any claim of fraud.</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The Expiry Date shall automatically be extended by one year (but never beyond _____ (the “</w:t>
      </w:r>
      <w:r>
        <w:rPr>
          <w:rFonts w:ascii="Times New Roman" w:cs="Times New Roman" w:eastAsia="Times New Roman" w:hAnsi="Times New Roman"/>
          <w:sz w:val="21"/>
          <w:szCs w:val="21"/>
          <w:u w:val="single" w:color="auto"/>
          <w:color w:val="auto"/>
        </w:rPr>
        <w:t>Outside Date</w:t>
      </w:r>
      <w:r>
        <w:rPr>
          <w:rFonts w:ascii="Times New Roman" w:cs="Times New Roman" w:eastAsia="Times New Roman" w:hAnsi="Times New Roman"/>
          <w:sz w:val="21"/>
          <w:szCs w:val="21"/>
          <w:color w:val="auto"/>
        </w:rPr>
        <w:t>”)) unless, on</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or before the date 90 days before any Expiry Date, we have given Beneficiary notice that the Expiry Date shall not be so extended (a “</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We shall promptly upon request confirm any extension of the Expiry Date under the preceding sentence by issuing an amendment to this L/C, but such an amendment is not required for the extension to be effective. We need not give any notice of the Outside Date.</w:t>
      </w:r>
    </w:p>
    <w:p>
      <w:pPr>
        <w:spacing w:after="0" w:line="177"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Beneficiary may from time to time without charge transfer this L/C, in whole but not in part, to any transferee (the “</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xml:space="preserve">”). Issuer shall look solely to Account Party for payment of any fee for any transfer of this L/C. Such payment is not a condition to any such transfer. Beneficiary or Transferee shall consummate such transfer by delivering to Issuer the original of this L/C and a Transfer Notice substantially in the form of </w:t>
      </w:r>
      <w:r>
        <w:rPr>
          <w:rFonts w:ascii="Times New Roman" w:cs="Times New Roman" w:eastAsia="Times New Roman" w:hAnsi="Times New Roman"/>
          <w:sz w:val="22"/>
          <w:szCs w:val="22"/>
          <w:u w:val="single" w:color="auto"/>
          <w:color w:val="auto"/>
        </w:rPr>
        <w:t>Attachment 2</w:t>
      </w:r>
      <w:r>
        <w:rPr>
          <w:rFonts w:ascii="Times New Roman" w:cs="Times New Roman" w:eastAsia="Times New Roman" w:hAnsi="Times New Roman"/>
          <w:sz w:val="22"/>
          <w:szCs w:val="22"/>
          <w:color w:val="auto"/>
        </w:rPr>
        <w:t>, purportedly signed by Beneficiary, and designating Transferee. Issuer shall promptly reissue or amend this L/C in favor of Transferee as Beneficiary. Upon any transfer, all references to Beneficiary shall automatically refer to Transferee, who may then exercise all rights of Beneficiary. Issuer expressly consents to any transfers made from time to time in compliance with this paragraph.</w:t>
      </w:r>
    </w:p>
    <w:p>
      <w:pPr>
        <w:spacing w:after="0" w:line="183"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color w:val="auto"/>
        </w:rPr>
        <w:t>Any notice to Beneficiary shall be in writing and delivered by hand with receipt acknowledged or by overnight delivery service such as FedEx (with proof of delivery) at the above address, or such other address as Beneficiary may specify by written notice to Issuer. A copy of any such notice shall also be delivered, as a condition to the effectiveness of such notice,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 (or such replacement as Beneficiary designates from time to time by written notice).</w:t>
      </w:r>
    </w:p>
    <w:p>
      <w:pPr>
        <w:spacing w:after="0" w:line="182" w:lineRule="exact"/>
        <w:rPr>
          <w:sz w:val="20"/>
          <w:szCs w:val="20"/>
          <w:color w:val="auto"/>
        </w:rPr>
      </w:pPr>
    </w:p>
    <w:p>
      <w:pPr>
        <w:jc w:val="center"/>
        <w:ind w:right="340"/>
        <w:spacing w:after="0" w:line="463" w:lineRule="auto"/>
        <w:rPr>
          <w:sz w:val="20"/>
          <w:szCs w:val="20"/>
          <w:color w:val="auto"/>
        </w:rPr>
      </w:pPr>
      <w:r>
        <w:rPr>
          <w:rFonts w:ascii="Times New Roman" w:cs="Times New Roman" w:eastAsia="Times New Roman" w:hAnsi="Times New Roman"/>
          <w:sz w:val="22"/>
          <w:szCs w:val="22"/>
          <w:color w:val="auto"/>
        </w:rPr>
        <w:t>No amendment that adversely affects Beneficiary shall be effective without Beneficiary’s written consent.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6" w:name="page237"/>
    <w:bookmarkEnd w:id="236"/>
    <w:p>
      <w:pPr>
        <w:ind w:firstLine="864"/>
        <w:spacing w:after="0" w:line="258" w:lineRule="auto"/>
        <w:rPr>
          <w:sz w:val="20"/>
          <w:szCs w:val="20"/>
          <w:color w:val="auto"/>
        </w:rPr>
      </w:pPr>
      <w:r>
        <w:rPr>
          <w:rFonts w:ascii="Times New Roman" w:cs="Times New Roman" w:eastAsia="Times New Roman" w:hAnsi="Times New Roman"/>
          <w:sz w:val="22"/>
          <w:szCs w:val="22"/>
          <w:color w:val="auto"/>
        </w:rPr>
        <w:t>This L/C is subject to and incorporates by reference: (a) the International Standby Practices 98 (“</w:t>
      </w:r>
      <w:r>
        <w:rPr>
          <w:rFonts w:ascii="Times New Roman" w:cs="Times New Roman" w:eastAsia="Times New Roman" w:hAnsi="Times New Roman"/>
          <w:sz w:val="22"/>
          <w:szCs w:val="22"/>
          <w:u w:val="single" w:color="auto"/>
          <w:color w:val="auto"/>
        </w:rPr>
        <w:t>ISP 98</w:t>
      </w:r>
      <w:r>
        <w:rPr>
          <w:rFonts w:ascii="Times New Roman" w:cs="Times New Roman" w:eastAsia="Times New Roman" w:hAnsi="Times New Roman"/>
          <w:sz w:val="22"/>
          <w:szCs w:val="22"/>
          <w:color w:val="auto"/>
        </w:rPr>
        <w:t>”); and (b) to the extent not inconsistent with ISP 98, Article 5 of the Uniform Commercial Code of the State of New York.</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[Issuer 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7" w:name="page238"/>
    <w:bookmarkEnd w:id="237"/>
    <w:p>
      <w:pPr>
        <w:ind w:left="4060"/>
        <w:spacing w:after="0"/>
        <w:rPr>
          <w:sz w:val="20"/>
          <w:szCs w:val="20"/>
          <w:color w:val="auto"/>
        </w:rPr>
      </w:pPr>
      <w:r>
        <w:rPr>
          <w:rFonts w:ascii="Times New Roman" w:cs="Times New Roman" w:eastAsia="Times New Roman" w:hAnsi="Times New Roman"/>
          <w:sz w:val="22"/>
          <w:szCs w:val="22"/>
          <w:b w:val="1"/>
          <w:bCs w:val="1"/>
          <w:color w:val="auto"/>
        </w:rPr>
        <w:t>ATTACHMENT 1 TO EXHIBIT E</w:t>
      </w: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FORM OF SIGHT DRAFT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ENEFICIARY</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ETTERHEAD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and Address of Issuer]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SIGHT DRAFT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SIGHT, pay to the Order of ______________, the sum of ______________ United States Dollars ($______________).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Drawn under [Issuer] Letter of Credit No. ______________ dated 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 is hereby directed to pay the proceeds of this Sight Draft solely to the following account: _________________________.]</w:t>
      </w:r>
    </w:p>
    <w:p>
      <w:pPr>
        <w:spacing w:after="0" w:line="218" w:lineRule="exact"/>
        <w:rPr>
          <w:sz w:val="20"/>
          <w:szCs w:val="20"/>
          <w:color w:val="auto"/>
        </w:rPr>
      </w:pPr>
    </w:p>
    <w:p>
      <w:pPr>
        <w:ind w:right="4220"/>
        <w:spacing w:after="0" w:line="463" w:lineRule="auto"/>
        <w:rPr>
          <w:sz w:val="20"/>
          <w:szCs w:val="20"/>
          <w:color w:val="auto"/>
        </w:rPr>
      </w:pPr>
      <w:r>
        <w:rPr>
          <w:rFonts w:ascii="Times New Roman" w:cs="Times New Roman" w:eastAsia="Times New Roman" w:hAnsi="Times New Roman"/>
          <w:sz w:val="22"/>
          <w:szCs w:val="22"/>
          <w:color w:val="auto"/>
        </w:rPr>
        <w:t>[Name and signature block, with signature or purported signature of Beneficiary] Date: ________________</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22"/>
          <w:szCs w:val="22"/>
          <w:b w:val="1"/>
          <w:bCs w:val="1"/>
          <w:color w:val="auto"/>
        </w:rPr>
        <w:t>ATTACHMENT 2 TO EXHIBIT 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TRANSFER NOTICE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ENEFICIARY</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ETTERHEAD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and Address of Issuer]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TRANSFER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the undersigned, Beneficiary (the “</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under Issuer’s Letter of Credit No. ______________ dated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 (the “</w:t>
      </w:r>
      <w:r>
        <w:rPr>
          <w:rFonts w:ascii="Times New Roman" w:cs="Times New Roman" w:eastAsia="Times New Roman" w:hAnsi="Times New Roman"/>
          <w:sz w:val="22"/>
          <w:szCs w:val="22"/>
          <w:u w:val="single" w:color="auto"/>
          <w:color w:val="auto"/>
        </w:rPr>
        <w:t>L/C</w:t>
      </w:r>
      <w:r>
        <w:rPr>
          <w:rFonts w:ascii="Times New Roman" w:cs="Times New Roman" w:eastAsia="Times New Roman" w:hAnsi="Times New Roman"/>
          <w:sz w:val="22"/>
          <w:szCs w:val="22"/>
          <w:color w:val="auto"/>
        </w:rPr>
        <w:t>”), transfers the L/C to the following transferee (the “</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[Transferee Name and Address]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original L/C is enclosed. Beneficiary directs Issuer to reissue or amend the L/C in favor of Transferee as Beneficiary. Beneficiary represents and warrants that Beneficiary has not transferred, assigned, or encumbered the L/C or any interest in the L/C, which transfer, assignment, or encumbrance remains in effect.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and signature block, with signature or purported signature of Beneficiary]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RULES AND REGULATIONS</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NOTHING IN THESE RULES AND REGULATIONS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 SHALL SUPPLANT ANY PROVISION OF THE LEASE. IN THE EVENT OF A CONFLICT OR INCONSISTENCY BETWEEN THESE RULES AND REGULATIONS AND THE LEASE, THE LEASE SHALL PREVAIL.</w:t>
      </w:r>
    </w:p>
    <w:p>
      <w:pPr>
        <w:spacing w:after="0" w:line="173" w:lineRule="exact"/>
        <w:rPr>
          <w:sz w:val="20"/>
          <w:szCs w:val="20"/>
          <w:color w:val="auto"/>
        </w:rPr>
      </w:pPr>
    </w:p>
    <w:p>
      <w:pPr>
        <w:jc w:val="both"/>
        <w:ind w:right="20" w:firstLine="8"/>
        <w:spacing w:after="0" w:line="244" w:lineRule="auto"/>
        <w:tabs>
          <w:tab w:leader="none" w:pos="81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in the Lease, no sign, placard, picture, advertisement, name or notice shall be installed or displayed on any part of the outside of the Premises without Landlord’s prior written consent. Landlord shall have the right to remove, at Tenant’s sole cost and expense and without notice, any sign installed or displayed in violation of this rule.</w:t>
      </w:r>
    </w:p>
    <w:p>
      <w:pPr>
        <w:spacing w:after="0" w:line="173" w:lineRule="exact"/>
        <w:rPr>
          <w:rFonts w:ascii="Times New Roman" w:cs="Times New Roman" w:eastAsia="Times New Roman" w:hAnsi="Times New Roman"/>
          <w:sz w:val="22"/>
          <w:szCs w:val="22"/>
          <w:color w:val="auto"/>
        </w:rPr>
      </w:pPr>
    </w:p>
    <w:p>
      <w:pPr>
        <w:jc w:val="both"/>
        <w:ind w:firstLine="8"/>
        <w:spacing w:after="0" w:line="238" w:lineRule="auto"/>
        <w:tabs>
          <w:tab w:leader="none" w:pos="81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objects in writing to any curtains, blinds, shades, screens, hanging plants or other similar objects attached to or used in connection with any window or door of the Premises or placed on any windowsill, and (a) such window, door or windowsill is visible from the exterior of the Premises and (b) such curtain, blind, shade, screen, hanging plant or other object is not included in plans approved by Landlord, then Tenant shall promptly remove such curtains, blinds, shades, screens, hanging plants or other similar objects at its sole cost and expense.</w:t>
      </w:r>
    </w:p>
    <w:p>
      <w:pPr>
        <w:spacing w:after="0" w:line="176" w:lineRule="exact"/>
        <w:rPr>
          <w:rFonts w:ascii="Times New Roman" w:cs="Times New Roman" w:eastAsia="Times New Roman" w:hAnsi="Times New Roman"/>
          <w:sz w:val="22"/>
          <w:szCs w:val="22"/>
          <w:color w:val="auto"/>
        </w:rPr>
      </w:pPr>
    </w:p>
    <w:p>
      <w:pPr>
        <w:ind w:firstLine="8"/>
        <w:spacing w:after="0" w:line="258" w:lineRule="auto"/>
        <w:tabs>
          <w:tab w:leader="none" w:pos="81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place a load upon any floor of the Premises that exceeds the load per square foot that (a) such floor was designed to carry or (b) is allowed by Applicable Laws.</w:t>
      </w:r>
    </w:p>
    <w:p>
      <w:pPr>
        <w:spacing w:after="0" w:line="158"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use any method of HVAC other than that shown in the Tenant Improvement plans.</w:t>
      </w:r>
    </w:p>
    <w:p>
      <w:pPr>
        <w:spacing w:after="0" w:line="206"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install any radio, television or other antennae; cell or other communications equipment; or other devices on the roof or exterior walls of the Premises except in accordance with the Lease. Tenant shall not interfere with radio, television or other digital or electronic communications at the Premises or elsewhere.</w:t>
      </w:r>
    </w:p>
    <w:p>
      <w:pPr>
        <w:spacing w:after="0" w:line="173" w:lineRule="exact"/>
        <w:rPr>
          <w:rFonts w:ascii="Times New Roman" w:cs="Times New Roman" w:eastAsia="Times New Roman" w:hAnsi="Times New Roman"/>
          <w:sz w:val="22"/>
          <w:szCs w:val="22"/>
          <w:color w:val="auto"/>
        </w:rPr>
      </w:pPr>
    </w:p>
    <w:p>
      <w:pPr>
        <w:jc w:val="both"/>
        <w:ind w:firstLine="8"/>
        <w:spacing w:after="0" w:line="239" w:lineRule="auto"/>
        <w:tabs>
          <w:tab w:leader="none" w:pos="81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store all of its trash, garbage and Hazardous Materials in receptacles within its Premises or in receptacles designated by Landlord outside of the Premises. Tenant shall not place in any such receptacle any material that cannot be disposed of in the ordinary and customary manner of trash, garbage and Hazardous Materials disposal. Tenant shall be responsible, at its sole cost and expense, for Tenant’s removal of its trash, garbage and Hazardous Materials.</w:t>
      </w:r>
    </w:p>
    <w:p>
      <w:pPr>
        <w:spacing w:after="0" w:line="180" w:lineRule="exact"/>
        <w:rPr>
          <w:rFonts w:ascii="Times New Roman" w:cs="Times New Roman" w:eastAsia="Times New Roman" w:hAnsi="Times New Roman"/>
          <w:sz w:val="22"/>
          <w:szCs w:val="22"/>
          <w:color w:val="auto"/>
        </w:rPr>
      </w:pPr>
    </w:p>
    <w:p>
      <w:pPr>
        <w:jc w:val="both"/>
        <w:ind w:firstLine="8"/>
        <w:spacing w:after="0" w:line="236" w:lineRule="auto"/>
        <w:tabs>
          <w:tab w:leader="none" w:pos="81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Premises shall not be used for lodging or for any improper, immoral or objectionable purpose. No cooking shall be done or permitted in the Premises;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 (c) equipment shown on Tenant Improvement plans approved by Landlord;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any such equipment and microwave ovens are used in accordance with Applicable Laws.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0" w:name="page241"/>
    <w:bookmarkEnd w:id="240"/>
    <w:p>
      <w:pPr>
        <w:ind w:right="20" w:firstLine="8"/>
        <w:spacing w:after="0" w:line="258" w:lineRule="auto"/>
        <w:tabs>
          <w:tab w:leader="none" w:pos="81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without Landlord’s prior written consent, use the name of the Premises, if any, in connection with or in promoting or advertising Tenant’s business except as Tenant’s address.</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81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safety, fire protection and evacuation procedures and regulations established by Landlord or any Governmental Authority.</w:t>
      </w:r>
    </w:p>
    <w:p>
      <w:pPr>
        <w:spacing w:after="0" w:line="158" w:lineRule="exact"/>
        <w:rPr>
          <w:rFonts w:ascii="Times New Roman" w:cs="Times New Roman" w:eastAsia="Times New Roman" w:hAnsi="Times New Roman"/>
          <w:sz w:val="22"/>
          <w:szCs w:val="22"/>
          <w:color w:val="auto"/>
        </w:rPr>
      </w:pPr>
    </w:p>
    <w:p>
      <w:pPr>
        <w:ind w:right="20" w:firstLine="8"/>
        <w:spacing w:after="0" w:line="258" w:lineRule="auto"/>
        <w:tabs>
          <w:tab w:leader="none" w:pos="9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assumes any and all responsibility for protecting the Premises from theft, robbery and pilferage, which responsibility includes keeping doors locked and other means of entry to the Premises closed.</w:t>
      </w:r>
    </w:p>
    <w:p>
      <w:pPr>
        <w:spacing w:after="0" w:line="158" w:lineRule="exact"/>
        <w:rPr>
          <w:rFonts w:ascii="Times New Roman" w:cs="Times New Roman" w:eastAsia="Times New Roman" w:hAnsi="Times New Roman"/>
          <w:sz w:val="22"/>
          <w:szCs w:val="22"/>
          <w:color w:val="auto"/>
        </w:rPr>
      </w:pPr>
    </w:p>
    <w:p>
      <w:pPr>
        <w:jc w:val="both"/>
        <w:ind w:firstLine="8"/>
        <w:spacing w:after="0" w:line="244" w:lineRule="auto"/>
        <w:tabs>
          <w:tab w:leader="none" w:pos="91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modify any locks to the Premises without Landlord’s prior written consent, which consent Landlord shall not unreasonably withhold, condition or delay. Tenant shall furnish Landlord with copies of keys, pass cards or similar devices for locks to the Premises.</w:t>
      </w:r>
    </w:p>
    <w:p>
      <w:pPr>
        <w:spacing w:after="0" w:line="17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cooperate and participate in all reasonable security programs affecting the Premises.</w:t>
      </w:r>
    </w:p>
    <w:p>
      <w:pPr>
        <w:spacing w:after="0" w:line="206" w:lineRule="exact"/>
        <w:rPr>
          <w:rFonts w:ascii="Times New Roman" w:cs="Times New Roman" w:eastAsia="Times New Roman" w:hAnsi="Times New Roman"/>
          <w:sz w:val="22"/>
          <w:szCs w:val="22"/>
          <w:color w:val="auto"/>
        </w:rPr>
      </w:pPr>
    </w:p>
    <w:p>
      <w:pPr>
        <w:ind w:right="20" w:firstLine="8"/>
        <w:spacing w:after="0" w:line="258" w:lineRule="auto"/>
        <w:tabs>
          <w:tab w:leader="none" w:pos="9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permit any animals in the Premises, other than for service animals or for use in laboratory experiments.</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9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water and wash closets and other plumbing fixtures shall not be used for any purposes other than those for which they were constructed, and no sweepings, rubbish, rags or other substances shall be deposited therein.</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9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Discharge of industrial sewage shall only be permitted if Tenant, at its sole expense, first obtains all necessary permits and licenses therefor from all applicable Governmental Authorities.</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9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Smoking and the use of smokeless tobacco products, electronic smoking devices (e.g., e-cigarettes) and nicotine products is prohibited inside the Building, except in designated outdoor areas of the Premises (if any).</w:t>
      </w:r>
    </w:p>
    <w:p>
      <w:pPr>
        <w:spacing w:after="0" w:line="158" w:lineRule="exact"/>
        <w:rPr>
          <w:rFonts w:ascii="Times New Roman" w:cs="Times New Roman" w:eastAsia="Times New Roman" w:hAnsi="Times New Roman"/>
          <w:sz w:val="22"/>
          <w:szCs w:val="22"/>
          <w:color w:val="auto"/>
        </w:rPr>
      </w:pPr>
    </w:p>
    <w:p>
      <w:pPr>
        <w:jc w:val="both"/>
        <w:ind w:firstLine="8"/>
        <w:spacing w:after="0" w:line="238" w:lineRule="auto"/>
        <w:tabs>
          <w:tab w:leader="none" w:pos="9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orders, requirements and conditions now or hereafter imposed by Applicable Laws or Landlord (“</w:t>
      </w:r>
      <w:r>
        <w:rPr>
          <w:rFonts w:ascii="Times New Roman" w:cs="Times New Roman" w:eastAsia="Times New Roman" w:hAnsi="Times New Roman"/>
          <w:sz w:val="22"/>
          <w:szCs w:val="22"/>
          <w:u w:val="single" w:color="auto"/>
          <w:color w:val="auto"/>
        </w:rPr>
        <w:t>Waste Regulations</w:t>
      </w:r>
      <w:r>
        <w:rPr>
          <w:rFonts w:ascii="Times New Roman" w:cs="Times New Roman" w:eastAsia="Times New Roman" w:hAnsi="Times New Roman"/>
          <w:sz w:val="22"/>
          <w:szCs w:val="22"/>
          <w:color w:val="auto"/>
        </w:rPr>
        <w:t>”) regarding the collection, sorting, separation and recycling of waste products, garbage, refuse and trash generated by Tenant (collectively, “</w:t>
      </w:r>
      <w:r>
        <w:rPr>
          <w:rFonts w:ascii="Times New Roman" w:cs="Times New Roman" w:eastAsia="Times New Roman" w:hAnsi="Times New Roman"/>
          <w:sz w:val="22"/>
          <w:szCs w:val="22"/>
          <w:u w:val="single" w:color="auto"/>
          <w:color w:val="auto"/>
        </w:rPr>
        <w:t>Waste Products</w:t>
      </w:r>
      <w:r>
        <w:rPr>
          <w:rFonts w:ascii="Times New Roman" w:cs="Times New Roman" w:eastAsia="Times New Roman" w:hAnsi="Times New Roman"/>
          <w:sz w:val="22"/>
          <w:szCs w:val="22"/>
          <w:color w:val="auto"/>
        </w:rPr>
        <w:t>”), including (without limitation) the separation of Waste Products into receptacles reasonably approved by Landlord and the removal of such receptacles in accordance with any collection schedules prescribed by Waste Regulations.</w:t>
      </w:r>
    </w:p>
    <w:p>
      <w:pPr>
        <w:spacing w:after="0" w:line="176" w:lineRule="exact"/>
        <w:rPr>
          <w:rFonts w:ascii="Times New Roman" w:cs="Times New Roman" w:eastAsia="Times New Roman" w:hAnsi="Times New Roman"/>
          <w:sz w:val="22"/>
          <w:szCs w:val="22"/>
          <w:color w:val="auto"/>
        </w:rPr>
      </w:pPr>
    </w:p>
    <w:p>
      <w:pPr>
        <w:jc w:val="both"/>
        <w:ind w:firstLine="8"/>
        <w:spacing w:after="0" w:line="249" w:lineRule="auto"/>
        <w:tabs>
          <w:tab w:leader="none" w:pos="918"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at Tenant’s sole cost and expense, shall enter into an extermination contract with an exterminator reasonably approved by Landlord, which shall provide for monthly inspections of the Premises, and, if necessary or recommended, monthly exterminations of the Premises to Landlord’s reasonable satisfaction and shall cause all portions of the Premises used for the storage, preparation, service or consumption of food or beverages to be cleaned daily in a manner reasonably satisfactory to Landlord, and to be treated against infestation by insects, rodents and other vermin and pests whenever there is evidence of any infestation. Tenant shall not permit any person to enter the Premises for the purpose of providing such extermination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1" w:name="page242"/>
    <w:bookmarkEnd w:id="241"/>
    <w:p>
      <w:pPr>
        <w:spacing w:after="0" w:line="282" w:lineRule="auto"/>
        <w:rPr>
          <w:sz w:val="20"/>
          <w:szCs w:val="20"/>
          <w:color w:val="auto"/>
        </w:rPr>
      </w:pPr>
      <w:r>
        <w:rPr>
          <w:rFonts w:ascii="Times New Roman" w:cs="Times New Roman" w:eastAsia="Times New Roman" w:hAnsi="Times New Roman"/>
          <w:sz w:val="21"/>
          <w:szCs w:val="21"/>
          <w:color w:val="auto"/>
        </w:rPr>
        <w:t>services, unless such persons have been approved by Landlord. If requested by Landlord, Tenant shall, at Tenant’s sole cost and expense, store any refuse generated in the Premises by the consumption of food or beverages in a cold box or similar facility.</w:t>
      </w:r>
    </w:p>
    <w:p>
      <w:pPr>
        <w:spacing w:after="0" w:line="135" w:lineRule="exact"/>
        <w:rPr>
          <w:sz w:val="20"/>
          <w:szCs w:val="20"/>
          <w:color w:val="auto"/>
        </w:rPr>
      </w:pPr>
    </w:p>
    <w:p>
      <w:pPr>
        <w:ind w:firstLine="8"/>
        <w:spacing w:after="0" w:line="258" w:lineRule="auto"/>
        <w:tabs>
          <w:tab w:leader="none" w:pos="91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Electric vehicles may be charged using only electric vehicle charging stations installed for that purpose, and no other electrical outlets or connections at the Project may be used for charging vehicles of any kind.</w:t>
      </w:r>
    </w:p>
    <w:p>
      <w:pPr>
        <w:spacing w:after="0" w:line="158"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Firearms and any other items intended for use as weapons are not permitted in the Building(s) or at the Project.</w:t>
      </w:r>
    </w:p>
    <w:p>
      <w:pPr>
        <w:spacing w:after="0" w:line="206"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Landlord may waive any one or more of these Rules and Regulations for the benefit of Tenant, but no such waiver by Landlord shall be construed as a waiver of such Rules and Regulations in favor of Tenant, nor prevent Landlord from thereafter enforcing any such Rules and Regulations against Tenant. These Rules and Regulations are in addition to, and shall not be construed to in any way modify or amend, in whole or in part, the terms covenants, agreements and conditions of the Lease. Landlord reserves the right to make such other and reasonable additional rules and regulations as, in its judgment, may from time to time be needed for safety and security, the care and cleanliness of the Premises, or the preservation of good order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Tenant shall not be obligated to adhere to such additional rules or regulations until Landlord has provided Tenant with written notice thereof. Tenant agrees to abide by these Rules and Regulations and any such additional rules and regulations issued or adopted by Landlord. Tenant shall be responsible for the observance of these Rules and Regulations by all Tenant Parties.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90909"/>
        </w:rPr>
        <w:t>COVID-19 RULES AND REGULATIONS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help minimize the spread of the COVID-19 virus and maintain a safe and healthy work environment, Landlord has instituted the below rules and regulations (the “</w:t>
      </w:r>
      <w:r>
        <w:rPr>
          <w:rFonts w:ascii="Times New Roman" w:cs="Times New Roman" w:eastAsia="Times New Roman" w:hAnsi="Times New Roman"/>
          <w:sz w:val="22"/>
          <w:szCs w:val="22"/>
          <w:u w:val="single" w:color="auto"/>
          <w:color w:val="auto"/>
        </w:rPr>
        <w:t>COVID-19 Rules and Regulations</w:t>
      </w:r>
      <w:r>
        <w:rPr>
          <w:rFonts w:ascii="Times New Roman" w:cs="Times New Roman" w:eastAsia="Times New Roman" w:hAnsi="Times New Roman"/>
          <w:sz w:val="22"/>
          <w:szCs w:val="22"/>
          <w:color w:val="auto"/>
        </w:rPr>
        <w:t>”) as part of the Rules and Regulations. The COVID-19 Rules and Regulations are in effect until further notice from Landlord.</w:t>
      </w:r>
    </w:p>
    <w:p>
      <w:pPr>
        <w:spacing w:after="0" w:line="173" w:lineRule="exact"/>
        <w:rPr>
          <w:sz w:val="20"/>
          <w:szCs w:val="20"/>
          <w:color w:val="auto"/>
        </w:rPr>
      </w:pPr>
    </w:p>
    <w:p>
      <w:pPr>
        <w:ind w:left="860" w:hanging="852"/>
        <w:spacing w:after="0"/>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may not enter the Building/Property/Project if they are sick or experiencing flu-like symptoms.</w:t>
      </w:r>
    </w:p>
    <w:p>
      <w:pPr>
        <w:spacing w:after="0" w:line="206" w:lineRule="exact"/>
        <w:rPr>
          <w:rFonts w:ascii="Times New Roman" w:cs="Times New Roman" w:eastAsia="Times New Roman" w:hAnsi="Times New Roman"/>
          <w:sz w:val="22"/>
          <w:szCs w:val="22"/>
          <w:color w:val="auto"/>
        </w:rPr>
      </w:pPr>
    </w:p>
    <w:p>
      <w:pPr>
        <w:ind w:left="860" w:right="20" w:hanging="852"/>
        <w:spacing w:after="0" w:line="258" w:lineRule="auto"/>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have been ill or have displayed flu-like symptoms must follow all recommendations of the Centers for Disease Control (CDC) for symptomatic individuals prior to returning to the Building/Property/Project.</w:t>
      </w:r>
    </w:p>
    <w:p>
      <w:pPr>
        <w:spacing w:after="0" w:line="158" w:lineRule="exact"/>
        <w:rPr>
          <w:rFonts w:ascii="Times New Roman" w:cs="Times New Roman" w:eastAsia="Times New Roman" w:hAnsi="Times New Roman"/>
          <w:sz w:val="22"/>
          <w:szCs w:val="22"/>
          <w:color w:val="auto"/>
        </w:rPr>
      </w:pPr>
    </w:p>
    <w:p>
      <w:pPr>
        <w:ind w:left="860" w:hanging="852"/>
        <w:spacing w:after="0" w:line="258" w:lineRule="auto"/>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have been exposed to a known COVID-19-infected individual should not return to the Building/Property/Project until 14 days after their most recent exposure to that infected individual.</w:t>
      </w:r>
    </w:p>
    <w:p>
      <w:pPr>
        <w:spacing w:after="0" w:line="158" w:lineRule="exact"/>
        <w:rPr>
          <w:rFonts w:ascii="Times New Roman" w:cs="Times New Roman" w:eastAsia="Times New Roman" w:hAnsi="Times New Roman"/>
          <w:sz w:val="22"/>
          <w:szCs w:val="22"/>
          <w:color w:val="auto"/>
        </w:rPr>
      </w:pPr>
    </w:p>
    <w:p>
      <w:pPr>
        <w:ind w:left="860" w:hanging="852"/>
        <w:spacing w:after="0" w:line="258" w:lineRule="auto"/>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Common Areas, including elevators and parking garages, individuals must wear face coverings or masks, practice social distancing, and maintain six feet of separation from others as much as possible.</w:t>
      </w:r>
    </w:p>
    <w:p>
      <w:pPr>
        <w:spacing w:after="0" w:line="158" w:lineRule="exact"/>
        <w:rPr>
          <w:rFonts w:ascii="Times New Roman" w:cs="Times New Roman" w:eastAsia="Times New Roman" w:hAnsi="Times New Roman"/>
          <w:sz w:val="22"/>
          <w:szCs w:val="22"/>
          <w:color w:val="auto"/>
        </w:rPr>
      </w:pPr>
    </w:p>
    <w:p>
      <w:pPr>
        <w:ind w:left="860" w:hanging="852"/>
        <w:spacing w:after="0"/>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 gatherings are not allowed in Common Areas at this time.</w:t>
      </w:r>
    </w:p>
    <w:p>
      <w:pPr>
        <w:spacing w:after="0" w:line="206" w:lineRule="exact"/>
        <w:rPr>
          <w:rFonts w:ascii="Times New Roman" w:cs="Times New Roman" w:eastAsia="Times New Roman" w:hAnsi="Times New Roman"/>
          <w:sz w:val="22"/>
          <w:szCs w:val="22"/>
          <w:color w:val="auto"/>
        </w:rPr>
      </w:pPr>
    </w:p>
    <w:p>
      <w:pPr>
        <w:ind w:left="860" w:hanging="852"/>
        <w:spacing w:after="0" w:line="258" w:lineRule="auto"/>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must adhere to signage posted throughout the Building/Property/Project, including related to amenity closures or restrictions.</w:t>
      </w:r>
    </w:p>
    <w:p>
      <w:pPr>
        <w:spacing w:after="0" w:line="158" w:lineRule="exact"/>
        <w:rPr>
          <w:rFonts w:ascii="Times New Roman" w:cs="Times New Roman" w:eastAsia="Times New Roman" w:hAnsi="Times New Roman"/>
          <w:sz w:val="22"/>
          <w:szCs w:val="22"/>
          <w:color w:val="auto"/>
        </w:rPr>
      </w:pPr>
    </w:p>
    <w:p>
      <w:pPr>
        <w:ind w:left="860" w:right="20" w:hanging="852"/>
        <w:spacing w:after="0" w:line="258" w:lineRule="auto"/>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must clean up after themselves, wash hands frequently, and not leave trash or other personal items in Common Areas.</w:t>
      </w:r>
    </w:p>
    <w:p>
      <w:pPr>
        <w:spacing w:after="0" w:line="158" w:lineRule="exact"/>
        <w:rPr>
          <w:rFonts w:ascii="Times New Roman" w:cs="Times New Roman" w:eastAsia="Times New Roman" w:hAnsi="Times New Roman"/>
          <w:sz w:val="22"/>
          <w:szCs w:val="22"/>
          <w:color w:val="auto"/>
        </w:rPr>
      </w:pPr>
    </w:p>
    <w:p>
      <w:pPr>
        <w:jc w:val="both"/>
        <w:ind w:left="860" w:hanging="852"/>
        <w:spacing w:after="0" w:line="244" w:lineRule="auto"/>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must develop a COVID-19 remediation response plan for their Premises and share that plan with the Landlord. Additionally, tenants must share their re-emergence plan with Landlord and continue to provide Landlord with updates as their plan evolves.</w:t>
      </w:r>
    </w:p>
    <w:p>
      <w:pPr>
        <w:spacing w:after="0" w:line="173" w:lineRule="exact"/>
        <w:rPr>
          <w:rFonts w:ascii="Times New Roman" w:cs="Times New Roman" w:eastAsia="Times New Roman" w:hAnsi="Times New Roman"/>
          <w:sz w:val="22"/>
          <w:szCs w:val="22"/>
          <w:color w:val="auto"/>
        </w:rPr>
      </w:pPr>
    </w:p>
    <w:p>
      <w:pPr>
        <w:ind w:left="860" w:hanging="852"/>
        <w:spacing w:after="0" w:line="258" w:lineRule="auto"/>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shall monitor evolving CDC, state and local governmental guidelines, and educate their employees about new guidance and information, as needed.</w:t>
      </w:r>
    </w:p>
    <w:p>
      <w:pPr>
        <w:spacing w:after="0" w:line="158" w:lineRule="exact"/>
        <w:rPr>
          <w:rFonts w:ascii="Times New Roman" w:cs="Times New Roman" w:eastAsia="Times New Roman" w:hAnsi="Times New Roman"/>
          <w:sz w:val="22"/>
          <w:szCs w:val="22"/>
          <w:color w:val="auto"/>
        </w:rPr>
      </w:pPr>
    </w:p>
    <w:p>
      <w:pPr>
        <w:ind w:left="860" w:hanging="852"/>
        <w:spacing w:after="0" w:line="258" w:lineRule="auto"/>
        <w:tabs>
          <w:tab w:leader="none" w:pos="8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must promptly report known COVID-19 cases that have occurred at the Building/Property/Project to Landlord, but Tenant shall not be obligated to identify the name of the individual due to privacy or Applicable Laws.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[Intentionally Omitted]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4" w:name="page245"/>
    <w:bookmarkEnd w:id="244"/>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TENANT’S PROPERTY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86"/>
        </w:trPr>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80" w:type="dxa"/>
            <w:vAlign w:val="bottom"/>
            <w:gridSpan w:val="4"/>
          </w:tcPr>
          <w:p>
            <w:pPr>
              <w:jc w:val="center"/>
              <w:ind w:right="1960"/>
              <w:spacing w:after="0"/>
              <w:rPr>
                <w:sz w:val="20"/>
                <w:szCs w:val="20"/>
                <w:color w:val="auto"/>
              </w:rPr>
            </w:pPr>
            <w:r>
              <w:rPr>
                <w:rFonts w:ascii="Times New Roman" w:cs="Times New Roman" w:eastAsia="Times New Roman" w:hAnsi="Times New Roman"/>
                <w:sz w:val="22"/>
                <w:szCs w:val="22"/>
                <w:b w:val="1"/>
                <w:bCs w:val="1"/>
                <w:color w:val="auto"/>
                <w:w w:val="97"/>
              </w:rPr>
              <w:t>EXHIBIT I</w:t>
            </w:r>
          </w:p>
        </w:tc>
      </w:tr>
      <w:tr>
        <w:trPr>
          <w:trHeight w:val="407"/>
        </w:trPr>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80" w:type="dxa"/>
            <w:vAlign w:val="bottom"/>
            <w:gridSpan w:val="4"/>
          </w:tcPr>
          <w:p>
            <w:pPr>
              <w:jc w:val="center"/>
              <w:ind w:right="1920"/>
              <w:spacing w:after="0"/>
              <w:rPr>
                <w:sz w:val="20"/>
                <w:szCs w:val="20"/>
                <w:color w:val="auto"/>
              </w:rPr>
            </w:pPr>
            <w:r>
              <w:rPr>
                <w:rFonts w:ascii="Times New Roman" w:cs="Times New Roman" w:eastAsia="Times New Roman" w:hAnsi="Times New Roman"/>
                <w:sz w:val="22"/>
                <w:szCs w:val="22"/>
                <w:b w:val="1"/>
                <w:bCs w:val="1"/>
                <w:color w:val="auto"/>
                <w:w w:val="95"/>
              </w:rPr>
              <w:t>FORM OF ESTOPPEL CERTIFICATE</w:t>
            </w:r>
          </w:p>
        </w:tc>
      </w:tr>
      <w:tr>
        <w:trPr>
          <w:trHeight w:val="20"/>
        </w:trPr>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8820" w:type="dxa"/>
            <w:vAlign w:val="bottom"/>
            <w:gridSpan w:val="6"/>
          </w:tcPr>
          <w:p>
            <w:pPr>
              <w:ind w:left="360"/>
              <w:spacing w:after="0"/>
              <w:rPr>
                <w:sz w:val="20"/>
                <w:szCs w:val="20"/>
                <w:color w:val="auto"/>
              </w:rPr>
            </w:pPr>
            <w:r>
              <w:rPr>
                <w:rFonts w:ascii="Times New Roman" w:cs="Times New Roman" w:eastAsia="Times New Roman" w:hAnsi="Times New Roman"/>
                <w:sz w:val="22"/>
                <w:szCs w:val="22"/>
                <w:color w:val="auto"/>
              </w:rPr>
              <w:t>BMR-ONE RESEARCH WAY LLC</w:t>
            </w:r>
          </w:p>
        </w:tc>
      </w:tr>
      <w:tr>
        <w:trPr>
          <w:trHeight w:val="243"/>
        </w:trPr>
        <w:tc>
          <w:tcPr>
            <w:tcW w:w="580" w:type="dxa"/>
            <w:vAlign w:val="bottom"/>
          </w:tcPr>
          <w:p>
            <w:pPr>
              <w:spacing w:after="0"/>
              <w:rPr>
                <w:sz w:val="21"/>
                <w:szCs w:val="21"/>
                <w:color w:val="auto"/>
              </w:rPr>
            </w:pPr>
          </w:p>
        </w:tc>
        <w:tc>
          <w:tcPr>
            <w:tcW w:w="8820" w:type="dxa"/>
            <w:vAlign w:val="bottom"/>
            <w:gridSpan w:val="6"/>
          </w:tcPr>
          <w:p>
            <w:pPr>
              <w:ind w:left="300"/>
              <w:spacing w:after="0" w:line="243" w:lineRule="exact"/>
              <w:rPr>
                <w:sz w:val="20"/>
                <w:szCs w:val="20"/>
                <w:color w:val="auto"/>
              </w:rPr>
            </w:pPr>
            <w:r>
              <w:rPr>
                <w:rFonts w:ascii="Times New Roman" w:cs="Times New Roman" w:eastAsia="Times New Roman" w:hAnsi="Times New Roman"/>
                <w:sz w:val="22"/>
                <w:szCs w:val="22"/>
                <w:color w:val="auto"/>
              </w:rPr>
              <w:t>4570 Executive Drive, Suite 400</w:t>
            </w:r>
          </w:p>
        </w:tc>
      </w:tr>
      <w:tr>
        <w:trPr>
          <w:trHeight w:val="243"/>
        </w:trPr>
        <w:tc>
          <w:tcPr>
            <w:tcW w:w="580" w:type="dxa"/>
            <w:vAlign w:val="bottom"/>
          </w:tcPr>
          <w:p>
            <w:pPr>
              <w:spacing w:after="0"/>
              <w:rPr>
                <w:sz w:val="21"/>
                <w:szCs w:val="21"/>
                <w:color w:val="auto"/>
              </w:rPr>
            </w:pPr>
          </w:p>
        </w:tc>
        <w:tc>
          <w:tcPr>
            <w:tcW w:w="8820" w:type="dxa"/>
            <w:vAlign w:val="bottom"/>
            <w:gridSpan w:val="6"/>
          </w:tcPr>
          <w:p>
            <w:pPr>
              <w:ind w:left="300"/>
              <w:spacing w:after="0" w:line="243" w:lineRule="exact"/>
              <w:rPr>
                <w:sz w:val="20"/>
                <w:szCs w:val="20"/>
                <w:color w:val="auto"/>
              </w:rPr>
            </w:pPr>
            <w:r>
              <w:rPr>
                <w:rFonts w:ascii="Times New Roman" w:cs="Times New Roman" w:eastAsia="Times New Roman" w:hAnsi="Times New Roman"/>
                <w:sz w:val="22"/>
                <w:szCs w:val="22"/>
                <w:color w:val="auto"/>
              </w:rPr>
              <w:t>San Diego, California 92121</w:t>
            </w:r>
          </w:p>
        </w:tc>
      </w:tr>
      <w:tr>
        <w:trPr>
          <w:trHeight w:val="282"/>
        </w:trPr>
        <w:tc>
          <w:tcPr>
            <w:tcW w:w="580" w:type="dxa"/>
            <w:vAlign w:val="bottom"/>
          </w:tcPr>
          <w:p>
            <w:pPr>
              <w:spacing w:after="0"/>
              <w:rPr>
                <w:sz w:val="24"/>
                <w:szCs w:val="24"/>
                <w:color w:val="auto"/>
              </w:rPr>
            </w:pPr>
          </w:p>
        </w:tc>
        <w:tc>
          <w:tcPr>
            <w:tcW w:w="8820" w:type="dxa"/>
            <w:vAlign w:val="bottom"/>
            <w:gridSpan w:val="6"/>
          </w:tcPr>
          <w:p>
            <w:pPr>
              <w:ind w:left="300"/>
              <w:spacing w:after="0"/>
              <w:rPr>
                <w:sz w:val="20"/>
                <w:szCs w:val="20"/>
                <w:color w:val="auto"/>
              </w:rPr>
            </w:pPr>
            <w:r>
              <w:rPr>
                <w:rFonts w:ascii="Times New Roman" w:cs="Times New Roman" w:eastAsia="Times New Roman" w:hAnsi="Times New Roman"/>
                <w:sz w:val="22"/>
                <w:szCs w:val="22"/>
                <w:color w:val="auto"/>
              </w:rPr>
              <w:t>Attention: Legal Department</w:t>
            </w:r>
          </w:p>
        </w:tc>
      </w:tr>
      <w:tr>
        <w:trPr>
          <w:trHeight w:val="420"/>
        </w:trPr>
        <w:tc>
          <w:tcPr>
            <w:tcW w:w="580" w:type="dxa"/>
            <w:vAlign w:val="bottom"/>
          </w:tcPr>
          <w:p>
            <w:pPr>
              <w:spacing w:after="0"/>
              <w:rPr>
                <w:sz w:val="24"/>
                <w:szCs w:val="24"/>
                <w:color w:val="auto"/>
              </w:rPr>
            </w:pPr>
          </w:p>
        </w:tc>
        <w:tc>
          <w:tcPr>
            <w:tcW w:w="8820" w:type="dxa"/>
            <w:vAlign w:val="bottom"/>
            <w:gridSpan w:val="6"/>
          </w:tcPr>
          <w:p>
            <w:pPr>
              <w:ind w:left="300"/>
              <w:spacing w:after="0"/>
              <w:rPr>
                <w:sz w:val="20"/>
                <w:szCs w:val="20"/>
                <w:color w:val="auto"/>
              </w:rPr>
            </w:pPr>
            <w:r>
              <w:rPr>
                <w:rFonts w:ascii="Times New Roman" w:cs="Times New Roman" w:eastAsia="Times New Roman" w:hAnsi="Times New Roman"/>
                <w:sz w:val="22"/>
                <w:szCs w:val="22"/>
                <w:color w:val="auto"/>
              </w:rPr>
              <w:t>BioMed Realty, L.P.</w:t>
            </w:r>
          </w:p>
        </w:tc>
      </w:tr>
      <w:tr>
        <w:trPr>
          <w:trHeight w:val="243"/>
        </w:trPr>
        <w:tc>
          <w:tcPr>
            <w:tcW w:w="580" w:type="dxa"/>
            <w:vAlign w:val="bottom"/>
          </w:tcPr>
          <w:p>
            <w:pPr>
              <w:spacing w:after="0"/>
              <w:rPr>
                <w:sz w:val="21"/>
                <w:szCs w:val="21"/>
                <w:color w:val="auto"/>
              </w:rPr>
            </w:pPr>
          </w:p>
        </w:tc>
        <w:tc>
          <w:tcPr>
            <w:tcW w:w="8820" w:type="dxa"/>
            <w:vAlign w:val="bottom"/>
            <w:gridSpan w:val="6"/>
          </w:tcPr>
          <w:p>
            <w:pPr>
              <w:ind w:left="300"/>
              <w:spacing w:after="0" w:line="243" w:lineRule="exact"/>
              <w:rPr>
                <w:sz w:val="20"/>
                <w:szCs w:val="20"/>
                <w:color w:val="auto"/>
              </w:rPr>
            </w:pPr>
            <w:r>
              <w:rPr>
                <w:rFonts w:ascii="Times New Roman" w:cs="Times New Roman" w:eastAsia="Times New Roman" w:hAnsi="Times New Roman"/>
                <w:sz w:val="22"/>
                <w:szCs w:val="22"/>
                <w:color w:val="auto"/>
              </w:rPr>
              <w:t>4570 Executive Drive, Suite 400</w:t>
            </w:r>
          </w:p>
        </w:tc>
      </w:tr>
      <w:tr>
        <w:trPr>
          <w:trHeight w:val="282"/>
        </w:trPr>
        <w:tc>
          <w:tcPr>
            <w:tcW w:w="580" w:type="dxa"/>
            <w:vAlign w:val="bottom"/>
          </w:tcPr>
          <w:p>
            <w:pPr>
              <w:spacing w:after="0"/>
              <w:rPr>
                <w:sz w:val="24"/>
                <w:szCs w:val="24"/>
                <w:color w:val="auto"/>
              </w:rPr>
            </w:pPr>
          </w:p>
        </w:tc>
        <w:tc>
          <w:tcPr>
            <w:tcW w:w="8820" w:type="dxa"/>
            <w:vAlign w:val="bottom"/>
            <w:gridSpan w:val="6"/>
          </w:tcPr>
          <w:p>
            <w:pPr>
              <w:ind w:left="300"/>
              <w:spacing w:after="0"/>
              <w:rPr>
                <w:sz w:val="20"/>
                <w:szCs w:val="20"/>
                <w:color w:val="auto"/>
              </w:rPr>
            </w:pPr>
            <w:r>
              <w:rPr>
                <w:rFonts w:ascii="Times New Roman" w:cs="Times New Roman" w:eastAsia="Times New Roman" w:hAnsi="Times New Roman"/>
                <w:sz w:val="22"/>
                <w:szCs w:val="22"/>
                <w:color w:val="auto"/>
              </w:rPr>
              <w:t>San Diego, California 92121</w:t>
            </w: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Re:</w:t>
            </w:r>
          </w:p>
        </w:tc>
        <w:tc>
          <w:tcPr>
            <w:tcW w:w="8820" w:type="dxa"/>
            <w:vAlign w:val="bottom"/>
            <w:gridSpan w:val="6"/>
          </w:tcPr>
          <w:p>
            <w:pPr>
              <w:ind w:left="280"/>
              <w:spacing w:after="0"/>
              <w:rPr>
                <w:sz w:val="20"/>
                <w:szCs w:val="20"/>
                <w:color w:val="auto"/>
              </w:rPr>
            </w:pPr>
            <w:r>
              <w:rPr>
                <w:rFonts w:ascii="Times New Roman" w:cs="Times New Roman" w:eastAsia="Times New Roman" w:hAnsi="Times New Roman"/>
                <w:sz w:val="22"/>
                <w:szCs w:val="22"/>
                <w:color w:val="auto"/>
                <w:w w:val="97"/>
              </w:rPr>
              <w:t>One Research Way (the “Premises”) at One Research Way, Princeton, New Jersey (the “Property”)</w:t>
            </w:r>
          </w:p>
        </w:tc>
      </w:tr>
      <w:tr>
        <w:trPr>
          <w:trHeight w:val="20"/>
        </w:trPr>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tenant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hereby certifies to you as follows:</w:t>
      </w:r>
    </w:p>
    <w:p>
      <w:pPr>
        <w:spacing w:after="0" w:line="206" w:lineRule="exact"/>
        <w:rPr>
          <w:sz w:val="20"/>
          <w:szCs w:val="20"/>
          <w:color w:val="auto"/>
        </w:rPr>
      </w:pPr>
    </w:p>
    <w:p>
      <w:pPr>
        <w:jc w:val="both"/>
        <w:ind w:firstLine="8"/>
        <w:spacing w:after="0" w:line="239" w:lineRule="auto"/>
        <w:tabs>
          <w:tab w:leader="none" w:pos="81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a tenant at the Property under a lease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for the Premises dated as of [_______], 20[__]. The Lease has not been cancelled, modified, assigned, extended or amended [except as follows: [_______]], and there are no other agreements, written or oral, affecting or relating to Tenant’s lease of the Premises or any other space at the Property. The lease term expires on [_______], 20[__].</w:t>
      </w:r>
    </w:p>
    <w:p>
      <w:pPr>
        <w:spacing w:after="0" w:line="180"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took possession of the Premises, currently consisting of [_______] square feet, on [_______], 20[__], and commenced to pay rent on [_______], 20[__]. Tenant has full possession of the Premises, has not assigned the Lease or sublet any part of the Premises, and does not hold the Premises under an assignment or sublease[, except as follows: [_______]].</w:t>
      </w:r>
    </w:p>
    <w:p>
      <w:pPr>
        <w:spacing w:after="0" w:line="173"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base rent, rent escalations and additional rent under the Lease have been paid through [_______], 20[__]. There is no prepaid rent[, except $[_______]][, and the amount of security deposit is $[_______] [in cash][OR][in the form of a letter of credit]]. Tenant currently has no right to any future rent abatement under the Lease.</w:t>
      </w:r>
    </w:p>
    <w:p>
      <w:pPr>
        <w:spacing w:after="0" w:line="173"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rent is currently payable in the amount of $[_______] per month.</w:t>
      </w:r>
    </w:p>
    <w:p>
      <w:pPr>
        <w:spacing w:after="0" w:line="206" w:lineRule="exact"/>
        <w:rPr>
          <w:rFonts w:ascii="Times New Roman" w:cs="Times New Roman" w:eastAsia="Times New Roman" w:hAnsi="Times New Roman"/>
          <w:sz w:val="22"/>
          <w:szCs w:val="22"/>
          <w:color w:val="auto"/>
        </w:rPr>
      </w:pPr>
    </w:p>
    <w:p>
      <w:pPr>
        <w:ind w:firstLine="8"/>
        <w:spacing w:after="0" w:line="258" w:lineRule="auto"/>
        <w:tabs>
          <w:tab w:leader="none" w:pos="81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currently paying estimated payments of additional rent of $[_______] per month on account of real estate taxes, insurance, management fees and maintenance expenses.</w:t>
      </w:r>
    </w:p>
    <w:p>
      <w:pPr>
        <w:spacing w:after="0" w:line="158"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to be performed for Tenant under the Lease has been performed as required under the Lease and has been accepted by Tenant[, except [_______]], and all allowances to be paid to Tenant, including allowances for tenant improvements, moving expenses or other items, have been paid.</w:t>
      </w:r>
    </w:p>
    <w:p>
      <w:pPr>
        <w:spacing w:after="0" w:line="173"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in full force and effect, free from default and free from any event that could become a default under the Lease, and Tenant has no claims against the landlord or offsets or defenses against rent, and there are no disputes with the landlord. Tenant has received no notice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2"/>
          <w:szCs w:val="22"/>
          <w:color w:val="auto"/>
        </w:rPr>
        <w:t>of prior sale, transfer, assignment, hypothecation or pledge of the Lease or of the rents payable thereunder[, except [_______]].</w:t>
      </w:r>
    </w:p>
    <w:p>
      <w:pPr>
        <w:spacing w:after="0" w:line="206" w:lineRule="exact"/>
        <w:rPr>
          <w:sz w:val="20"/>
          <w:szCs w:val="20"/>
          <w:color w:val="auto"/>
        </w:rPr>
      </w:pPr>
    </w:p>
    <w:p>
      <w:pPr>
        <w:ind w:left="820" w:hanging="812"/>
        <w:spacing w:after="0"/>
        <w:tabs>
          <w:tab w:leader="none" w:pos="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rights or options to purchase the Property.</w:t>
      </w:r>
    </w:p>
    <w:p>
      <w:pPr>
        <w:spacing w:after="0" w:line="206" w:lineRule="exact"/>
        <w:rPr>
          <w:rFonts w:ascii="Times New Roman" w:cs="Times New Roman" w:eastAsia="Times New Roman" w:hAnsi="Times New Roman"/>
          <w:sz w:val="22"/>
          <w:szCs w:val="22"/>
          <w:color w:val="auto"/>
        </w:rPr>
      </w:pPr>
    </w:p>
    <w:p>
      <w:pPr>
        <w:ind w:firstLine="8"/>
        <w:spacing w:after="0" w:line="258" w:lineRule="auto"/>
        <w:tabs>
          <w:tab w:leader="none" w:pos="81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Tenant’s knowledge, no hazardous wastes have been generated, treated, stored or disposed of by or on behalf of Tenant in, on or around the Premises in violation of any environmental laws.</w:t>
      </w:r>
    </w:p>
    <w:p>
      <w:pPr>
        <w:spacing w:after="0" w:line="158" w:lineRule="exact"/>
        <w:rPr>
          <w:rFonts w:ascii="Times New Roman" w:cs="Times New Roman" w:eastAsia="Times New Roman" w:hAnsi="Times New Roman"/>
          <w:sz w:val="22"/>
          <w:szCs w:val="22"/>
          <w:color w:val="auto"/>
        </w:rPr>
      </w:pPr>
    </w:p>
    <w:p>
      <w:pPr>
        <w:jc w:val="both"/>
        <w:ind w:firstLine="8"/>
        <w:spacing w:after="0" w:line="236" w:lineRule="auto"/>
        <w:tabs>
          <w:tab w:leader="none" w:pos="91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executed this Estoppel Certificate with the knowledge and understanding that [INSERT NAME OF LANDLORD, PURCHASER OR LENDER, AS APPROPRIATE] or its assignee is [acquiring the Property/making a loan secured by the Property] in reliance on this certificate and that the undersigned shall be bound by this certificate. The statements contained herein may be relied upon by [INSERT NAME OF PURCHASER OR LENDER, AS APPROPRIATE], BMR-One Research Way LLC, BioMed Realty, L.P., [BRE Edison L.P.][OR][BRE Edison II LP], and any [other ]mortgagee of the Property and their respective successors and assigns.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capitalized terms not defined herein shall have the respective meanings given in the Lease.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[____] day of [_______], 20[__].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10795</wp:posOffset>
            </wp:positionV>
            <wp:extent cx="23399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-3810</wp:posOffset>
            </wp:positionV>
            <wp:extent cx="23399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-3810</wp:posOffset>
            </wp:positionV>
            <wp:extent cx="23399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FORRESTAL CENTER SIGNAGE CRITERIA</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J-1</w:t>
      </w:r>
    </w:p>
    <w:p>
      <w:pPr>
        <w:sectPr>
          <w:pgSz w:w="11900" w:h="16838" w:orient="portrait"/>
          <w:cols w:equalWidth="0" w:num="1">
            <w:col w:w="9019"/>
          </w:cols>
          <w:pgMar w:left="1440" w:top="540" w:right="1440"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333-249094) pertaining to the 2013 Equity Incentive Plan, 2020 Equity Incentive Plan and 2020 Employee Stock Purchase Plan of PMV Pharmaceuticals, Inc. of our report dated March 3, 2021, with respect to the financial statements of PMV Pharmaceuticals, Inc. included in this Annual Report (Form 10-K) for the year ended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2021</w:t>
      </w:r>
    </w:p>
    <w:p>
      <w:pPr>
        <w:sectPr>
          <w:pgSz w:w="11900" w:h="16838" w:orient="portrait"/>
          <w:cols w:equalWidth="0" w:num="1">
            <w:col w:w="11240"/>
          </w:cols>
          <w:pgMar w:left="320" w:top="117"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198" w:lineRule="exact"/>
        <w:rPr>
          <w:sz w:val="20"/>
          <w:szCs w:val="20"/>
          <w:color w:val="auto"/>
        </w:rPr>
      </w:pPr>
    </w:p>
    <w:p>
      <w:pPr>
        <w:ind w:left="400" w:hanging="392"/>
        <w:spacing w:after="0"/>
        <w:tabs>
          <w:tab w:leader="none" w:pos="4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184" w:lineRule="exact"/>
        <w:rPr>
          <w:rFonts w:ascii="Times New Roman" w:cs="Times New Roman" w:eastAsia="Times New Roman" w:hAnsi="Times New Roman"/>
          <w:sz w:val="18"/>
          <w:szCs w:val="18"/>
          <w:color w:val="auto"/>
        </w:rPr>
      </w:pPr>
    </w:p>
    <w:p>
      <w:pPr>
        <w:jc w:val="both"/>
        <w:ind w:left="400" w:right="100" w:hanging="392"/>
        <w:spacing w:after="0" w:line="266" w:lineRule="auto"/>
        <w:tabs>
          <w:tab w:leader="none" w:pos="4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00" w:right="340" w:hanging="392"/>
        <w:spacing w:after="0" w:line="282" w:lineRule="auto"/>
        <w:tabs>
          <w:tab w:leader="none" w:pos="4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00" w:right="360" w:hanging="392"/>
        <w:spacing w:after="0" w:line="266" w:lineRule="auto"/>
        <w:tabs>
          <w:tab w:leader="none" w:pos="4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800" w:right="240" w:hanging="401"/>
        <w:spacing w:after="0" w:line="266" w:lineRule="auto"/>
        <w:tabs>
          <w:tab w:leader="none" w:pos="8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800" w:right="720" w:hanging="401"/>
        <w:spacing w:after="0" w:line="312" w:lineRule="auto"/>
        <w:tabs>
          <w:tab w:leader="none" w:pos="80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800" w:right="280" w:hanging="401"/>
        <w:spacing w:after="0" w:line="266" w:lineRule="auto"/>
        <w:tabs>
          <w:tab w:leader="none" w:pos="8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00" w:right="280" w:hanging="392"/>
        <w:spacing w:after="0" w:line="282" w:lineRule="auto"/>
        <w:tabs>
          <w:tab w:leader="none" w:pos="4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00" w:right="140" w:hanging="401"/>
        <w:spacing w:after="0" w:line="282" w:lineRule="auto"/>
        <w:tabs>
          <w:tab w:leader="none" w:pos="8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800" w:right="120" w:hanging="401"/>
        <w:spacing w:after="0" w:line="282" w:lineRule="auto"/>
        <w:tabs>
          <w:tab w:leader="none" w:pos="8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2021</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Mack</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H. Mack, Ph.D.</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198" w:lineRule="exact"/>
        <w:rPr>
          <w:sz w:val="20"/>
          <w:szCs w:val="20"/>
          <w:color w:val="auto"/>
        </w:rPr>
      </w:pPr>
    </w:p>
    <w:p>
      <w:pPr>
        <w:ind w:left="400" w:hanging="392"/>
        <w:spacing w:after="0"/>
        <w:tabs>
          <w:tab w:leader="none" w:pos="4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184" w:lineRule="exact"/>
        <w:rPr>
          <w:rFonts w:ascii="Times New Roman" w:cs="Times New Roman" w:eastAsia="Times New Roman" w:hAnsi="Times New Roman"/>
          <w:sz w:val="18"/>
          <w:szCs w:val="18"/>
          <w:color w:val="auto"/>
        </w:rPr>
      </w:pPr>
    </w:p>
    <w:p>
      <w:pPr>
        <w:jc w:val="both"/>
        <w:ind w:left="400" w:right="100" w:hanging="392"/>
        <w:spacing w:after="0" w:line="266" w:lineRule="auto"/>
        <w:tabs>
          <w:tab w:leader="none" w:pos="4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00" w:right="340" w:hanging="392"/>
        <w:spacing w:after="0" w:line="282" w:lineRule="auto"/>
        <w:tabs>
          <w:tab w:leader="none" w:pos="4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00" w:right="360" w:hanging="392"/>
        <w:spacing w:after="0" w:line="266" w:lineRule="auto"/>
        <w:tabs>
          <w:tab w:leader="none" w:pos="4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800" w:right="240" w:hanging="401"/>
        <w:spacing w:after="0" w:line="266" w:lineRule="auto"/>
        <w:tabs>
          <w:tab w:leader="none" w:pos="8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800" w:right="720" w:hanging="401"/>
        <w:spacing w:after="0" w:line="312" w:lineRule="auto"/>
        <w:tabs>
          <w:tab w:leader="none" w:pos="80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800" w:right="280" w:hanging="401"/>
        <w:spacing w:after="0" w:line="266" w:lineRule="auto"/>
        <w:tabs>
          <w:tab w:leader="none" w:pos="8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00" w:right="280" w:hanging="392"/>
        <w:spacing w:after="0" w:line="282" w:lineRule="auto"/>
        <w:tabs>
          <w:tab w:leader="none" w:pos="4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00" w:right="140" w:hanging="401"/>
        <w:spacing w:after="0" w:line="282" w:lineRule="auto"/>
        <w:tabs>
          <w:tab w:leader="none" w:pos="8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800" w:right="120" w:hanging="401"/>
        <w:spacing w:after="0" w:line="282" w:lineRule="auto"/>
        <w:tabs>
          <w:tab w:leader="none" w:pos="8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2021</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Winston Kung</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Winston Kung</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jc w:val="both"/>
        <w:ind w:firstLine="83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year ended December 31, 2020 as filed with the Securities and Exchange Commission on the date hereof (the “Report”), I, David H. Mack, hereby certify, pursuant to 18 U.S.C. § 1350, as adopted pursuant to § 906 of the Sarbanes-Oxley Act of 2002, that:</w:t>
      </w:r>
    </w:p>
    <w:p>
      <w:pPr>
        <w:spacing w:after="0" w:line="203" w:lineRule="exact"/>
        <w:rPr>
          <w:sz w:val="20"/>
          <w:szCs w:val="20"/>
          <w:color w:val="auto"/>
        </w:rPr>
      </w:pPr>
    </w:p>
    <w:p>
      <w:pPr>
        <w:ind w:left="1240" w:hanging="409"/>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240" w:hanging="409"/>
        <w:spacing w:after="0" w:line="282"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2021</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Mack</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H. Mack, Ph.D.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60"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jc w:val="both"/>
        <w:ind w:firstLine="83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year ended December 31, 2020 as filed with the Securities and Exchange Commission on the date hereof (the “Report”), I, Winston Kung, hereby certify, pursuant to 18 U.S.C. § 1350, as adopted pursuant to § 906 of the Sarbanes-Oxley Act of 2002, that:</w:t>
      </w:r>
    </w:p>
    <w:p>
      <w:pPr>
        <w:spacing w:after="0" w:line="203" w:lineRule="exact"/>
        <w:rPr>
          <w:sz w:val="20"/>
          <w:szCs w:val="20"/>
          <w:color w:val="auto"/>
        </w:rPr>
      </w:pPr>
    </w:p>
    <w:p>
      <w:pPr>
        <w:ind w:left="1240" w:hanging="409"/>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240" w:hanging="409"/>
        <w:spacing w:after="0" w:line="282"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2021</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Winston Kung</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Winston Kung</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w:t>
            </w:r>
          </w:p>
        </w:tc>
      </w:tr>
      <w:tr>
        <w:trPr>
          <w:trHeight w:val="216"/>
        </w:trPr>
        <w:tc>
          <w:tcPr>
            <w:tcW w:w="7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1)"/>
      <w:numFmt w:val="decimal"/>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1)"/>
      <w:numFmt w:val="decimal"/>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1)"/>
      <w:numFmt w:val="decimal"/>
      <w:start w:val="2"/>
    </w:lvl>
  </w:abstractNum>
  <w:abstractNum w:abstractNumId="17">
    <w:nsid w:val="1716703B"/>
    <w:multiLevelType w:val="hybridMultilevel"/>
    <w:lvl w:ilvl="0">
      <w:lvlJc w:val="left"/>
      <w:lvlText w:val="(%1)"/>
      <w:numFmt w:val="decimal"/>
      <w:start w:val="609"/>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
      <w:numFmt w:val="bullet"/>
      <w:start w:val="1"/>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
      <w:numFmt w:val="bullet"/>
      <w:start w:val="1"/>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
      <w:numFmt w:val="bullet"/>
      <w:start w:val="1"/>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
      <w:numFmt w:val="bullet"/>
      <w:start w:val="1"/>
    </w:lvl>
  </w:abstractNum>
  <w:abstractNum w:abstractNumId="55">
    <w:nsid w:val="1D545C4D"/>
    <w:multiLevelType w:val="hybridMultilevel"/>
    <w:lvl w:ilvl="0">
      <w:lvlJc w:val="left"/>
      <w:lvlText w:val="•"/>
      <w:numFmt w:val="bullet"/>
      <w:start w:val="1"/>
    </w:lvl>
  </w:abstractNum>
  <w:abstractNum w:abstractNumId="56">
    <w:nsid w:val="59ADEA3D"/>
    <w:multiLevelType w:val="hybridMultilevel"/>
    <w:lvl w:ilvl="0">
      <w:lvlJc w:val="left"/>
      <w:lvlText w:val="•"/>
      <w:numFmt w:val="bullet"/>
      <w:start w:val="1"/>
    </w:lvl>
  </w:abstractNum>
  <w:abstractNum w:abstractNumId="57">
    <w:nsid w:val="288F1A34"/>
    <w:multiLevelType w:val="hybridMultilevel"/>
    <w:lvl w:ilvl="0">
      <w:lvlJc w:val="left"/>
      <w:lvlText w:val="•"/>
      <w:numFmt w:val="bullet"/>
      <w:start w:val="1"/>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
      <w:numFmt w:val="bullet"/>
      <w:start w:val="1"/>
    </w:lvl>
  </w:abstractNum>
  <w:abstractNum w:abstractNumId="60">
    <w:nsid w:val="97E1B4E"/>
    <w:multiLevelType w:val="hybridMultilevel"/>
    <w:lvl w:ilvl="0">
      <w:lvlJc w:val="left"/>
      <w:lvlText w:val="(%1)"/>
      <w:numFmt w:val="decimal"/>
      <w:start w:val="1"/>
    </w:lvl>
  </w:abstractNum>
  <w:abstractNum w:abstractNumId="61">
    <w:nsid w:val="51088277"/>
    <w:multiLevelType w:val="hybridMultilevel"/>
    <w:lvl w:ilvl="0">
      <w:lvlJc w:val="left"/>
      <w:lvlText w:val="(%1)"/>
      <w:numFmt w:val="decimal"/>
      <w:start w:val="1"/>
    </w:lvl>
  </w:abstractNum>
  <w:abstractNum w:abstractNumId="62">
    <w:nsid w:val="1CA0C5FA"/>
    <w:multiLevelType w:val="hybridMultilevel"/>
    <w:lvl w:ilvl="0">
      <w:lvlJc w:val="left"/>
      <w:lvlText w:val="•"/>
      <w:numFmt w:val="bullet"/>
      <w:start w:val="1"/>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
      <w:numFmt w:val="bullet"/>
      <w:start w:val="1"/>
    </w:lvl>
  </w:abstractNum>
  <w:abstractNum w:abstractNumId="65">
    <w:nsid w:val="7C58FD05"/>
    <w:multiLevelType w:val="hybridMultilevel"/>
    <w:lvl w:ilvl="0">
      <w:lvlJc w:val="left"/>
      <w:lvlText w:val="•"/>
      <w:numFmt w:val="bullet"/>
      <w:start w:val="1"/>
    </w:lvl>
  </w:abstractNum>
  <w:abstractNum w:abstractNumId="66">
    <w:nsid w:val="23D86AAC"/>
    <w:multiLevelType w:val="hybridMultilevel"/>
    <w:lvl w:ilvl="0">
      <w:lvlJc w:val="left"/>
      <w:lvlText w:val="•"/>
      <w:numFmt w:val="bullet"/>
      <w:start w:val="1"/>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
      <w:numFmt w:val="bullet"/>
      <w:start w:val="1"/>
    </w:lvl>
  </w:abstractNum>
  <w:abstractNum w:abstractNumId="69">
    <w:nsid w:val="E7FFA2B"/>
    <w:multiLevelType w:val="hybridMultilevel"/>
    <w:lvl w:ilvl="0">
      <w:lvlJc w:val="left"/>
      <w:lvlText w:val="•"/>
      <w:numFmt w:val="bullet"/>
      <w:start w:val="1"/>
    </w:lvl>
  </w:abstractNum>
  <w:abstractNum w:abstractNumId="70">
    <w:nsid w:val="3C5991AA"/>
    <w:multiLevelType w:val="hybridMultilevel"/>
    <w:lvl w:ilvl="0">
      <w:lvlJc w:val="left"/>
      <w:lvlText w:val="%1."/>
      <w:numFmt w:val="decimal"/>
      <w:start w:val="1"/>
    </w:lvl>
  </w:abstractNum>
  <w:abstractNum w:abstractNumId="71">
    <w:nsid w:val="4BD8591A"/>
    <w:multiLevelType w:val="hybridMultilevel"/>
    <w:lvl w:ilvl="0">
      <w:lvlJc w:val="left"/>
      <w:lvlText w:val="•"/>
      <w:numFmt w:val="bullet"/>
      <w:start w:val="1"/>
    </w:lvl>
  </w:abstractNum>
  <w:abstractNum w:abstractNumId="72">
    <w:nsid w:val="78DF6A55"/>
    <w:multiLevelType w:val="hybridMultilevel"/>
    <w:lvl w:ilvl="0">
      <w:lvlJc w:val="left"/>
      <w:lvlText w:val="*"/>
      <w:numFmt w:val="bullet"/>
      <w:start w:val="1"/>
    </w:lvl>
  </w:abstractNum>
  <w:abstractNum w:abstractNumId="73">
    <w:nsid w:val="39B7AAA2"/>
    <w:multiLevelType w:val="hybridMultilevel"/>
    <w:lvl w:ilvl="0">
      <w:lvlJc w:val="left"/>
      <w:lvlText w:val="+"/>
      <w:numFmt w:val="bullet"/>
      <w:start w:val="1"/>
    </w:lvl>
  </w:abstractNum>
  <w:abstractNum w:abstractNumId="74">
    <w:nsid w:val="2B0D8DBE"/>
    <w:multiLevelType w:val="hybridMultilevel"/>
    <w:lvl w:ilvl="0">
      <w:lvlJc w:val="left"/>
      <w:lvlText w:val="#"/>
      <w:numFmt w:val="bullet"/>
      <w:start w:val="1"/>
    </w:lvl>
  </w:abstractNum>
  <w:abstractNum w:abstractNumId="75">
    <w:nsid w:val="6C80EC70"/>
    <w:multiLevelType w:val="hybridMultilevel"/>
    <w:lvl w:ilvl="0">
      <w:lvlJc w:val="left"/>
      <w:lvlText w:val="%1."/>
      <w:numFmt w:val="upperLetter"/>
      <w:start w:val="1"/>
    </w:lvl>
  </w:abstractNum>
  <w:abstractNum w:abstractNumId="76">
    <w:nsid w:val="379E21B5"/>
    <w:multiLevelType w:val="hybridMultilevel"/>
    <w:lvl w:ilvl="0">
      <w:lvlJc w:val="left"/>
      <w:lvlText w:val="%1."/>
      <w:numFmt w:val="decimal"/>
      <w:start w:val="1"/>
    </w:lvl>
  </w:abstractNum>
  <w:abstractNum w:abstractNumId="77">
    <w:nsid w:val="69E373"/>
    <w:multiLevelType w:val="hybridMultilevel"/>
    <w:lvl w:ilvl="0">
      <w:lvlJc w:val="left"/>
      <w:lvlText w:val="%1."/>
      <w:numFmt w:val="decimal"/>
      <w:start w:val="3"/>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decimal"/>
      <w:start w:val="5"/>
    </w:lvl>
  </w:abstractNum>
  <w:abstractNum w:abstractNumId="80">
    <w:nsid w:val="6AA7B75C"/>
    <w:multiLevelType w:val="hybridMultilevel"/>
    <w:lvl w:ilvl="0">
      <w:lvlJc w:val="left"/>
      <w:lvlText w:val="%1."/>
      <w:numFmt w:val="decimal"/>
      <w:start w:val="6"/>
    </w:lvl>
  </w:abstractNum>
  <w:abstractNum w:abstractNumId="81">
    <w:nsid w:val="1DF029D3"/>
    <w:multiLevelType w:val="hybridMultilevel"/>
    <w:lvl w:ilvl="0">
      <w:lvlJc w:val="left"/>
      <w:lvlText w:val="%1."/>
      <w:numFmt w:val="decimal"/>
      <w:start w:val="7"/>
    </w:lvl>
  </w:abstractNum>
  <w:abstractNum w:abstractNumId="82">
    <w:nsid w:val="5675FF36"/>
    <w:multiLevelType w:val="hybridMultilevel"/>
    <w:lvl w:ilvl="0">
      <w:lvlJc w:val="left"/>
      <w:lvlText w:val="%1."/>
      <w:numFmt w:val="decimal"/>
      <w:start w:val="8"/>
    </w:lvl>
  </w:abstractNum>
  <w:abstractNum w:abstractNumId="83">
    <w:nsid w:val="3DD15094"/>
    <w:multiLevelType w:val="hybridMultilevel"/>
    <w:lvl w:ilvl="0">
      <w:lvlJc w:val="left"/>
      <w:lvlText w:val="%1."/>
      <w:numFmt w:val="decimal"/>
      <w:start w:val="9"/>
    </w:lvl>
  </w:abstractNum>
  <w:abstractNum w:abstractNumId="84">
    <w:nsid w:val="3DB012B3"/>
    <w:multiLevelType w:val="hybridMultilevel"/>
    <w:lvl w:ilvl="0">
      <w:lvlJc w:val="left"/>
      <w:lvlText w:val="(%1)"/>
      <w:numFmt w:val="lowerLetter"/>
      <w:start w:val="1"/>
    </w:lvl>
  </w:abstractNum>
  <w:abstractNum w:abstractNumId="85">
    <w:nsid w:val="2708C9AF"/>
    <w:multiLevelType w:val="hybridMultilevel"/>
    <w:lvl w:ilvl="0">
      <w:lvlJc w:val="left"/>
      <w:lvlText w:val="%1"/>
      <w:numFmt w:val="decimal"/>
      <w:start w:val="1"/>
    </w:lvl>
    <w:lvl w:ilvl="1">
      <w:lvlJc w:val="left"/>
      <w:lvlText w:val="(%2)"/>
      <w:numFmt w:val="lowerLetter"/>
      <w:start w:val="2"/>
    </w:lvl>
  </w:abstractNum>
  <w:abstractNum w:abstractNumId="86">
    <w:nsid w:val="5B25ACE2"/>
    <w:multiLevelType w:val="hybridMultilevel"/>
    <w:lvl w:ilvl="0">
      <w:lvlJc w:val="left"/>
      <w:lvlText w:val="(%1)"/>
      <w:numFmt w:val="decimal"/>
      <w:start w:val="5"/>
    </w:lvl>
    <w:lvl w:ilvl="1">
      <w:lvlJc w:val="left"/>
      <w:lvlText w:val="%2"/>
      <w:numFmt w:val="lowerLetter"/>
      <w:start w:val="1"/>
    </w:lvl>
  </w:abstractNum>
  <w:abstractNum w:abstractNumId="87">
    <w:nsid w:val="175DFCF0"/>
    <w:multiLevelType w:val="hybridMultilevel"/>
    <w:lvl w:ilvl="0">
      <w:lvlJc w:val="left"/>
      <w:lvlText w:val="%1."/>
      <w:numFmt w:val="decimal"/>
      <w:start w:val="11"/>
    </w:lvl>
  </w:abstractNum>
  <w:abstractNum w:abstractNumId="88">
    <w:nsid w:val="4F97E3E4"/>
    <w:multiLevelType w:val="hybridMultilevel"/>
    <w:lvl w:ilvl="0">
      <w:lvlJc w:val="left"/>
      <w:lvlText w:val="%1."/>
      <w:numFmt w:val="decimal"/>
      <w:start w:val="12"/>
    </w:lvl>
  </w:abstractNum>
  <w:abstractNum w:abstractNumId="89">
    <w:nsid w:val="53B0A9E"/>
    <w:multiLevelType w:val="hybridMultilevel"/>
    <w:lvl w:ilvl="0">
      <w:lvlJc w:val="left"/>
      <w:lvlText w:val="%1."/>
      <w:numFmt w:val="decimal"/>
      <w:start w:val="13"/>
    </w:lvl>
  </w:abstractNum>
  <w:abstractNum w:abstractNumId="90">
    <w:nsid w:val="34FD6B4F"/>
    <w:multiLevelType w:val="hybridMultilevel"/>
    <w:lvl w:ilvl="0">
      <w:lvlJc w:val="left"/>
      <w:lvlText w:val="%1."/>
      <w:numFmt w:val="decimal"/>
      <w:start w:val="14"/>
    </w:lvl>
  </w:abstractNum>
  <w:abstractNum w:abstractNumId="91">
    <w:nsid w:val="5915FF32"/>
    <w:multiLevelType w:val="hybridMultilevel"/>
    <w:lvl w:ilvl="0">
      <w:lvlJc w:val="left"/>
      <w:lvlText w:val="(%1)"/>
      <w:numFmt w:val="lowerLetter"/>
      <w:start w:val="2"/>
    </w:lvl>
  </w:abstractNum>
  <w:abstractNum w:abstractNumId="92">
    <w:nsid w:val="56438D15"/>
    <w:multiLevelType w:val="hybridMultilevel"/>
    <w:lvl w:ilvl="0">
      <w:lvlJc w:val="left"/>
      <w:lvlText w:val="%1."/>
      <w:numFmt w:val="decimal"/>
      <w:start w:val="16"/>
    </w:lvl>
  </w:abstractNum>
  <w:abstractNum w:abstractNumId="93">
    <w:nsid w:val="519E3149"/>
    <w:multiLevelType w:val="hybridMultilevel"/>
    <w:lvl w:ilvl="0">
      <w:lvlJc w:val="left"/>
      <w:lvlText w:val="(%1)"/>
      <w:numFmt w:val="decimal"/>
      <w:start w:val="60"/>
    </w:lvl>
  </w:abstractNum>
  <w:abstractNum w:abstractNumId="94">
    <w:nsid w:val="2C6E4AFD"/>
    <w:multiLevelType w:val="hybridMultilevel"/>
    <w:lvl w:ilvl="0">
      <w:lvlJc w:val="left"/>
      <w:lvlText w:val="%1."/>
      <w:numFmt w:val="decimal"/>
      <w:start w:val="17"/>
    </w:lvl>
  </w:abstractNum>
  <w:abstractNum w:abstractNumId="95">
    <w:nsid w:val="17A1B582"/>
    <w:multiLevelType w:val="hybridMultilevel"/>
    <w:lvl w:ilvl="0">
      <w:lvlJc w:val="left"/>
      <w:lvlText w:val="%1."/>
      <w:numFmt w:val="decimal"/>
      <w:start w:val="18"/>
    </w:lvl>
  </w:abstractNum>
  <w:abstractNum w:abstractNumId="96">
    <w:nsid w:val="4DF72E4E"/>
    <w:multiLevelType w:val="hybridMultilevel"/>
    <w:lvl w:ilvl="0">
      <w:lvlJc w:val="left"/>
      <w:lvlText w:val="%1."/>
      <w:numFmt w:val="decimal"/>
      <w:start w:val="19"/>
    </w:lvl>
  </w:abstractNum>
  <w:abstractNum w:abstractNumId="97">
    <w:nsid w:val="5046B5A9"/>
    <w:multiLevelType w:val="hybridMultilevel"/>
    <w:lvl w:ilvl="0">
      <w:lvlJc w:val="left"/>
      <w:lvlText w:val="%1."/>
      <w:numFmt w:val="decimal"/>
      <w:start w:val="20"/>
    </w:lvl>
  </w:abstractNum>
  <w:abstractNum w:abstractNumId="98">
    <w:nsid w:val="5D888A08"/>
    <w:multiLevelType w:val="hybridMultilevel"/>
    <w:lvl w:ilvl="0">
      <w:lvlJc w:val="left"/>
      <w:lvlText w:val="(%1)"/>
      <w:numFmt w:val="lowerLetter"/>
      <w:start w:val="4"/>
    </w:lvl>
  </w:abstractNum>
  <w:abstractNum w:abstractNumId="99">
    <w:nsid w:val="2A082C70"/>
    <w:multiLevelType w:val="hybridMultilevel"/>
    <w:lvl w:ilvl="0">
      <w:lvlJc w:val="left"/>
      <w:lvlText w:val="%1."/>
      <w:numFmt w:val="decimal"/>
      <w:start w:val="21"/>
    </w:lvl>
  </w:abstractNum>
  <w:abstractNum w:abstractNumId="100">
    <w:nsid w:val="5EC6AFD4"/>
    <w:multiLevelType w:val="hybridMultilevel"/>
    <w:lvl w:ilvl="0">
      <w:lvlJc w:val="left"/>
      <w:lvlText w:val="%1."/>
      <w:numFmt w:val="decimal"/>
      <w:start w:val="22"/>
    </w:lvl>
  </w:abstractNum>
  <w:abstractNum w:abstractNumId="101">
    <w:nsid w:val="19E21BB2"/>
    <w:multiLevelType w:val="hybridMultilevel"/>
    <w:lvl w:ilvl="0">
      <w:lvlJc w:val="left"/>
      <w:lvlText w:val="(%1)"/>
      <w:numFmt w:val="lowerLetter"/>
      <w:start w:val="1"/>
    </w:lvl>
  </w:abstractNum>
  <w:abstractNum w:abstractNumId="102">
    <w:nsid w:val="75E0858A"/>
    <w:multiLevelType w:val="hybridMultilevel"/>
    <w:lvl w:ilvl="0">
      <w:lvlJc w:val="left"/>
      <w:lvlText w:val="%1."/>
      <w:numFmt w:val="decimal"/>
      <w:start w:val="23"/>
    </w:lvl>
  </w:abstractNum>
  <w:abstractNum w:abstractNumId="103">
    <w:nsid w:val="57A61A29"/>
    <w:multiLevelType w:val="hybridMultilevel"/>
    <w:lvl w:ilvl="0">
      <w:lvlJc w:val="left"/>
      <w:lvlText w:val="%1."/>
      <w:numFmt w:val="decimal"/>
      <w:start w:val="24"/>
    </w:lvl>
  </w:abstractNum>
  <w:abstractNum w:abstractNumId="104">
    <w:nsid w:val="5399C654"/>
    <w:multiLevelType w:val="hybridMultilevel"/>
    <w:lvl w:ilvl="0">
      <w:lvlJc w:val="left"/>
      <w:lvlText w:val="%1."/>
      <w:numFmt w:val="decimal"/>
      <w:start w:val="25"/>
    </w:lvl>
  </w:abstractNum>
  <w:abstractNum w:abstractNumId="105">
    <w:nsid w:val="20EE1348"/>
    <w:multiLevelType w:val="hybridMultilevel"/>
    <w:lvl w:ilvl="0">
      <w:lvlJc w:val="left"/>
      <w:lvlText w:val="(%1)"/>
      <w:numFmt w:val="decimal"/>
      <w:start w:val="10"/>
    </w:lvl>
  </w:abstractNum>
  <w:abstractNum w:abstractNumId="106">
    <w:nsid w:val="4427069A"/>
    <w:multiLevelType w:val="hybridMultilevel"/>
    <w:lvl w:ilvl="0">
      <w:lvlJc w:val="left"/>
      <w:lvlText w:val="(%1)"/>
      <w:numFmt w:val="decimal"/>
      <w:start w:val="30"/>
    </w:lvl>
  </w:abstractNum>
  <w:abstractNum w:abstractNumId="107">
    <w:nsid w:val="B37E80A"/>
    <w:multiLevelType w:val="hybridMultilevel"/>
    <w:lvl w:ilvl="0">
      <w:lvlJc w:val="left"/>
      <w:lvlText w:val="%1."/>
      <w:numFmt w:val="decimal"/>
      <w:start w:val="26"/>
    </w:lvl>
  </w:abstractNum>
  <w:abstractNum w:abstractNumId="108">
    <w:nsid w:val="2157F6BC"/>
    <w:multiLevelType w:val="hybridMultilevel"/>
    <w:lvl w:ilvl="0">
      <w:lvlJc w:val="left"/>
      <w:lvlText w:val="%1."/>
      <w:numFmt w:val="decimal"/>
      <w:start w:val="27"/>
    </w:lvl>
  </w:abstractNum>
  <w:abstractNum w:abstractNumId="109">
    <w:nsid w:val="704E1DD5"/>
    <w:multiLevelType w:val="hybridMultilevel"/>
    <w:lvl w:ilvl="0">
      <w:lvlJc w:val="left"/>
      <w:lvlText w:val="%1."/>
      <w:numFmt w:val="decimal"/>
      <w:start w:val="28"/>
    </w:lvl>
  </w:abstractNum>
  <w:abstractNum w:abstractNumId="110">
    <w:nsid w:val="57D2F10E"/>
    <w:multiLevelType w:val="hybridMultilevel"/>
    <w:lvl w:ilvl="0">
      <w:lvlJc w:val="left"/>
      <w:lvlText w:val="(%1)"/>
      <w:numFmt w:val="lowerLetter"/>
      <w:start w:val="1"/>
    </w:lvl>
  </w:abstractNum>
  <w:abstractNum w:abstractNumId="111">
    <w:nsid w:val="BFFAE18"/>
    <w:multiLevelType w:val="hybridMultilevel"/>
    <w:lvl w:ilvl="0">
      <w:lvlJc w:val="left"/>
      <w:lvlText w:val="(%1)"/>
      <w:numFmt w:val="lowerLetter"/>
      <w:start w:val="3"/>
    </w:lvl>
  </w:abstractNum>
  <w:abstractNum w:abstractNumId="112">
    <w:nsid w:val="E3E47A8"/>
    <w:multiLevelType w:val="hybridMultilevel"/>
    <w:lvl w:ilvl="0">
      <w:lvlJc w:val="left"/>
      <w:lvlText w:val="(%1)"/>
      <w:numFmt w:val="lowerLetter"/>
      <w:start w:val="13"/>
    </w:lvl>
  </w:abstractNum>
  <w:abstractNum w:abstractNumId="113">
    <w:nsid w:val="2E48F044"/>
    <w:multiLevelType w:val="hybridMultilevel"/>
    <w:lvl w:ilvl="0">
      <w:lvlJc w:val="left"/>
      <w:lvlText w:val="%1."/>
      <w:numFmt w:val="decimal"/>
      <w:start w:val="29"/>
    </w:lvl>
  </w:abstractNum>
  <w:abstractNum w:abstractNumId="114">
    <w:nsid w:val="49D0FEAC"/>
    <w:multiLevelType w:val="hybridMultilevel"/>
    <w:lvl w:ilvl="0">
      <w:lvlJc w:val="left"/>
      <w:lvlText w:val="%1."/>
      <w:numFmt w:val="decimal"/>
      <w:start w:val="30"/>
    </w:lvl>
  </w:abstractNum>
  <w:abstractNum w:abstractNumId="115">
    <w:nsid w:val="4BEE5A5B"/>
    <w:multiLevelType w:val="hybridMultilevel"/>
    <w:lvl w:ilvl="0">
      <w:lvlJc w:val="left"/>
      <w:lvlText w:val="(%1)"/>
      <w:numFmt w:val="decimal"/>
      <w:start w:val="3"/>
    </w:lvl>
  </w:abstractNum>
  <w:abstractNum w:abstractNumId="116">
    <w:nsid w:val="5551B9F3"/>
    <w:multiLevelType w:val="hybridMultilevel"/>
    <w:lvl w:ilvl="0">
      <w:lvlJc w:val="left"/>
      <w:lvlText w:val="(%1)"/>
      <w:numFmt w:val="lowerLetter"/>
      <w:start w:val="1"/>
    </w:lvl>
  </w:abstractNum>
  <w:abstractNum w:abstractNumId="117">
    <w:nsid w:val="24F6AB8E"/>
    <w:multiLevelType w:val="hybridMultilevel"/>
    <w:lvl w:ilvl="0">
      <w:lvlJc w:val="left"/>
      <w:lvlText w:val="(%1)"/>
      <w:numFmt w:val="lowerLetter"/>
      <w:start w:val="4"/>
    </w:lvl>
  </w:abstractNum>
  <w:abstractNum w:abstractNumId="118">
    <w:nsid w:val="634C574C"/>
    <w:multiLevelType w:val="hybridMultilevel"/>
    <w:lvl w:ilvl="0">
      <w:lvlJc w:val="left"/>
      <w:lvlText w:val="(%1)"/>
      <w:numFmt w:val="lowerLetter"/>
      <w:start w:val="1"/>
    </w:lvl>
  </w:abstractNum>
  <w:abstractNum w:abstractNumId="119">
    <w:nsid w:val="24E99DD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0">
    <w:nsid w:val="2A31B62D"/>
    <w:multiLevelType w:val="hybridMultilevel"/>
    <w:lvl w:ilvl="0">
      <w:lvlJc w:val="left"/>
      <w:lvlText w:val="(%1)"/>
      <w:numFmt w:val="lowerLetter"/>
      <w:start w:val="1"/>
    </w:lvl>
  </w:abstractNum>
  <w:abstractNum w:abstractNumId="121">
    <w:nsid w:val="1849C29B"/>
    <w:multiLevelType w:val="hybridMultilevel"/>
    <w:lvl w:ilvl="0">
      <w:lvlJc w:val="left"/>
      <w:lvlText w:val="(%1)"/>
      <w:numFmt w:val="lowerLetter"/>
      <w:start w:val="1"/>
    </w:lvl>
  </w:abstractNum>
  <w:abstractNum w:abstractNumId="122">
    <w:nsid w:val="7DFF9D09"/>
    <w:multiLevelType w:val="hybridMultilevel"/>
    <w:lvl w:ilvl="0">
      <w:lvlJc w:val="left"/>
      <w:lvlText w:val="(%1)"/>
      <w:numFmt w:val="lowerLetter"/>
      <w:start w:val="4"/>
    </w:lvl>
  </w:abstractNum>
  <w:abstractNum w:abstractNumId="123">
    <w:nsid w:val="754342"/>
    <w:multiLevelType w:val="hybridMultilevel"/>
    <w:lvl w:ilvl="0">
      <w:lvlJc w:val="left"/>
      <w:lvlText w:val="%1."/>
      <w:numFmt w:val="decimal"/>
      <w:start w:val="31"/>
    </w:lvl>
  </w:abstractNum>
  <w:abstractNum w:abstractNumId="124">
    <w:nsid w:val="69E7F3E5"/>
    <w:multiLevelType w:val="hybridMultilevel"/>
    <w:lvl w:ilvl="0">
      <w:lvlJc w:val="left"/>
      <w:lvlText w:val="%1."/>
      <w:numFmt w:val="decimal"/>
      <w:start w:val="32"/>
    </w:lvl>
  </w:abstractNum>
  <w:abstractNum w:abstractNumId="125">
    <w:nsid w:val="2A6DE806"/>
    <w:multiLevelType w:val="hybridMultilevel"/>
    <w:lvl w:ilvl="0">
      <w:lvlJc w:val="left"/>
      <w:lvlText w:val="%1."/>
      <w:numFmt w:val="decimal"/>
      <w:start w:val="33"/>
    </w:lvl>
  </w:abstractNum>
  <w:abstractNum w:abstractNumId="126">
    <w:nsid w:val="1816F8C4"/>
    <w:multiLevelType w:val="hybridMultilevel"/>
    <w:lvl w:ilvl="0">
      <w:lvlJc w:val="left"/>
      <w:lvlText w:val="%1."/>
      <w:numFmt w:val="decimal"/>
      <w:start w:val="35"/>
    </w:lvl>
  </w:abstractNum>
  <w:abstractNum w:abstractNumId="127">
    <w:nsid w:val="37DF2233"/>
    <w:multiLevelType w:val="hybridMultilevel"/>
    <w:lvl w:ilvl="0">
      <w:lvlJc w:val="left"/>
      <w:lvlText w:val="%1."/>
      <w:numFmt w:val="decimal"/>
      <w:start w:val="36"/>
    </w:lvl>
  </w:abstractNum>
  <w:abstractNum w:abstractNumId="128">
    <w:nsid w:val="7AB49DAF"/>
    <w:multiLevelType w:val="hybridMultilevel"/>
    <w:lvl w:ilvl="0">
      <w:lvlJc w:val="left"/>
      <w:lvlText w:val="%1."/>
      <w:numFmt w:val="decimal"/>
      <w:start w:val="38"/>
    </w:lvl>
  </w:abstractNum>
  <w:abstractNum w:abstractNumId="129">
    <w:nsid w:val="759F82CD"/>
    <w:multiLevelType w:val="hybridMultilevel"/>
    <w:lvl w:ilvl="0">
      <w:lvlJc w:val="left"/>
      <w:lvlText w:val="%1."/>
      <w:numFmt w:val="decimal"/>
      <w:start w:val="40"/>
    </w:lvl>
  </w:abstractNum>
  <w:abstractNum w:abstractNumId="130">
    <w:nsid w:val="61E74EA3"/>
    <w:multiLevelType w:val="hybridMultilevel"/>
    <w:lvl w:ilvl="0">
      <w:lvlJc w:val="left"/>
      <w:lvlText w:val="%1."/>
      <w:numFmt w:val="decimal"/>
      <w:start w:val="41"/>
    </w:lvl>
  </w:abstractNum>
  <w:abstractNum w:abstractNumId="131">
    <w:nsid w:val="597B4D84"/>
    <w:multiLevelType w:val="hybridMultilevel"/>
    <w:lvl w:ilvl="0">
      <w:lvlJc w:val="left"/>
      <w:lvlText w:val="(%1)"/>
      <w:numFmt w:val="lowerLetter"/>
      <w:start w:val="1"/>
    </w:lvl>
  </w:abstractNum>
  <w:abstractNum w:abstractNumId="132">
    <w:nsid w:val="F819E7F"/>
    <w:multiLevelType w:val="hybridMultilevel"/>
    <w:lvl w:ilvl="0">
      <w:lvlJc w:val="left"/>
      <w:lvlText w:val="%1."/>
      <w:numFmt w:val="decimal"/>
      <w:start w:val="1"/>
    </w:lvl>
  </w:abstractNum>
  <w:abstractNum w:abstractNumId="133">
    <w:nsid w:val="57C7D42D"/>
    <w:multiLevelType w:val="hybridMultilevel"/>
    <w:lvl w:ilvl="0">
      <w:lvlJc w:val="left"/>
      <w:lvlText w:val="(%1)"/>
      <w:numFmt w:val="lowerLetter"/>
      <w:start w:val="1"/>
    </w:lvl>
  </w:abstractNum>
  <w:abstractNum w:abstractNumId="134">
    <w:nsid w:val="312167AD"/>
    <w:multiLevelType w:val="hybridMultilevel"/>
    <w:lvl w:ilvl="0">
      <w:lvlJc w:val="left"/>
      <w:lvlText w:val="%1."/>
      <w:numFmt w:val="decimal"/>
      <w:start w:val="2"/>
    </w:lvl>
  </w:abstractNum>
  <w:abstractNum w:abstractNumId="135">
    <w:nsid w:val="631B64D4"/>
    <w:multiLevelType w:val="hybridMultilevel"/>
    <w:lvl w:ilvl="0">
      <w:lvlJc w:val="left"/>
      <w:lvlText w:val="(%1)"/>
      <w:numFmt w:val="lowerLetter"/>
      <w:start w:val="1"/>
    </w:lvl>
  </w:abstractNum>
  <w:abstractNum w:abstractNumId="136">
    <w:nsid w:val="78B5E776"/>
    <w:multiLevelType w:val="hybridMultilevel"/>
    <w:lvl w:ilvl="0">
      <w:lvlJc w:val="left"/>
      <w:lvlText w:val="%1"/>
      <w:numFmt w:val="decimal"/>
      <w:start w:val="1"/>
    </w:lvl>
    <w:lvl w:ilvl="1">
      <w:lvlJc w:val="left"/>
      <w:lvlText w:val="(%2)"/>
      <w:numFmt w:val="lowerLetter"/>
      <w:start w:val="2"/>
    </w:lvl>
  </w:abstractNum>
  <w:abstractNum w:abstractNumId="137">
    <w:nsid w:val="75486E47"/>
    <w:multiLevelType w:val="hybridMultilevel"/>
    <w:lvl w:ilvl="0">
      <w:lvlJc w:val="left"/>
      <w:lvlText w:val="(%1)"/>
      <w:numFmt w:val="decimal"/>
      <w:start w:val="5"/>
    </w:lvl>
    <w:lvl w:ilvl="1">
      <w:lvlJc w:val="left"/>
      <w:lvlText w:val="%2"/>
      <w:numFmt w:val="lowerLetter"/>
      <w:start w:val="1"/>
    </w:lvl>
  </w:abstractNum>
  <w:abstractNum w:abstractNumId="138">
    <w:nsid w:val="6E534CDE"/>
    <w:multiLevelType w:val="hybridMultilevel"/>
    <w:lvl w:ilvl="0">
      <w:lvlJc w:val="left"/>
      <w:lvlText w:val="%1."/>
      <w:numFmt w:val="decimal"/>
      <w:start w:val="3"/>
    </w:lvl>
  </w:abstractNum>
  <w:abstractNum w:abstractNumId="139">
    <w:nsid w:val="1A0DDE32"/>
    <w:multiLevelType w:val="hybridMultilevel"/>
    <w:lvl w:ilvl="0">
      <w:lvlJc w:val="left"/>
      <w:lvlText w:val="%1."/>
      <w:numFmt w:val="decimal"/>
      <w:start w:val="4"/>
    </w:lvl>
  </w:abstractNum>
  <w:abstractNum w:abstractNumId="140">
    <w:nsid w:val="65968C1C"/>
    <w:multiLevelType w:val="hybridMultilevel"/>
    <w:lvl w:ilvl="0">
      <w:lvlJc w:val="left"/>
      <w:lvlText w:val="%1."/>
      <w:numFmt w:val="decimal"/>
      <w:start w:val="5"/>
    </w:lvl>
  </w:abstractNum>
  <w:abstractNum w:abstractNumId="141">
    <w:nsid w:val="46263DEC"/>
    <w:multiLevelType w:val="hybridMultilevel"/>
    <w:lvl w:ilvl="0">
      <w:lvlJc w:val="left"/>
      <w:lvlText w:val="%1."/>
      <w:numFmt w:val="decimal"/>
      <w:start w:val="7"/>
    </w:lvl>
  </w:abstractNum>
  <w:abstractNum w:abstractNumId="142">
    <w:nsid w:val="260D8C4A"/>
    <w:multiLevelType w:val="hybridMultilevel"/>
    <w:lvl w:ilvl="0">
      <w:lvlJc w:val="left"/>
      <w:lvlText w:val="%1."/>
      <w:numFmt w:val="decimal"/>
      <w:start w:val="1"/>
    </w:lvl>
    <w:lvl w:ilvl="1">
      <w:lvlJc w:val="left"/>
      <w:lvlText w:val="%2."/>
      <w:numFmt w:val="lowerLetter"/>
      <w:start w:val="1"/>
    </w:lvl>
  </w:abstractNum>
  <w:abstractNum w:abstractNumId="143">
    <w:nsid w:val="73D4D3C4"/>
    <w:multiLevelType w:val="hybridMultilevel"/>
    <w:lvl w:ilvl="0">
      <w:lvlJc w:val="left"/>
      <w:lvlText w:val="%1"/>
      <w:numFmt w:val="decimal"/>
      <w:start w:val="1"/>
    </w:lvl>
    <w:lvl w:ilvl="1">
      <w:lvlJc w:val="left"/>
      <w:lvlText w:val="%2."/>
      <w:numFmt w:val="lowerLetter"/>
      <w:start w:val="5"/>
    </w:lvl>
  </w:abstractNum>
  <w:abstractNum w:abstractNumId="144">
    <w:nsid w:val="746F2E30"/>
    <w:multiLevelType w:val="hybridMultilevel"/>
    <w:lvl w:ilvl="0">
      <w:lvlJc w:val="left"/>
      <w:lvlText w:val="%1."/>
      <w:numFmt w:val="decimal"/>
      <w:start w:val="2"/>
    </w:lvl>
    <w:lvl w:ilvl="1">
      <w:lvlJc w:val="left"/>
      <w:lvlText w:val="%2"/>
      <w:numFmt w:val="lowerLetter"/>
      <w:start w:val="1"/>
    </w:lvl>
  </w:abstractNum>
  <w:abstractNum w:abstractNumId="145">
    <w:nsid w:val="6FDE8AF6"/>
    <w:multiLevelType w:val="hybridMultilevel"/>
    <w:lvl w:ilvl="0">
      <w:lvlJc w:val="left"/>
      <w:lvlText w:val="%1."/>
      <w:numFmt w:val="decimal"/>
      <w:start w:val="3"/>
    </w:lvl>
  </w:abstractNum>
  <w:abstractNum w:abstractNumId="146">
    <w:nsid w:val="3FC32E20"/>
    <w:multiLevelType w:val="hybridMultilevel"/>
    <w:lvl w:ilvl="0">
      <w:lvlJc w:val="left"/>
      <w:lvlText w:val="%1."/>
      <w:numFmt w:val="decimal"/>
      <w:start w:val="1"/>
    </w:lvl>
  </w:abstractNum>
  <w:abstractNum w:abstractNumId="147">
    <w:nsid w:val="49C0E823"/>
    <w:multiLevelType w:val="hybridMultilevel"/>
    <w:lvl w:ilvl="0">
      <w:lvlJc w:val="left"/>
      <w:lvlText w:val="%1."/>
      <w:numFmt w:val="decimal"/>
      <w:start w:val="9"/>
    </w:lvl>
  </w:abstractNum>
  <w:abstractNum w:abstractNumId="148">
    <w:nsid w:val="14D53685"/>
    <w:multiLevelType w:val="hybridMultilevel"/>
    <w:lvl w:ilvl="0">
      <w:lvlJc w:val="left"/>
      <w:lvlText w:val="%1."/>
      <w:numFmt w:val="decimal"/>
      <w:start w:val="1"/>
    </w:lvl>
  </w:abstractNum>
  <w:abstractNum w:abstractNumId="149">
    <w:nsid w:val="230F856C"/>
    <w:multiLevelType w:val="hybridMultilevel"/>
    <w:lvl w:ilvl="0">
      <w:lvlJc w:val="left"/>
      <w:lvlText w:val="%1."/>
      <w:numFmt w:val="decimal"/>
      <w:start w:val="8"/>
    </w:lvl>
  </w:abstractNum>
  <w:abstractNum w:abstractNumId="150">
    <w:nsid w:val="6EAA85FB"/>
    <w:multiLevelType w:val="hybridMultilevel"/>
    <w:lvl w:ilvl="0">
      <w:lvlJc w:val="left"/>
      <w:lvlText w:val="%1."/>
      <w:numFmt w:val="decimal"/>
      <w:start w:val="19"/>
    </w:lvl>
  </w:abstractNum>
  <w:abstractNum w:abstractNumId="151">
    <w:nsid w:val="3F06ECB2"/>
    <w:multiLevelType w:val="hybridMultilevel"/>
    <w:lvl w:ilvl="0">
      <w:lvlJc w:val="left"/>
      <w:lvlText w:val="%1."/>
      <w:numFmt w:val="decimal"/>
      <w:start w:val="1"/>
    </w:lvl>
  </w:abstractNum>
  <w:abstractNum w:abstractNumId="152">
    <w:nsid w:val="3B594807"/>
    <w:multiLevelType w:val="hybridMultilevel"/>
    <w:lvl w:ilvl="0">
      <w:lvlJc w:val="left"/>
      <w:lvlText w:val="%1."/>
      <w:numFmt w:val="decimal"/>
      <w:start w:val="1"/>
    </w:lvl>
  </w:abstractNum>
  <w:abstractNum w:abstractNumId="153">
    <w:nsid w:val="6CAA2304"/>
    <w:multiLevelType w:val="hybridMultilevel"/>
    <w:lvl w:ilvl="0">
      <w:lvlJc w:val="left"/>
      <w:lvlText w:val="%1."/>
      <w:numFmt w:val="decimal"/>
      <w:start w:val="8"/>
    </w:lvl>
  </w:abstractNum>
  <w:abstractNum w:abstractNumId="154">
    <w:nsid w:val="3F7C2FF4"/>
    <w:multiLevelType w:val="hybridMultilevel"/>
    <w:lvl w:ilvl="0">
      <w:lvlJc w:val="left"/>
      <w:lvlText w:val="%1."/>
      <w:numFmt w:val="decimal"/>
      <w:start w:val="1"/>
    </w:lvl>
    <w:lvl w:ilvl="1">
      <w:lvlJc w:val="left"/>
      <w:lvlText w:val="(%2)"/>
      <w:numFmt w:val="lowerLetter"/>
      <w:start w:val="1"/>
    </w:lvl>
  </w:abstractNum>
  <w:abstractNum w:abstractNumId="155">
    <w:nsid w:val="25413BEC"/>
    <w:multiLevelType w:val="hybridMultilevel"/>
    <w:lvl w:ilvl="0">
      <w:lvlJc w:val="left"/>
      <w:lvlText w:val="%1."/>
      <w:numFmt w:val="decimal"/>
      <w:start w:val="1"/>
    </w:lvl>
    <w:lvl w:ilvl="1">
      <w:lvlJc w:val="left"/>
      <w:lvlText w:val="(%2)"/>
      <w:numFmt w:val="lowerLetter"/>
      <w:start w:val="1"/>
    </w:lvl>
  </w:abstractNum>
  <w:abstractNum w:abstractNumId="156">
    <w:nsid w:val="17180B0B"/>
    <w:multiLevelType w:val="hybridMultilevel"/>
    <w:lvl w:ilvl="0">
      <w:lvlJc w:val="left"/>
      <w:lvlText w:val="%1."/>
      <w:numFmt w:val="decimal"/>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204"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188" Type="http://schemas.openxmlformats.org/officeDocument/2006/relationships/hyperlink" Target="http://www.sec.gov/Archives/edgar/data/1699382/000119312520257820/d95525dex31.htm" TargetMode="External"/><Relationship Id="rId189" Type="http://schemas.openxmlformats.org/officeDocument/2006/relationships/hyperlink" Target="http://www.sec.gov/Archives/edgar/data/1699382/000119312520257820/d95525dex32.htm" TargetMode="External"/><Relationship Id="rId190" Type="http://schemas.openxmlformats.org/officeDocument/2006/relationships/hyperlink" Target="http://www.sec.gov/Archives/edgar/data/0001699382/000119312520240132/d922470dex41.htm" TargetMode="External"/><Relationship Id="rId191" Type="http://schemas.openxmlformats.org/officeDocument/2006/relationships/hyperlink" Target="http://www.sec.gov/Archives/edgar/data/0001699382/000119312520249570/d922470dex42.htm" TargetMode="External"/><Relationship Id="rId192" Type="http://schemas.openxmlformats.org/officeDocument/2006/relationships/hyperlink" Target="http://www.sec.gov/Archives/edgar/data/0001699382/000119312520240132/d922470dex101.htm" TargetMode="External"/><Relationship Id="rId193" Type="http://schemas.openxmlformats.org/officeDocument/2006/relationships/hyperlink" Target="http://www.sec.gov/Archives/edgar/data/0001699382/000119312520249570/d922470dex102.htm" TargetMode="External"/><Relationship Id="rId194" Type="http://schemas.openxmlformats.org/officeDocument/2006/relationships/hyperlink" Target="http://www.sec.gov/Archives/edgar/data/0001699382/000119312520249570/d922470dex103.htm" TargetMode="External"/><Relationship Id="rId195" Type="http://schemas.openxmlformats.org/officeDocument/2006/relationships/hyperlink" Target="http://www.sec.gov/Archives/edgar/data/0001699382/000119312520249570/d922470dex104.htm" TargetMode="External"/><Relationship Id="rId196" Type="http://schemas.openxmlformats.org/officeDocument/2006/relationships/hyperlink" Target="http://www.sec.gov/Archives/edgar/data/0001699382/000119312520240132/d922470dex105.htm" TargetMode="External"/><Relationship Id="rId197" Type="http://schemas.openxmlformats.org/officeDocument/2006/relationships/hyperlink" Target="http://www.sec.gov/Archives/edgar/data/0001699382/000119312520240132/d922470dex106.htm" TargetMode="External"/><Relationship Id="rId198" Type="http://schemas.openxmlformats.org/officeDocument/2006/relationships/hyperlink" Target="http://www.sec.gov/Archives/edgar/data/0001699382/000119312520240132/d922470dex107.htm" TargetMode="External"/><Relationship Id="rId199" Type="http://schemas.openxmlformats.org/officeDocument/2006/relationships/hyperlink" Target="http://www.sec.gov/Archives/edgar/data/0001699382/000119312520240132/d922470dex108.htm" TargetMode="External"/><Relationship Id="rId200" Type="http://schemas.openxmlformats.org/officeDocument/2006/relationships/hyperlink" Target="http://www.sec.gov/Archives/edgar/data/0001699382/000119312520240132/d922470dex109.htm" TargetMode="External"/><Relationship Id="rId201" Type="http://schemas.openxmlformats.org/officeDocument/2006/relationships/hyperlink" Target="http://www.sec.gov/Archives/edgar/data/0001699382/000119312520240132/d922470dex1010.htm" TargetMode="External"/><Relationship Id="rId202" Type="http://schemas.openxmlformats.org/officeDocument/2006/relationships/hyperlink" Target="http://www.sec.gov/Archives/edgar/data/0001699382/000119312520240132/d922470dex1011.htm" TargetMode="External"/><Relationship Id="rId203" Type="http://schemas.openxmlformats.org/officeDocument/2006/relationships/hyperlink" Target="http://www.sec.gov/Archives/edgar/data/0001699382/000119312520240132/d922470dex1012.htm" TargetMode="External"/><Relationship Id="rId205" Type="http://schemas.openxmlformats.org/officeDocument/2006/relationships/hyperlink" Target="http://www.sec.gov/Archives/edgar/data/0001699382/000119312520240132/d922470dex1013.htm" TargetMode="External"/><Relationship Id="rId206" Type="http://schemas.openxmlformats.org/officeDocument/2006/relationships/hyperlink" Target="http://www.sec.gov/Archives/edgar/data/0001699382/000119312520240132/d922470dex1014.htm" TargetMode="External"/><Relationship Id="rId207" Type="http://schemas.openxmlformats.org/officeDocument/2006/relationships/hyperlink" Target="http://www.sec.gov/Archives/edgar/data/0001699382/000119312520249570/d922470dex1015.htm" TargetMode="External"/><Relationship Id="rId208" Type="http://schemas.openxmlformats.org/officeDocument/2006/relationships/hyperlink" Target="http://www.sec.gov/Archives/edgar/data/0001699382/000119312520240132/d922470dex1016.htm" TargetMode="External"/><Relationship Id="rId209" Type="http://schemas.openxmlformats.org/officeDocument/2006/relationships/hyperlink" Target="http://www.sec.gov/Archives/edgar/data/0001699382/000119312520240132/d922470dex1017.htm" TargetMode="External"/><Relationship Id="rId210" Type="http://schemas.openxmlformats.org/officeDocument/2006/relationships/hyperlink" Target="http://www.sec.gov/Archives/edgar/data/0001699382/000119312520240132/d922470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2021-03-03T15:21:59Z</dcterms:created>
  <dcterms:modified xsi:type="dcterms:W3CDTF">2021-03-03T15:21:59Z</dcterms:modified>
</cp:coreProperties>
</file>