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534035</wp:posOffset>
            </wp:positionH>
            <wp:positionV relativeFrom="page">
              <wp:posOffset>286385</wp:posOffset>
            </wp:positionV>
            <wp:extent cx="6806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303530</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 w:lineRule="exact"/>
        <w:rPr>
          <w:sz w:val="24"/>
          <w:szCs w:val="24"/>
          <w:color w:val="auto"/>
        </w:rPr>
      </w:pPr>
    </w:p>
    <w:p>
      <w:pPr>
        <w:ind w:left="3880" w:right="1620" w:hanging="3859"/>
        <w:spacing w:after="0" w:line="329"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98"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620" w:type="dxa"/>
        <w:tblCellMar>
          <w:top w:w="0" w:type="dxa"/>
          <w:left w:w="0" w:type="dxa"/>
          <w:bottom w:w="0" w:type="dxa"/>
          <w:right w:w="0" w:type="dxa"/>
        </w:tblCellMar>
      </w:tblPr>
      <w:tr>
        <w:trPr>
          <w:trHeight w:val="227"/>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46-3218129</w:t>
            </w:r>
          </w:p>
        </w:tc>
        <w:tc>
          <w:tcPr>
            <w:tcW w:w="0" w:type="dxa"/>
            <w:vAlign w:val="bottom"/>
          </w:tcPr>
          <w:p>
            <w:pPr>
              <w:spacing w:after="0"/>
              <w:rPr>
                <w:sz w:val="1"/>
                <w:szCs w:val="1"/>
                <w:color w:val="auto"/>
              </w:rPr>
            </w:pPr>
          </w:p>
        </w:tc>
      </w:tr>
      <w:tr>
        <w:trPr>
          <w:trHeight w:val="148"/>
        </w:trPr>
        <w:tc>
          <w:tcPr>
            <w:tcW w:w="432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71"/>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rPr>
              <w:t>8 Clarke Drive, Suite 3</w:t>
            </w:r>
          </w:p>
        </w:tc>
        <w:tc>
          <w:tcPr>
            <w:tcW w:w="306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08512</w:t>
            </w:r>
          </w:p>
        </w:tc>
        <w:tc>
          <w:tcPr>
            <w:tcW w:w="0" w:type="dxa"/>
            <w:vAlign w:val="bottom"/>
          </w:tcPr>
          <w:p>
            <w:pPr>
              <w:spacing w:after="0"/>
              <w:rPr>
                <w:sz w:val="1"/>
                <w:szCs w:val="1"/>
                <w:color w:val="auto"/>
              </w:rPr>
            </w:pPr>
          </w:p>
        </w:tc>
      </w:tr>
      <w:tr>
        <w:trPr>
          <w:trHeight w:val="227"/>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Cranbury, NJ</w:t>
            </w:r>
          </w:p>
        </w:tc>
        <w:tc>
          <w:tcPr>
            <w:tcW w:w="3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ind w:right="80" w:firstLine="509"/>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 w:lineRule="exact"/>
        <w:rPr>
          <w:sz w:val="24"/>
          <w:szCs w:val="24"/>
          <w:color w:val="auto"/>
        </w:rPr>
      </w:pPr>
    </w:p>
    <w:p>
      <w:pPr>
        <w:ind w:right="140" w:firstLine="509"/>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 w:lineRule="exact"/>
        <w:rPr>
          <w:sz w:val="24"/>
          <w:szCs w:val="24"/>
          <w:color w:val="auto"/>
        </w:rPr>
      </w:pPr>
    </w:p>
    <w:p>
      <w:pPr>
        <w:ind w:right="260" w:firstLine="509"/>
        <w:spacing w:after="0" w:line="23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Rule 12b-2 of the Exchange Act.</w:t>
      </w:r>
    </w:p>
    <w:p>
      <w:pPr>
        <w:spacing w:after="0" w:line="177" w:lineRule="exact"/>
        <w:rPr>
          <w:sz w:val="24"/>
          <w:szCs w:val="24"/>
          <w:color w:val="auto"/>
        </w:rPr>
      </w:pPr>
    </w:p>
    <w:tbl>
      <w:tblPr>
        <w:tblLayout w:type="fixed"/>
        <w:tblInd w:w="20" w:type="dxa"/>
        <w:tblCellMar>
          <w:top w:w="0" w:type="dxa"/>
          <w:left w:w="0" w:type="dxa"/>
          <w:bottom w:w="0" w:type="dxa"/>
          <w:right w:w="0" w:type="dxa"/>
        </w:tblCellMar>
      </w:tblPr>
      <w:tr>
        <w:trPr>
          <w:trHeight w:val="269"/>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22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Accelerated filer</w:t>
            </w:r>
          </w:p>
        </w:tc>
        <w:tc>
          <w:tcPr>
            <w:tcW w:w="80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72"/>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22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0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73"/>
        </w:trPr>
        <w:tc>
          <w:tcPr>
            <w:tcW w:w="2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2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Emerging growth company</w:t>
            </w:r>
          </w:p>
        </w:tc>
        <w:tc>
          <w:tcPr>
            <w:tcW w:w="80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1" w:lineRule="exact"/>
        <w:rPr>
          <w:sz w:val="24"/>
          <w:szCs w:val="24"/>
          <w:color w:val="auto"/>
        </w:rPr>
      </w:pPr>
    </w:p>
    <w:p>
      <w:pPr>
        <w:ind w:right="20" w:firstLine="509"/>
        <w:spacing w:after="0" w:line="21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520"/>
        <w:spacing w:after="0" w:line="196" w:lineRule="exact"/>
        <w:tabs>
          <w:tab w:leader="none" w:pos="896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50" w:lineRule="exact"/>
        <w:rPr>
          <w:sz w:val="24"/>
          <w:szCs w:val="24"/>
          <w:color w:val="auto"/>
        </w:rPr>
      </w:pPr>
    </w:p>
    <w:p>
      <w:pPr>
        <w:ind w:right="40" w:firstLine="509"/>
        <w:spacing w:after="0" w:line="21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August 9, 2022, the registrant had 45,622,610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9300" w:type="dxa"/>
            <w:vAlign w:val="bottom"/>
            <w:gridSpan w:val="18"/>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40" w:type="dxa"/>
            <w:vAlign w:val="bottom"/>
            <w:tcBorders>
              <w:top w:val="single" w:sz="8" w:color="0000FF"/>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4"/>
              </w:rPr>
              <w:t>Condensed Financial Statements</w:t>
            </w:r>
          </w:p>
        </w:tc>
        <w:tc>
          <w:tcPr>
            <w:tcW w:w="80" w:type="dxa"/>
            <w:vAlign w:val="bottom"/>
            <w:tcBorders>
              <w:bottom w:val="single" w:sz="8" w:color="0000FF"/>
            </w:tcBorders>
          </w:tcPr>
          <w:p>
            <w:pPr>
              <w:spacing w:after="0"/>
              <w:rPr>
                <w:sz w:val="15"/>
                <w:szCs w:val="15"/>
                <w:color w:val="auto"/>
              </w:rPr>
            </w:pPr>
          </w:p>
        </w:tc>
        <w:tc>
          <w:tcPr>
            <w:tcW w:w="940" w:type="dxa"/>
            <w:vAlign w:val="bottom"/>
            <w:tcBorders>
              <w:bottom w:val="single" w:sz="8" w:color="0000FF"/>
            </w:tcBorders>
            <w:gridSpan w:val="2"/>
          </w:tcPr>
          <w:p>
            <w:pPr>
              <w:ind w:left="60"/>
              <w:spacing w:after="0" w:line="182" w:lineRule="exact"/>
              <w:rPr>
                <w:sz w:val="20"/>
                <w:szCs w:val="20"/>
                <w:color w:val="auto"/>
              </w:rPr>
            </w:pPr>
            <w:r>
              <w:rPr>
                <w:rFonts w:ascii="Times New Roman" w:cs="Times New Roman" w:eastAsia="Times New Roman" w:hAnsi="Times New Roman"/>
                <w:sz w:val="18"/>
                <w:szCs w:val="18"/>
                <w:color w:val="0000FF"/>
                <w:w w:val="98"/>
              </w:rPr>
              <w:t>(Unaudited)</w:t>
            </w:r>
          </w:p>
        </w:tc>
        <w:tc>
          <w:tcPr>
            <w:tcW w:w="6040" w:type="dxa"/>
            <w:vAlign w:val="bottom"/>
            <w:gridSpan w:val="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6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Condensed Balance Sheets (Unaudited)</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Condensed Statements of Operations and Comprehensive Loss (Unaudited)</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28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4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Condensed Statements of Stockholders’ Equity (Unaudited)</w:t>
            </w:r>
          </w:p>
        </w:tc>
        <w:tc>
          <w:tcPr>
            <w:tcW w:w="1020" w:type="dxa"/>
            <w:vAlign w:val="bottom"/>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00" w:type="dxa"/>
            <w:vAlign w:val="bottom"/>
            <w:gridSpan w:val="2"/>
            <w:vMerge w:val="restart"/>
          </w:tcPr>
          <w:p>
            <w:pPr>
              <w:spacing w:after="0" w:line="20" w:lineRule="exact"/>
              <w:rPr>
                <w:sz w:val="1"/>
                <w:szCs w:val="1"/>
                <w:color w:val="auto"/>
              </w:rPr>
            </w:pPr>
          </w:p>
        </w:tc>
        <w:tc>
          <w:tcPr>
            <w:tcW w:w="28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30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Condensed Statements of Cash Flows (Unaudited)</w:t>
            </w: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00" w:type="dxa"/>
            <w:vAlign w:val="bottom"/>
            <w:gridSpan w:val="2"/>
            <w:vMerge w:val="restart"/>
          </w:tcPr>
          <w:p>
            <w:pPr>
              <w:spacing w:after="0" w:line="20" w:lineRule="exact"/>
              <w:rPr>
                <w:sz w:val="1"/>
                <w:szCs w:val="1"/>
                <w:color w:val="auto"/>
              </w:rPr>
            </w:pPr>
          </w:p>
        </w:tc>
        <w:tc>
          <w:tcPr>
            <w:tcW w:w="28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4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4"/>
              </w:rPr>
              <w:t>Notes to Unaudited Condensed Financial Statements</w:t>
            </w:r>
          </w:p>
        </w:tc>
        <w:tc>
          <w:tcPr>
            <w:tcW w:w="14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520" w:type="dxa"/>
            <w:vAlign w:val="bottom"/>
            <w:gridSpan w:val="6"/>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0000FF"/>
              </w:rPr>
              <w:t>Condition and Results of Operations</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378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w:t>
            </w:r>
          </w:p>
        </w:tc>
        <w:tc>
          <w:tcPr>
            <w:tcW w:w="552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8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646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40" w:type="dxa"/>
            <w:vAlign w:val="bottom"/>
            <w:gridSpan w:val="3"/>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60" w:type="dxa"/>
            <w:vAlign w:val="bottom"/>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4940" w:type="dxa"/>
            <w:vAlign w:val="bottom"/>
            <w:gridSpan w:val="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2020" w:type="dxa"/>
            <w:vAlign w:val="bottom"/>
            <w:gridSpan w:val="6"/>
            <w:vMerge w:val="restart"/>
          </w:tcPr>
          <w:p>
            <w:pPr>
              <w:spacing w:after="0" w:line="20" w:lineRule="exact"/>
              <w:rPr>
                <w:sz w:val="1"/>
                <w:szCs w:val="1"/>
                <w:color w:val="auto"/>
              </w:rPr>
            </w:pPr>
          </w:p>
        </w:tc>
        <w:tc>
          <w:tcPr>
            <w:tcW w:w="4960" w:type="dxa"/>
            <w:vAlign w:val="bottom"/>
            <w:gridSpan w:val="4"/>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76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1"/>
              </w:rPr>
              <w:t>OTHER INFORMATION</w:t>
            </w:r>
          </w:p>
        </w:tc>
        <w:tc>
          <w:tcPr>
            <w:tcW w:w="12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020" w:type="dxa"/>
            <w:vAlign w:val="bottom"/>
            <w:gridSpan w:val="6"/>
            <w:vMerge w:val="continue"/>
          </w:tcPr>
          <w:p>
            <w:pPr>
              <w:spacing w:after="0"/>
              <w:rPr>
                <w:sz w:val="15"/>
                <w:szCs w:val="15"/>
                <w:color w:val="auto"/>
              </w:rPr>
            </w:pPr>
          </w:p>
        </w:tc>
        <w:tc>
          <w:tcPr>
            <w:tcW w:w="4960" w:type="dxa"/>
            <w:vAlign w:val="bottom"/>
            <w:gridSpan w:val="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2020" w:type="dxa"/>
            <w:vAlign w:val="bottom"/>
            <w:gridSpan w:val="6"/>
            <w:vMerge w:val="restart"/>
          </w:tcPr>
          <w:p>
            <w:pPr>
              <w:spacing w:after="0" w:line="20" w:lineRule="exact"/>
              <w:rPr>
                <w:sz w:val="1"/>
                <w:szCs w:val="1"/>
                <w:color w:val="auto"/>
              </w:rPr>
            </w:pPr>
          </w:p>
        </w:tc>
        <w:tc>
          <w:tcPr>
            <w:tcW w:w="4960" w:type="dxa"/>
            <w:vAlign w:val="bottom"/>
            <w:gridSpan w:val="4"/>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88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gridSpan w:val="2"/>
            <w:vMerge w:val="continue"/>
          </w:tcPr>
          <w:p>
            <w:pPr>
              <w:spacing w:after="0"/>
              <w:rPr>
                <w:sz w:val="15"/>
                <w:szCs w:val="15"/>
                <w:color w:val="auto"/>
              </w:rPr>
            </w:pPr>
          </w:p>
        </w:tc>
        <w:tc>
          <w:tcPr>
            <w:tcW w:w="2020" w:type="dxa"/>
            <w:vAlign w:val="bottom"/>
            <w:gridSpan w:val="6"/>
            <w:vMerge w:val="continue"/>
          </w:tcPr>
          <w:p>
            <w:pPr>
              <w:spacing w:after="0"/>
              <w:rPr>
                <w:sz w:val="15"/>
                <w:szCs w:val="15"/>
                <w:color w:val="auto"/>
              </w:rPr>
            </w:pPr>
          </w:p>
        </w:tc>
        <w:tc>
          <w:tcPr>
            <w:tcW w:w="4960" w:type="dxa"/>
            <w:vAlign w:val="bottom"/>
            <w:gridSpan w:val="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4"/>
            <w:vMerge w:val="restart"/>
          </w:tcPr>
          <w:p>
            <w:pPr>
              <w:spacing w:after="0" w:line="20" w:lineRule="exact"/>
              <w:rPr>
                <w:sz w:val="1"/>
                <w:szCs w:val="1"/>
                <w:color w:val="auto"/>
              </w:rPr>
            </w:pPr>
          </w:p>
        </w:tc>
        <w:tc>
          <w:tcPr>
            <w:tcW w:w="2020" w:type="dxa"/>
            <w:vAlign w:val="bottom"/>
            <w:gridSpan w:val="6"/>
            <w:vMerge w:val="restart"/>
          </w:tcPr>
          <w:p>
            <w:pPr>
              <w:spacing w:after="0" w:line="20" w:lineRule="exact"/>
              <w:rPr>
                <w:sz w:val="1"/>
                <w:szCs w:val="1"/>
                <w:color w:val="auto"/>
              </w:rPr>
            </w:pPr>
          </w:p>
        </w:tc>
        <w:tc>
          <w:tcPr>
            <w:tcW w:w="4960" w:type="dxa"/>
            <w:vAlign w:val="bottom"/>
            <w:gridSpan w:val="4"/>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2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4"/>
            <w:vMerge w:val="continue"/>
          </w:tcPr>
          <w:p>
            <w:pPr>
              <w:spacing w:after="0"/>
              <w:rPr>
                <w:sz w:val="15"/>
                <w:szCs w:val="15"/>
                <w:color w:val="auto"/>
              </w:rPr>
            </w:pPr>
          </w:p>
        </w:tc>
        <w:tc>
          <w:tcPr>
            <w:tcW w:w="2020" w:type="dxa"/>
            <w:vAlign w:val="bottom"/>
            <w:gridSpan w:val="6"/>
            <w:vMerge w:val="continue"/>
          </w:tcPr>
          <w:p>
            <w:pPr>
              <w:spacing w:after="0"/>
              <w:rPr>
                <w:sz w:val="15"/>
                <w:szCs w:val="15"/>
                <w:color w:val="auto"/>
              </w:rPr>
            </w:pPr>
          </w:p>
        </w:tc>
        <w:tc>
          <w:tcPr>
            <w:tcW w:w="4960" w:type="dxa"/>
            <w:vAlign w:val="bottom"/>
            <w:gridSpan w:val="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8380" w:type="dxa"/>
            <w:vAlign w:val="bottom"/>
            <w:gridSpan w:val="16"/>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9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8380" w:type="dxa"/>
            <w:vAlign w:val="bottom"/>
            <w:gridSpan w:val="1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60" w:type="dxa"/>
            <w:vAlign w:val="bottom"/>
            <w:gridSpan w:val="4"/>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4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698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3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8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540" w:type="dxa"/>
            <w:vAlign w:val="bottom"/>
            <w:gridSpan w:val="13"/>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76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40" w:type="dxa"/>
            <w:vAlign w:val="bottom"/>
            <w:gridSpan w:val="1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000" w:type="dxa"/>
            <w:vAlign w:val="bottom"/>
            <w:gridSpan w:val="1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79"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short-term marketable securities to fund our future operating expenses and capital expenditure requirements;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when needed, including funding necessary to complete further development and commercialization of our product candidates, if approved;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0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03"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for each of our programs including patients expected to have certain p53 mutations and the number of patients that will enroll in our clinical trials;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0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our existing and any potential future strategic collaborations with third parties and our ability to attract collaborators with development, regulatory and commercialization expertise;</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03" w:lineRule="exact"/>
        <w:rPr>
          <w:rFonts w:ascii="Times New Roman" w:cs="Times New Roman" w:eastAsia="Times New Roman" w:hAnsi="Times New Roman"/>
          <w:sz w:val="18"/>
          <w:szCs w:val="18"/>
          <w:color w:val="auto"/>
        </w:rPr>
      </w:pPr>
    </w:p>
    <w:p>
      <w:pPr>
        <w:ind w:left="900" w:right="20" w:hanging="383"/>
        <w:spacing w:after="0" w:line="258"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 product candidates, including our intention to seek accelerated approval for PC14586, our lead product candidate, for a tumor-agnostic indication;</w:t>
      </w:r>
    </w:p>
    <w:p>
      <w:pPr>
        <w:spacing w:after="0" w:line="61"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rely on third parties to conduct and support preclinical and clinical development;</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3" w:name="page4"/>
    <w:bookmarkEnd w:id="3"/>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 and</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coronavirus disease 2019, or COVID-19, pandemic, or other potential global disruptions on our business, such as the recent conflict between Russia and Ukraine and the trade sanctions imposed in response thereto</w:t>
      </w:r>
    </w:p>
    <w:p>
      <w:pPr>
        <w:spacing w:after="0" w:line="162"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“Item 1A. Risk Factors” and elsewhere in our Annual Report on Form 10-K for the year ended December 31, 2021, as well as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4" w:name="page5"/>
    <w:bookmarkEnd w:id="4"/>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 (Unaudited).</w:t>
      </w:r>
    </w:p>
    <w:p>
      <w:pPr>
        <w:spacing w:after="0" w:line="10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7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192"/>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32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87,090</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172,467</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190,344</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18"/>
                <w:szCs w:val="18"/>
                <w:color w:val="auto"/>
              </w:rPr>
            </w:pPr>
          </w:p>
        </w:tc>
      </w:tr>
      <w:tr>
        <w:trPr>
          <w:trHeight w:val="209"/>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281,865</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301,286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300,564</w:t>
            </w:r>
          </w:p>
        </w:tc>
        <w:tc>
          <w:tcPr>
            <w:tcW w:w="3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331,568</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12,211</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23,594</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2"/>
        </w:trPr>
        <w:tc>
          <w:tcPr>
            <w:tcW w:w="7680" w:type="dxa"/>
            <w:vAlign w:val="bottom"/>
          </w:tcPr>
          <w:p>
            <w:pPr>
              <w:ind w:left="200"/>
              <w:spacing w:after="0" w:line="162" w:lineRule="exact"/>
              <w:rPr>
                <w:sz w:val="20"/>
                <w:szCs w:val="20"/>
                <w:color w:val="auto"/>
              </w:rPr>
            </w:pPr>
            <w:r>
              <w:rPr>
                <w:rFonts w:ascii="Times New Roman" w:cs="Times New Roman" w:eastAsia="Times New Roman" w:hAnsi="Times New Roman"/>
                <w:sz w:val="18"/>
                <w:szCs w:val="18"/>
                <w:color w:val="auto"/>
              </w:rPr>
              <w:t>Preferred stock, $0.00001 par value, 5,000,000 shares authorized at June 30,</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768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2022 and December 31, 2021. No shares issued or outstanding at</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8"/>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June 30, 2022 and December 31, 2021.</w:t>
            </w:r>
          </w:p>
        </w:tc>
        <w:tc>
          <w:tcPr>
            <w:tcW w:w="260" w:type="dxa"/>
            <w:vAlign w:val="bottom"/>
          </w:tcPr>
          <w:p>
            <w:pPr>
              <w:spacing w:after="0"/>
              <w:rPr>
                <w:sz w:val="21"/>
                <w:szCs w:val="21"/>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8"/>
                <w:szCs w:val="18"/>
                <w:color w:val="auto"/>
              </w:rPr>
              <w:t>Common stock, $0.00001 par value, 1,000,000,000 shares authorized;</w:t>
            </w: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4"/>
        </w:trPr>
        <w:tc>
          <w:tcPr>
            <w:tcW w:w="7680" w:type="dxa"/>
            <w:vAlign w:val="bottom"/>
            <w:shd w:val="clear" w:color="auto" w:fill="CFF0FC"/>
          </w:tcPr>
          <w:p>
            <w:pPr>
              <w:ind w:left="340"/>
              <w:spacing w:after="0" w:line="184" w:lineRule="exact"/>
              <w:rPr>
                <w:sz w:val="20"/>
                <w:szCs w:val="20"/>
                <w:color w:val="auto"/>
              </w:rPr>
            </w:pPr>
            <w:r>
              <w:rPr>
                <w:rFonts w:ascii="Times New Roman" w:cs="Times New Roman" w:eastAsia="Times New Roman" w:hAnsi="Times New Roman"/>
                <w:sz w:val="18"/>
                <w:szCs w:val="18"/>
                <w:color w:val="auto"/>
              </w:rPr>
              <w:t>45,622,610 and 45,433,684 shares issued and outstanding at June 30, 2022</w:t>
            </w: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8"/>
        </w:trPr>
        <w:tc>
          <w:tcPr>
            <w:tcW w:w="76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481,462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476,363</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(203,469 )</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(167,726 )</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(1,023 )</w:t>
            </w:r>
          </w:p>
        </w:tc>
        <w:tc>
          <w:tcPr>
            <w:tcW w:w="2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(78 )</w:t>
            </w:r>
          </w:p>
        </w:tc>
      </w:tr>
      <w:tr>
        <w:trPr>
          <w:trHeight w:val="210"/>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276,970</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300,564</w:t>
            </w:r>
          </w:p>
        </w:tc>
        <w:tc>
          <w:tcPr>
            <w:tcW w:w="3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331,568</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-2914015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-2056765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-1773555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45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5"/>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460" w:type="dxa"/>
            <w:vAlign w:val="bottom"/>
            <w:gridSpan w:val="5"/>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7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11,462</w:t>
            </w:r>
          </w:p>
        </w:tc>
        <w:tc>
          <w:tcPr>
            <w:tcW w:w="2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23,297</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17,885</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24,723</w:t>
            </w:r>
          </w:p>
        </w:tc>
        <w:tc>
          <w:tcPr>
            <w:tcW w:w="100" w:type="dxa"/>
            <w:vAlign w:val="bottom"/>
          </w:tcPr>
          <w:p>
            <w:pPr>
              <w:spacing w:after="0"/>
              <w:rPr>
                <w:sz w:val="18"/>
                <w:szCs w:val="18"/>
                <w:color w:val="auto"/>
              </w:rPr>
            </w:pPr>
          </w:p>
        </w:tc>
      </w:tr>
      <w:tr>
        <w:trPr>
          <w:trHeight w:val="210"/>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(17,885</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(36,503</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(31 )</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(72 )</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r>
      <w:tr>
        <w:trPr>
          <w:trHeight w:val="210"/>
        </w:trPr>
        <w:tc>
          <w:tcPr>
            <w:tcW w:w="5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20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(17,312 )</w:t>
            </w:r>
          </w:p>
        </w:tc>
        <w:tc>
          <w:tcPr>
            <w:tcW w:w="22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(12,874 )</w:t>
            </w:r>
          </w:p>
        </w:tc>
        <w:tc>
          <w:tcPr>
            <w:tcW w:w="24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(35,743 )</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(24,472 )</w:t>
            </w:r>
          </w:p>
        </w:tc>
      </w:tr>
      <w:tr>
        <w:trPr>
          <w:trHeight w:val="216"/>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(17,310 )</w:t>
            </w:r>
          </w:p>
        </w:tc>
        <w:tc>
          <w:tcPr>
            <w:tcW w:w="22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(12,874 )</w:t>
            </w:r>
          </w:p>
        </w:tc>
        <w:tc>
          <w:tcPr>
            <w:tcW w:w="24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(35,743 )</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(24,476 )</w:t>
            </w:r>
          </w:p>
        </w:tc>
      </w:tr>
      <w:tr>
        <w:trPr>
          <w:trHeight w:val="216"/>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(357 )</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(945 )</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(17,667 )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(12,854 )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(36,688 )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(24,469 )</w:t>
            </w:r>
          </w:p>
        </w:tc>
      </w:tr>
      <w:tr>
        <w:trPr>
          <w:trHeight w:val="20"/>
        </w:trPr>
        <w:tc>
          <w:tcPr>
            <w:tcW w:w="5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spacing w:after="0"/>
              <w:rPr>
                <w:sz w:val="17"/>
                <w:szCs w:val="17"/>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(0.38 )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(0.79 )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(0.54 )</w:t>
            </w:r>
          </w:p>
        </w:tc>
      </w:tr>
      <w:tr>
        <w:trPr>
          <w:trHeight w:val="20"/>
        </w:trPr>
        <w:tc>
          <w:tcPr>
            <w:tcW w:w="5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74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45,571,067</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45,070,104</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45,518,845</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44,928,518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-2047875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-2047875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-2047875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-1199515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-1199515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-1199515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-916305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-916305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-916305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-633730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-633730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-633730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45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8"/>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1060" w:type="dxa"/>
            <w:vAlign w:val="bottom"/>
            <w:gridSpan w:val="4"/>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461"/>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140" w:type="dxa"/>
            <w:vAlign w:val="bottom"/>
            <w:gridSpan w:val="3"/>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0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8"/>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300" w:type="dxa"/>
            <w:vAlign w:val="bottom"/>
            <w:gridSpan w:val="4"/>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40" w:type="dxa"/>
            <w:vAlign w:val="bottom"/>
            <w:gridSpan w:val="3"/>
            <w:vMerge w:val="continue"/>
          </w:tcPr>
          <w:p>
            <w:pPr>
              <w:spacing w:after="0"/>
              <w:rPr>
                <w:sz w:val="15"/>
                <w:szCs w:val="15"/>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0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42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6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0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44,777,818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469,001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(109,880</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359,121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(11,602 )</w:t>
            </w: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(11,602 )</w:t>
            </w:r>
          </w:p>
        </w:tc>
        <w:tc>
          <w:tcPr>
            <w:tcW w:w="0" w:type="dxa"/>
            <w:vAlign w:val="bottom"/>
          </w:tcPr>
          <w:p>
            <w:pPr>
              <w:spacing w:after="0"/>
              <w:rPr>
                <w:sz w:val="1"/>
                <w:szCs w:val="1"/>
                <w:color w:val="auto"/>
              </w:rPr>
            </w:pPr>
          </w:p>
        </w:tc>
      </w:tr>
      <w:tr>
        <w:trPr>
          <w:trHeight w:val="171"/>
        </w:trPr>
        <w:tc>
          <w:tcPr>
            <w:tcW w:w="4020" w:type="dxa"/>
            <w:vAlign w:val="bottom"/>
            <w:tcBorders>
              <w:right w:val="single" w:sz="8" w:color="auto"/>
            </w:tcBorders>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Unrealized gain (loss) on available for sale</w:t>
            </w:r>
          </w:p>
        </w:tc>
        <w:tc>
          <w:tcPr>
            <w:tcW w:w="10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vMerge w:val="restart"/>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gridSpan w:val="2"/>
            <w:vMerge w:val="restart"/>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shd w:val="clear" w:color="auto" w:fill="CFF0FC"/>
          </w:tcPr>
          <w:p>
            <w:pPr>
              <w:spacing w:after="0"/>
              <w:rPr>
                <w:sz w:val="14"/>
                <w:szCs w:val="14"/>
                <w:color w:val="auto"/>
              </w:rPr>
            </w:pPr>
          </w:p>
        </w:tc>
        <w:tc>
          <w:tcPr>
            <w:tcW w:w="960" w:type="dxa"/>
            <w:vAlign w:val="bottom"/>
            <w:gridSpan w:val="2"/>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4"/>
                <w:szCs w:val="14"/>
                <w:color w:val="auto"/>
              </w:rPr>
            </w:pPr>
          </w:p>
        </w:tc>
        <w:tc>
          <w:tcPr>
            <w:tcW w:w="8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1"/>
        </w:trPr>
        <w:tc>
          <w:tcPr>
            <w:tcW w:w="40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24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22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22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44,881,169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(121,482 )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20" w:type="dxa"/>
            <w:vAlign w:val="bottom"/>
            <w:tcBorders>
              <w:right w:val="single" w:sz="8" w:color="auto"/>
            </w:tcBorders>
            <w:shd w:val="clear" w:color="auto" w:fill="CFF0FC"/>
          </w:tcPr>
          <w:p>
            <w:pPr>
              <w:ind w:left="20"/>
              <w:spacing w:after="0" w:line="151" w:lineRule="exact"/>
              <w:rPr>
                <w:sz w:val="20"/>
                <w:szCs w:val="20"/>
                <w:color w:val="auto"/>
              </w:rPr>
            </w:pPr>
            <w:r>
              <w:rPr>
                <w:rFonts w:ascii="Times New Roman" w:cs="Times New Roman" w:eastAsia="Times New Roman" w:hAnsi="Times New Roman"/>
                <w:sz w:val="17"/>
                <w:szCs w:val="17"/>
                <w:color w:val="auto"/>
              </w:rPr>
              <w:t>Exercise of stock options and common stock issued</w:t>
            </w: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20" w:type="dxa"/>
            <w:vAlign w:val="bottom"/>
            <w:tcBorders>
              <w:right w:val="single" w:sz="8" w:color="auto"/>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under</w:t>
            </w: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20" w:type="dxa"/>
            <w:vAlign w:val="bottom"/>
            <w:tcBorders>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the 2020 ESPP</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332,398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(12,874 )</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(12,874 )</w:t>
            </w:r>
          </w:p>
        </w:tc>
        <w:tc>
          <w:tcPr>
            <w:tcW w:w="0" w:type="dxa"/>
            <w:vAlign w:val="bottom"/>
          </w:tcPr>
          <w:p>
            <w:pPr>
              <w:spacing w:after="0"/>
              <w:rPr>
                <w:sz w:val="1"/>
                <w:szCs w:val="1"/>
                <w:color w:val="auto"/>
              </w:rPr>
            </w:pPr>
          </w:p>
        </w:tc>
      </w:tr>
      <w:tr>
        <w:trPr>
          <w:trHeight w:val="171"/>
        </w:trPr>
        <w:tc>
          <w:tcPr>
            <w:tcW w:w="4020" w:type="dxa"/>
            <w:vAlign w:val="bottom"/>
            <w:tcBorders>
              <w:right w:val="single" w:sz="8" w:color="auto"/>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Unrealized gain (loss) on available for sale</w:t>
            </w:r>
          </w:p>
        </w:tc>
        <w:tc>
          <w:tcPr>
            <w:tcW w:w="100" w:type="dxa"/>
            <w:vAlign w:val="bottom"/>
          </w:tcPr>
          <w:p>
            <w:pPr>
              <w:spacing w:after="0"/>
              <w:rPr>
                <w:sz w:val="14"/>
                <w:szCs w:val="14"/>
                <w:color w:val="auto"/>
              </w:rPr>
            </w:pPr>
          </w:p>
        </w:tc>
        <w:tc>
          <w:tcPr>
            <w:tcW w:w="12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20" w:type="dxa"/>
            <w:vAlign w:val="bottom"/>
            <w:tcBorders>
              <w:bottom w:val="single" w:sz="8" w:color="CFF0FC"/>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45,213,567</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472,196</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(134,356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337,847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40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8"/>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4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40" w:type="dxa"/>
            <w:vAlign w:val="bottom"/>
            <w:gridSpan w:val="3"/>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8"/>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40" w:type="dxa"/>
            <w:vAlign w:val="bottom"/>
            <w:gridSpan w:val="3"/>
            <w:vMerge w:val="continue"/>
          </w:tcPr>
          <w:p>
            <w:pPr>
              <w:spacing w:after="0"/>
              <w:rPr>
                <w:sz w:val="15"/>
                <w:szCs w:val="15"/>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0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6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0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0" w:type="dxa"/>
            <w:vAlign w:val="bottom"/>
            <w:shd w:val="clear" w:color="auto" w:fill="CFF0FC"/>
          </w:tcPr>
          <w:p>
            <w:pPr>
              <w:spacing w:after="0"/>
              <w:rPr>
                <w:sz w:val="18"/>
                <w:szCs w:val="18"/>
                <w:color w:val="auto"/>
              </w:rPr>
            </w:pPr>
          </w:p>
        </w:tc>
        <w:tc>
          <w:tcPr>
            <w:tcW w:w="11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45,433,684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476,363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(167,726</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98,708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(18,433 )</w:t>
            </w: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(18,433 )</w:t>
            </w:r>
          </w:p>
        </w:tc>
        <w:tc>
          <w:tcPr>
            <w:tcW w:w="0" w:type="dxa"/>
            <w:vAlign w:val="bottom"/>
          </w:tcPr>
          <w:p>
            <w:pPr>
              <w:spacing w:after="0"/>
              <w:rPr>
                <w:sz w:val="1"/>
                <w:szCs w:val="1"/>
                <w:color w:val="auto"/>
              </w:rPr>
            </w:pPr>
          </w:p>
        </w:tc>
      </w:tr>
      <w:tr>
        <w:trPr>
          <w:trHeight w:val="171"/>
        </w:trPr>
        <w:tc>
          <w:tcPr>
            <w:tcW w:w="4020" w:type="dxa"/>
            <w:vAlign w:val="bottom"/>
            <w:tcBorders>
              <w:right w:val="single" w:sz="8" w:color="auto"/>
            </w:tcBorders>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Unrealized gain (loss) on available for sale</w:t>
            </w:r>
          </w:p>
        </w:tc>
        <w:tc>
          <w:tcPr>
            <w:tcW w:w="10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vMerge w:val="restart"/>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vMerge w:val="restart"/>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gridSpan w:val="2"/>
            <w:vMerge w:val="restart"/>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(588 )</w:t>
            </w:r>
          </w:p>
        </w:tc>
        <w:tc>
          <w:tcPr>
            <w:tcW w:w="180" w:type="dxa"/>
            <w:vAlign w:val="bottom"/>
            <w:shd w:val="clear" w:color="auto" w:fill="CFF0FC"/>
          </w:tcPr>
          <w:p>
            <w:pPr>
              <w:spacing w:after="0"/>
              <w:rPr>
                <w:sz w:val="14"/>
                <w:szCs w:val="14"/>
                <w:color w:val="auto"/>
              </w:rPr>
            </w:pPr>
          </w:p>
        </w:tc>
        <w:tc>
          <w:tcPr>
            <w:tcW w:w="960" w:type="dxa"/>
            <w:vAlign w:val="bottom"/>
            <w:gridSpan w:val="2"/>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4"/>
                <w:szCs w:val="14"/>
                <w:color w:val="auto"/>
              </w:rPr>
            </w:pPr>
          </w:p>
        </w:tc>
        <w:tc>
          <w:tcPr>
            <w:tcW w:w="8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(588 )</w:t>
            </w:r>
          </w:p>
        </w:tc>
        <w:tc>
          <w:tcPr>
            <w:tcW w:w="0" w:type="dxa"/>
            <w:vAlign w:val="bottom"/>
          </w:tcPr>
          <w:p>
            <w:pPr>
              <w:spacing w:after="0"/>
              <w:rPr>
                <w:sz w:val="1"/>
                <w:szCs w:val="1"/>
                <w:color w:val="auto"/>
              </w:rPr>
            </w:pPr>
          </w:p>
        </w:tc>
      </w:tr>
      <w:tr>
        <w:trPr>
          <w:trHeight w:val="221"/>
        </w:trPr>
        <w:tc>
          <w:tcPr>
            <w:tcW w:w="40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45,532,392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478,668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(186,159 )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20" w:type="dxa"/>
            <w:vAlign w:val="bottom"/>
            <w:tcBorders>
              <w:right w:val="single" w:sz="8" w:color="auto"/>
            </w:tcBorders>
            <w:shd w:val="clear" w:color="auto" w:fill="CFF0FC"/>
          </w:tcPr>
          <w:p>
            <w:pPr>
              <w:ind w:left="20"/>
              <w:spacing w:after="0" w:line="151" w:lineRule="exact"/>
              <w:rPr>
                <w:sz w:val="20"/>
                <w:szCs w:val="20"/>
                <w:color w:val="auto"/>
              </w:rPr>
            </w:pPr>
            <w:r>
              <w:rPr>
                <w:rFonts w:ascii="Times New Roman" w:cs="Times New Roman" w:eastAsia="Times New Roman" w:hAnsi="Times New Roman"/>
                <w:sz w:val="17"/>
                <w:szCs w:val="17"/>
                <w:color w:val="auto"/>
              </w:rPr>
              <w:t>Exercise of stock options and common stock issued</w:t>
            </w: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20" w:type="dxa"/>
            <w:vAlign w:val="bottom"/>
            <w:tcBorders>
              <w:right w:val="single" w:sz="8" w:color="auto"/>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under</w:t>
            </w: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20" w:type="dxa"/>
            <w:vAlign w:val="bottom"/>
            <w:tcBorders>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the 2020 ESPP</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90,218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(17,310 )</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(17,310 )</w:t>
            </w:r>
          </w:p>
        </w:tc>
        <w:tc>
          <w:tcPr>
            <w:tcW w:w="0" w:type="dxa"/>
            <w:vAlign w:val="bottom"/>
          </w:tcPr>
          <w:p>
            <w:pPr>
              <w:spacing w:after="0"/>
              <w:rPr>
                <w:sz w:val="1"/>
                <w:szCs w:val="1"/>
                <w:color w:val="auto"/>
              </w:rPr>
            </w:pPr>
          </w:p>
        </w:tc>
      </w:tr>
      <w:tr>
        <w:trPr>
          <w:trHeight w:val="171"/>
        </w:trPr>
        <w:tc>
          <w:tcPr>
            <w:tcW w:w="4020" w:type="dxa"/>
            <w:vAlign w:val="bottom"/>
            <w:tcBorders>
              <w:right w:val="single" w:sz="8" w:color="auto"/>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Unrealized gain (loss) on available for sale</w:t>
            </w:r>
          </w:p>
        </w:tc>
        <w:tc>
          <w:tcPr>
            <w:tcW w:w="100" w:type="dxa"/>
            <w:vAlign w:val="bottom"/>
          </w:tcPr>
          <w:p>
            <w:pPr>
              <w:spacing w:after="0"/>
              <w:rPr>
                <w:sz w:val="14"/>
                <w:szCs w:val="14"/>
                <w:color w:val="auto"/>
              </w:rPr>
            </w:pPr>
          </w:p>
        </w:tc>
        <w:tc>
          <w:tcPr>
            <w:tcW w:w="12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8"/>
                <w:szCs w:val="18"/>
                <w:color w:val="auto"/>
              </w:rPr>
              <w:t>(357 )</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(357 )</w:t>
            </w:r>
          </w:p>
        </w:tc>
        <w:tc>
          <w:tcPr>
            <w:tcW w:w="0" w:type="dxa"/>
            <w:vAlign w:val="bottom"/>
          </w:tcPr>
          <w:p>
            <w:pPr>
              <w:spacing w:after="0"/>
              <w:rPr>
                <w:sz w:val="1"/>
                <w:szCs w:val="1"/>
                <w:color w:val="auto"/>
              </w:rPr>
            </w:pPr>
          </w:p>
        </w:tc>
      </w:tr>
      <w:tr>
        <w:trPr>
          <w:trHeight w:val="221"/>
        </w:trPr>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20" w:type="dxa"/>
            <w:vAlign w:val="bottom"/>
            <w:tcBorders>
              <w:bottom w:val="single" w:sz="8" w:color="CFF0FC"/>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45,622,610</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481,462</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(203,469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-3839845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-3839845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-3839845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-3839845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-3839845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-2622550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-2605405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-2622550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-2605405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-2622550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-2605405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-2622550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-2605405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-2622550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-2605405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-1242060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-1242060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-1242060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-1242060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-1242060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-24765</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45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(35,743 )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(24,476 )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premiums on marketable securities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Pr>
          <w:p>
            <w:pPr>
              <w:spacing w:after="0"/>
              <w:rPr>
                <w:sz w:val="18"/>
                <w:szCs w:val="18"/>
                <w:color w:val="auto"/>
              </w:rPr>
            </w:pP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(88 )</w:t>
            </w: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tcPr>
          <w:p>
            <w:pPr>
              <w:spacing w:after="0"/>
              <w:rPr>
                <w:sz w:val="18"/>
                <w:szCs w:val="18"/>
                <w:color w:val="auto"/>
              </w:rPr>
            </w:pP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(308 )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(570 )</w:t>
            </w: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assets and liabilities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8"/>
                <w:szCs w:val="18"/>
                <w:color w:val="auto"/>
              </w:rPr>
            </w:pP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(1,342 )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(975 )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Pr>
          <w:p>
            <w:pPr>
              <w:spacing w:after="0"/>
              <w:rPr>
                <w:sz w:val="18"/>
                <w:szCs w:val="18"/>
                <w:color w:val="auto"/>
              </w:rPr>
            </w:pP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(31,677 )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(22,145 )</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tcPr>
          <w:p>
            <w:pPr>
              <w:spacing w:after="0"/>
              <w:rPr>
                <w:sz w:val="18"/>
                <w:szCs w:val="18"/>
                <w:color w:val="auto"/>
              </w:rPr>
            </w:pP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(4,296 )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(149,223 )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(185,224 )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99,415</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35,360</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(54,104</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(150,450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stock options and common stock issued under the 2020 ESPP</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(85,377</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(171,177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173,289</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87,912</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190,245</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activities</w:t>
            </w: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-2428240</wp:posOffset>
            </wp:positionV>
            <wp:extent cx="7747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-2428240</wp:posOffset>
            </wp:positionV>
            <wp:extent cx="6858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-1579880</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-1296670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-1296670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-730885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ind w:left="45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1" w:lineRule="exact"/>
        <w:rPr>
          <w:sz w:val="20"/>
          <w:szCs w:val="20"/>
          <w:color w:val="auto"/>
        </w:rPr>
      </w:pPr>
    </w:p>
    <w:p>
      <w:pPr>
        <w:ind w:left="520" w:right="7980" w:hanging="512"/>
        <w:spacing w:after="0" w:line="383" w:lineRule="auto"/>
        <w:tabs>
          <w:tab w:leader="none" w:pos="191" w:val="left"/>
        </w:tabs>
        <w:numPr>
          <w:ilvl w:val="0"/>
          <w:numId w:val="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Formation and Business of the Company Organization and Liquidity</w:t>
      </w:r>
    </w:p>
    <w:p>
      <w:pPr>
        <w:spacing w:after="0" w:line="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PMV Pharmaceuticals, Inc. (the “Company” or “We”) was incorporated in the state of Delaware in March 2013. Since inception, the Company has devoted substantially all of its time and efforts to performing research and development activities and raising capital. We are a precision oncology company pioneering the discovery and development of small molecule, tumor-agnostic therapies targeting p53. The Company’s headquarters are located at 8 Clarke Drive, Suite 3, Cranbury, New Jersey.</w:t>
      </w:r>
    </w:p>
    <w:p>
      <w:pPr>
        <w:spacing w:after="0" w:line="177"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95"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The Company has incurred net losses and negative cash flows from operations since its inception. During the three and six months ended June 30, 2022, the Company incurred a net loss of $17,310 and $35,743, respectively. For the six months ended June 30, 2022, the Company used $31,677 of cash for operations. At June 30, 2022, the Company had an accumulated deficit of $203,469. Cash, cash equivalents, and marketable securities were $277,434 as of June 30, 2022. 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at least the next twelve months from the date of issuance of these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Summary of Significant Accounting Policies</w:t>
      </w:r>
    </w:p>
    <w:p>
      <w:pPr>
        <w:spacing w:after="0" w:line="108"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financial statements for the year ended December 31, 2021, included in the Company’s Annual Report on Form 10-K filed with the United States Securities and Exchange Commission (the “SEC”) on March 1, 2022. Since the date of those financial statements, there have been no changes to its significant accounting policies.</w:t>
      </w: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(“GAAP”) for interim financial information and with the interim period reporting requirements of Form 10-Q and Article 10 of Regulation S-X. The condensed balance sheet as of June 30, 2022, the condensed statements of operations and comprehensive loss, and condensed statements of stockholders’ equity for the three and six months ended June 30, 2022 and 2021, and the condensed statements of cash flows for the six months ended June 30, 2022 and 2021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 necessarily indicative of results for the year ending December 31, 2022, or for any other subsequent interim period. The condensed balance sheet as of December 31, 2021, has been derived from our audited financial statements.</w:t>
      </w:r>
    </w:p>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limited to, research and development costs, accrued research and development costs and related prepaid expenses and stock-based compensation.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could differ materially from those estimates.</w:t>
      </w:r>
    </w:p>
    <w:p>
      <w:pPr>
        <w:spacing w:after="0" w:line="192"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In January 2020, the World Health Organization declared the outbreak of a novel coronavirus (COVID-19) as a “Public Health Emergency of International Concern,” which continues to spread throughout the world. The outbreak has adversely impacted global commercial activity and contributed to significant volatility in financial markets. The length of time and full extent to which the COVID-19 pandemic directly or indirectly impacts our business, results of operations and financial condition, including expense, the supply chain, clinical trials, research and development costs, and employee-related costs, depends on future developments that are highly uncertain, subject to change and are difficult to predict, including as a result of new information that may emerge concerning COVID-19 and the actions taken to contain or treat COVID-19 as well as the economic impact on local, regional, national and international customers and markets.</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212"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and recorded on the interest income line of the income statement. For the three months ended June 30, 2022 and 2021, the Company recorded $72 and $165 of amortization, respectively. For the six months ended June 30, 2022 and 2021, the Company recorded $126 and $332 of amortization, respectively.</w:t>
      </w:r>
    </w:p>
    <w:p>
      <w:pPr>
        <w:spacing w:after="0" w:line="18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Restricted cash as of June 30, 2022, included a $822 deposit at the Company’s commercial bank underlying a stand-by letter of credit issued in favor of a landlord (See Note 6) and is classified in current assets.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08"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presents comprehensive loss in a single statement within its financial statements. Other comprehensive loss consists of unrealized gains and losses on marketable securities, net of tax.</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08"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certain to exercise. The Company’s policy is to not record leases with a lease term of 12 months or less on its balance sheets. The Company’s only existing leases are for office and laboratory space.</w:t>
      </w:r>
    </w:p>
    <w:p>
      <w:pPr>
        <w:spacing w:after="0" w:line="180"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16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reasonably assured lease term based on the total lease payments and is included in operating expense in the statements of operations.</w:t>
      </w:r>
    </w:p>
    <w:p>
      <w:pPr>
        <w:spacing w:after="0" w:line="176"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Payments due under each lease agreement include fixed and variable payments. Variable payments relate to the Company’s share of the lessor’s operating costs associated with the underlying asset and are recognized when the event 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which those payments are assessed occurs. Variable payments have been excluded from the lease liability and associated right-of-use asset. Neither of the Company’s leases contain residual value guarantees.</w:t>
      </w:r>
    </w:p>
    <w:p>
      <w:pPr>
        <w:spacing w:after="0" w:line="14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08"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and cash equivalents and marketable securities. Cash and cash equivalents include a checking account and a money market account held at one financial institution. At times, such deposits may be in excess of insured limits. The Company has not experienced any losses on its deposits of cash and cash equivalents. The Company’s marketable debt securities are carried at fair value and include any unrealized gains and losses. Any investments with unrealized losses are considered to be temporarily impaired.</w:t>
      </w:r>
    </w:p>
    <w:p>
      <w:pPr>
        <w:spacing w:after="0" w:line="195"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17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16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COVID-19 outbreak and government responses are creating disruption in global supply chains and adversely impacting many industries. The outbreak could have a continued material adverse impact on economic and market conditions. The Company continues to monitor the impact of the COVID-19 outbreak closely. The full extent to which the COVID-10 outbreak will impact its operations or financial results remains uncertain.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Fair Value Measurements</w:t>
      </w:r>
    </w:p>
    <w:p>
      <w:pPr>
        <w:spacing w:after="0" w:line="108" w:lineRule="exact"/>
        <w:rPr>
          <w:sz w:val="20"/>
          <w:szCs w:val="20"/>
          <w:color w:val="auto"/>
        </w:rPr>
      </w:pPr>
    </w:p>
    <w:p>
      <w:pPr>
        <w:ind w:right="100" w:firstLine="509"/>
        <w:spacing w:after="0" w:line="296" w:lineRule="auto"/>
        <w:rPr>
          <w:sz w:val="20"/>
          <w:szCs w:val="20"/>
          <w:color w:val="auto"/>
        </w:rPr>
      </w:pPr>
      <w:r>
        <w:rPr>
          <w:rFonts w:ascii="Times New Roman" w:cs="Times New Roman" w:eastAsia="Times New Roman" w:hAnsi="Times New Roman"/>
          <w:sz w:val="17"/>
          <w:szCs w:val="17"/>
          <w:color w:val="auto"/>
        </w:rPr>
        <w:t>The Company’s financial assets consist of money market funds, U.S. government debt securities and corporate debt securities. The following tables show the Company’s cash equivalents and available-for-sale securities’ carrying amounts and fair values as of June 30, 2022, and December 31,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18"/>
              <w:spacing w:after="0" w:line="131"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priced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56"/>
              <w:spacing w:after="0" w:line="160"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3"/>
                <w:szCs w:val="13"/>
                <w:color w:val="auto"/>
              </w:rPr>
            </w:pPr>
          </w:p>
        </w:tc>
        <w:tc>
          <w:tcPr>
            <w:tcW w:w="860" w:type="dxa"/>
            <w:vAlign w:val="bottom"/>
          </w:tcPr>
          <w:p>
            <w:pPr>
              <w:jc w:val="center"/>
              <w:ind w:left="84"/>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61"/>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216"/>
              <w:spacing w:after="0" w:line="160" w:lineRule="exact"/>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18"/>
              <w:spacing w:after="0" w:line="160"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39"/>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860" w:type="dxa"/>
            <w:vAlign w:val="bottom"/>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8"/>
              </w:rPr>
              <w:t>Financial assets</w:t>
            </w:r>
          </w:p>
        </w:tc>
        <w:tc>
          <w:tcPr>
            <w:tcW w:w="18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top w:val="single" w:sz="8" w:color="auto"/>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CFF0FC"/>
            </w:tcBorders>
            <w:shd w:val="clear" w:color="auto" w:fill="CFF0FC"/>
          </w:tcPr>
          <w:p>
            <w:pPr>
              <w:spacing w:after="0"/>
              <w:rPr>
                <w:sz w:val="16"/>
                <w:szCs w:val="16"/>
                <w:color w:val="auto"/>
              </w:rPr>
            </w:pPr>
          </w:p>
        </w:tc>
        <w:tc>
          <w:tcPr>
            <w:tcW w:w="82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68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CFF0FC"/>
            </w:tcBorders>
            <w:shd w:val="clear" w:color="auto" w:fill="CFF0FC"/>
          </w:tcPr>
          <w:p>
            <w:pPr>
              <w:spacing w:after="0"/>
              <w:rPr>
                <w:sz w:val="16"/>
                <w:szCs w:val="16"/>
                <w:color w:val="auto"/>
              </w:rPr>
            </w:pPr>
          </w:p>
        </w:tc>
        <w:tc>
          <w:tcPr>
            <w:tcW w:w="62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CFF0FC"/>
            </w:tcBorders>
            <w:shd w:val="clear" w:color="auto" w:fill="CFF0FC"/>
          </w:tcPr>
          <w:p>
            <w:pPr>
              <w:spacing w:after="0"/>
              <w:rPr>
                <w:sz w:val="16"/>
                <w:szCs w:val="16"/>
                <w:color w:val="auto"/>
              </w:rPr>
            </w:pPr>
          </w:p>
        </w:tc>
        <w:tc>
          <w:tcPr>
            <w:tcW w:w="78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124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35,780</w:t>
            </w:r>
          </w:p>
        </w:tc>
        <w:tc>
          <w:tcPr>
            <w:tcW w:w="1100" w:type="dxa"/>
            <w:vAlign w:val="bottom"/>
            <w:gridSpan w:val="2"/>
          </w:tcPr>
          <w:p>
            <w:pPr>
              <w:jc w:val="right"/>
              <w:ind w:right="68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187,136</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186,611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186,611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52,224</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302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275,140</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ind w:right="68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274,117</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76,334</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197,783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617"/>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-479425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-462280</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-479425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-462280</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-479425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-462280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-479425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-462280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-479425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-462280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-479425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-462280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Priced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36"/>
              <w:spacing w:after="0" w:line="160"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3"/>
                <w:szCs w:val="13"/>
                <w:color w:val="auto"/>
              </w:rPr>
            </w:pPr>
          </w:p>
        </w:tc>
        <w:tc>
          <w:tcPr>
            <w:tcW w:w="840" w:type="dxa"/>
            <w:vAlign w:val="bottom"/>
          </w:tcPr>
          <w:p>
            <w:pPr>
              <w:jc w:val="center"/>
              <w:ind w:left="64"/>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90"/>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700" w:type="dxa"/>
            <w:vAlign w:val="bottom"/>
          </w:tcPr>
          <w:p>
            <w:pPr>
              <w:jc w:val="center"/>
              <w:ind w:right="116"/>
              <w:spacing w:after="0" w:line="160" w:lineRule="exact"/>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99"/>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840" w:type="dxa"/>
            <w:vAlign w:val="bottom"/>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7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8"/>
              </w:rPr>
              <w:t>Financial assets</w:t>
            </w:r>
          </w:p>
        </w:tc>
        <w:tc>
          <w:tcPr>
            <w:tcW w:w="18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700" w:type="dxa"/>
            <w:vAlign w:val="bottom"/>
            <w:tcBorders>
              <w:top w:val="single" w:sz="8" w:color="auto"/>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top w:val="single" w:sz="8" w:color="auto"/>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88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70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top w:val="single" w:sz="8" w:color="auto"/>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82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118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40,960</w:t>
            </w:r>
          </w:p>
        </w:tc>
        <w:tc>
          <w:tcPr>
            <w:tcW w:w="1100" w:type="dxa"/>
            <w:vAlign w:val="bottom"/>
            <w:gridSpan w:val="2"/>
          </w:tcPr>
          <w:p>
            <w:pPr>
              <w:jc w:val="right"/>
              <w:ind w:right="66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$ 40,960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227,378</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(19 )</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227,362</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227,362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42,307</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(62 )</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302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310,645</w:t>
            </w:r>
          </w:p>
        </w:tc>
        <w:tc>
          <w:tcPr>
            <w:tcW w:w="2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ind w:right="66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310,567</w:t>
            </w:r>
          </w:p>
        </w:tc>
        <w:tc>
          <w:tcPr>
            <w:tcW w:w="2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$ 40,960</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269,607</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-24765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-7620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-24765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color w:val="auto"/>
        </w:rPr>
        <w:t>— As of June 30, 2022, the Company had cash of $3,317 and cash equivalents of $83,773. Cash equivalents consisted of money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funds of $35,780 and corporate debt securities of $47,993. As of December 31, 2021, the Company had cash of $3,508 and cash equivalents of $168,960. Cash equivalents consisted of money market funds of $40,960 and corporate debt securities of $128,000. Money market funds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175"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w:t>
      </w:r>
      <w:r>
        <w:rPr>
          <w:rFonts w:ascii="Times New Roman" w:cs="Times New Roman" w:eastAsia="Times New Roman" w:hAnsi="Times New Roman"/>
          <w:sz w:val="18"/>
          <w:szCs w:val="18"/>
          <w:color w:val="auto"/>
        </w:rPr>
        <w:t>— Marketable securities of $190,344 as of June 30, 2022, consisted of corporate debt securities of $138,618 and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 of $51,726. There were $190,344 current marketable securities and no noncurrent marketable securities as of June 30, 2022. Marketable securities of $141,607 as of December 31, 2021, consisted of corporate debt securities of $99,362 and government debt securities of $42,245. There were $124,696 current marketable securities and $16,911 noncurrent marketable securities as of December 31, 2021.</w:t>
      </w:r>
    </w:p>
    <w:p>
      <w:pPr>
        <w:spacing w:after="0" w:line="174"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aggregated gross unrealized losses of available-for-sale investments were not material, and accordingly, no allowance for credit losses was recorded.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Property and Equipment,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04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&amp; fixtures</w:t>
            </w: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not placed in service</w:t>
            </w:r>
          </w:p>
        </w:tc>
        <w:tc>
          <w:tcPr>
            <w:tcW w:w="10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10,755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8"/>
              </w:rPr>
              <w:t>(2,034 )</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(1,868 )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40" w:type="dxa"/>
            <w:vAlign w:val="bottom"/>
            <w:tcBorders>
              <w:top w:val="single" w:sz="8" w:color="auto"/>
              <w:bottom w:val="single" w:sz="8" w:color="auto"/>
            </w:tcBorders>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-453390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June 30, 2022 and 2021 was $82 and $71, respectively. Depreciation expense for the six months ended June 30, 2022 and 2021 was $166 and $150, respectively.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7720" w:type="dxa"/>
            <w:vAlign w:val="bottom"/>
          </w:tcPr>
          <w:p>
            <w:pPr>
              <w:spacing w:after="0"/>
              <w:rPr>
                <w:sz w:val="16"/>
                <w:szCs w:val="16"/>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8580"/>
        <w:spacing w:after="0"/>
        <w:rPr>
          <w:sz w:val="20"/>
          <w:szCs w:val="20"/>
          <w:color w:val="auto"/>
        </w:rPr>
      </w:pPr>
      <w:r>
        <w:rPr>
          <w:rFonts w:ascii="Times New Roman" w:cs="Times New Roman" w:eastAsia="Times New Roman" w:hAnsi="Times New Roman"/>
          <w:sz w:val="18"/>
          <w:szCs w:val="18"/>
          <w:b w:val="1"/>
          <w:bCs w:val="1"/>
          <w:i w:val="1"/>
          <w:iCs w:val="1"/>
          <w:color w:val="auto"/>
        </w:rPr>
        <w:t>6. Commitments and Contingencies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08"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In June 2015, the Company executed a noncancelable operating lease for approximately 13,000 square feet of laboratory, research and development, and office space in Cranbury, New Jersey for an initial base rent of $20.00 per square foot. This location operates as the Company’s current headquarters.</w:t>
      </w:r>
    </w:p>
    <w:p>
      <w:pPr>
        <w:spacing w:after="0" w:line="126"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In June 2017, the Company obtained an additional noncancelable operating lease for about 6,000 square feet of laboratory space in the same corporate center at an initial rental rate at $22.00 per square foot. As a result of the additional space, both leases will expire June 2022. In January 2022, the Company signed a lease extension for both leases for up to one additional year with the option to terminate upon 120 days of written notice, with an increase in base rent as per the lease extension. Both leases include a common area maintenance expense for $3.00 per square foot with an increase of 3% on the first month of each calendar year during the lease term and a management fee of 3% of the base rent. The Company is obligated to pay, on a pro-rata basis, real estate taxes and operating costs related to the premises.</w:t>
      </w:r>
    </w:p>
    <w:p>
      <w:pPr>
        <w:spacing w:after="0" w:line="180"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In August 2018, the Company executed two noncancelable operating leases. One lease for approximately 6,000 square feet for vivarium, laboratory and general office space in South Brunswick, New Jersey. The initial annual base rent is $15.50 per square foot and a management fee of 3% of the base rent. The Company is obligated to pay, on a pro-rata basis, insurance premiums, real estate taxes and operating costs related to the premises. The lease expires July 2022. In January 2022, the Company signed a lease extension for up to one additional year with the option to terminate upon 120 days of written notice, with an increase in base rent as per the lease extension. The second lease is for office space in Lexington, Massachusetts, that expires August 2023, with an option to renew for a one-time, three-year extension. The initial annual base rent is $28.50 per square foot and will increase $1.00 per square foot at the end of each rent year.</w:t>
      </w:r>
    </w:p>
    <w:p>
      <w:pPr>
        <w:spacing w:after="0" w:line="181"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In 2018, the Company received a lease incentive for the buildout of 420 Bedford Street in Lexington, MA. The Company was given an allowance for $165 on behalf of the lessor for construction of office space. Management recognizes this allowance as a lease incentive in its Right-of-Use asset and straight-lines the allowance throughout the term of the lease. As of June 30, 2022, the remaining rent incentive pertaining to the Lexington, MA lease totaled $45.</w:t>
      </w:r>
    </w:p>
    <w:p>
      <w:pPr>
        <w:spacing w:after="0" w:line="177"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In January 2021, the Company signed a lease for 50,581 square feet of office and laboratory space at One Research Way in Princeton, New Jersey. The Company intends to relocate it's headquarters from Cranbury, NJ to One Research Way in Princeton, NJ. That lease term extends through 2032, has a five-year extension option, and is intended to replace the Company’s two existing facilities and the space is expected to become the Company’s future headquarters. Payment under this lease will total $19,889 through May 2032. The Company received a lease incentive of $4,046 from the lessor for a buildout of laboratory, vivarium, and office space, to be reimbursed to the Company in 2022. Management estimated the timing and amounts of reimbursements and included them as a reduction of lease payments when initially measuring the lease liability and right-of-use asset upon commencement. As of June 30, 2022, $1,612 of reimbursements were received.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cost for the three and six months ended June 30, 2022, and 2021,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24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7"/>
                <w:szCs w:val="17"/>
                <w:color w:val="auto"/>
              </w:rPr>
            </w:pPr>
          </w:p>
        </w:tc>
      </w:tr>
      <w:tr>
        <w:trPr>
          <w:trHeight w:val="176"/>
        </w:trPr>
        <w:tc>
          <w:tcPr>
            <w:tcW w:w="532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r>
      <w:tr>
        <w:trPr>
          <w:trHeight w:val="209"/>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60" w:type="dxa"/>
            <w:vAlign w:val="bottom"/>
            <w:tcBorders>
              <w:top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60" w:type="dxa"/>
            <w:vAlign w:val="bottom"/>
            <w:gridSpan w:val="2"/>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511</w:t>
            </w: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8"/>
                <w:szCs w:val="18"/>
                <w:color w:val="auto"/>
              </w:rPr>
            </w:pPr>
          </w:p>
        </w:tc>
      </w:tr>
      <w:tr>
        <w:trPr>
          <w:trHeight w:val="249"/>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60" w:type="dxa"/>
            <w:vAlign w:val="bottom"/>
            <w:tcBorders>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703</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-594995</wp:posOffset>
            </wp:positionV>
            <wp:extent cx="10287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-594995</wp:posOffset>
            </wp:positionV>
            <wp:extent cx="9398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-25400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-8255</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both"/>
        <w:ind w:right="260" w:firstLine="509"/>
        <w:spacing w:after="0" w:line="282" w:lineRule="auto"/>
        <w:rPr>
          <w:sz w:val="20"/>
          <w:szCs w:val="20"/>
          <w:color w:val="auto"/>
        </w:rPr>
      </w:pPr>
      <w:r>
        <w:rPr>
          <w:rFonts w:ascii="Times New Roman" w:cs="Times New Roman" w:eastAsia="Times New Roman" w:hAnsi="Times New Roman"/>
          <w:sz w:val="18"/>
          <w:szCs w:val="18"/>
          <w:color w:val="auto"/>
        </w:rPr>
        <w:t>Amounts reported in the balance sheet for leases where the Company is the lessee as of June 30, 2022, and December 31, 2021, are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3"/>
                <w:szCs w:val="13"/>
                <w:color w:val="auto"/>
              </w:rPr>
            </w:pPr>
          </w:p>
        </w:tc>
        <w:tc>
          <w:tcPr>
            <w:tcW w:w="168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09"/>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220" w:type="dxa"/>
            <w:vAlign w:val="bottom"/>
            <w:shd w:val="clear" w:color="auto" w:fill="CFF0FC"/>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12,211</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220" w:type="dxa"/>
            <w:vAlign w:val="bottom"/>
          </w:tcPr>
          <w:p>
            <w:pPr>
              <w:spacing w:after="0"/>
              <w:rPr>
                <w:sz w:val="18"/>
                <w:szCs w:val="18"/>
                <w:color w:val="auto"/>
              </w:rPr>
            </w:pPr>
          </w:p>
        </w:tc>
      </w:tr>
      <w:tr>
        <w:trPr>
          <w:trHeight w:val="210"/>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220" w:type="dxa"/>
            <w:vAlign w:val="bottom"/>
            <w:shd w:val="clear" w:color="auto" w:fill="CFF0FC"/>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shd w:val="clear" w:color="auto" w:fill="CFF0FC"/>
          </w:tcPr>
          <w:p>
            <w:pPr>
              <w:spacing w:after="0"/>
              <w:rPr>
                <w:sz w:val="18"/>
                <w:szCs w:val="18"/>
                <w:color w:val="auto"/>
              </w:rPr>
            </w:pPr>
          </w:p>
        </w:tc>
      </w:tr>
      <w:tr>
        <w:trPr>
          <w:trHeight w:val="23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5.75 %</w:t>
            </w:r>
          </w:p>
        </w:tc>
        <w:tc>
          <w:tcPr>
            <w:tcW w:w="340" w:type="dxa"/>
            <w:vAlign w:val="bottom"/>
          </w:tcPr>
          <w:p>
            <w:pPr>
              <w:spacing w:after="0"/>
              <w:rPr>
                <w:sz w:val="20"/>
                <w:szCs w:val="20"/>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5.75 %</w:t>
            </w:r>
          </w:p>
        </w:tc>
      </w:tr>
      <w:tr>
        <w:trPr>
          <w:trHeight w:val="400"/>
        </w:trPr>
        <w:tc>
          <w:tcPr>
            <w:tcW w:w="956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Other information related to leases for the six months ended June 30, 2022 and 2021, respectively, as follows, in thousands:</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05"/>
        </w:trPr>
        <w:tc>
          <w:tcPr>
            <w:tcW w:w="7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gridSpan w:val="7"/>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720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paid (received) for amounts included in the measurement of lease liabilities</w:t>
            </w:r>
          </w:p>
        </w:tc>
        <w:tc>
          <w:tcPr>
            <w:tcW w:w="3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or modified operating lease liabilities</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66"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Future minimum lease payments, net of reimbursements, remaining as of June 30, 2022, under operating leases by fiscal year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(1,584 )</w:t>
            </w: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Pr>
          <w:p>
            <w:pPr>
              <w:spacing w:after="0"/>
              <w:rPr>
                <w:sz w:val="18"/>
                <w:szCs w:val="18"/>
                <w:color w:val="auto"/>
              </w:rPr>
            </w:pPr>
          </w:p>
        </w:tc>
      </w:tr>
      <w:tr>
        <w:trPr>
          <w:trHeight w:val="21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FF0FC"/>
          </w:tcPr>
          <w:p>
            <w:pPr>
              <w:spacing w:after="0"/>
              <w:rPr>
                <w:sz w:val="18"/>
                <w:szCs w:val="18"/>
                <w:color w:val="auto"/>
              </w:rPr>
            </w:pP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18"/>
                <w:szCs w:val="18"/>
                <w:color w:val="auto"/>
              </w:rPr>
            </w:pPr>
          </w:p>
        </w:tc>
      </w:tr>
      <w:tr>
        <w:trPr>
          <w:trHeight w:val="21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FF0FC"/>
          </w:tcPr>
          <w:p>
            <w:pPr>
              <w:spacing w:after="0"/>
              <w:rPr>
                <w:sz w:val="18"/>
                <w:szCs w:val="18"/>
                <w:color w:val="auto"/>
              </w:rPr>
            </w:pP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100" w:type="dxa"/>
            <w:vAlign w:val="bottom"/>
          </w:tcPr>
          <w:p>
            <w:pPr>
              <w:spacing w:after="0"/>
              <w:rPr>
                <w:sz w:val="18"/>
                <w:szCs w:val="18"/>
                <w:color w:val="auto"/>
              </w:rPr>
            </w:pPr>
          </w:p>
        </w:tc>
      </w:tr>
      <w:tr>
        <w:trPr>
          <w:trHeight w:val="210"/>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00" w:type="dxa"/>
            <w:vAlign w:val="bottom"/>
            <w:shd w:val="clear" w:color="auto" w:fill="CFF0FC"/>
          </w:tcPr>
          <w:p>
            <w:pPr>
              <w:spacing w:after="0"/>
              <w:rPr>
                <w:sz w:val="18"/>
                <w:szCs w:val="18"/>
                <w:color w:val="auto"/>
              </w:rPr>
            </w:pP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imputed interest</w:t>
            </w:r>
          </w:p>
        </w:tc>
        <w:tc>
          <w:tcPr>
            <w:tcW w:w="8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(4,740 )</w:t>
            </w:r>
          </w:p>
        </w:tc>
      </w:tr>
      <w:tr>
        <w:trPr>
          <w:trHeight w:val="250"/>
        </w:trPr>
        <w:tc>
          <w:tcPr>
            <w:tcW w:w="8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Rent expense recorded during the three months ended June 30, 2022 and 2021 was $530 and $531, respectively. Rent expense recorded during the six months ended June 30, 2022 and 2021 was $1,042 and $668, respectively.</w:t>
      </w:r>
    </w:p>
    <w:p>
      <w:pPr>
        <w:spacing w:after="0" w:line="162"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Company currently subleases the office space at 420 Bedford Street in Lexington, MA to another company. This sublease agreement expires in August, 2023. In April 2021, the company entered into a sublease agreement with the previous tenants of the office space at 1 Research Way in Princeton, NJ, to begin April 2021 and end June 2021. Sublease income recorded during the three months ended June 30, 2022 and 2021 was $26 and $85, respectively. Sublease income recorded during the six months ended June 30, 2022 and 2021 was $55 and $60, respectively.</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08"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Stockholders’ Equity</w:t>
      </w:r>
    </w:p>
    <w:p>
      <w:pPr>
        <w:spacing w:after="0" w:line="12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Company is authorized to issue up to 1,000,000,000 shares of common stock with a par value of $0.00001 per share and 5,000,000 shares of preferred stock with a par value of $0.00001 per share. At June 30, 2022 and December 31, 2021, there were 45,622,610 and 45,433,684 shares of common stock issued and outstanding, respectively.</w:t>
      </w:r>
    </w:p>
    <w:p>
      <w:pPr>
        <w:spacing w:after="0" w:line="190" w:lineRule="exact"/>
        <w:rPr>
          <w:sz w:val="20"/>
          <w:szCs w:val="20"/>
          <w:color w:val="auto"/>
        </w:rPr>
      </w:pPr>
    </w:p>
    <w:p>
      <w:pPr>
        <w:ind w:right="740" w:firstLine="509"/>
        <w:spacing w:after="0" w:line="266" w:lineRule="auto"/>
        <w:rPr>
          <w:sz w:val="20"/>
          <w:szCs w:val="20"/>
          <w:color w:val="auto"/>
        </w:rPr>
      </w:pPr>
      <w:r>
        <w:rPr>
          <w:rFonts w:ascii="Times New Roman" w:cs="Times New Roman" w:eastAsia="Times New Roman" w:hAnsi="Times New Roman"/>
          <w:sz w:val="18"/>
          <w:szCs w:val="18"/>
          <w:color w:val="auto"/>
        </w:rPr>
        <w:t>Common stockholders are entitled to receive dividends if and when declared by the board of directors subject to the rights of any preferred stockholders. As of June 30, 2022, no dividends on common stock had been declared by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Stock Plan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0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is 4,406,374, which shall be increased, upon approval by the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2022, the board of directors exercised its discretion under clause (iii) to increase the number of shares of common stock reserved for issuance under the 2020 Plan by a lesser amount of 1,363,084 shares, effective as of January 1, 2022. As of June 30, 2022, there were 5,055,106 shares available for issuance under the 2020 Plan.</w:t>
      </w:r>
    </w:p>
    <w:p>
      <w:pPr>
        <w:spacing w:after="0" w:line="3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08"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The 2020 Employee Stock Purchase Plan (the “2020 ESPP”) was approved by the board of directors on September 24, 2020. A total of 400,572 shares of common stock were initially reserved for issuance under this plan, which shall be increased, upon approval by the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2022, the board waived the increase to the shares reserved under the 2020 ESPP. On May 20, 2022, employees exercised their right to purchase 18,454 shares under the 2020 ESPP. As of June 30, 2022, 65,520 shares are issued or outstanding, and there were 801,464 shares available for issuance, under the 2020 ESPP.</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option activity for the six-month period ended June 30,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05"/>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5"/>
                <w:szCs w:val="15"/>
                <w:color w:val="auto"/>
              </w:rPr>
            </w:pPr>
          </w:p>
        </w:tc>
      </w:tr>
      <w:tr>
        <w:trPr>
          <w:trHeight w:val="176"/>
        </w:trPr>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5"/>
                <w:szCs w:val="15"/>
                <w:color w:val="auto"/>
              </w:rPr>
            </w:pPr>
          </w:p>
        </w:tc>
      </w:tr>
      <w:tr>
        <w:trPr>
          <w:trHeight w:val="175"/>
        </w:trPr>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5"/>
                <w:szCs w:val="15"/>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r>
      <w:tr>
        <w:trPr>
          <w:trHeight w:val="187"/>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Pr>
          <w:p>
            <w:pPr>
              <w:spacing w:after="0"/>
              <w:rPr>
                <w:sz w:val="16"/>
                <w:szCs w:val="16"/>
                <w:color w:val="auto"/>
              </w:rPr>
            </w:pPr>
          </w:p>
        </w:tc>
      </w:tr>
      <w:tr>
        <w:trPr>
          <w:trHeight w:val="209"/>
        </w:trPr>
        <w:tc>
          <w:tcPr>
            <w:tcW w:w="4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4,951,680</w:t>
            </w:r>
          </w:p>
        </w:tc>
        <w:tc>
          <w:tcPr>
            <w:tcW w:w="24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4,246,007</w:t>
            </w: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2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68,506</w:t>
            </w:r>
          </w:p>
        </w:tc>
        <w:tc>
          <w:tcPr>
            <w:tcW w:w="100" w:type="dxa"/>
            <w:vAlign w:val="bottom"/>
            <w:shd w:val="clear" w:color="auto" w:fill="CFF0FC"/>
          </w:tcPr>
          <w:p>
            <w:pPr>
              <w:spacing w:after="0"/>
              <w:rPr>
                <w:sz w:val="18"/>
                <w:szCs w:val="18"/>
                <w:color w:val="auto"/>
              </w:rPr>
            </w:pP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issuance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1,363,084</w:t>
            </w: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(1,267,997 )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1,267,997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2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(8,339 )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(170,472 )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4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2022 (unaudited)</w:t>
            </w:r>
          </w:p>
        </w:tc>
        <w:tc>
          <w:tcPr>
            <w:tcW w:w="120" w:type="dxa"/>
            <w:vAlign w:val="bottom"/>
            <w:tcBorders>
              <w:top w:val="single" w:sz="8" w:color="CFF0FC"/>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5,055,106</w:t>
            </w:r>
          </w:p>
        </w:tc>
        <w:tc>
          <w:tcPr>
            <w:tcW w:w="240" w:type="dxa"/>
            <w:vAlign w:val="bottom"/>
            <w:tcBorders>
              <w:top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5,335,193</w:t>
            </w: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5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4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36,326</w:t>
            </w:r>
          </w:p>
        </w:tc>
        <w:tc>
          <w:tcPr>
            <w:tcW w:w="100" w:type="dxa"/>
            <w:vAlign w:val="bottom"/>
            <w:tcBorders>
              <w:top w:val="single" w:sz="8" w:color="CFF0FC"/>
            </w:tcBorders>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1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At June 30, 2022</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5,353,193</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36,326</w:t>
            </w:r>
          </w:p>
        </w:tc>
        <w:tc>
          <w:tcPr>
            <w:tcW w:w="10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180" w:type="dxa"/>
            <w:vAlign w:val="bottom"/>
            <w:tcBorders>
              <w:bottom w:val="single" w:sz="8" w:color="CFF0FC"/>
            </w:tcBorders>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Exercisable</w:t>
            </w:r>
          </w:p>
        </w:tc>
        <w:tc>
          <w:tcPr>
            <w:tcW w:w="1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3,009,863</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5.85</w:t>
            </w:r>
          </w:p>
        </w:tc>
        <w:tc>
          <w:tcPr>
            <w:tcW w:w="156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5.92</w:t>
            </w:r>
          </w:p>
        </w:tc>
        <w:tc>
          <w:tcPr>
            <w:tcW w:w="4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30,124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-633730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-633730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-633730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-25400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At June 30, 2022, the total compensation cost related to nonvested awards not yet recognized is $25,298. The weighted-average period over which the nonvested awards is expected to be recognized is 3.2 years.</w:t>
      </w:r>
    </w:p>
    <w:p>
      <w:pPr>
        <w:spacing w:after="0" w:line="162"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80" w:type="dxa"/>
            <w:vAlign w:val="bottom"/>
          </w:tcPr>
          <w:p>
            <w:pPr>
              <w:spacing w:after="0"/>
              <w:rPr>
                <w:sz w:val="15"/>
                <w:szCs w:val="15"/>
                <w:color w:val="auto"/>
              </w:rPr>
            </w:pP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60" w:type="dxa"/>
            <w:vAlign w:val="bottom"/>
          </w:tcPr>
          <w:p>
            <w:pPr>
              <w:spacing w:after="0"/>
              <w:rPr>
                <w:sz w:val="15"/>
                <w:szCs w:val="15"/>
                <w:color w:val="auto"/>
              </w:rPr>
            </w:pP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5"/>
        </w:trPr>
        <w:tc>
          <w:tcPr>
            <w:tcW w:w="5980" w:type="dxa"/>
            <w:vAlign w:val="bottom"/>
          </w:tcPr>
          <w:p>
            <w:pPr>
              <w:spacing w:after="0"/>
              <w:rPr>
                <w:sz w:val="15"/>
                <w:szCs w:val="15"/>
                <w:color w:val="auto"/>
              </w:rPr>
            </w:pP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5"/>
                <w:szCs w:val="15"/>
                <w:color w:val="auto"/>
              </w:rPr>
            </w:pP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5980" w:type="dxa"/>
            <w:vAlign w:val="bottom"/>
          </w:tcPr>
          <w:p>
            <w:pPr>
              <w:spacing w:after="0"/>
              <w:rPr>
                <w:sz w:val="16"/>
                <w:szCs w:val="16"/>
                <w:color w:val="auto"/>
              </w:rPr>
            </w:pP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0" w:type="dxa"/>
            <w:vAlign w:val="bottom"/>
            <w:gridSpan w:val="3"/>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- 2.93%</w:t>
            </w:r>
          </w:p>
        </w:tc>
        <w:tc>
          <w:tcPr>
            <w:tcW w:w="36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- 1.22%</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- 6.44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- 6.43</w:t>
            </w: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4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800" w:type="dxa"/>
            <w:vAlign w:val="bottom"/>
            <w:gridSpan w:val="3"/>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77.00%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- 79.90%</w:t>
            </w:r>
          </w:p>
        </w:tc>
      </w:tr>
    </w:tbl>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stock options granted and stock purchase rights under the ESPP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6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5"/>
        </w:trPr>
        <w:tc>
          <w:tcPr>
            <w:tcW w:w="598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59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0" w:type="dxa"/>
            <w:vAlign w:val="bottom"/>
            <w:gridSpan w:val="2"/>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0"/>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1.57%</w:t>
            </w:r>
          </w:p>
        </w:tc>
        <w:tc>
          <w:tcPr>
            <w:tcW w:w="360" w:type="dxa"/>
            <w:vAlign w:val="bottom"/>
            <w:shd w:val="clear" w:color="auto" w:fill="CFF0FC"/>
          </w:tcPr>
          <w:p>
            <w:pPr>
              <w:spacing w:after="0"/>
              <w:rPr>
                <w:sz w:val="18"/>
                <w:szCs w:val="18"/>
                <w:color w:val="auto"/>
              </w:rPr>
            </w:pPr>
          </w:p>
        </w:tc>
        <w:tc>
          <w:tcPr>
            <w:tcW w:w="24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0.49</w:t>
            </w:r>
          </w:p>
        </w:tc>
        <w:tc>
          <w:tcPr>
            <w:tcW w:w="2800" w:type="dxa"/>
            <w:vAlign w:val="bottom"/>
            <w:gridSpan w:val="2"/>
          </w:tcPr>
          <w:p>
            <w:pPr>
              <w:jc w:val="center"/>
              <w:ind w:left="275"/>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800" w:type="dxa"/>
            <w:vAlign w:val="bottom"/>
            <w:gridSpan w:val="2"/>
            <w:shd w:val="clear" w:color="auto" w:fill="CFF0FC"/>
          </w:tcPr>
          <w:p>
            <w:pPr>
              <w:jc w:val="center"/>
              <w:ind w:left="275"/>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77.00%</w:t>
            </w:r>
          </w:p>
        </w:tc>
        <w:tc>
          <w:tcPr>
            <w:tcW w:w="2800" w:type="dxa"/>
            <w:vAlign w:val="bottom"/>
            <w:gridSpan w:val="2"/>
          </w:tcPr>
          <w:p>
            <w:pPr>
              <w:jc w:val="center"/>
              <w:ind w:left="275"/>
              <w:spacing w:after="0"/>
              <w:rPr>
                <w:sz w:val="20"/>
                <w:szCs w:val="20"/>
                <w:color w:val="auto"/>
              </w:rPr>
            </w:pPr>
            <w:r>
              <w:rPr>
                <w:rFonts w:ascii="Times New Roman" w:cs="Times New Roman" w:eastAsia="Times New Roman" w:hAnsi="Times New Roman"/>
                <w:sz w:val="18"/>
                <w:szCs w:val="18"/>
                <w:color w:val="auto"/>
              </w:rPr>
              <w:t>79.00%</w:t>
            </w:r>
          </w:p>
        </w:tc>
      </w:tr>
    </w:tbl>
    <w:p>
      <w:pPr>
        <w:spacing w:after="0" w:line="16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Volatility: Volatility is based on an average of the historical volatilities of comparable publicly traded companies for the expected term.</w:t>
      </w:r>
    </w:p>
    <w:p>
      <w:pPr>
        <w:spacing w:after="0" w:line="212"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Risk Free Interest Rate: The risk-free rate is based on the U.S. Treasury yields in effect at the time of grant for periods corresponding with the expected term of the option.</w:t>
      </w:r>
    </w:p>
    <w:p>
      <w:pPr>
        <w:spacing w:after="0" w:line="14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under ASC 718 related to stock options granted and common stock issued under the 2020 ESPP were allocated to research and development and general and administrative expense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00" w:type="dxa"/>
            <w:vAlign w:val="bottom"/>
          </w:tcPr>
          <w:p>
            <w:pPr>
              <w:spacing w:after="0"/>
              <w:rPr>
                <w:sz w:val="16"/>
                <w:szCs w:val="16"/>
                <w:color w:val="auto"/>
              </w:rPr>
            </w:pPr>
          </w:p>
        </w:tc>
      </w:tr>
      <w:tr>
        <w:trPr>
          <w:trHeight w:val="213"/>
        </w:trPr>
        <w:tc>
          <w:tcPr>
            <w:tcW w:w="4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8"/>
                <w:szCs w:val="18"/>
                <w:color w:val="auto"/>
              </w:rPr>
            </w:pPr>
          </w:p>
        </w:tc>
      </w:tr>
      <w:tr>
        <w:trPr>
          <w:trHeight w:val="199"/>
        </w:trPr>
        <w:tc>
          <w:tcPr>
            <w:tcW w:w="4240" w:type="dxa"/>
            <w:vAlign w:val="bottom"/>
          </w:tcPr>
          <w:p>
            <w:pPr>
              <w:spacing w:after="0"/>
              <w:rPr>
                <w:sz w:val="17"/>
                <w:szCs w:val="17"/>
                <w:color w:val="auto"/>
              </w:rPr>
            </w:pPr>
          </w:p>
        </w:tc>
        <w:tc>
          <w:tcPr>
            <w:tcW w:w="110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7"/>
                <w:szCs w:val="17"/>
                <w:color w:val="auto"/>
              </w:rPr>
            </w:pPr>
          </w:p>
        </w:tc>
        <w:tc>
          <w:tcPr>
            <w:tcW w:w="140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r>
      <w:tr>
        <w:trPr>
          <w:trHeight w:val="21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Borders>
              <w:top w:val="single" w:sz="8" w:color="auto"/>
            </w:tcBorders>
            <w:shd w:val="clear" w:color="auto" w:fill="CFF0FC"/>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6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FF0FC"/>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20" w:type="dxa"/>
            <w:vAlign w:val="bottom"/>
            <w:shd w:val="clear" w:color="auto" w:fill="CFF0FC"/>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8"/>
                <w:szCs w:val="18"/>
                <w:color w:val="auto"/>
              </w:rPr>
            </w:pPr>
          </w:p>
        </w:tc>
      </w:tr>
      <w:tr>
        <w:trPr>
          <w:trHeight w:val="249"/>
        </w:trPr>
        <w:tc>
          <w:tcPr>
            <w:tcW w:w="4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00" w:type="dxa"/>
            <w:vAlign w:val="bottom"/>
            <w:tcBorders>
              <w:bottom w:val="single" w:sz="8" w:color="auto"/>
            </w:tcBorders>
            <w:shd w:val="clear" w:color="auto" w:fill="CFF0FC"/>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28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-25400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Income Taxes</w:t>
      </w:r>
    </w:p>
    <w:p>
      <w:pPr>
        <w:spacing w:after="0" w:line="10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the Company recorded a full valuation allowance on federal and state deferred tax assets since management does not forecast the Company to be in a taxable position in the near future.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Net Loss per Share</w:t>
      </w:r>
    </w:p>
    <w:p>
      <w:pPr>
        <w:spacing w:after="0" w:line="10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excluded all outstanding stock options and restricted stock awards at each period end from the computation of diluted net loss per share attributable to common stockholders for the periods indicated because including them would have had an anti-dilutive effect.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4"/>
          </w:tcPr>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For the Six</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3"/>
        </w:trPr>
        <w:tc>
          <w:tcPr>
            <w:tcW w:w="4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44"/>
        </w:trPr>
        <w:tc>
          <w:tcPr>
            <w:tcW w:w="4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right"/>
              <w:ind w:right="690"/>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2"/>
                <w:szCs w:val="12"/>
                <w:color w:val="auto"/>
              </w:rPr>
            </w:pPr>
          </w:p>
        </w:tc>
        <w:tc>
          <w:tcPr>
            <w:tcW w:w="1140" w:type="dxa"/>
            <w:vAlign w:val="bottom"/>
          </w:tcPr>
          <w:p>
            <w:pPr>
              <w:jc w:val="right"/>
              <w:ind w:right="437"/>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4"/>
          </w:tcPr>
          <w:p>
            <w:pPr>
              <w:jc w:val="right"/>
              <w:ind w:right="1030"/>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jc w:val="right"/>
              <w:ind w:right="377"/>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3"/>
        </w:trPr>
        <w:tc>
          <w:tcPr>
            <w:tcW w:w="4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(17,310</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18"/>
                <w:szCs w:val="18"/>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 basic and diluted</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45,571,067</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45,070,104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45,518,845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44,928,518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18"/>
                <w:szCs w:val="18"/>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Related Parties</w:t>
      </w:r>
    </w:p>
    <w:p>
      <w:pPr>
        <w:spacing w:after="0" w:line="12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Company has consulting agreements with two members of its board of directors; one of which waived his consulting fees as of September 2021. Total consulting fees paid in each of the three months ended June 30, 2022 and 2021, were $33 and $28, respectively. Total consulting fees paid in each of the six months ended June 30, 2022 and 2021, were $58 and $56, respectively. There were no amounts owed under the consulting agreements as of June 30, 2022.</w:t>
      </w:r>
    </w:p>
    <w:p>
      <w:pPr>
        <w:spacing w:after="0" w:line="177"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Total consulting fees paid as of the year ended December 31, 2021, was $110. In May of 2021, the two members of the board of directors were awarded 5,781 options of Company stock each, as per their updated Scientific Advisory Board agreements. There were no amounts owed under the consulting agreements as of December 31, 2021.</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unaudited financial statements and the related notes and other financial information included in this Quarterly Report on Form 10-Q and our audited financial statements and notes thereto as of and for the years ended December 31, 2021 and 2020 and the related Management’s Discussion and Analysis of Financial Condition and Results of Operations, including Contractual Obligations and Commitments, and Critical Accounting Policies and Significant Judgments and Estimates, included in our Annual Report on Form 10-K for the fiscal year ended December 31, 2021 filed with the Securities and Exchange Commission (SEC) on March 1, 2022. Unless the context requires otherwise, references in this Quarterly Report on Form 10-Q to “we,” “us,” and “our” refer to PMV Pharmaceuticals, Inc.</w:t>
      </w:r>
    </w:p>
    <w:p>
      <w:pPr>
        <w:spacing w:after="0" w:line="181"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that involve risks, uncertainties, and assumptions. Our actual results may differ materially from those anticipated in these forward-looking statements as a result of various factors, including but not limited to those set forth under the captions “Special Note Regarding Forward-Looking Statements,” “Item 1A. Risk Factors” and elsewhere in our Annual Report on Form 10-K for the fiscal year ended December 31, 2021, as updated by our subsequent filings under the Securities Exchange Act of 1934, as amended. Furthermore, past operating results are not necessarily indicative of results that may occur in future periods.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 In addition, we are expanding the utilization of our platform to target certain cancers where wild-type p53 function is silenced.</w:t>
      </w:r>
    </w:p>
    <w:p>
      <w:pPr>
        <w:spacing w:after="0" w:line="16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$57.8 million and $34.4 million for the years ended December 31, 2021, and 2020, respectively. During the three and six months ended June 30, 2022, the Company incurred a net loss of $17.3 million and $35.7 million, respectively. As of June 30, 2022, we had an accumulated deficit of $203.5 million. We do not currently have any product candidates approved for sale, and we continue to incur significant research and development and general administrative expenses related to our operations.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In June 2022, we presented our Initial Phase 1 clinical data for PC14586. 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Furthermore, we have incurred and will continue to incur additional costs associated with operating as a public company that we did not experience as a private company. We expect to continue to incur significant losses for the foreseeable future.</w:t>
      </w:r>
    </w:p>
    <w:p>
      <w:pPr>
        <w:spacing w:after="0" w:line="189"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177" w:lineRule="exact"/>
        <w:rPr>
          <w:sz w:val="20"/>
          <w:szCs w:val="20"/>
          <w:color w:val="auto"/>
        </w:rPr>
      </w:pPr>
    </w:p>
    <w:p>
      <w:pPr>
        <w:jc w:val="both"/>
        <w:ind w:right="900" w:firstLine="509"/>
        <w:spacing w:after="0" w:line="250" w:lineRule="auto"/>
        <w:rPr>
          <w:sz w:val="20"/>
          <w:szCs w:val="20"/>
          <w:color w:val="auto"/>
        </w:rPr>
      </w:pPr>
      <w:r>
        <w:rPr>
          <w:rFonts w:ascii="Times New Roman" w:cs="Times New Roman" w:eastAsia="Times New Roman" w:hAnsi="Times New Roman"/>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17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In June 2022, we presented our initial Phase 1 clinical data for PC14586 at the 2022 ASCO Annual Meeting.</w:t>
      </w:r>
    </w:p>
    <w:p>
      <w:pPr>
        <w:spacing w:after="0" w:line="185"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08"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have incurred additional expenses as a public company, including expenses related to compliance with the rules and regulations of the SEC, and those of any national securities exchange on which our securities are traded, additional insurance expenses, investor relations activities and other administrative and professional services. We have increased our headcount significantly to support our operations as a public company. We also expect to increase our general and administrative expenses as we advance our product candidates through preclinical research and development, manufacturing, clinical development, and commercialization.</w:t>
      </w:r>
    </w:p>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0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short-term marketable securities and interest costs related to amortization of premiums and discounts on short-term marketable securities.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19" w:name="page20"/>
    <w:bookmarkEnd w:id="19"/>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1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6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33"/>
              <w:spacing w:after="0" w:line="131"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53"/>
              <w:spacing w:after="0" w:line="131"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00" w:type="dxa"/>
            <w:vAlign w:val="bottom"/>
          </w:tcPr>
          <w:p>
            <w:pPr>
              <w:spacing w:after="0"/>
              <w:rPr>
                <w:sz w:val="16"/>
                <w:szCs w:val="16"/>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11,462</w:t>
            </w:r>
          </w:p>
        </w:tc>
        <w:tc>
          <w:tcPr>
            <w:tcW w:w="2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18"/>
                <w:szCs w:val="18"/>
                <w:color w:val="auto"/>
              </w:rPr>
            </w:pPr>
          </w:p>
        </w:tc>
      </w:tr>
      <w:tr>
        <w:trPr>
          <w:trHeight w:val="21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(17,885 )</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(13,050 )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(4,835 )</w:t>
            </w:r>
          </w:p>
        </w:tc>
      </w:tr>
      <w:tr>
        <w:trPr>
          <w:trHeight w:val="210"/>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(31 )</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(94 )</w:t>
            </w:r>
          </w:p>
        </w:tc>
      </w:tr>
      <w:tr>
        <w:trPr>
          <w:trHeight w:val="209"/>
        </w:trPr>
        <w:tc>
          <w:tcPr>
            <w:tcW w:w="66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8"/>
                <w:szCs w:val="18"/>
                <w:color w:val="auto"/>
              </w:rPr>
            </w:pPr>
          </w:p>
        </w:tc>
      </w:tr>
      <w:tr>
        <w:trPr>
          <w:trHeight w:val="209"/>
        </w:trPr>
        <w:tc>
          <w:tcPr>
            <w:tcW w:w="6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benefit for income taxes</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(17,312 )</w:t>
            </w: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(12,874 )</w:t>
            </w:r>
          </w:p>
        </w:tc>
        <w:tc>
          <w:tcPr>
            <w:tcW w:w="2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(4,438 )</w:t>
            </w:r>
          </w:p>
        </w:tc>
      </w:tr>
      <w:tr>
        <w:trPr>
          <w:trHeight w:val="216"/>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for income taxes</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10"/>
        </w:trPr>
        <w:tc>
          <w:tcPr>
            <w:tcW w:w="66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(17,310 )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(12,874 )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(4,436 )</w:t>
            </w: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-1988185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-1988185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-1431290</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-1431290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-307975</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-307975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418"/>
              <w:spacing w:after="0" w:line="14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ind w:right="475"/>
              <w:spacing w:after="0" w:line="14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11,462</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768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768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$11.5 million for the three months ended June 30, 2022, compared to $7.7 million for the three months ended June 30, 2021. The increase of $3.8 million, compared to the three months ended June 30, 2021, was primarily due to the following:</w:t>
      </w:r>
    </w:p>
    <w:p>
      <w:pPr>
        <w:spacing w:after="0" w:line="54"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decrease in research expenses, largely driven by decreased contractual research organization costs;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increase in development expenses associated with advancing our lead product candidate, PC14586, through the Phase 1/2 clinical trial;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increase in expenses for personnel related costs and stock-based compensation, primarily driven by increased headcount.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$6.4 million for the three months ended June 30, 2022, compared to $5.4 million for the three months ended June 30, 2021. The increase of $1.0 million, compared to the three months ended June 30, 2021, was primarily due to the following:</w:t>
      </w:r>
    </w:p>
    <w:p>
      <w:pPr>
        <w:spacing w:after="0" w:line="54" w:lineRule="exact"/>
        <w:rPr>
          <w:sz w:val="20"/>
          <w:szCs w:val="20"/>
          <w:color w:val="auto"/>
        </w:rPr>
      </w:pPr>
    </w:p>
    <w:p>
      <w:pPr>
        <w:ind w:left="900" w:right="8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increase in personnel and office related expense due to increased headcount to build out general and administrative infrastructure; and</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increase due to facility related costs for our new office and laboratory building in Princeton, NJ.</w:t>
      </w:r>
    </w:p>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amortization of premiums and discounts on marketable securities. Interest income, net was $0.6 million for the three months ended June 30, 2022. The increase of $0.5 million compared to the three months ended June 30, 2021, is driven by increased interest rates from cash investments in marketable securities and U.S treasuries during the three months ended June 30, 2022.</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435"/>
              <w:spacing w:after="0" w:line="131"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453"/>
              <w:spacing w:after="0" w:line="131"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23,297</w:t>
            </w:r>
          </w:p>
        </w:tc>
        <w:tc>
          <w:tcPr>
            <w:tcW w:w="2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(36,503 )</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(24,723 )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(11,780 )</w:t>
            </w: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(72 )</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(35,743 )</w:t>
            </w: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(24,472 )</w:t>
            </w:r>
          </w:p>
        </w:tc>
        <w:tc>
          <w:tcPr>
            <w:tcW w:w="2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(11,271 )</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(35,743 )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(24,476 )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(11,267 )</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-1988185</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-1988185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-1431290</wp:posOffset>
            </wp:positionV>
            <wp:extent cx="768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-1431290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-307975</wp:posOffset>
            </wp:positionV>
            <wp:extent cx="768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-307975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768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768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37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37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438"/>
              <w:spacing w:after="0" w:line="131"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right"/>
              <w:ind w:right="475"/>
              <w:spacing w:after="0" w:line="131"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28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00" w:type="dxa"/>
            <w:vAlign w:val="bottom"/>
          </w:tcPr>
          <w:p>
            <w:pPr>
              <w:spacing w:after="0"/>
              <w:rPr>
                <w:sz w:val="18"/>
                <w:szCs w:val="18"/>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w:t>
            </w:r>
          </w:p>
        </w:tc>
        <w:tc>
          <w:tcPr>
            <w:tcW w:w="2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8"/>
                <w:szCs w:val="18"/>
                <w:color w:val="auto"/>
              </w:rPr>
            </w:pPr>
          </w:p>
        </w:tc>
      </w:tr>
      <w:tr>
        <w:trPr>
          <w:trHeight w:val="250"/>
        </w:trPr>
        <w:tc>
          <w:tcPr>
            <w:tcW w:w="3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23,297</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74"/>
        </w:trPr>
        <w:tc>
          <w:tcPr>
            <w:tcW w:w="3740" w:type="dxa"/>
            <w:vAlign w:val="bottom"/>
          </w:tcPr>
          <w:p>
            <w:pPr>
              <w:spacing w:after="0"/>
              <w:rPr>
                <w:sz w:val="24"/>
                <w:szCs w:val="24"/>
                <w:color w:val="auto"/>
              </w:rPr>
            </w:pPr>
          </w:p>
        </w:tc>
        <w:tc>
          <w:tcPr>
            <w:tcW w:w="28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-487680</wp:posOffset>
            </wp:positionV>
            <wp:extent cx="768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-471170</wp:posOffset>
            </wp:positionV>
            <wp:extent cx="768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-487680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-471170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1" w:name="page22"/>
    <w:bookmarkEnd w:id="21"/>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$23.3 million for the six months ended June 30, 2022, compared to $15.2 million for the six months ended June 30, 2021. The increase of $8.1 million, compared to the six months ended June 30, 2021, was primarily due to the following:</w:t>
      </w:r>
    </w:p>
    <w:p>
      <w:pPr>
        <w:spacing w:after="0" w:line="40" w:lineRule="exact"/>
        <w:rPr>
          <w:sz w:val="20"/>
          <w:szCs w:val="20"/>
          <w:color w:val="auto"/>
        </w:rPr>
      </w:pPr>
    </w:p>
    <w:p>
      <w:pPr>
        <w:ind w:left="1020" w:right="660" w:hanging="368"/>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decrease in research expenses, largely driven by decreased contractual research organization costs focused on discovery research;</w:t>
      </w:r>
    </w:p>
    <w:p>
      <w:pPr>
        <w:spacing w:after="0" w:line="67" w:lineRule="exact"/>
        <w:rPr>
          <w:rFonts w:ascii="Times New Roman" w:cs="Times New Roman" w:eastAsia="Times New Roman" w:hAnsi="Times New Roman"/>
          <w:sz w:val="18"/>
          <w:szCs w:val="18"/>
          <w:color w:val="auto"/>
        </w:rPr>
      </w:pPr>
    </w:p>
    <w:p>
      <w:pPr>
        <w:ind w:left="1020" w:right="60" w:hanging="368"/>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million increase in development expenses associate with advancing our lead product candidate, PC14586, through the Phase 1/2 clinical trial; and</w:t>
      </w:r>
    </w:p>
    <w:p>
      <w:pPr>
        <w:spacing w:after="0" w:line="5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increase in expenses for personnel-related costs and stock-based compensation, primarily driven by increased headcount.</w:t>
      </w: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 were $13.2 million for the six months ended June 30, 2022, compared to $9.6 million for the six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2021. The increase of $3.6 million, compared to the six months ended June 30, 2021, was primarily due to the following:</w:t>
      </w:r>
    </w:p>
    <w:p>
      <w:pPr>
        <w:spacing w:after="0" w:line="192" w:lineRule="exact"/>
        <w:rPr>
          <w:sz w:val="20"/>
          <w:szCs w:val="20"/>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increase in personnel related expense due to increased headcount to build out general and administrative infrastructure; and</w:t>
      </w:r>
    </w:p>
    <w:p>
      <w:pPr>
        <w:spacing w:after="0" w:line="103" w:lineRule="exact"/>
        <w:rPr>
          <w:rFonts w:ascii="Times New Roman" w:cs="Times New Roman" w:eastAsia="Times New Roman" w:hAnsi="Times New Roman"/>
          <w:sz w:val="18"/>
          <w:szCs w:val="18"/>
          <w:color w:val="auto"/>
        </w:rPr>
      </w:pPr>
    </w:p>
    <w:p>
      <w:pPr>
        <w:ind w:left="1020" w:right="120" w:hanging="368"/>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increase in finance and legal support, along with a $0.1 million decrease for directors and officers insurance, and a $0.7 million increase due to facility related costs for our new office and laboratory building in Princeton, NJ.</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08"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amortization of premiums and discounts on marketable securities. Interest income, net was $0.8 million for the six months ended June 30, 2022 compared to $0.2 million for the six months ended June 30, 2021. The increase of $0.6 million is driven by increased interest rates from cash investments in marketable securities and U.S treasuries during the six months ended June 30, 2022.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172,467</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(85,377 )</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190,344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65,648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(16,911 )</w:t>
            </w:r>
          </w:p>
        </w:tc>
      </w:tr>
      <w:tr>
        <w:trPr>
          <w:trHeight w:val="250"/>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277,434</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314,074</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281,865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301,286</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(19,421 )</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(836 )</w:t>
            </w:r>
          </w:p>
        </w:tc>
      </w:tr>
      <w:tr>
        <w:trPr>
          <w:trHeight w:val="20"/>
        </w:trPr>
        <w:tc>
          <w:tcPr>
            <w:tcW w:w="6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working capital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270,482</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289,067</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(18,585 )</w:t>
            </w:r>
          </w:p>
        </w:tc>
      </w:tr>
      <w:tr>
        <w:trPr>
          <w:trHeight w:val="20"/>
        </w:trPr>
        <w:tc>
          <w:tcPr>
            <w:tcW w:w="6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-745490</wp:posOffset>
            </wp:positionV>
            <wp:extent cx="774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-728345</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-745490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-728345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0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June 30, 2022, we had cash, cash equivalents, and marketable securities of $277.4 million and an accumulated deficit of $203.5 million. In September 2020, we completed an IPO of 13,529,750 shares of our common stock, which includes the exercise in full by the underwriters of their option to purchase 1,764,750 additional shares of common stock, at a public offering price of $18.00 per share for aggregate gross proceeds of $243.5 million. We received $223.2 million in net proceeds after deducting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 w:name="page23"/>
    <w:bookmarkEnd w:id="22"/>
    <w:p>
      <w:pPr>
        <w:ind w:right="80"/>
        <w:spacing w:after="0" w:line="258" w:lineRule="auto"/>
        <w:rPr>
          <w:sz w:val="20"/>
          <w:szCs w:val="20"/>
          <w:color w:val="auto"/>
        </w:rPr>
      </w:pPr>
      <w:r>
        <w:rPr>
          <w:rFonts w:ascii="Times New Roman" w:cs="Times New Roman" w:eastAsia="Times New Roman" w:hAnsi="Times New Roman"/>
          <w:sz w:val="18"/>
          <w:szCs w:val="18"/>
          <w:color w:val="auto"/>
        </w:rPr>
        <w:t>underwriting discounts and commissions and other offering expenses payable by us. In October 2021, we filed an automatic shelf registration statement on Form S-3. We did not sell any shares pursuant to the shelf registration statement and did not receive any gross proceeds in fiscal year 2021 or the six months ended June 30, 2022.</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jc w:val="both"/>
        <w:ind w:right="80" w:firstLine="509"/>
        <w:spacing w:after="0" w:line="250"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19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January 2021, we signed a lease for 50,581 square feet of office and laboratory space at One Research Way in Princeton, New Jersey. That lease term extends through 2032, has a five-year extension option, and is intended to replace our two existing facilities. Payments under this lease will total $19.9 million through May 2032. Amounts related to future lease payments as of June 30, 2022, totaled $19.8 million, with $1.8 million to be paid within the next 12 months.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08"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We use our capital resources primarily to fund operating expenses, mainly research and development expenditures. We plan to increase our research and development expenses for the foreseeable future as we continue the preclinical and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85"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7"/>
          <w:szCs w:val="17"/>
          <w:color w:val="auto"/>
        </w:rPr>
        <w:t>Due to our significant research and development expenditures, we have generated substantial operating losses in each period since inception. We have incurred an accumulated deficit of $203.5 million through June 30, 2022. We expect to incur substantial additional losses in the future as we expand our research and development activities. For the six months ended June 30, 2022 and 2021, our cash operating expenditures were $31.7 million and $22.1 million, respectively. We expect to increase our investment in operations in the remainder of 2022 and 2023. Based on our research and development plans, we expect that our cash, cash equivalents and marketable securities as of June 30, 2022 will be sufficient to fund our operations at least through 2023.</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based this estimate on assumptions that may prove to be wrong, however, and we could use our capital resources sooner than we expect.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04" w:lineRule="exact"/>
        <w:rPr>
          <w:sz w:val="20"/>
          <w:szCs w:val="20"/>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any future collaboration agreements;</w:t>
      </w:r>
    </w:p>
    <w:p>
      <w:pPr>
        <w:spacing w:after="0" w:line="103" w:lineRule="exact"/>
        <w:rPr>
          <w:rFonts w:ascii="Times New Roman" w:cs="Times New Roman" w:eastAsia="Times New Roman" w:hAnsi="Times New Roman"/>
          <w:sz w:val="18"/>
          <w:szCs w:val="18"/>
          <w:color w:val="auto"/>
        </w:rPr>
      </w:pPr>
    </w:p>
    <w:p>
      <w:pPr>
        <w:ind w:left="900" w:right="800" w:hanging="383"/>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future licenses and research and development programs and to establish new collaboration and/or in-licensing arrangements;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03"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[build out our new office and laboratory headquarters,] enhance operational systems and hire additional personnel, including personnel to support development of our product candidates and satisfy our obligations as a public company.</w:t>
      </w:r>
    </w:p>
    <w:p>
      <w:pPr>
        <w:spacing w:after="0" w:line="14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3" w:name="page24"/>
    <w:bookmarkEnd w:id="23"/>
    <w:p>
      <w:pPr>
        <w:ind w:right="60"/>
        <w:spacing w:after="0" w:line="245" w:lineRule="auto"/>
        <w:rPr>
          <w:sz w:val="20"/>
          <w:szCs w:val="20"/>
          <w:color w:val="auto"/>
        </w:rPr>
      </w:pPr>
      <w:r>
        <w:rPr>
          <w:rFonts w:ascii="Times New Roman" w:cs="Times New Roman" w:eastAsia="Times New Roman" w:hAnsi="Times New Roman"/>
          <w:sz w:val="18"/>
          <w:szCs w:val="18"/>
          <w:color w:val="auto"/>
        </w:rPr>
        <w:t>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indicated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7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7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ind w:right="559"/>
              <w:spacing w:after="0" w:line="14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ind w:right="556"/>
              <w:spacing w:after="0" w:line="14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73"/>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tcPr>
          <w:p>
            <w:pPr>
              <w:spacing w:after="0"/>
              <w:rPr>
                <w:sz w:val="15"/>
                <w:szCs w:val="15"/>
                <w:color w:val="auto"/>
              </w:rPr>
            </w:pPr>
          </w:p>
        </w:tc>
        <w:tc>
          <w:tcPr>
            <w:tcW w:w="126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w w:val="99"/>
              </w:rPr>
              <w:t>(Unaudited)</w:t>
            </w: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(31,677</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60" w:type="dxa"/>
            <w:vAlign w:val="bottom"/>
          </w:tcPr>
          <w:p>
            <w:pPr>
              <w:spacing w:after="0"/>
              <w:rPr>
                <w:sz w:val="18"/>
                <w:szCs w:val="18"/>
                <w:color w:val="auto"/>
              </w:rPr>
            </w:pP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(54,104 )</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(150,450 )</w:t>
            </w: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(85,377 )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(171,177 )</w:t>
            </w: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-307975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was $31.7 million, which consisted primarily of net loss of $35.7 million partially offset by non-cash charges of $5.1 million. Changes in our net operating assets decreased operating cash by $1.0 million. The non-cash charges primarily consisted of stock-based compensation of $4.7 million, depreciation and amortization of $0.3 million, and non-cash lease expense of $0.2 million. The change in our net operating assets and liabilities was primarily due to an increase in prepaid expenses and other assets, a decrease in accrued expenses, an increase in outstanding payables, and an increase in operating lease right of use assets and liabilities driven by a cash reimbursement of $1.6 million for the buildout of the new office building in Princeton, NJ.</w:t>
      </w:r>
    </w:p>
    <w:p>
      <w:pPr>
        <w:spacing w:after="0" w:line="195"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2021, was $22.1 million, which consisted primarily of net loss of $24.5 million partially offset by non-cash charges of $2.6 million. Changes in our net operating assets decreased operating cash by $0.2 million. The non-cash charges primarily consisted of stock-based compensation of $1.8 million, depreciation and amortization of $0.5 million, and non-cash lease expense of $0.3 million. The change in our net operating assets and liabilities was primarily due to an increase in prepaid expenses and other assets, a decrease in accrued expenses, and an increase in outstanding payables.</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investing activities used $54.1 million of cash during the six months ended June 30, 2022, which consisted primarily of purchases of marketable securities of $149.2 million, along with purchase of property and equipment of $4.3 million partially offset by maturities of marketable securities of $99.4 million.</w:t>
      </w:r>
    </w:p>
    <w:p>
      <w:pPr>
        <w:spacing w:after="0" w:line="169" w:lineRule="exact"/>
        <w:rPr>
          <w:sz w:val="20"/>
          <w:szCs w:val="20"/>
          <w:color w:val="auto"/>
        </w:rPr>
      </w:pPr>
    </w:p>
    <w:p>
      <w:pPr>
        <w:ind w:right="660" w:firstLine="509"/>
        <w:spacing w:after="0" w:line="258" w:lineRule="auto"/>
        <w:rPr>
          <w:sz w:val="20"/>
          <w:szCs w:val="20"/>
          <w:color w:val="auto"/>
        </w:rPr>
      </w:pPr>
      <w:r>
        <w:rPr>
          <w:rFonts w:ascii="Times New Roman" w:cs="Times New Roman" w:eastAsia="Times New Roman" w:hAnsi="Times New Roman"/>
          <w:sz w:val="18"/>
          <w:szCs w:val="18"/>
          <w:color w:val="auto"/>
        </w:rPr>
        <w:t>Our investing activities used $150.4 million of cash during the six months ended June 30, 2021, which consisted primarily of purchases of marketable securities of $185.2 million, along with purchase of property and equipment of $0.6 million partially offset by maturities of marketable securities of $35.4 million.</w:t>
      </w: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financing activities provided $0.4 million of cash during the six months ended June 30, 2022, which consisted primarily of proceeds from the exercise of stock options and issuance of common stock under the 2020 ESPP.</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financing activities provided $1.4 million of cash during the six months ended June 30, 2021, which consisted primarily of proceeds from the exercise of stock options and issuance of common stock under the 2020 ESPP.</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7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six-month period ended June 30, 2022, there were no material changes to our critical accounting policies from those described in our audited financial statements for the year ended December 31, 2021, included in our Annual Report on Form 10-K filed with the SEC on March 1, 2022, except as noted below.</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Accrued Research and Development Costs and Related Prepaid Expenses</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research and development expenses. This</w:t>
      </w:r>
    </w:p>
    <w:p>
      <w:pPr>
        <w:spacing w:after="0" w:line="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78" w:lineRule="exact"/>
        <w:rPr>
          <w:sz w:val="20"/>
          <w:szCs w:val="20"/>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212"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We measure all stock options and other stock-based awards granted to our employees, directors, consultants, and other non-employee service providers based on the fair value on the date of the grant.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 recognized based on grant date fair value over the requisite service period using the accelerated attribution method to the extent achievement of the performance condition is probable.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5" w:name="page26"/>
    <w:bookmarkEnd w:id="25"/>
    <w:p>
      <w:pPr>
        <w:ind w:right="60"/>
        <w:spacing w:after="0" w:line="282" w:lineRule="auto"/>
        <w:rPr>
          <w:sz w:val="20"/>
          <w:szCs w:val="20"/>
          <w:color w:val="auto"/>
        </w:rPr>
      </w:pPr>
      <w:r>
        <w:rPr>
          <w:rFonts w:ascii="Times New Roman" w:cs="Times New Roman" w:eastAsia="Times New Roman" w:hAnsi="Times New Roman"/>
          <w:sz w:val="18"/>
          <w:szCs w:val="18"/>
          <w:color w:val="auto"/>
        </w:rPr>
        <w:t>Non-employee option awards are measured at the earlier of the commitment date for performance by the counterparty or the date when the performance is complete, and compensation expense is recognized in the same manner as if we had paid cash for goods or services.</w:t>
      </w:r>
    </w:p>
    <w:p>
      <w:pPr>
        <w:spacing w:after="0" w:line="14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classify stock-based compensation expense in our statement of operations in the same way the award recipient’s payroll costs are classified or in which the award recipients’ service payments are classified.</w:t>
      </w:r>
    </w:p>
    <w:p>
      <w:pPr>
        <w:spacing w:after="0" w:line="176" w:lineRule="exact"/>
        <w:rPr>
          <w:sz w:val="20"/>
          <w:szCs w:val="20"/>
          <w:color w:val="auto"/>
        </w:rPr>
      </w:pPr>
    </w:p>
    <w:p>
      <w:pPr>
        <w:jc w:val="both"/>
        <w:ind w:right="400" w:firstLine="509"/>
        <w:spacing w:after="0" w:line="250" w:lineRule="auto"/>
        <w:rPr>
          <w:sz w:val="20"/>
          <w:szCs w:val="20"/>
          <w:color w:val="auto"/>
        </w:rPr>
      </w:pPr>
      <w:r>
        <w:rPr>
          <w:rFonts w:ascii="Times New Roman" w:cs="Times New Roman" w:eastAsia="Times New Roman" w:hAnsi="Times New Roman"/>
          <w:sz w:val="18"/>
          <w:szCs w:val="18"/>
          <w:color w:val="auto"/>
        </w:rPr>
        <w:t>We use the Black-Scholes option pricing model to estimate the fair value of stock options on the date of grant. Using the Black-Scholes option pricing model requires management to make significant assumptions and judgments. We determined these assumptions for the Black-Scholes option-pricing model.</w:t>
      </w:r>
    </w:p>
    <w:p>
      <w:pPr>
        <w:spacing w:after="0" w:line="190"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Since we do not have a trading history of common stock, the expected volatility was derived from the average historical stock volatilities of the common stock of several public companies within the industry that we consider to be comparable to our business over a period equivalent to the expected term of the stock-based awards.</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of the notes to our unaudited condensed financial statements included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 risks.</w:t>
      </w:r>
    </w:p>
    <w:p>
      <w:pPr>
        <w:spacing w:after="0" w:line="21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had cash, cash equivalents, and marketable securities of $277.4 million and restricted cash of $0.8 million as of June 30, 2022. The Company’s cash equivalents consist of interest-bearing U.S. treasury securities, money market funds, and corporate debt securities. Our exposure due to changes in interest rates is not material due to the nature and amount of our money-market funds and short-term marketable securities.</w:t>
      </w:r>
    </w:p>
    <w:p>
      <w:pPr>
        <w:spacing w:after="0" w:line="16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June 30, 2022.</w:t>
      </w:r>
    </w:p>
    <w:p>
      <w:pPr>
        <w:spacing w:after="0" w:line="17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our most recent fiscal quarter that have materially affected, or are reasonably likely to materially affect, our internal control over financial reporting.</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are not currently involved in any litigation or legal proceedings that, in management’s opinion, are likely to have any material adverse effect on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There have been no material changes to the Company’s risk factors as set forth in Part I, Item 1A of the Company’s Annual Report on Form 10-K for the fiscal year ended December 31, 2021, as filed with the SEC on March 1, 2022, as supplemented by our Quarterly Report on Form 10-Q for the quarter ended March 31, 2022, as filed with the SEC on May 10, 2022. You should carefully review and consider the information regarding certain factors which could materially affect our business, financial condition or future results set forth under the heading “Risk Factors” in our Annual Report on Form 10-K for the fiscal year ended December 31, 2021, as filed with the SEC on March 1, 2022, and our Quarterly Report on Form 10-Q for the quarter ended March 31, 2022, as filed with the SEC on May 10, 2022.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6" w:lineRule="exact"/>
        <w:rPr>
          <w:sz w:val="20"/>
          <w:szCs w:val="20"/>
          <w:color w:val="auto"/>
        </w:rPr>
      </w:pPr>
    </w:p>
    <w:p>
      <w:pPr>
        <w:ind w:left="520" w:right="7600" w:hanging="3"/>
        <w:spacing w:after="0" w:line="394" w:lineRule="auto"/>
        <w:tabs>
          <w:tab w:leader="none" w:pos="77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Unregistered Sales of Equity Securities </w:t>
      </w:r>
      <w:r>
        <w:rPr>
          <w:rFonts w:ascii="Times New Roman" w:cs="Times New Roman" w:eastAsia="Times New Roman" w:hAnsi="Times New Roman"/>
          <w:sz w:val="18"/>
          <w:szCs w:val="18"/>
          <w:color w:val="auto"/>
        </w:rPr>
        <w:t>None.</w:t>
      </w:r>
    </w:p>
    <w:p>
      <w:pPr>
        <w:spacing w:after="0" w:line="170" w:lineRule="exact"/>
        <w:rPr>
          <w:rFonts w:ascii="Times New Roman" w:cs="Times New Roman" w:eastAsia="Times New Roman" w:hAnsi="Times New Roman"/>
          <w:sz w:val="18"/>
          <w:szCs w:val="18"/>
          <w:i w:val="1"/>
          <w:iCs w:val="1"/>
          <w:color w:val="auto"/>
        </w:rPr>
      </w:pPr>
    </w:p>
    <w:p>
      <w:pPr>
        <w:ind w:left="780" w:hanging="263"/>
        <w:spacing w:after="0"/>
        <w:tabs>
          <w:tab w:leader="none" w:pos="78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Use of Proceeds</w:t>
      </w:r>
    </w:p>
    <w:p>
      <w:pPr>
        <w:spacing w:after="0" w:line="106"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Our registration statement on Form S-1 (File No. 333-248627) relating to the IPO was declared effective by the SEC. The IPO closed on September 25, 2020 at which time we sold 13,529,750 shares of common stock (including the exercise in full by the underwriters of their option to purchase an additional 1,764,750 shares of common stock) at a public offering price of $18.00 per share. We received net proceeds from the IPO of approximately $223.2 million, after deducting the underwriting discounts and commissions of approximately $17.0 million and estimated offering related expenses of approximately $3.3 million. No offering expenses were paid or payable, directly, or indirectly, to our directors, officers, or persons owning 10% or more of any class of equity securities or to our affiliates. Goldman Sachs &amp; Co. LLC, BofA Securities, Cowen, and Evercore ISI acted as joint book-running managers for the offering.</w:t>
      </w:r>
    </w:p>
    <w:p>
      <w:pPr>
        <w:spacing w:after="0" w:line="1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IPO from that described in the prospectus filed with the SEC pursuant to Rule 424(b)(4) under the Securities Act on September 24, 2020.</w:t>
      </w:r>
    </w:p>
    <w:p>
      <w:pPr>
        <w:spacing w:after="0" w:line="148"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On October 4, 2021, our shelf registration statement on Form S-3 (File No. 333-260012) was automatically declared effective by the SEC for our future follow-on offering. Pursuant to our shelf registration statement, we may offer and sell an indeterminate amount and combination of shares of our common stock, shares of our preferred stock, various series of debt securities and warrants to purchase any of such securities in one or more registered offerings. The Company has not issued any shares of common stock pursuant to the offering. There has been no material change in the planned use of proceeds from the follow-on offering as described in the Form S-3 Registration Statement. None of the offering expenses were paid or payable, directly, or indirectly, to our directors, officers, or persons owning 10% or more of any class of equity securities or to our affiliates.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jc w:val="center"/>
        <w:ind w:right="910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jc w:val="center"/>
        <w:ind w:right="90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920" w:type="dxa"/>
            <w:vAlign w:val="bottom"/>
          </w:tcPr>
          <w:p>
            <w:pPr>
              <w:jc w:val="center"/>
              <w:ind w:right="132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46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8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0" w:type="dxa"/>
            <w:vAlign w:val="bottom"/>
          </w:tcPr>
          <w:p>
            <w:pPr>
              <w:spacing w:after="0"/>
              <w:rPr>
                <w:sz w:val="1"/>
                <w:szCs w:val="1"/>
                <w:color w:val="auto"/>
              </w:rPr>
            </w:pPr>
          </w:p>
        </w:tc>
      </w:tr>
      <w:tr>
        <w:trPr>
          <w:trHeight w:val="190"/>
        </w:trPr>
        <w:tc>
          <w:tcPr>
            <w:tcW w:w="1920" w:type="dxa"/>
            <w:vAlign w:val="bottom"/>
          </w:tcPr>
          <w:p>
            <w:pPr>
              <w:jc w:val="center"/>
              <w:ind w:right="13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60" w:type="dxa"/>
            <w:vAlign w:val="bottom"/>
            <w:vMerge w:val="continue"/>
          </w:tcPr>
          <w:p>
            <w:pPr>
              <w:spacing w:after="0"/>
              <w:rPr>
                <w:sz w:val="16"/>
                <w:szCs w:val="16"/>
                <w:color w:val="auto"/>
              </w:rPr>
            </w:pPr>
          </w:p>
        </w:tc>
        <w:tc>
          <w:tcPr>
            <w:tcW w:w="19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10.15+*</w:t>
            </w:r>
          </w:p>
        </w:tc>
        <w:tc>
          <w:tcPr>
            <w:tcW w:w="49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Outside Director Compensation Policy., as amended on May 5, 2022</w:t>
            </w:r>
          </w:p>
        </w:tc>
        <w:tc>
          <w:tcPr>
            <w:tcW w:w="20" w:type="dxa"/>
            <w:vAlign w:val="bottom"/>
            <w:tcBorders>
              <w:bottom w:val="single" w:sz="8" w:color="0000EE"/>
            </w:tcBorders>
          </w:tcPr>
          <w:p>
            <w:pPr>
              <w:spacing w:after="0"/>
              <w:rPr>
                <w:sz w:val="17"/>
                <w:szCs w:val="17"/>
                <w:color w:val="auto"/>
              </w:rPr>
            </w:pPr>
          </w:p>
        </w:tc>
        <w:tc>
          <w:tcPr>
            <w:tcW w:w="560" w:type="dxa"/>
            <w:vAlign w:val="bottom"/>
            <w:gridSpan w:val="6"/>
          </w:tcPr>
          <w:p>
            <w:pPr>
              <w:spacing w:after="0"/>
              <w:rPr>
                <w:sz w:val="17"/>
                <w:szCs w:val="17"/>
                <w:color w:val="auto"/>
              </w:rPr>
            </w:pPr>
          </w:p>
        </w:tc>
      </w:tr>
      <w:tr>
        <w:trPr>
          <w:trHeight w:val="479"/>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31.1+</w:t>
            </w:r>
          </w:p>
        </w:tc>
        <w:tc>
          <w:tcPr>
            <w:tcW w:w="55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r>
      <w:tr>
        <w:trPr>
          <w:trHeight w:val="169"/>
        </w:trPr>
        <w:tc>
          <w:tcPr>
            <w:tcW w:w="940" w:type="dxa"/>
            <w:vAlign w:val="bottom"/>
          </w:tcPr>
          <w:p>
            <w:pPr>
              <w:spacing w:after="0"/>
              <w:rPr>
                <w:sz w:val="14"/>
                <w:szCs w:val="14"/>
                <w:color w:val="auto"/>
              </w:rPr>
            </w:pPr>
          </w:p>
        </w:tc>
        <w:tc>
          <w:tcPr>
            <w:tcW w:w="5540" w:type="dxa"/>
            <w:vAlign w:val="bottom"/>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r>
      <w:tr>
        <w:trPr>
          <w:trHeight w:val="169"/>
        </w:trPr>
        <w:tc>
          <w:tcPr>
            <w:tcW w:w="94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180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18"/>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31.2+</w:t>
            </w:r>
          </w:p>
        </w:tc>
        <w:tc>
          <w:tcPr>
            <w:tcW w:w="5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r>
      <w:tr>
        <w:trPr>
          <w:trHeight w:val="169"/>
        </w:trPr>
        <w:tc>
          <w:tcPr>
            <w:tcW w:w="940" w:type="dxa"/>
            <w:vAlign w:val="bottom"/>
          </w:tcPr>
          <w:p>
            <w:pPr>
              <w:spacing w:after="0"/>
              <w:rPr>
                <w:sz w:val="14"/>
                <w:szCs w:val="14"/>
                <w:color w:val="auto"/>
              </w:rPr>
            </w:pPr>
          </w:p>
        </w:tc>
        <w:tc>
          <w:tcPr>
            <w:tcW w:w="550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4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1800" w:type="dxa"/>
            <w:vAlign w:val="bottom"/>
            <w:tcBorders>
              <w:top w:val="single" w:sz="8" w:color="0000FF"/>
            </w:tcBorders>
            <w:gridSpan w:val="6"/>
          </w:tcPr>
          <w:p>
            <w:pPr>
              <w:spacing w:after="0"/>
              <w:rPr>
                <w:sz w:val="14"/>
                <w:szCs w:val="14"/>
                <w:color w:val="auto"/>
              </w:rPr>
            </w:pPr>
          </w:p>
        </w:tc>
        <w:tc>
          <w:tcPr>
            <w:tcW w:w="60" w:type="dxa"/>
            <w:vAlign w:val="bottom"/>
            <w:gridSpan w:val="2"/>
          </w:tcPr>
          <w:p>
            <w:pPr>
              <w:spacing w:after="0"/>
              <w:rPr>
                <w:sz w:val="14"/>
                <w:szCs w:val="14"/>
                <w:color w:val="auto"/>
              </w:rPr>
            </w:pPr>
          </w:p>
        </w:tc>
      </w:tr>
      <w:tr>
        <w:trPr>
          <w:trHeight w:val="318"/>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32.1+†</w:t>
            </w:r>
          </w:p>
        </w:tc>
        <w:tc>
          <w:tcPr>
            <w:tcW w:w="5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r>
      <w:tr>
        <w:trPr>
          <w:trHeight w:val="169"/>
        </w:trPr>
        <w:tc>
          <w:tcPr>
            <w:tcW w:w="940" w:type="dxa"/>
            <w:vAlign w:val="bottom"/>
          </w:tcPr>
          <w:p>
            <w:pPr>
              <w:spacing w:after="0"/>
              <w:rPr>
                <w:sz w:val="14"/>
                <w:szCs w:val="14"/>
                <w:color w:val="auto"/>
              </w:rPr>
            </w:pPr>
          </w:p>
        </w:tc>
        <w:tc>
          <w:tcPr>
            <w:tcW w:w="538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160" w:type="dxa"/>
            <w:vAlign w:val="bottom"/>
            <w:gridSpan w:val="3"/>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8"/>
              </w:rPr>
              <w:t>2002.</w:t>
            </w:r>
          </w:p>
        </w:tc>
        <w:tc>
          <w:tcPr>
            <w:tcW w:w="20" w:type="dxa"/>
            <w:vAlign w:val="bottom"/>
            <w:tcBorders>
              <w:top w:val="single" w:sz="8" w:color="0000FF"/>
              <w:bottom w:val="single" w:sz="8" w:color="0000EE"/>
            </w:tcBorders>
          </w:tcPr>
          <w:p>
            <w:pPr>
              <w:spacing w:after="0"/>
              <w:rPr>
                <w:sz w:val="14"/>
                <w:szCs w:val="14"/>
                <w:color w:val="auto"/>
              </w:rPr>
            </w:pPr>
          </w:p>
        </w:tc>
        <w:tc>
          <w:tcPr>
            <w:tcW w:w="3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18"/>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32.2+†</w:t>
            </w:r>
          </w:p>
        </w:tc>
        <w:tc>
          <w:tcPr>
            <w:tcW w:w="5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r>
      <w:tr>
        <w:trPr>
          <w:trHeight w:val="169"/>
        </w:trPr>
        <w:tc>
          <w:tcPr>
            <w:tcW w:w="940" w:type="dxa"/>
            <w:vAlign w:val="bottom"/>
          </w:tcPr>
          <w:p>
            <w:pPr>
              <w:spacing w:after="0"/>
              <w:rPr>
                <w:sz w:val="14"/>
                <w:szCs w:val="14"/>
                <w:color w:val="auto"/>
              </w:rPr>
            </w:pPr>
          </w:p>
        </w:tc>
        <w:tc>
          <w:tcPr>
            <w:tcW w:w="532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220" w:type="dxa"/>
            <w:vAlign w:val="bottom"/>
            <w:gridSpan w:val="4"/>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8"/>
              </w:rPr>
              <w:t>2002.</w:t>
            </w:r>
          </w:p>
        </w:tc>
        <w:tc>
          <w:tcPr>
            <w:tcW w:w="20" w:type="dxa"/>
            <w:vAlign w:val="bottom"/>
            <w:tcBorders>
              <w:top w:val="single" w:sz="8" w:color="0000FF"/>
              <w:bottom w:val="single" w:sz="8" w:color="0000EE"/>
            </w:tcBorders>
          </w:tcPr>
          <w:p>
            <w:pPr>
              <w:spacing w:after="0"/>
              <w:rPr>
                <w:sz w:val="14"/>
                <w:szCs w:val="14"/>
                <w:color w:val="auto"/>
              </w:rPr>
            </w:pPr>
          </w:p>
        </w:tc>
        <w:tc>
          <w:tcPr>
            <w:tcW w:w="3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58"/>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101.INS</w:t>
            </w:r>
          </w:p>
        </w:tc>
        <w:tc>
          <w:tcPr>
            <w:tcW w:w="55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38"/>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101.SCH</w:t>
            </w:r>
          </w:p>
        </w:tc>
        <w:tc>
          <w:tcPr>
            <w:tcW w:w="55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38"/>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101.CAL</w:t>
            </w:r>
          </w:p>
        </w:tc>
        <w:tc>
          <w:tcPr>
            <w:tcW w:w="55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38"/>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101.DEF</w:t>
            </w:r>
          </w:p>
        </w:tc>
        <w:tc>
          <w:tcPr>
            <w:tcW w:w="55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38"/>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101.LAB</w:t>
            </w:r>
          </w:p>
        </w:tc>
        <w:tc>
          <w:tcPr>
            <w:tcW w:w="55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38"/>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101.PRE</w:t>
            </w:r>
          </w:p>
        </w:tc>
        <w:tc>
          <w:tcPr>
            <w:tcW w:w="55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03" w:lineRule="exact"/>
        <w:rPr>
          <w:sz w:val="20"/>
          <w:szCs w:val="20"/>
          <w:color w:val="auto"/>
        </w:rPr>
      </w:pPr>
    </w:p>
    <w:p>
      <w:pPr>
        <w:ind w:left="1080" w:right="5020" w:hanging="734"/>
        <w:spacing w:after="0" w:line="250" w:lineRule="auto"/>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4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9512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 w:lineRule="exact"/>
        <w:rPr>
          <w:sz w:val="20"/>
          <w:szCs w:val="20"/>
          <w:color w:val="auto"/>
        </w:rPr>
      </w:pPr>
    </w:p>
    <w:p>
      <w:pPr>
        <w:jc w:val="both"/>
        <w:ind w:firstLine="8"/>
        <w:spacing w:after="0" w:line="250" w:lineRule="auto"/>
        <w:tabs>
          <w:tab w:leader="none" w:pos="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20" w:right="519" w:bottom="1440" w:gutter="0" w:footer="0" w:header="0"/>
        </w:sectPr>
      </w:pPr>
    </w:p>
    <w:bookmarkStart w:id="28" w:name="page29"/>
    <w:bookmarkEnd w:id="28"/>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2" w:lineRule="exact"/>
        <w:rPr>
          <w:sz w:val="20"/>
          <w:szCs w:val="20"/>
          <w:color w:val="auto"/>
        </w:rPr>
      </w:pPr>
    </w:p>
    <w:p>
      <w:pPr>
        <w:ind w:left="5660" w:right="1340" w:hanging="7832"/>
        <w:spacing w:after="0" w:line="254" w:lineRule="auto"/>
        <w:tabs>
          <w:tab w:leader="none" w:pos="564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 /s/ David H. Mack David H. Mack,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0</wp:posOffset>
            </wp:positionV>
            <wp:extent cx="327469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80"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jc w:val="cente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2" w:lineRule="exact"/>
        <w:rPr>
          <w:sz w:val="20"/>
          <w:szCs w:val="20"/>
          <w:color w:val="auto"/>
        </w:rPr>
      </w:pPr>
    </w:p>
    <w:p>
      <w:pPr>
        <w:ind w:left="5660" w:right="1500" w:hanging="8116"/>
        <w:spacing w:after="0" w:line="254" w:lineRule="auto"/>
        <w:tabs>
          <w:tab w:leader="none" w:pos="564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 /s/ Winston Kung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0</wp:posOffset>
            </wp:positionV>
            <wp:extent cx="32746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6"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color w:val="auto"/>
        </w:rPr>
        <w:t>Chief Operating Officer and</w:t>
      </w:r>
    </w:p>
    <w:p>
      <w:pPr>
        <w:jc w:val="center"/>
        <w:ind w:left="6080"/>
        <w:spacing w:after="0" w:line="234"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6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0" w:right="7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color w:val="auto"/>
        </w:rPr>
        <w:t>Exhibit 10.15</w:t>
      </w:r>
    </w:p>
    <w:p>
      <w:pPr>
        <w:spacing w:after="0" w:line="33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b w:val="1"/>
          <w:bCs w:val="1"/>
          <w:i w:val="1"/>
          <w:iCs w:val="1"/>
          <w:color w:val="auto"/>
        </w:rPr>
        <w:t>Reviewed &amp; Updated by PMV Board as of: May 05, 2022</w:t>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b w:val="1"/>
          <w:bCs w:val="1"/>
          <w:i w:val="1"/>
          <w:iCs w:val="1"/>
          <w:color w:val="auto"/>
        </w:rPr>
        <w:t>(“Updated Effective Date”)</w:t>
      </w:r>
    </w:p>
    <w:p>
      <w:pPr>
        <w:spacing w:after="0" w:line="219" w:lineRule="exact"/>
        <w:rPr>
          <w:sz w:val="20"/>
          <w:szCs w:val="20"/>
          <w:color w:val="auto"/>
        </w:rPr>
      </w:pPr>
    </w:p>
    <w:p>
      <w:pPr>
        <w:ind w:left="2320" w:right="2420" w:firstLine="921"/>
        <w:spacing w:after="0" w:line="390" w:lineRule="auto"/>
        <w:rPr>
          <w:sz w:val="20"/>
          <w:szCs w:val="20"/>
          <w:color w:val="auto"/>
        </w:rPr>
      </w:pPr>
      <w:r>
        <w:rPr>
          <w:rFonts w:ascii="Times New Roman" w:cs="Times New Roman" w:eastAsia="Times New Roman" w:hAnsi="Times New Roman"/>
          <w:sz w:val="22"/>
          <w:szCs w:val="22"/>
          <w:b w:val="1"/>
          <w:bCs w:val="1"/>
          <w:color w:val="auto"/>
        </w:rPr>
        <w:t>PMV PHARMACEUTICALS, INC. OUTSIDE DIRECTOR COMPENSATION POLICY</w:t>
      </w:r>
    </w:p>
    <w:p>
      <w:pPr>
        <w:spacing w:after="0" w:line="1" w:lineRule="exact"/>
        <w:rPr>
          <w:sz w:val="20"/>
          <w:szCs w:val="20"/>
          <w:color w:val="auto"/>
        </w:rPr>
      </w:pPr>
    </w:p>
    <w:p>
      <w:pPr>
        <w:jc w:val="both"/>
        <w:ind w:left="120" w:right="120" w:firstLine="747"/>
        <w:spacing w:after="0" w:line="253" w:lineRule="auto"/>
        <w:rPr>
          <w:sz w:val="20"/>
          <w:szCs w:val="20"/>
          <w:color w:val="auto"/>
        </w:rPr>
      </w:pPr>
      <w:r>
        <w:rPr>
          <w:rFonts w:ascii="Times New Roman" w:cs="Times New Roman" w:eastAsia="Times New Roman" w:hAnsi="Times New Roman"/>
          <w:sz w:val="21"/>
          <w:szCs w:val="21"/>
          <w:color w:val="auto"/>
        </w:rPr>
        <w:t>PMV Pharmaceuticals,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believes that providing cash and equity compensation to its members of the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and members of the Board, the “</w:t>
      </w:r>
      <w:r>
        <w:rPr>
          <w:rFonts w:ascii="Times New Roman" w:cs="Times New Roman" w:eastAsia="Times New Roman" w:hAnsi="Times New Roman"/>
          <w:sz w:val="21"/>
          <w:szCs w:val="21"/>
          <w:b w:val="1"/>
          <w:bCs w:val="1"/>
          <w:color w:val="auto"/>
        </w:rPr>
        <w:t>Directors</w:t>
      </w:r>
      <w:r>
        <w:rPr>
          <w:rFonts w:ascii="Times New Roman" w:cs="Times New Roman" w:eastAsia="Times New Roman" w:hAnsi="Times New Roman"/>
          <w:sz w:val="21"/>
          <w:szCs w:val="21"/>
          <w:color w:val="auto"/>
        </w:rPr>
        <w:t>”) represents an effective tool to attract, retain and reward Directors who are not employees of the Company (the “</w:t>
      </w:r>
      <w:r>
        <w:rPr>
          <w:rFonts w:ascii="Times New Roman" w:cs="Times New Roman" w:eastAsia="Times New Roman" w:hAnsi="Times New Roman"/>
          <w:sz w:val="21"/>
          <w:szCs w:val="21"/>
          <w:b w:val="1"/>
          <w:bCs w:val="1"/>
          <w:color w:val="auto"/>
        </w:rPr>
        <w:t>Outside Directors</w:t>
      </w:r>
      <w:r>
        <w:rPr>
          <w:rFonts w:ascii="Times New Roman" w:cs="Times New Roman" w:eastAsia="Times New Roman" w:hAnsi="Times New Roman"/>
          <w:sz w:val="21"/>
          <w:szCs w:val="21"/>
          <w:color w:val="auto"/>
        </w:rPr>
        <w:t>”). This Outside Director Compensation Policy (the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is intended to formalize the Company’s policy regarding the compensation to its Outside Directors. Unless otherwise defined herein, capitalized terms used in this Policy will have the meaning given to such terms in the Company’s 2020 Equity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w:t>
      </w:r>
    </w:p>
    <w:p>
      <w:pPr>
        <w:spacing w:after="0" w:line="168" w:lineRule="exact"/>
        <w:rPr>
          <w:sz w:val="20"/>
          <w:szCs w:val="20"/>
          <w:color w:val="auto"/>
        </w:rPr>
      </w:pPr>
    </w:p>
    <w:p>
      <w:pPr>
        <w:jc w:val="both"/>
        <w:ind w:left="120" w:right="120" w:firstLine="747"/>
        <w:spacing w:after="0" w:line="250" w:lineRule="auto"/>
        <w:rPr>
          <w:sz w:val="20"/>
          <w:szCs w:val="20"/>
          <w:color w:val="auto"/>
        </w:rPr>
      </w:pPr>
      <w:r>
        <w:rPr>
          <w:rFonts w:ascii="Times New Roman" w:cs="Times New Roman" w:eastAsia="Times New Roman" w:hAnsi="Times New Roman"/>
          <w:sz w:val="22"/>
          <w:szCs w:val="22"/>
          <w:color w:val="auto"/>
        </w:rPr>
        <w:t>Subject to Section 6 of this Policy, this Policy will be effective as of the effective date of the first registration statement that is filed by the Company and declared effective pursuant to Section 12(b) of the Exchange Act, with respect to any class of the Company’s securities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ind w:left="860" w:hanging="375"/>
        <w:spacing w:after="0"/>
        <w:tabs>
          <w:tab w:leader="none" w:pos="86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ash</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Annual Cash Retainer</w:t>
      </w:r>
    </w:p>
    <w:p>
      <w:pPr>
        <w:spacing w:after="0" w:line="210" w:lineRule="exact"/>
        <w:rPr>
          <w:sz w:val="20"/>
          <w:szCs w:val="20"/>
          <w:color w:val="auto"/>
        </w:rPr>
      </w:pPr>
    </w:p>
    <w:p>
      <w:pPr>
        <w:jc w:val="both"/>
        <w:ind w:left="120" w:right="120" w:firstLine="747"/>
        <w:spacing w:after="0" w:line="258" w:lineRule="auto"/>
        <w:rPr>
          <w:sz w:val="20"/>
          <w:szCs w:val="20"/>
          <w:color w:val="auto"/>
        </w:rPr>
      </w:pPr>
      <w:r>
        <w:rPr>
          <w:rFonts w:ascii="Times New Roman" w:cs="Times New Roman" w:eastAsia="Times New Roman" w:hAnsi="Times New Roman"/>
          <w:sz w:val="22"/>
          <w:szCs w:val="22"/>
          <w:color w:val="auto"/>
        </w:rPr>
        <w:t>Each Outside Director will be paid an annual cash retainer of $40,000. There are no per-meeting attendance fees for attending Board meetings. This cash compensation will be paid quarterly in arrears on a prorated basis.</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Committee Annual Cash Retainer</w:t>
      </w:r>
    </w:p>
    <w:p>
      <w:pPr>
        <w:spacing w:after="0" w:line="210" w:lineRule="exact"/>
        <w:rPr>
          <w:sz w:val="20"/>
          <w:szCs w:val="20"/>
          <w:color w:val="auto"/>
        </w:rPr>
      </w:pPr>
    </w:p>
    <w:p>
      <w:pPr>
        <w:jc w:val="both"/>
        <w:ind w:left="120" w:right="120" w:firstLine="747"/>
        <w:spacing w:after="0" w:line="250" w:lineRule="auto"/>
        <w:rPr>
          <w:sz w:val="20"/>
          <w:szCs w:val="20"/>
          <w:color w:val="auto"/>
        </w:rPr>
      </w:pPr>
      <w:r>
        <w:rPr>
          <w:rFonts w:ascii="Times New Roman" w:cs="Times New Roman" w:eastAsia="Times New Roman" w:hAnsi="Times New Roman"/>
          <w:sz w:val="22"/>
          <w:szCs w:val="22"/>
          <w:color w:val="auto"/>
        </w:rPr>
        <w:t>Each Outside Director who serves as the chair of the Board, the lead Outside Director, or the chair or a member of a committee of the Board listed below will be eligible to earn additional annual cash fees (paid quarterly in arrears on a prorated basis) as follows:</w:t>
      </w:r>
    </w:p>
    <w:p>
      <w:pPr>
        <w:spacing w:after="0" w:line="1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Chair of the Board $35,000</w:t>
      </w:r>
    </w:p>
    <w:p>
      <w:pPr>
        <w:spacing w:after="0" w:line="220" w:lineRule="exact"/>
        <w:rPr>
          <w:sz w:val="20"/>
          <w:szCs w:val="20"/>
          <w:color w:val="auto"/>
        </w:rPr>
      </w:pPr>
    </w:p>
    <w:p>
      <w:pPr>
        <w:ind w:left="860"/>
        <w:spacing w:after="0"/>
        <w:tabs>
          <w:tab w:leader="none" w:pos="3440" w:val="left"/>
        </w:tabs>
        <w:rPr>
          <w:sz w:val="20"/>
          <w:szCs w:val="20"/>
          <w:color w:val="auto"/>
        </w:rPr>
      </w:pPr>
      <w:r>
        <w:rPr>
          <w:rFonts w:ascii="Times New Roman" w:cs="Times New Roman" w:eastAsia="Times New Roman" w:hAnsi="Times New Roman"/>
          <w:sz w:val="22"/>
          <w:szCs w:val="22"/>
          <w:color w:val="auto"/>
        </w:rPr>
        <w:t>Chair of Audit Committee:</w:t>
      </w:r>
      <w:r>
        <w:rPr>
          <w:sz w:val="20"/>
          <w:szCs w:val="20"/>
          <w:color w:val="auto"/>
        </w:rPr>
        <w:tab/>
      </w:r>
      <w:r>
        <w:rPr>
          <w:rFonts w:ascii="Times New Roman" w:cs="Times New Roman" w:eastAsia="Times New Roman" w:hAnsi="Times New Roman"/>
          <w:sz w:val="21"/>
          <w:szCs w:val="21"/>
          <w:color w:val="auto"/>
        </w:rPr>
        <w:t>$15,000</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82"/>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Member of Audit Committee:</w:t>
            </w:r>
          </w:p>
        </w:tc>
        <w:tc>
          <w:tcPr>
            <w:tcW w:w="1360" w:type="dxa"/>
            <w:vAlign w:val="bottom"/>
            <w:gridSpan w:val="2"/>
          </w:tcPr>
          <w:p>
            <w:pPr>
              <w:jc w:val="right"/>
              <w:ind w:right="432"/>
              <w:spacing w:after="0"/>
              <w:rPr>
                <w:sz w:val="20"/>
                <w:szCs w:val="20"/>
                <w:color w:val="auto"/>
              </w:rPr>
            </w:pPr>
            <w:r>
              <w:rPr>
                <w:rFonts w:ascii="Times New Roman" w:cs="Times New Roman" w:eastAsia="Times New Roman" w:hAnsi="Times New Roman"/>
                <w:sz w:val="22"/>
                <w:szCs w:val="22"/>
                <w:color w:val="auto"/>
              </w:rPr>
              <w:t>$7,500</w:t>
            </w:r>
          </w:p>
        </w:tc>
      </w:tr>
      <w:tr>
        <w:trPr>
          <w:trHeight w:val="459"/>
        </w:trPr>
        <w:tc>
          <w:tcPr>
            <w:tcW w:w="3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Chair of Compensation Committee:</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w:t>
            </w:r>
          </w:p>
        </w:tc>
      </w:tr>
    </w:tbl>
    <w:p>
      <w:pPr>
        <w:spacing w:after="0" w:line="298" w:lineRule="exact"/>
        <w:rPr>
          <w:sz w:val="20"/>
          <w:szCs w:val="20"/>
          <w:color w:val="auto"/>
        </w:rPr>
      </w:pPr>
    </w:p>
    <w:p>
      <w:pPr>
        <w:ind w:left="860"/>
        <w:spacing w:after="0"/>
        <w:tabs>
          <w:tab w:leader="none" w:pos="4720" w:val="left"/>
        </w:tabs>
        <w:rPr>
          <w:sz w:val="20"/>
          <w:szCs w:val="20"/>
          <w:color w:val="auto"/>
        </w:rPr>
      </w:pPr>
      <w:r>
        <w:rPr>
          <w:rFonts w:ascii="Times New Roman" w:cs="Times New Roman" w:eastAsia="Times New Roman" w:hAnsi="Times New Roman"/>
          <w:sz w:val="22"/>
          <w:szCs w:val="22"/>
          <w:color w:val="auto"/>
        </w:rPr>
        <w:t>Member of Compensation Committee:</w:t>
      </w:r>
      <w:r>
        <w:rPr>
          <w:sz w:val="20"/>
          <w:szCs w:val="20"/>
          <w:color w:val="auto"/>
        </w:rPr>
        <w:tab/>
      </w:r>
      <w:r>
        <w:rPr>
          <w:rFonts w:ascii="Times New Roman" w:cs="Times New Roman" w:eastAsia="Times New Roman" w:hAnsi="Times New Roman"/>
          <w:sz w:val="22"/>
          <w:szCs w:val="22"/>
          <w:color w:val="auto"/>
        </w:rPr>
        <w:t>$5,000 Chair of Nominating and Governance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5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Committee:   $8,000 Member of Nominating and Governance Committee:</w:t>
            </w:r>
          </w:p>
        </w:tc>
        <w:tc>
          <w:tcPr>
            <w:tcW w:w="3660" w:type="dxa"/>
            <w:vAlign w:val="bottom"/>
          </w:tcPr>
          <w:p>
            <w:pPr>
              <w:jc w:val="right"/>
              <w:ind w:right="2772"/>
              <w:spacing w:after="0"/>
              <w:rPr>
                <w:sz w:val="20"/>
                <w:szCs w:val="20"/>
                <w:color w:val="auto"/>
              </w:rPr>
            </w:pPr>
            <w:r>
              <w:rPr>
                <w:rFonts w:ascii="Times New Roman" w:cs="Times New Roman" w:eastAsia="Times New Roman" w:hAnsi="Times New Roman"/>
                <w:sz w:val="22"/>
                <w:szCs w:val="22"/>
                <w:color w:val="auto"/>
              </w:rPr>
              <w:t>$4,000</w:t>
            </w:r>
          </w:p>
        </w:tc>
      </w:tr>
      <w:tr>
        <w:trPr>
          <w:trHeight w:val="603"/>
        </w:trPr>
        <w:tc>
          <w:tcPr>
            <w:tcW w:w="75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ind w:left="100" w:right="20" w:firstLine="747"/>
        <w:spacing w:after="0" w:line="271" w:lineRule="auto"/>
        <w:rPr>
          <w:sz w:val="20"/>
          <w:szCs w:val="20"/>
          <w:color w:val="auto"/>
        </w:rPr>
      </w:pPr>
      <w:r>
        <w:rPr>
          <w:rFonts w:ascii="Times New Roman" w:cs="Times New Roman" w:eastAsia="Times New Roman" w:hAnsi="Times New Roman"/>
          <w:sz w:val="22"/>
          <w:szCs w:val="22"/>
          <w:color w:val="auto"/>
        </w:rPr>
        <w:t>For clarity, each Outside Director who serves as the chair of a committee shall receive only the additional annual cash fee as the chair of the committee, and not the additional annual cash fee as a member of the committee.</w:t>
      </w:r>
    </w:p>
    <w:p>
      <w:pPr>
        <w:spacing w:after="0" w:line="140" w:lineRule="exact"/>
        <w:rPr>
          <w:sz w:val="20"/>
          <w:szCs w:val="20"/>
          <w:color w:val="auto"/>
        </w:rPr>
      </w:pPr>
    </w:p>
    <w:p>
      <w:pPr>
        <w:ind w:left="840" w:hanging="375"/>
        <w:spacing w:after="0"/>
        <w:tabs>
          <w:tab w:leader="none" w:pos="84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quity</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210" w:lineRule="exact"/>
        <w:rPr>
          <w:sz w:val="20"/>
          <w:szCs w:val="20"/>
          <w:color w:val="auto"/>
        </w:rPr>
      </w:pPr>
    </w:p>
    <w:p>
      <w:pPr>
        <w:jc w:val="both"/>
        <w:ind w:left="100" w:firstLine="747"/>
        <w:spacing w:after="0" w:line="248" w:lineRule="auto"/>
        <w:rPr>
          <w:sz w:val="20"/>
          <w:szCs w:val="20"/>
          <w:color w:val="auto"/>
        </w:rPr>
      </w:pPr>
      <w:r>
        <w:rPr>
          <w:rFonts w:ascii="Times New Roman" w:cs="Times New Roman" w:eastAsia="Times New Roman" w:hAnsi="Times New Roman"/>
          <w:sz w:val="22"/>
          <w:szCs w:val="22"/>
          <w:color w:val="auto"/>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w:t>
      </w:r>
    </w:p>
    <w:p>
      <w:pPr>
        <w:spacing w:after="0" w:line="169" w:lineRule="exact"/>
        <w:rPr>
          <w:sz w:val="20"/>
          <w:szCs w:val="20"/>
          <w:color w:val="auto"/>
        </w:rPr>
      </w:pPr>
    </w:p>
    <w:p>
      <w:pPr>
        <w:ind w:left="100" w:right="20" w:firstLine="739"/>
        <w:spacing w:after="0" w:line="258" w:lineRule="auto"/>
        <w:tabs>
          <w:tab w:leader="none" w:pos="158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Discretion</w:t>
      </w:r>
      <w:r>
        <w:rPr>
          <w:rFonts w:ascii="Times New Roman" w:cs="Times New Roman" w:eastAsia="Times New Roman" w:hAnsi="Times New Roman"/>
          <w:sz w:val="22"/>
          <w:szCs w:val="22"/>
          <w:color w:val="auto"/>
        </w:rPr>
        <w:t>. No person will have any discretion to select which Outside Directors will be granted any Awards under this Policy or to determine the number of Shares to be covered by such Awards.</w:t>
      </w:r>
    </w:p>
    <w:p>
      <w:pPr>
        <w:spacing w:after="0" w:line="171" w:lineRule="exact"/>
        <w:rPr>
          <w:rFonts w:ascii="Times New Roman" w:cs="Times New Roman" w:eastAsia="Times New Roman" w:hAnsi="Times New Roman"/>
          <w:sz w:val="22"/>
          <w:szCs w:val="22"/>
          <w:color w:val="auto"/>
        </w:rPr>
      </w:pPr>
    </w:p>
    <w:p>
      <w:pPr>
        <w:jc w:val="both"/>
        <w:ind w:left="100" w:firstLine="739"/>
        <w:spacing w:after="0" w:line="241" w:lineRule="auto"/>
        <w:tabs>
          <w:tab w:leader="none" w:pos="158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Following the Updated Effective Date, each individual who becomes a newly appointed Outside Director will be granted an award of stock options (an “</w:t>
      </w:r>
      <w:r>
        <w:rPr>
          <w:rFonts w:ascii="Times New Roman" w:cs="Times New Roman" w:eastAsia="Times New Roman" w:hAnsi="Times New Roman"/>
          <w:sz w:val="22"/>
          <w:szCs w:val="22"/>
          <w:b w:val="1"/>
          <w:bCs w:val="1"/>
          <w:color w:val="auto"/>
        </w:rPr>
        <w:t>Initial Award</w:t>
      </w:r>
      <w:r>
        <w:rPr>
          <w:rFonts w:ascii="Times New Roman" w:cs="Times New Roman" w:eastAsia="Times New Roman" w:hAnsi="Times New Roman"/>
          <w:sz w:val="22"/>
          <w:szCs w:val="22"/>
          <w:color w:val="auto"/>
        </w:rPr>
        <w:t>”) covering 39,000 Shares (subject to adjustment for changes in capitalization under the Plan). The Initial Award will be made on the first trading date on or after the date on which such individual first becomes an Outside Director, whether through election by the stockholders of the Company or appointment by the Board to fill a vacancy. If an individual was a member of the Board and also an employee, becoming an Outside Director due to termination of employment will not entitle the Outside Director to an Initial Award.</w:t>
      </w:r>
    </w:p>
    <w:p>
      <w:pPr>
        <w:spacing w:after="0" w:line="177" w:lineRule="exact"/>
        <w:rPr>
          <w:sz w:val="20"/>
          <w:szCs w:val="20"/>
          <w:color w:val="auto"/>
        </w:rPr>
      </w:pPr>
    </w:p>
    <w:p>
      <w:pPr>
        <w:jc w:val="both"/>
        <w:ind w:left="100" w:firstLine="747"/>
        <w:spacing w:after="0" w:line="244" w:lineRule="auto"/>
        <w:rPr>
          <w:sz w:val="20"/>
          <w:szCs w:val="20"/>
          <w:color w:val="auto"/>
        </w:rPr>
      </w:pPr>
      <w:r>
        <w:rPr>
          <w:rFonts w:ascii="Times New Roman" w:cs="Times New Roman" w:eastAsia="Times New Roman" w:hAnsi="Times New Roman"/>
          <w:sz w:val="22"/>
          <w:szCs w:val="22"/>
          <w:color w:val="auto"/>
        </w:rPr>
        <w:t>Subject to Section 3 of this Policy, each Initial Award will vest in equal amounts on the same day of the month as the date the individual first becomes an Outside Director over the 36 months following the month during which the individual first becomes an Outside Director, subject to the Outside Director continuing to be a Service Provider through the applicable vesting date.</w:t>
      </w:r>
    </w:p>
    <w:p>
      <w:pPr>
        <w:spacing w:after="0" w:line="186" w:lineRule="exact"/>
        <w:rPr>
          <w:sz w:val="20"/>
          <w:szCs w:val="20"/>
          <w:color w:val="auto"/>
        </w:rPr>
      </w:pPr>
    </w:p>
    <w:p>
      <w:pPr>
        <w:jc w:val="both"/>
        <w:ind w:left="100" w:firstLine="739"/>
        <w:spacing w:after="0" w:line="244" w:lineRule="auto"/>
        <w:tabs>
          <w:tab w:leader="none" w:pos="158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On the date of each annual meeting of the Company’s stockholders following the Updated Effective Date (each, an “</w:t>
      </w:r>
      <w:r>
        <w:rPr>
          <w:rFonts w:ascii="Times New Roman" w:cs="Times New Roman" w:eastAsia="Times New Roman" w:hAnsi="Times New Roman"/>
          <w:sz w:val="22"/>
          <w:szCs w:val="22"/>
          <w:b w:val="1"/>
          <w:bCs w:val="1"/>
          <w:color w:val="auto"/>
        </w:rPr>
        <w:t>Annual Meeting</w:t>
      </w:r>
      <w:r>
        <w:rPr>
          <w:rFonts w:ascii="Times New Roman" w:cs="Times New Roman" w:eastAsia="Times New Roman" w:hAnsi="Times New Roman"/>
          <w:sz w:val="22"/>
          <w:szCs w:val="22"/>
          <w:color w:val="auto"/>
        </w:rPr>
        <w:t>”), each Outside Director will be automatically granted an award of stock options (an “</w:t>
      </w:r>
      <w:r>
        <w:rPr>
          <w:rFonts w:ascii="Times New Roman" w:cs="Times New Roman" w:eastAsia="Times New Roman" w:hAnsi="Times New Roman"/>
          <w:sz w:val="22"/>
          <w:szCs w:val="22"/>
          <w:b w:val="1"/>
          <w:bCs w:val="1"/>
          <w:color w:val="auto"/>
        </w:rPr>
        <w:t>Annual Award</w:t>
      </w:r>
      <w:r>
        <w:rPr>
          <w:rFonts w:ascii="Times New Roman" w:cs="Times New Roman" w:eastAsia="Times New Roman" w:hAnsi="Times New Roman"/>
          <w:sz w:val="22"/>
          <w:szCs w:val="22"/>
          <w:color w:val="auto"/>
        </w:rPr>
        <w:t>”) covering 19,500 Shares (subject to adjustment for changes in capitalization under the Plan).</w:t>
      </w:r>
    </w:p>
    <w:p>
      <w:pPr>
        <w:spacing w:after="0" w:line="187" w:lineRule="exact"/>
        <w:rPr>
          <w:sz w:val="20"/>
          <w:szCs w:val="20"/>
          <w:color w:val="auto"/>
        </w:rPr>
      </w:pPr>
    </w:p>
    <w:p>
      <w:pPr>
        <w:jc w:val="both"/>
        <w:ind w:left="100" w:firstLine="747"/>
        <w:spacing w:after="0" w:line="244" w:lineRule="auto"/>
        <w:rPr>
          <w:sz w:val="20"/>
          <w:szCs w:val="20"/>
          <w:color w:val="auto"/>
        </w:rPr>
      </w:pPr>
      <w:r>
        <w:rPr>
          <w:rFonts w:ascii="Times New Roman" w:cs="Times New Roman" w:eastAsia="Times New Roman" w:hAnsi="Times New Roman"/>
          <w:sz w:val="22"/>
          <w:szCs w:val="22"/>
          <w:color w:val="auto"/>
        </w:rPr>
        <w:t>Subject to Section 3 of this Policy, each Annual Award will vest on the earlier of (i) the one- year anniversary of the date the Annual Award is granted or (ii) the day prior to the date of the Annual Meeting next following the date the Annual Award is granted, in each case, subject to the Outside Director continuing to be a Service Provider through the applicable vesting date.</w:t>
      </w:r>
    </w:p>
    <w:p>
      <w:pPr>
        <w:spacing w:after="0" w:line="169" w:lineRule="exact"/>
        <w:rPr>
          <w:sz w:val="20"/>
          <w:szCs w:val="20"/>
          <w:color w:val="auto"/>
        </w:rPr>
      </w:pPr>
    </w:p>
    <w:p>
      <w:pPr>
        <w:ind w:left="840" w:hanging="375"/>
        <w:spacing w:after="0"/>
        <w:tabs>
          <w:tab w:leader="none" w:pos="84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hange in</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ontrol</w:t>
      </w:r>
    </w:p>
    <w:p>
      <w:pPr>
        <w:spacing w:after="0" w:line="2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In the event of a Change in Control, each Outside Director outstanding Company equity awards will accelerate and</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vest.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75565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80" w:right="459" w:bottom="1440" w:gutter="0" w:footer="0" w:header="0"/>
        </w:sectPr>
      </w:pPr>
    </w:p>
    <w:bookmarkStart w:id="31" w:name="page32"/>
    <w:bookmarkEnd w:id="31"/>
    <w:p>
      <w:pPr>
        <w:ind w:left="840" w:hanging="375"/>
        <w:spacing w:after="0"/>
        <w:tabs>
          <w:tab w:leader="none" w:pos="84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w:t>
      </w:r>
      <w:r>
        <w:rPr>
          <w:rFonts w:ascii="Times New Roman" w:cs="Times New Roman" w:eastAsia="Times New Roman" w:hAnsi="Times New Roman"/>
          <w:sz w:val="14"/>
          <w:szCs w:val="14"/>
          <w:b w:val="1"/>
          <w:bCs w:val="1"/>
          <w:u w:val="single" w:color="auto"/>
          <w:color w:val="auto"/>
        </w:rPr>
        <w:t>ravel</w:t>
      </w:r>
      <w:r>
        <w:rPr>
          <w:rFonts w:ascii="Times New Roman" w:cs="Times New Roman" w:eastAsia="Times New Roman" w:hAnsi="Times New Roman"/>
          <w:sz w:val="22"/>
          <w:szCs w:val="22"/>
          <w:b w:val="1"/>
          <w:bCs w:val="1"/>
          <w:u w:val="single" w:color="auto"/>
          <w:color w:val="auto"/>
        </w:rPr>
        <w:t xml:space="preserve"> E</w:t>
      </w:r>
      <w:r>
        <w:rPr>
          <w:rFonts w:ascii="Times New Roman" w:cs="Times New Roman" w:eastAsia="Times New Roman" w:hAnsi="Times New Roman"/>
          <w:sz w:val="14"/>
          <w:szCs w:val="14"/>
          <w:b w:val="1"/>
          <w:bCs w:val="1"/>
          <w:u w:val="single" w:color="auto"/>
          <w:color w:val="auto"/>
        </w:rPr>
        <w:t>xpenses</w:t>
      </w:r>
    </w:p>
    <w:p>
      <w:pPr>
        <w:spacing w:after="0" w:line="224" w:lineRule="exact"/>
        <w:rPr>
          <w:sz w:val="20"/>
          <w:szCs w:val="20"/>
          <w:color w:val="auto"/>
        </w:rPr>
      </w:pPr>
    </w:p>
    <w:p>
      <w:pPr>
        <w:ind w:left="100" w:firstLine="747"/>
        <w:spacing w:after="0" w:line="258" w:lineRule="auto"/>
        <w:rPr>
          <w:sz w:val="20"/>
          <w:szCs w:val="20"/>
          <w:color w:val="auto"/>
        </w:rPr>
      </w:pPr>
      <w:r>
        <w:rPr>
          <w:rFonts w:ascii="Times New Roman" w:cs="Times New Roman" w:eastAsia="Times New Roman" w:hAnsi="Times New Roman"/>
          <w:sz w:val="22"/>
          <w:szCs w:val="22"/>
          <w:color w:val="auto"/>
        </w:rPr>
        <w:t>Each Outside Director’s reasonable, customary and documented travel expenses to Board or Board committee meetings will be reimbursed by the Company.</w:t>
      </w:r>
    </w:p>
    <w:p>
      <w:pPr>
        <w:spacing w:after="0" w:line="154" w:lineRule="exact"/>
        <w:rPr>
          <w:sz w:val="20"/>
          <w:szCs w:val="20"/>
          <w:color w:val="auto"/>
        </w:rPr>
      </w:pPr>
    </w:p>
    <w:p>
      <w:pPr>
        <w:ind w:left="840" w:hanging="375"/>
        <w:spacing w:after="0"/>
        <w:tabs>
          <w:tab w:leader="none" w:pos="84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dditional</w:t>
      </w:r>
      <w:r>
        <w:rPr>
          <w:rFonts w:ascii="Times New Roman" w:cs="Times New Roman" w:eastAsia="Times New Roman" w:hAnsi="Times New Roman"/>
          <w:sz w:val="22"/>
          <w:szCs w:val="22"/>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rovisions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All provisions of the Plan not inconsistent with this Policy will apply to Awards granted to Outside Directors.</w:t>
      </w:r>
    </w:p>
    <w:p>
      <w:pPr>
        <w:spacing w:after="0" w:line="202" w:lineRule="exact"/>
        <w:rPr>
          <w:sz w:val="20"/>
          <w:szCs w:val="20"/>
          <w:color w:val="auto"/>
        </w:rPr>
      </w:pPr>
    </w:p>
    <w:p>
      <w:pPr>
        <w:ind w:left="840" w:hanging="375"/>
        <w:spacing w:after="0"/>
        <w:tabs>
          <w:tab w:leader="none" w:pos="84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7"/>
          <w:szCs w:val="17"/>
          <w:b w:val="1"/>
          <w:bCs w:val="1"/>
          <w:u w:val="single" w:color="auto"/>
          <w:color w:val="auto"/>
        </w:rPr>
        <w:t>ECTION</w:t>
      </w:r>
      <w:r>
        <w:rPr>
          <w:rFonts w:ascii="Times New Roman" w:cs="Times New Roman" w:eastAsia="Times New Roman" w:hAnsi="Times New Roman"/>
          <w:sz w:val="22"/>
          <w:szCs w:val="22"/>
          <w:b w:val="1"/>
          <w:bCs w:val="1"/>
          <w:u w:val="single" w:color="auto"/>
          <w:color w:val="auto"/>
        </w:rPr>
        <w:t xml:space="preserve"> 409A</w:t>
      </w:r>
    </w:p>
    <w:p>
      <w:pPr>
        <w:spacing w:after="0" w:line="210" w:lineRule="exact"/>
        <w:rPr>
          <w:sz w:val="20"/>
          <w:szCs w:val="20"/>
          <w:color w:val="auto"/>
        </w:rPr>
      </w:pPr>
    </w:p>
    <w:p>
      <w:pPr>
        <w:jc w:val="both"/>
        <w:ind w:left="100" w:firstLine="747"/>
        <w:spacing w:after="0" w:line="239" w:lineRule="auto"/>
        <w:rPr>
          <w:sz w:val="20"/>
          <w:szCs w:val="20"/>
          <w:color w:val="auto"/>
        </w:rPr>
      </w:pPr>
      <w:r>
        <w:rPr>
          <w:rFonts w:ascii="Times New Roman" w:cs="Times New Roman" w:eastAsia="Times New Roman" w:hAnsi="Times New Roman"/>
          <w:sz w:val="22"/>
          <w:szCs w:val="22"/>
          <w:color w:val="auto"/>
        </w:rPr>
        <w:t>In no event will cash compensation or expense reimbursement payments under this Policy be paid after the later of (i) 15th day of the 3rd month following the end of the Company’s fiscal year in which the compensation is earned or expenses are incurred, as applicable, or (ii)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spacing w:after="0" w:line="177" w:lineRule="exact"/>
        <w:rPr>
          <w:sz w:val="20"/>
          <w:szCs w:val="20"/>
          <w:color w:val="auto"/>
        </w:rPr>
      </w:pPr>
    </w:p>
    <w:p>
      <w:pPr>
        <w:ind w:left="840" w:hanging="375"/>
        <w:spacing w:after="0"/>
        <w:tabs>
          <w:tab w:leader="none" w:pos="84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evisions</w:t>
      </w:r>
    </w:p>
    <w:p>
      <w:pPr>
        <w:spacing w:after="0" w:line="210" w:lineRule="exact"/>
        <w:rPr>
          <w:sz w:val="20"/>
          <w:szCs w:val="20"/>
          <w:color w:val="auto"/>
        </w:rPr>
      </w:pPr>
    </w:p>
    <w:p>
      <w:pPr>
        <w:jc w:val="both"/>
        <w:ind w:left="100" w:firstLine="747"/>
        <w:spacing w:after="0" w:line="241" w:lineRule="auto"/>
        <w:rPr>
          <w:sz w:val="20"/>
          <w:szCs w:val="20"/>
          <w:color w:val="auto"/>
        </w:rPr>
      </w:pPr>
      <w:r>
        <w:rPr>
          <w:rFonts w:ascii="Times New Roman" w:cs="Times New Roman" w:eastAsia="Times New Roman" w:hAnsi="Times New Roman"/>
          <w:sz w:val="22"/>
          <w:szCs w:val="22"/>
          <w:color w:val="auto"/>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76" w:right="45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Mack, certify that:</w:t>
      </w:r>
    </w:p>
    <w:p>
      <w:pPr>
        <w:spacing w:after="0" w:line="212"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2022, of PMV Pharmaceuticals,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6020" w:val="left"/>
          <w:tab w:leader="none" w:pos="816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David H. Mack, Ph.D.</w:t>
      </w:r>
    </w:p>
    <w:p>
      <w:pPr>
        <w:ind w:left="7520"/>
        <w:spacing w:after="0" w:line="219" w:lineRule="auto"/>
        <w:rPr>
          <w:sz w:val="20"/>
          <w:szCs w:val="20"/>
          <w:color w:val="auto"/>
        </w:rPr>
      </w:pPr>
      <w:r>
        <w:rPr>
          <w:rFonts w:ascii="Times New Roman" w:cs="Times New Roman" w:eastAsia="Times New Roman" w:hAnsi="Times New Roman"/>
          <w:sz w:val="18"/>
          <w:szCs w:val="18"/>
          <w:b w:val="1"/>
          <w:bCs w:val="1"/>
          <w:color w:val="auto"/>
        </w:rPr>
        <w:t>President, Chief Executive Officer,</w:t>
      </w:r>
    </w:p>
    <w:p>
      <w:pPr>
        <w:jc w:val="center"/>
        <w:ind w:left="6440"/>
        <w:spacing w:after="0" w:line="219" w:lineRule="auto"/>
        <w:rPr>
          <w:sz w:val="20"/>
          <w:szCs w:val="20"/>
          <w:color w:val="auto"/>
        </w:rPr>
      </w:pPr>
      <w:r>
        <w:rPr>
          <w:rFonts w:ascii="Times New Roman" w:cs="Times New Roman" w:eastAsia="Times New Roman" w:hAnsi="Times New Roman"/>
          <w:sz w:val="18"/>
          <w:szCs w:val="18"/>
          <w:b w:val="1"/>
          <w:bCs w:val="1"/>
          <w:color w:val="auto"/>
        </w:rPr>
        <w:t>and Director</w:t>
      </w: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Winston Kung, certify that:</w:t>
      </w:r>
    </w:p>
    <w:p>
      <w:pPr>
        <w:spacing w:after="0" w:line="212"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2022, of PMV Pharmaceuticals,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6020" w:val="left"/>
          <w:tab w:leader="none" w:pos="82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5"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Winston Kung</w:t>
      </w:r>
    </w:p>
    <w:p>
      <w:pPr>
        <w:ind w:left="7920"/>
        <w:spacing w:after="0" w:line="219" w:lineRule="auto"/>
        <w:rPr>
          <w:sz w:val="20"/>
          <w:szCs w:val="20"/>
          <w:color w:val="auto"/>
        </w:rPr>
      </w:pPr>
      <w:r>
        <w:rPr>
          <w:rFonts w:ascii="Times New Roman" w:cs="Times New Roman" w:eastAsia="Times New Roman" w:hAnsi="Times New Roman"/>
          <w:sz w:val="18"/>
          <w:szCs w:val="18"/>
          <w:b w:val="1"/>
          <w:bCs w:val="1"/>
          <w:color w:val="auto"/>
        </w:rPr>
        <w:t>Chief Operating Officer</w:t>
      </w:r>
    </w:p>
    <w:p>
      <w:pPr>
        <w:ind w:left="7800"/>
        <w:spacing w:after="0" w:line="219" w:lineRule="auto"/>
        <w:rPr>
          <w:sz w:val="20"/>
          <w:szCs w:val="20"/>
          <w:color w:val="auto"/>
        </w:rPr>
      </w:pPr>
      <w:r>
        <w:rPr>
          <w:rFonts w:ascii="Times New Roman" w:cs="Times New Roman" w:eastAsia="Times New Roman" w:hAnsi="Times New Roman"/>
          <w:sz w:val="18"/>
          <w:szCs w:val="18"/>
          <w:b w:val="1"/>
          <w:bCs w:val="1"/>
          <w:color w:val="auto"/>
        </w:rPr>
        <w:t>and Chief Financial Officer</w:t>
      </w:r>
    </w:p>
    <w:p>
      <w:pPr>
        <w:ind w:left="77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June 30, 2022, of PMV Pharmaceuticals, Inc. (the “Company”)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35" w:lineRule="exact"/>
        <w:rPr>
          <w:sz w:val="20"/>
          <w:szCs w:val="20"/>
          <w:color w:val="auto"/>
        </w:rPr>
      </w:pPr>
    </w:p>
    <w:p>
      <w:pPr>
        <w:ind w:left="20"/>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David H. Mack, Ph.D.</w:t>
      </w:r>
    </w:p>
    <w:p>
      <w:pPr>
        <w:ind w:left="6840"/>
        <w:spacing w:after="0" w:line="219" w:lineRule="auto"/>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ind w:left="75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June 30, 2022, of PMV Pharmaceuticals, Inc. (the “Company”)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49"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Winston Kung</w:t>
      </w:r>
    </w:p>
    <w:p>
      <w:pPr>
        <w:ind w:left="7760"/>
        <w:spacing w:after="0" w:line="219" w:lineRule="auto"/>
        <w:rPr>
          <w:sz w:val="20"/>
          <w:szCs w:val="20"/>
          <w:color w:val="auto"/>
        </w:rPr>
      </w:pPr>
      <w:r>
        <w:rPr>
          <w:rFonts w:ascii="Times New Roman" w:cs="Times New Roman" w:eastAsia="Times New Roman" w:hAnsi="Times New Roman"/>
          <w:sz w:val="18"/>
          <w:szCs w:val="18"/>
          <w:b w:val="1"/>
          <w:bCs w:val="1"/>
          <w:color w:val="auto"/>
        </w:rPr>
        <w:t>Chief Operating Officer</w:t>
      </w:r>
    </w:p>
    <w:p>
      <w:pPr>
        <w:ind w:left="7620"/>
        <w:spacing w:after="0" w:line="219" w:lineRule="auto"/>
        <w:rPr>
          <w:sz w:val="20"/>
          <w:szCs w:val="20"/>
          <w:color w:val="auto"/>
        </w:rPr>
      </w:pPr>
      <w:r>
        <w:rPr>
          <w:rFonts w:ascii="Times New Roman" w:cs="Times New Roman" w:eastAsia="Times New Roman" w:hAnsi="Times New Roman"/>
          <w:sz w:val="18"/>
          <w:szCs w:val="18"/>
          <w:b w:val="1"/>
          <w:bCs w:val="1"/>
          <w:color w:val="auto"/>
        </w:rPr>
        <w:t>and Chief Financial Officer</w:t>
      </w:r>
    </w:p>
    <w:p>
      <w:pPr>
        <w:ind w:left="75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
      <w:numFmt w:val="bullet"/>
      <w:start w:val="1"/>
    </w:lvl>
    <w:lvl w:ilvl="1">
      <w:lvlJc w:val="left"/>
      <w:lvlText w:val="%2"/>
      <w:numFmt w:val="decimal"/>
      <w:start w:val="104"/>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2"/>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3"/>
    </w:lvl>
  </w:abstractNum>
  <w:abstractNum w:abstractNumId="18">
    <w:nsid w:val="2D1D5AE9"/>
    <w:multiLevelType w:val="hybridMultilevel"/>
    <w:lvl w:ilvl="0">
      <w:lvlJc w:val="left"/>
      <w:lvlText w:val="%1."/>
      <w:numFmt w:val="decimal"/>
      <w:start w:val="3"/>
    </w:lvl>
  </w:abstractNum>
  <w:abstractNum w:abstractNumId="19">
    <w:nsid w:val="6763845E"/>
    <w:multiLevelType w:val="hybridMultilevel"/>
    <w:lvl w:ilvl="0">
      <w:lvlJc w:val="left"/>
      <w:lvlText w:val="%1."/>
      <w:numFmt w:val="decimal"/>
      <w:start w:val="4"/>
    </w:lvl>
  </w:abstractNum>
  <w:abstractNum w:abstractNumId="20">
    <w:nsid w:val="75A2A8D4"/>
    <w:multiLevelType w:val="hybridMultilevel"/>
    <w:lvl w:ilvl="0">
      <w:lvlJc w:val="left"/>
      <w:lvlText w:val="%1."/>
      <w:numFmt w:val="decimal"/>
      <w:start w:val="5"/>
    </w:lvl>
  </w:abstractNum>
  <w:abstractNum w:abstractNumId="21">
    <w:nsid w:val="8EDBDAB"/>
    <w:multiLevelType w:val="hybridMultilevel"/>
    <w:lvl w:ilvl="0">
      <w:lvlJc w:val="left"/>
      <w:lvlText w:val="%1."/>
      <w:numFmt w:val="decimal"/>
      <w:start w:val="6"/>
    </w:lvl>
  </w:abstractNum>
  <w:abstractNum w:abstractNumId="22">
    <w:nsid w:val="79838CB2"/>
    <w:multiLevelType w:val="hybridMultilevel"/>
    <w:lvl w:ilvl="0">
      <w:lvlJc w:val="left"/>
      <w:lvlText w:val="%1."/>
      <w:numFmt w:val="decimal"/>
      <w:start w:val="7"/>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2022-08-09T07:05:15Z</dcterms:created>
  <dcterms:modified xsi:type="dcterms:W3CDTF">2022-08-09T07:05:15Z</dcterms:modified>
</cp:coreProperties>
</file>